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资阳市第一人民医院</w:t>
      </w:r>
    </w:p>
    <w:p>
      <w:pPr>
        <w:jc w:val="center"/>
        <w:rPr>
          <w:rFonts w:ascii="方正小标宋简体" w:eastAsia="方正小标宋简体"/>
          <w:spacing w:val="0"/>
          <w:sz w:val="36"/>
          <w:szCs w:val="36"/>
        </w:rPr>
      </w:pPr>
      <w:r>
        <w:rPr>
          <w:rFonts w:hint="eastAsia" w:ascii="方正小标宋简体" w:eastAsia="方正小标宋简体"/>
          <w:spacing w:val="0"/>
          <w:sz w:val="36"/>
          <w:szCs w:val="36"/>
          <w:lang w:eastAsia="zh-CN"/>
        </w:rPr>
        <w:t>组织固定液</w:t>
      </w:r>
      <w:r>
        <w:rPr>
          <w:rFonts w:hint="eastAsia" w:ascii="方正小标宋简体" w:eastAsia="方正小标宋简体"/>
          <w:spacing w:val="0"/>
          <w:sz w:val="36"/>
          <w:szCs w:val="36"/>
        </w:rPr>
        <w:t>等医用耗材采购</w:t>
      </w:r>
      <w:r>
        <w:rPr>
          <w:rFonts w:hint="eastAsia" w:ascii="方正小标宋简体" w:eastAsia="方正小标宋简体"/>
          <w:spacing w:val="0"/>
          <w:sz w:val="36"/>
          <w:szCs w:val="36"/>
          <w:lang w:eastAsia="zh-CN"/>
        </w:rPr>
        <w:t>项目（第二次）公开招标的采购</w:t>
      </w:r>
      <w:r>
        <w:rPr>
          <w:rFonts w:hint="eastAsia" w:ascii="方正小标宋简体" w:eastAsia="方正小标宋简体"/>
          <w:spacing w:val="0"/>
          <w:sz w:val="36"/>
          <w:szCs w:val="36"/>
        </w:rPr>
        <w:t>公告</w:t>
      </w:r>
    </w:p>
    <w:tbl>
      <w:tblPr>
        <w:tblStyle w:val="19"/>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采购项目</w:t>
            </w:r>
          </w:p>
        </w:tc>
        <w:tc>
          <w:tcPr>
            <w:tcW w:w="6684" w:type="dxa"/>
            <w:vAlign w:val="center"/>
          </w:tcPr>
          <w:p>
            <w:pPr>
              <w:rPr>
                <w:rFonts w:hint="eastAsia" w:ascii="仿宋_GB2312" w:eastAsia="仿宋_GB2312"/>
                <w:sz w:val="24"/>
                <w:szCs w:val="24"/>
                <w:lang w:eastAsia="zh-CN"/>
              </w:rPr>
            </w:pPr>
            <w:r>
              <w:rPr>
                <w:rFonts w:hint="eastAsia" w:ascii="仿宋_GB2312" w:eastAsia="仿宋_GB2312"/>
                <w:sz w:val="24"/>
                <w:szCs w:val="24"/>
              </w:rPr>
              <w:t>资阳市第一人民医院</w:t>
            </w:r>
            <w:r>
              <w:rPr>
                <w:rFonts w:hint="eastAsia" w:ascii="仿宋_GB2312" w:eastAsia="仿宋_GB2312"/>
                <w:sz w:val="24"/>
                <w:szCs w:val="24"/>
                <w:lang w:eastAsia="zh-CN"/>
              </w:rPr>
              <w:t>组织固定液</w:t>
            </w:r>
            <w:r>
              <w:rPr>
                <w:rFonts w:hint="eastAsia" w:ascii="仿宋_GB2312" w:eastAsia="仿宋_GB2312"/>
                <w:sz w:val="24"/>
                <w:szCs w:val="24"/>
              </w:rPr>
              <w:t>等医用耗材采购</w:t>
            </w:r>
            <w:r>
              <w:rPr>
                <w:rFonts w:hint="eastAsia" w:ascii="仿宋_GB2312" w:eastAsia="仿宋_GB2312"/>
                <w:sz w:val="24"/>
                <w:szCs w:val="24"/>
                <w:lang w:eastAsia="zh-CN"/>
              </w:rPr>
              <w:t>项目（第二次）公开招标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2019/5/14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rPr>
                <w:rFonts w:hint="eastAsia" w:ascii="仿宋_GB2312" w:eastAsia="仿宋_GB2312"/>
                <w:sz w:val="24"/>
                <w:szCs w:val="24"/>
                <w:lang w:val="en-US" w:eastAsia="zh-CN"/>
              </w:rPr>
            </w:pPr>
            <w:r>
              <w:rPr>
                <w:rFonts w:hint="eastAsia" w:ascii="仿宋_GB2312" w:eastAsia="仿宋_GB2312" w:hAnsiTheme="minorEastAsia"/>
                <w:sz w:val="24"/>
                <w:szCs w:val="24"/>
                <w:lang w:val="en-US" w:eastAsia="zh-CN"/>
              </w:rPr>
              <w:t>2019/5/14-2019/5/20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bookmarkStart w:id="36" w:name="_GoBack"/>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bookmarkEnd w:id="36"/>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w:t>
            </w:r>
            <w:r>
              <w:rPr>
                <w:rFonts w:hint="eastAsia" w:ascii="仿宋_GB2312" w:eastAsia="仿宋_GB2312"/>
                <w:sz w:val="24"/>
                <w:szCs w:val="24"/>
                <w:lang w:eastAsia="zh-CN"/>
              </w:rPr>
              <w:t>朱</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rPr>
                <w:rFonts w:ascii="仿宋_GB2312" w:eastAsia="仿宋_GB2312"/>
                <w:sz w:val="24"/>
                <w:szCs w:val="24"/>
              </w:rPr>
            </w:pPr>
            <w:r>
              <w:rPr>
                <w:rFonts w:hint="eastAsia" w:ascii="仿宋_GB2312" w:eastAsia="仿宋_GB2312"/>
                <w:sz w:val="24"/>
                <w:szCs w:val="24"/>
              </w:rPr>
              <w:t>邮件请标注名称：</w:t>
            </w:r>
            <w:r>
              <w:rPr>
                <w:rFonts w:hint="eastAsia" w:ascii="仿宋_GB2312" w:eastAsia="仿宋_GB2312"/>
                <w:b/>
                <w:bCs/>
                <w:sz w:val="24"/>
                <w:szCs w:val="24"/>
              </w:rPr>
              <w:t>采购</w:t>
            </w:r>
            <w:r>
              <w:rPr>
                <w:rFonts w:hint="eastAsia" w:ascii="仿宋_GB2312" w:eastAsia="仿宋_GB2312"/>
                <w:b/>
                <w:bCs/>
                <w:sz w:val="24"/>
                <w:szCs w:val="24"/>
                <w:lang w:eastAsia="zh-CN"/>
              </w:rPr>
              <w:t>组织固定液</w:t>
            </w:r>
            <w:r>
              <w:rPr>
                <w:rFonts w:hint="eastAsia" w:ascii="仿宋_GB2312" w:eastAsia="仿宋_GB2312"/>
                <w:b/>
                <w:bCs/>
                <w:sz w:val="24"/>
                <w:szCs w:val="24"/>
              </w:rPr>
              <w:t>等医用耗材</w:t>
            </w:r>
            <w:r>
              <w:rPr>
                <w:rFonts w:hint="eastAsia" w:ascii="仿宋_GB2312" w:eastAsia="仿宋_GB2312"/>
                <w:b/>
                <w:bCs/>
                <w:sz w:val="24"/>
                <w:szCs w:val="24"/>
                <w:lang w:eastAsia="zh-CN"/>
              </w:rPr>
              <w:t>采购项目（第二次）</w:t>
            </w:r>
            <w:r>
              <w:rPr>
                <w:rFonts w:hint="eastAsia" w:ascii="仿宋_GB2312" w:eastAsia="仿宋_GB2312"/>
                <w:b/>
                <w:bCs/>
                <w:sz w:val="24"/>
                <w:szCs w:val="24"/>
              </w:rPr>
              <w:t>报名表</w:t>
            </w:r>
          </w:p>
        </w:tc>
      </w:tr>
    </w:tbl>
    <w:p>
      <w:pPr>
        <w:jc w:val="center"/>
        <w:rPr>
          <w:rFonts w:hint="eastAsia" w:ascii="方正小标宋简体" w:hAnsi="方正小标宋简体" w:eastAsia="方正小标宋简体" w:cs="方正小标宋简体"/>
          <w:sz w:val="48"/>
          <w:szCs w:val="48"/>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7" w:header="851" w:footer="992" w:gutter="0"/>
          <w:pgNumType w:start="1"/>
          <w:cols w:space="720" w:num="1"/>
          <w:titlePg/>
          <w:docGrid w:linePitch="312" w:charSpace="0"/>
        </w:sectPr>
      </w:pPr>
      <w:bookmarkStart w:id="0" w:name="PO_项目名称_10"/>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资阳市第一人民医院</w:t>
      </w:r>
      <w:bookmarkEnd w:id="0"/>
      <w:r>
        <w:rPr>
          <w:rFonts w:hint="eastAsia" w:ascii="方正小标宋简体" w:hAnsi="方正小标宋简体" w:eastAsia="方正小标宋简体" w:cs="方正小标宋简体"/>
          <w:sz w:val="48"/>
          <w:szCs w:val="48"/>
          <w:lang w:eastAsia="zh-CN"/>
        </w:rPr>
        <w:t>组织固定液</w:t>
      </w:r>
      <w:r>
        <w:rPr>
          <w:rFonts w:hint="eastAsia" w:ascii="方正小标宋简体" w:hAnsi="方正小标宋简体" w:eastAsia="方正小标宋简体" w:cs="方正小标宋简体"/>
          <w:sz w:val="48"/>
          <w:szCs w:val="48"/>
        </w:rPr>
        <w:t>等医用耗材采购</w:t>
      </w:r>
      <w:r>
        <w:rPr>
          <w:rFonts w:hint="eastAsia" w:ascii="方正小标宋简体" w:hAnsi="方正小标宋简体" w:eastAsia="方正小标宋简体" w:cs="方正小标宋简体"/>
          <w:sz w:val="48"/>
          <w:szCs w:val="48"/>
          <w:lang w:eastAsia="zh-CN"/>
        </w:rPr>
        <w:t>项目</w:t>
      </w:r>
    </w:p>
    <w:p>
      <w:pP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bookmarkStart w:id="1" w:name="PO_采购人_1"/>
    </w:p>
    <w:p>
      <w:pPr>
        <w:spacing w:line="360" w:lineRule="auto"/>
        <w:jc w:val="center"/>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hint="eastAsia"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lang w:val="zh-CN"/>
        </w:rPr>
        <w:t>二O一九年五月</w:t>
      </w:r>
    </w:p>
    <w:p>
      <w:pPr>
        <w:jc w:val="center"/>
        <w:rPr>
          <w:rFonts w:hint="eastAsia" w:ascii="仿宋_GB2312" w:hAnsi="仿宋_GB2312" w:eastAsia="仿宋_GB2312" w:cs="仿宋_GB2312"/>
          <w:b/>
          <w:bCs/>
          <w:sz w:val="32"/>
          <w:szCs w:val="32"/>
        </w:rPr>
        <w:sectPr>
          <w:footerReference r:id="rId10" w:type="first"/>
          <w:footerReference r:id="rId9" w:type="default"/>
          <w:pgSz w:w="11907" w:h="16840"/>
          <w:pgMar w:top="2098" w:right="1474" w:bottom="1984" w:left="1587" w:header="851" w:footer="992" w:gutter="0"/>
          <w:pgNumType w:fmt="decimal" w:start="1"/>
          <w:cols w:space="720" w:num="1"/>
          <w:titlePg/>
          <w:docGrid w:linePitch="312" w:charSpace="0"/>
        </w:sectPr>
      </w:pPr>
    </w:p>
    <w:bookmarkEnd w:id="2"/>
    <w:sdt>
      <w:sdtPr>
        <w:rPr>
          <w:rFonts w:ascii="宋体" w:hAnsi="宋体" w:eastAsia="宋体" w:cs="Times New Roman"/>
          <w:kern w:val="2"/>
          <w:sz w:val="21"/>
          <w:szCs w:val="24"/>
          <w:lang w:val="en-US" w:eastAsia="zh-CN" w:bidi="ar-SA"/>
        </w:rPr>
        <w:id w:val="147455536"/>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3" w:name="_Toc29201_WPSOffice_Type1"/>
          <w:r>
            <w:rPr>
              <w:rFonts w:ascii="宋体" w:hAnsi="宋体" w:eastAsia="宋体"/>
              <w:sz w:val="21"/>
            </w:rPr>
            <w:t>目录</w:t>
          </w:r>
        </w:p>
        <w:p>
          <w:pPr>
            <w:pStyle w:val="35"/>
            <w:tabs>
              <w:tab w:val="right" w:leader="dot" w:pos="8845"/>
            </w:tabs>
          </w:pPr>
          <w:r>
            <w:fldChar w:fldCharType="begin"/>
          </w:r>
          <w:r>
            <w:instrText xml:space="preserve"> HYPERLINK \l _Toc12365_WPSOffice_Level1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5536"/>
              <w:placeholder>
                <w:docPart w:val="{e3eca351-2958-433f-bd81-31589cb68fc9}"/>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第一章  投标邀请</w:t>
              </w:r>
            </w:sdtContent>
          </w:sdt>
          <w:r>
            <w:tab/>
          </w:r>
          <w:bookmarkStart w:id="4" w:name="_Toc12365_WPSOffice_Level1Page"/>
          <w:r>
            <w:t>3</w:t>
          </w:r>
          <w:bookmarkEnd w:id="4"/>
          <w:r>
            <w:fldChar w:fldCharType="end"/>
          </w:r>
        </w:p>
        <w:p>
          <w:pPr>
            <w:pStyle w:val="35"/>
            <w:tabs>
              <w:tab w:val="right" w:leader="dot" w:pos="8845"/>
            </w:tabs>
          </w:pPr>
          <w:r>
            <w:fldChar w:fldCharType="begin"/>
          </w:r>
          <w:r>
            <w:instrText xml:space="preserve"> HYPERLINK \l _Toc29201_WPSOffice_Level1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5536"/>
              <w:placeholder>
                <w:docPart w:val="{a1c5fec8-c9e1-4270-9433-018d36f0ed65}"/>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第二章　采购要求</w:t>
              </w:r>
            </w:sdtContent>
          </w:sdt>
          <w:r>
            <w:tab/>
          </w:r>
          <w:bookmarkStart w:id="5" w:name="_Toc29201_WPSOffice_Level1Page"/>
          <w:r>
            <w:t>4</w:t>
          </w:r>
          <w:bookmarkEnd w:id="5"/>
          <w:r>
            <w:fldChar w:fldCharType="end"/>
          </w:r>
        </w:p>
        <w:p>
          <w:pPr>
            <w:pStyle w:val="35"/>
            <w:tabs>
              <w:tab w:val="right" w:leader="dot" w:pos="8845"/>
            </w:tabs>
          </w:pPr>
          <w:r>
            <w:fldChar w:fldCharType="begin"/>
          </w:r>
          <w:r>
            <w:instrText xml:space="preserve"> HYPERLINK \l _Toc18323_WPSOffice_Level1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5536"/>
              <w:placeholder>
                <w:docPart w:val="{efc039f8-986e-4169-9fdc-6b4d81fa0853}"/>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第三章  评标办法</w:t>
              </w:r>
            </w:sdtContent>
          </w:sdt>
          <w:r>
            <w:tab/>
          </w:r>
          <w:bookmarkStart w:id="6" w:name="_Toc18323_WPSOffice_Level1Page"/>
          <w:r>
            <w:t>8</w:t>
          </w:r>
          <w:bookmarkEnd w:id="6"/>
          <w:r>
            <w:fldChar w:fldCharType="end"/>
          </w:r>
        </w:p>
        <w:p>
          <w:pPr>
            <w:pStyle w:val="35"/>
            <w:tabs>
              <w:tab w:val="right" w:leader="dot" w:pos="8845"/>
            </w:tabs>
          </w:pPr>
          <w:r>
            <w:fldChar w:fldCharType="begin"/>
          </w:r>
          <w:r>
            <w:instrText xml:space="preserve"> HYPERLINK \l _Toc17767_WPSOffice_Level1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5536"/>
              <w:placeholder>
                <w:docPart w:val="{301a3136-a2d8-45a9-bb9e-edd724fc32b0}"/>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采购合同</w:t>
              </w:r>
            </w:sdtContent>
          </w:sdt>
          <w:r>
            <w:tab/>
          </w:r>
          <w:bookmarkStart w:id="7" w:name="_Toc17767_WPSOffice_Level1Page"/>
          <w:r>
            <w:t>11</w:t>
          </w:r>
          <w:bookmarkEnd w:id="7"/>
          <w:r>
            <w:fldChar w:fldCharType="end"/>
          </w:r>
        </w:p>
        <w:p>
          <w:pPr>
            <w:pStyle w:val="35"/>
            <w:tabs>
              <w:tab w:val="right" w:leader="dot" w:pos="8845"/>
            </w:tabs>
          </w:pPr>
          <w:r>
            <w:fldChar w:fldCharType="begin"/>
          </w:r>
          <w:r>
            <w:instrText xml:space="preserve"> HYPERLINK \l _Toc8526_WPSOffice_Level1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5536"/>
              <w:placeholder>
                <w:docPart w:val="{4dbfa6ce-838f-4407-8944-a869fd8843f8}"/>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第五章　投标人应提供的资料</w:t>
              </w:r>
            </w:sdtContent>
          </w:sdt>
          <w:r>
            <w:tab/>
          </w:r>
          <w:bookmarkStart w:id="8" w:name="_Toc8526_WPSOffice_Level1Page"/>
          <w:r>
            <w:t>18</w:t>
          </w:r>
          <w:bookmarkEnd w:id="8"/>
          <w:r>
            <w:fldChar w:fldCharType="end"/>
          </w:r>
        </w:p>
        <w:p>
          <w:pPr>
            <w:pStyle w:val="35"/>
            <w:tabs>
              <w:tab w:val="right" w:leader="dot" w:pos="8845"/>
            </w:tabs>
          </w:pPr>
          <w:r>
            <w:fldChar w:fldCharType="begin"/>
          </w:r>
          <w:r>
            <w:instrText xml:space="preserve"> HYPERLINK \l _Toc23582_WPSOffice_Level1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5536"/>
              <w:placeholder>
                <w:docPart w:val="{bbb3521e-52c4-405f-a2e2-c2a5889b4344}"/>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报名表及投标文件格式</w:t>
              </w:r>
            </w:sdtContent>
          </w:sdt>
          <w:r>
            <w:tab/>
          </w:r>
          <w:bookmarkStart w:id="9" w:name="_Toc23582_WPSOffice_Level1Page"/>
          <w:r>
            <w:t>19</w:t>
          </w:r>
          <w:bookmarkEnd w:id="9"/>
          <w:r>
            <w:fldChar w:fldCharType="end"/>
          </w:r>
          <w:bookmarkEnd w:id="3"/>
        </w:p>
      </w:sdtContent>
    </w:sdt>
    <w:p>
      <w:pPr>
        <w:pStyle w:val="34"/>
        <w:rPr>
          <w:rFonts w:hint="eastAsia"/>
        </w:rPr>
      </w:pPr>
      <w:r>
        <w:rPr>
          <w:rFonts w:hint="eastAsia"/>
        </w:rPr>
        <w:br w:type="page"/>
      </w:r>
    </w:p>
    <w:p>
      <w:pPr>
        <w:pStyle w:val="34"/>
        <w:rPr>
          <w:rFonts w:hint="eastAsia"/>
        </w:rPr>
      </w:pPr>
      <w:bookmarkStart w:id="10" w:name="_Toc12365_WPSOffice_Level1"/>
      <w:r>
        <w:rPr>
          <w:rFonts w:hint="eastAsia"/>
        </w:rPr>
        <w:t>第一章  投标邀请</w:t>
      </w:r>
      <w:bookmarkEnd w:id="10"/>
    </w:p>
    <w:p>
      <w:pPr>
        <w:rPr>
          <w:rFonts w:hint="eastAsia"/>
        </w:rPr>
      </w:pPr>
    </w:p>
    <w:p>
      <w:pPr>
        <w:pageBreakBefore w:val="0"/>
        <w:widowControl w:val="0"/>
        <w:kinsoku/>
        <w:wordWrap/>
        <w:overflowPunct/>
        <w:topLinePunct w:val="0"/>
        <w:autoSpaceDE/>
        <w:autoSpaceDN/>
        <w:bidi w:val="0"/>
        <w:adjustRightInd/>
        <w:snapToGrid/>
        <w:spacing w:afterLines="50" w:line="240" w:lineRule="auto"/>
        <w:ind w:firstLine="480" w:firstLineChars="200"/>
        <w:textAlignment w:val="auto"/>
        <w:rPr>
          <w:rFonts w:ascii="宋体"/>
          <w:bCs/>
          <w:sz w:val="24"/>
          <w:szCs w:val="24"/>
        </w:rPr>
      </w:pPr>
      <w:r>
        <w:rPr>
          <w:rFonts w:hint="eastAsia" w:ascii="黑体" w:hAnsi="黑体" w:eastAsia="黑体"/>
          <w:bCs/>
          <w:sz w:val="24"/>
          <w:szCs w:val="24"/>
          <w:lang w:eastAsia="zh-CN"/>
        </w:rPr>
        <w:t>一</w:t>
      </w:r>
      <w:r>
        <w:rPr>
          <w:rFonts w:hint="eastAsia" w:ascii="黑体" w:hAnsi="黑体" w:eastAsia="黑体"/>
          <w:bCs/>
          <w:sz w:val="24"/>
          <w:szCs w:val="24"/>
        </w:rPr>
        <w:t>、</w:t>
      </w:r>
      <w:r>
        <w:rPr>
          <w:rFonts w:hint="eastAsia" w:ascii="黑体" w:hAnsi="黑体" w:eastAsia="黑体"/>
          <w:bCs/>
          <w:sz w:val="24"/>
          <w:szCs w:val="24"/>
          <w:lang w:eastAsia="zh-CN"/>
        </w:rPr>
        <w:t>投标人</w:t>
      </w:r>
      <w:r>
        <w:rPr>
          <w:rFonts w:hint="eastAsia" w:ascii="黑体" w:hAnsi="黑体" w:eastAsia="黑体"/>
          <w:bCs/>
          <w:sz w:val="24"/>
          <w:szCs w:val="24"/>
        </w:rPr>
        <w:t>参加本次采购活动，应当在提交投标文件前具备下列条件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bookmarkStart w:id="11" w:name="PO_供应商资格条件_1"/>
      <w:r>
        <w:rPr>
          <w:rFonts w:hint="eastAsia" w:ascii="仿宋_GB2312" w:hAnsi="宋体" w:eastAsia="仿宋_GB2312" w:cs="Times New Roman"/>
          <w:sz w:val="24"/>
          <w:szCs w:val="24"/>
        </w:rPr>
        <w:t>1. 具有独立承担民事责任的能力；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 具有良好的商业信誉和健全的财务会计制度；</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3. 具有履行合同所必须的耗材和专业技术能力；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4. 具有依法缴纳税收和社会保障资金的良好记录；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 参加本次采购活动前三年内，在经营活动中没有重大违法记录；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6. 符合法律、行政法规规定的其他条件；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 根据采购项目提出的特殊条件。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w:t>
      </w:r>
      <w:r>
        <w:rPr>
          <w:rFonts w:hint="eastAsia" w:ascii="仿宋_GB2312" w:hAnsi="宋体" w:eastAsia="仿宋_GB2312"/>
          <w:sz w:val="24"/>
          <w:szCs w:val="24"/>
        </w:rPr>
        <w:t>2</w:t>
      </w:r>
      <w:r>
        <w:rPr>
          <w:rFonts w:ascii="仿宋_GB2312" w:hAnsi="宋体" w:eastAsia="仿宋_GB2312"/>
          <w:sz w:val="24"/>
          <w:szCs w:val="24"/>
        </w:rPr>
        <w:t xml:space="preserve"> </w:t>
      </w:r>
      <w:r>
        <w:rPr>
          <w:rFonts w:hint="eastAsia" w:ascii="仿宋_GB2312" w:hAnsi="宋体" w:eastAsia="仿宋_GB2312"/>
          <w:sz w:val="24"/>
          <w:szCs w:val="24"/>
        </w:rPr>
        <w:t>投标产品属于“四川省医用耗材集中挂网阳光采购系统”或“体外诊断试剂阳光采购系统”中</w:t>
      </w:r>
      <w:r>
        <w:rPr>
          <w:rFonts w:hint="eastAsia" w:ascii="仿宋_GB2312" w:hAnsi="宋体" w:eastAsia="仿宋_GB2312" w:cs="Times New Roman"/>
          <w:sz w:val="24"/>
          <w:szCs w:val="24"/>
        </w:rPr>
        <w:t>采购目录要求的产品，</w:t>
      </w:r>
      <w:r>
        <w:rPr>
          <w:rFonts w:hint="eastAsia" w:ascii="仿宋_GB2312" w:hAnsi="宋体" w:eastAsia="仿宋_GB2312"/>
          <w:sz w:val="24"/>
          <w:szCs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1"/>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三、投标报名</w:t>
      </w:r>
    </w:p>
    <w:p>
      <w:pPr>
        <w:pageBreakBefore w:val="0"/>
        <w:widowControl w:val="0"/>
        <w:kinsoku/>
        <w:wordWrap/>
        <w:overflowPunct/>
        <w:topLinePunct w:val="0"/>
        <w:autoSpaceDE/>
        <w:autoSpaceDN/>
        <w:bidi w:val="0"/>
        <w:adjustRightInd/>
        <w:snapToGrid/>
        <w:spacing w:line="240" w:lineRule="auto"/>
        <w:ind w:firstLine="602"/>
        <w:textAlignment w:val="auto"/>
        <w:rPr>
          <w:rFonts w:ascii="仿宋_GB2312" w:hAnsi="宋体" w:eastAsia="仿宋_GB2312"/>
          <w:sz w:val="24"/>
          <w:szCs w:val="24"/>
        </w:rPr>
      </w:pPr>
      <w:r>
        <w:rPr>
          <w:rFonts w:hint="eastAsia" w:ascii="仿宋_GB2312" w:hAnsi="宋体" w:eastAsia="仿宋_GB2312"/>
          <w:sz w:val="24"/>
          <w:szCs w:val="24"/>
        </w:rPr>
        <w:t>填写报名表、盖章、扫描及word或excel共同于</w:t>
      </w:r>
      <w:r>
        <w:rPr>
          <w:rFonts w:hint="eastAsia" w:ascii="仿宋_GB2312" w:hAnsi="宋体" w:eastAsia="仿宋_GB2312"/>
          <w:sz w:val="24"/>
          <w:szCs w:val="24"/>
          <w:lang w:eastAsia="zh-CN"/>
        </w:rPr>
        <w:t>报名</w:t>
      </w:r>
      <w:r>
        <w:rPr>
          <w:rFonts w:hint="eastAsia" w:ascii="仿宋_GB2312" w:hAnsi="宋体" w:eastAsia="仿宋_GB2312"/>
          <w:sz w:val="24"/>
          <w:szCs w:val="24"/>
        </w:rPr>
        <w:t>截止</w:t>
      </w:r>
      <w:r>
        <w:rPr>
          <w:rFonts w:hint="eastAsia" w:ascii="仿宋_GB2312" w:hAnsi="宋体" w:eastAsia="仿宋_GB2312"/>
          <w:sz w:val="24"/>
          <w:szCs w:val="24"/>
          <w:lang w:eastAsia="zh-CN"/>
        </w:rPr>
        <w:t>日期</w:t>
      </w:r>
      <w:r>
        <w:rPr>
          <w:rFonts w:hint="eastAsia" w:ascii="仿宋_GB2312" w:hAnsi="宋体" w:eastAsia="仿宋_GB2312"/>
          <w:sz w:val="24"/>
          <w:szCs w:val="24"/>
        </w:rPr>
        <w:t>前</w:t>
      </w:r>
      <w:r>
        <w:rPr>
          <w:rFonts w:hint="eastAsia" w:ascii="仿宋_GB2312" w:hAnsi="宋体" w:eastAsia="仿宋_GB2312"/>
          <w:sz w:val="24"/>
          <w:szCs w:val="24"/>
          <w:lang w:eastAsia="zh-CN"/>
        </w:rPr>
        <w:t>上</w:t>
      </w:r>
      <w:r>
        <w:rPr>
          <w:rFonts w:hint="eastAsia" w:ascii="仿宋_GB2312" w:hAnsi="宋体" w:eastAsia="仿宋_GB2312"/>
          <w:sz w:val="24"/>
          <w:szCs w:val="24"/>
        </w:rPr>
        <w:t>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@qq.com，完成网上报名，联系电话：028-26222538。</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三、开标时间及提供资料</w:t>
      </w:r>
    </w:p>
    <w:p>
      <w:pPr>
        <w:pageBreakBefore w:val="0"/>
        <w:widowControl w:val="0"/>
        <w:kinsoku/>
        <w:wordWrap/>
        <w:overflowPunct/>
        <w:topLinePunct w:val="0"/>
        <w:autoSpaceDE/>
        <w:autoSpaceDN/>
        <w:bidi w:val="0"/>
        <w:adjustRightInd/>
        <w:snapToGrid/>
        <w:spacing w:line="240" w:lineRule="auto"/>
        <w:ind w:firstLine="630"/>
        <w:textAlignment w:val="auto"/>
        <w:rPr>
          <w:rFonts w:ascii="仿宋_GB2312" w:hAnsi="宋体" w:eastAsia="仿宋_GB2312"/>
          <w:sz w:val="24"/>
          <w:szCs w:val="24"/>
        </w:rPr>
      </w:pPr>
      <w:r>
        <w:rPr>
          <w:rFonts w:hint="eastAsia" w:ascii="仿宋_GB2312" w:hAnsi="宋体" w:eastAsia="仿宋_GB2312"/>
          <w:sz w:val="24"/>
          <w:szCs w:val="24"/>
        </w:rPr>
        <w:t>另定开标时间，资阳市第一人民医院</w:t>
      </w:r>
      <w:r>
        <w:rPr>
          <w:rFonts w:hint="eastAsia" w:ascii="仿宋_GB2312" w:hAnsi="宋体" w:eastAsia="仿宋_GB2312"/>
          <w:sz w:val="24"/>
          <w:szCs w:val="24"/>
          <w:lang w:eastAsia="zh-CN"/>
        </w:rPr>
        <w:t>以回复报名</w:t>
      </w:r>
      <w:r>
        <w:rPr>
          <w:rFonts w:hint="eastAsia" w:ascii="仿宋_GB2312" w:hAnsi="宋体" w:eastAsia="仿宋_GB2312"/>
          <w:sz w:val="24"/>
          <w:szCs w:val="24"/>
        </w:rPr>
        <w:t>邮箱</w:t>
      </w:r>
      <w:r>
        <w:rPr>
          <w:rFonts w:hint="eastAsia" w:ascii="仿宋_GB2312" w:hAnsi="宋体" w:eastAsia="仿宋_GB2312"/>
          <w:sz w:val="24"/>
          <w:szCs w:val="24"/>
          <w:lang w:eastAsia="zh-CN"/>
        </w:rPr>
        <w:t>及医院网站公告的方式</w:t>
      </w:r>
      <w:r>
        <w:rPr>
          <w:rFonts w:hint="eastAsia" w:ascii="仿宋_GB2312" w:hAnsi="宋体" w:eastAsia="仿宋_GB2312"/>
          <w:sz w:val="24"/>
          <w:szCs w:val="24"/>
        </w:rPr>
        <w:t>通知已报名的投标人来院开标。</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lang w:eastAsia="zh-CN"/>
        </w:rPr>
        <w:t>投标人</w:t>
      </w:r>
      <w:r>
        <w:rPr>
          <w:rFonts w:hint="eastAsia" w:ascii="仿宋_GB2312" w:hAnsi="宋体" w:eastAsia="仿宋_GB2312"/>
          <w:bCs/>
          <w:sz w:val="24"/>
          <w:szCs w:val="24"/>
        </w:rPr>
        <w:t>提供资料及格式</w:t>
      </w:r>
      <w:r>
        <w:rPr>
          <w:rFonts w:hint="eastAsia" w:ascii="仿宋_GB2312" w:hAnsi="宋体" w:eastAsia="仿宋_GB2312"/>
          <w:sz w:val="24"/>
          <w:szCs w:val="24"/>
        </w:rPr>
        <w:t>要求，现场提供密封的相关资料，由医院根据开标情况确定中标单位。</w:t>
      </w:r>
    </w:p>
    <w:p>
      <w:pPr>
        <w:spacing w:afterLines="50" w:line="240" w:lineRule="auto"/>
        <w:jc w:val="center"/>
        <w:rPr>
          <w:rFonts w:hint="eastAsia" w:ascii="仿宋_GB2312" w:hAnsi="宋体" w:eastAsia="仿宋_GB2312"/>
          <w:sz w:val="24"/>
          <w:szCs w:val="24"/>
        </w:rPr>
      </w:pPr>
      <w:r>
        <w:rPr>
          <w:rFonts w:hint="eastAsia" w:ascii="仿宋_GB2312" w:hAnsi="宋体" w:eastAsia="仿宋_GB2312"/>
          <w:sz w:val="24"/>
          <w:szCs w:val="24"/>
        </w:rPr>
        <w:br w:type="page"/>
      </w:r>
    </w:p>
    <w:p>
      <w:pPr>
        <w:pStyle w:val="34"/>
        <w:rPr>
          <w:rFonts w:hint="eastAsia"/>
        </w:rPr>
      </w:pPr>
      <w:bookmarkStart w:id="12" w:name="_Toc29201_WPSOffice_Level1"/>
      <w:r>
        <w:rPr>
          <w:rFonts w:hint="eastAsia"/>
          <w:lang w:eastAsia="zh-CN"/>
        </w:rPr>
        <w:t>第二章　</w:t>
      </w:r>
      <w:r>
        <w:rPr>
          <w:rFonts w:hint="eastAsia"/>
        </w:rPr>
        <w:t>采购要求</w:t>
      </w:r>
      <w:bookmarkEnd w:id="12"/>
    </w:p>
    <w:p>
      <w:pPr>
        <w:spacing w:afterLines="50" w:line="240" w:lineRule="auto"/>
        <w:ind w:firstLine="480" w:firstLineChars="200"/>
        <w:rPr>
          <w:rFonts w:ascii="仿宋_GB2312" w:eastAsia="仿宋_GB2312"/>
          <w:sz w:val="24"/>
        </w:rPr>
      </w:pPr>
      <w:r>
        <w:rPr>
          <w:rFonts w:hint="eastAsia" w:ascii="仿宋_GB2312" w:eastAsia="仿宋_GB2312"/>
          <w:sz w:val="24"/>
        </w:rPr>
        <w:t>前提：本章中标注“*”的条款为本项目的实质性条款，投标人不满足的，将按照无效投标处理。</w:t>
      </w:r>
    </w:p>
    <w:p>
      <w:pPr>
        <w:spacing w:afterLines="50" w:line="240" w:lineRule="auto"/>
        <w:ind w:firstLine="482" w:firstLineChars="200"/>
        <w:rPr>
          <w:rFonts w:ascii="黑体" w:hAnsi="黑体" w:eastAsia="黑体"/>
          <w:b/>
          <w:sz w:val="24"/>
        </w:rPr>
      </w:pPr>
      <w:r>
        <w:rPr>
          <w:rFonts w:hint="eastAsia" w:ascii="黑体" w:hAnsi="黑体" w:eastAsia="黑体"/>
          <w:b/>
          <w:sz w:val="24"/>
        </w:rPr>
        <w:t>一、项目概述</w:t>
      </w:r>
    </w:p>
    <w:p>
      <w:pPr>
        <w:spacing w:afterLines="50" w:line="240" w:lineRule="auto"/>
        <w:ind w:firstLine="482" w:firstLineChars="200"/>
        <w:rPr>
          <w:rFonts w:hint="eastAsia"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本项目共</w:t>
      </w:r>
      <w:r>
        <w:rPr>
          <w:rFonts w:hint="eastAsia" w:ascii="楷体" w:hAnsi="楷体" w:eastAsia="楷体" w:cs="楷体"/>
          <w:b/>
          <w:bCs/>
          <w:color w:val="auto"/>
          <w:sz w:val="24"/>
          <w:lang w:val="en-US" w:eastAsia="zh-CN"/>
        </w:rPr>
        <w:t>7</w:t>
      </w:r>
      <w:r>
        <w:rPr>
          <w:rFonts w:hint="eastAsia" w:ascii="楷体" w:hAnsi="楷体" w:eastAsia="楷体" w:cs="楷体"/>
          <w:b/>
          <w:bCs/>
          <w:color w:val="auto"/>
          <w:sz w:val="24"/>
        </w:rPr>
        <w:t>个包，采购</w:t>
      </w:r>
      <w:r>
        <w:rPr>
          <w:rFonts w:hint="eastAsia" w:ascii="楷体" w:hAnsi="楷体" w:eastAsia="楷体" w:cs="楷体"/>
          <w:b/>
          <w:bCs/>
          <w:color w:val="auto"/>
          <w:sz w:val="24"/>
          <w:lang w:eastAsia="zh-CN"/>
        </w:rPr>
        <w:t>组织固定液等医用耗材</w:t>
      </w:r>
      <w:r>
        <w:rPr>
          <w:rFonts w:hint="eastAsia" w:ascii="楷体" w:hAnsi="楷体" w:eastAsia="楷体" w:cs="楷体"/>
          <w:b/>
          <w:bCs/>
          <w:color w:val="auto"/>
          <w:sz w:val="24"/>
        </w:rPr>
        <w:t>。</w:t>
      </w:r>
    </w:p>
    <w:p>
      <w:pPr>
        <w:spacing w:afterLines="50" w:line="240" w:lineRule="auto"/>
        <w:ind w:firstLine="480" w:firstLineChars="200"/>
        <w:rPr>
          <w:rFonts w:hint="eastAsia" w:eastAsia="仿宋_GB2312"/>
          <w:lang w:eastAsia="zh-CN"/>
        </w:rPr>
      </w:pPr>
      <w:r>
        <w:rPr>
          <w:rFonts w:hint="eastAsia" w:ascii="仿宋_GB2312" w:eastAsia="仿宋_GB2312"/>
          <w:sz w:val="24"/>
          <w:lang w:val="en-US" w:eastAsia="zh-CN"/>
        </w:rPr>
        <w:t>1包</w:t>
      </w:r>
      <w:r>
        <w:rPr>
          <w:rFonts w:hint="eastAsia" w:ascii="仿宋_GB2312" w:eastAsia="仿宋_GB2312"/>
          <w:color w:val="auto"/>
          <w:sz w:val="24"/>
        </w:rPr>
        <w:t>采购预算资金：</w:t>
      </w:r>
      <w:r>
        <w:rPr>
          <w:rFonts w:hint="eastAsia" w:ascii="仿宋_GB2312" w:eastAsia="仿宋_GB2312"/>
          <w:color w:val="auto"/>
          <w:sz w:val="24"/>
          <w:lang w:val="en-US" w:eastAsia="zh-CN"/>
        </w:rPr>
        <w:t>1.052</w:t>
      </w:r>
      <w:r>
        <w:rPr>
          <w:rFonts w:hint="eastAsia" w:ascii="仿宋_GB2312" w:eastAsia="仿宋_GB2312"/>
          <w:color w:val="auto"/>
          <w:sz w:val="24"/>
        </w:rPr>
        <w:t>万元，最高限价</w:t>
      </w:r>
      <w:r>
        <w:rPr>
          <w:rFonts w:hint="eastAsia" w:ascii="仿宋_GB2312" w:eastAsia="仿宋_GB2312"/>
          <w:color w:val="auto"/>
          <w:sz w:val="24"/>
          <w:lang w:val="en-US" w:eastAsia="zh-CN"/>
        </w:rPr>
        <w:t>1.052</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2包采购预算资金：</w:t>
      </w:r>
      <w:r>
        <w:rPr>
          <w:rFonts w:hint="eastAsia" w:ascii="仿宋_GB2312" w:eastAsia="仿宋_GB2312"/>
          <w:color w:val="auto"/>
          <w:sz w:val="24"/>
          <w:lang w:val="en-US" w:eastAsia="zh-CN"/>
        </w:rPr>
        <w:t>3.15</w:t>
      </w:r>
      <w:r>
        <w:rPr>
          <w:rFonts w:hint="eastAsia" w:ascii="仿宋_GB2312" w:eastAsia="仿宋_GB2312"/>
          <w:color w:val="auto"/>
          <w:sz w:val="24"/>
        </w:rPr>
        <w:t>万元，最高限价</w:t>
      </w:r>
      <w:r>
        <w:rPr>
          <w:rFonts w:hint="eastAsia" w:ascii="仿宋_GB2312" w:eastAsia="仿宋_GB2312"/>
          <w:color w:val="auto"/>
          <w:sz w:val="24"/>
          <w:lang w:val="en-US" w:eastAsia="zh-CN"/>
        </w:rPr>
        <w:t>3.15</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ascii="仿宋_GB2312" w:eastAsia="仿宋_GB2312"/>
          <w:color w:val="auto"/>
          <w:sz w:val="24"/>
          <w:lang w:eastAsia="zh-CN"/>
        </w:rPr>
      </w:pPr>
      <w:r>
        <w:rPr>
          <w:rFonts w:hint="eastAsia" w:ascii="仿宋_GB2312" w:eastAsia="仿宋_GB2312"/>
          <w:sz w:val="24"/>
          <w:lang w:val="en-US" w:eastAsia="zh-CN"/>
        </w:rPr>
        <w:t>3包</w:t>
      </w:r>
      <w:r>
        <w:rPr>
          <w:rFonts w:hint="eastAsia" w:ascii="仿宋_GB2312" w:eastAsia="仿宋_GB2312"/>
          <w:color w:val="auto"/>
          <w:sz w:val="24"/>
        </w:rPr>
        <w:t>采购预算资金：</w:t>
      </w:r>
      <w:r>
        <w:rPr>
          <w:rFonts w:hint="eastAsia" w:ascii="仿宋_GB2312" w:eastAsia="仿宋_GB2312"/>
          <w:color w:val="auto"/>
          <w:sz w:val="24"/>
          <w:lang w:val="en-US" w:eastAsia="zh-CN"/>
        </w:rPr>
        <w:t>1.2</w:t>
      </w:r>
      <w:r>
        <w:rPr>
          <w:rFonts w:hint="eastAsia" w:ascii="仿宋_GB2312" w:eastAsia="仿宋_GB2312"/>
          <w:color w:val="auto"/>
          <w:sz w:val="24"/>
        </w:rPr>
        <w:t>万元，最高限价</w:t>
      </w:r>
      <w:r>
        <w:rPr>
          <w:rFonts w:hint="eastAsia" w:ascii="仿宋_GB2312" w:eastAsia="仿宋_GB2312"/>
          <w:color w:val="auto"/>
          <w:sz w:val="24"/>
          <w:lang w:val="en-US" w:eastAsia="zh-CN"/>
        </w:rPr>
        <w:t>1.2</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ascii="仿宋_GB2312" w:eastAsia="仿宋_GB2312"/>
          <w:color w:val="auto"/>
          <w:sz w:val="24"/>
          <w:lang w:eastAsia="zh-CN"/>
        </w:rPr>
      </w:pPr>
      <w:r>
        <w:rPr>
          <w:rFonts w:hint="eastAsia" w:ascii="仿宋_GB2312" w:eastAsia="仿宋_GB2312"/>
          <w:sz w:val="24"/>
          <w:lang w:val="en-US" w:eastAsia="zh-CN"/>
        </w:rPr>
        <w:t>4包</w:t>
      </w:r>
      <w:r>
        <w:rPr>
          <w:rFonts w:hint="eastAsia" w:ascii="仿宋_GB2312" w:eastAsia="仿宋_GB2312"/>
          <w:color w:val="auto"/>
          <w:sz w:val="24"/>
        </w:rPr>
        <w:t>采购预算资金：</w:t>
      </w:r>
      <w:r>
        <w:rPr>
          <w:rFonts w:hint="eastAsia" w:ascii="仿宋_GB2312" w:eastAsia="仿宋_GB2312"/>
          <w:color w:val="auto"/>
          <w:sz w:val="24"/>
          <w:lang w:val="en-US" w:eastAsia="zh-CN"/>
        </w:rPr>
        <w:t>12</w:t>
      </w:r>
      <w:r>
        <w:rPr>
          <w:rFonts w:hint="eastAsia" w:ascii="仿宋_GB2312" w:eastAsia="仿宋_GB2312"/>
          <w:color w:val="auto"/>
          <w:sz w:val="24"/>
        </w:rPr>
        <w:t>万元，最高限价</w:t>
      </w:r>
      <w:r>
        <w:rPr>
          <w:rFonts w:hint="eastAsia" w:ascii="仿宋_GB2312" w:eastAsia="仿宋_GB2312"/>
          <w:color w:val="auto"/>
          <w:sz w:val="24"/>
          <w:lang w:val="en-US" w:eastAsia="zh-CN"/>
        </w:rPr>
        <w:t>0.3</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eastAsia="仿宋_GB2312"/>
          <w:lang w:eastAsia="zh-CN"/>
        </w:rPr>
      </w:pPr>
      <w:r>
        <w:rPr>
          <w:rFonts w:hint="eastAsia" w:ascii="仿宋_GB2312" w:eastAsia="仿宋_GB2312"/>
          <w:sz w:val="24"/>
          <w:lang w:val="en-US" w:eastAsia="zh-CN"/>
        </w:rPr>
        <w:t>5包</w:t>
      </w:r>
      <w:r>
        <w:rPr>
          <w:rFonts w:hint="eastAsia" w:ascii="仿宋_GB2312" w:eastAsia="仿宋_GB2312"/>
          <w:color w:val="auto"/>
          <w:sz w:val="24"/>
        </w:rPr>
        <w:t>采购预算资金：</w:t>
      </w:r>
      <w:r>
        <w:rPr>
          <w:rFonts w:hint="eastAsia" w:ascii="仿宋_GB2312" w:eastAsia="仿宋_GB2312"/>
          <w:color w:val="auto"/>
          <w:sz w:val="24"/>
          <w:lang w:val="en-US" w:eastAsia="zh-CN"/>
        </w:rPr>
        <w:t>7.5</w:t>
      </w:r>
      <w:r>
        <w:rPr>
          <w:rFonts w:hint="eastAsia" w:ascii="仿宋_GB2312" w:eastAsia="仿宋_GB2312"/>
          <w:color w:val="auto"/>
          <w:sz w:val="24"/>
        </w:rPr>
        <w:t>万元，最高限价</w:t>
      </w:r>
      <w:r>
        <w:rPr>
          <w:rFonts w:hint="eastAsia" w:ascii="仿宋_GB2312" w:eastAsia="仿宋_GB2312"/>
          <w:color w:val="auto"/>
          <w:sz w:val="24"/>
          <w:lang w:val="en-US" w:eastAsia="zh-CN"/>
        </w:rPr>
        <w:t>7.5</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eastAsia="仿宋_GB2312"/>
          <w:lang w:eastAsia="zh-CN"/>
        </w:rPr>
      </w:pPr>
      <w:r>
        <w:rPr>
          <w:rFonts w:hint="eastAsia" w:ascii="仿宋_GB2312" w:eastAsia="仿宋_GB2312"/>
          <w:sz w:val="24"/>
          <w:lang w:val="en-US" w:eastAsia="zh-CN"/>
        </w:rPr>
        <w:t>6包</w:t>
      </w:r>
      <w:r>
        <w:rPr>
          <w:rFonts w:hint="eastAsia" w:ascii="仿宋_GB2312" w:eastAsia="仿宋_GB2312"/>
          <w:color w:val="auto"/>
          <w:sz w:val="24"/>
        </w:rPr>
        <w:t>采购预算资金：</w:t>
      </w:r>
      <w:r>
        <w:rPr>
          <w:rFonts w:hint="eastAsia" w:ascii="仿宋_GB2312" w:eastAsia="仿宋_GB2312"/>
          <w:color w:val="auto"/>
          <w:sz w:val="24"/>
          <w:lang w:val="en-US" w:eastAsia="zh-CN"/>
        </w:rPr>
        <w:t>0.05</w:t>
      </w:r>
      <w:r>
        <w:rPr>
          <w:rFonts w:hint="eastAsia" w:ascii="仿宋_GB2312" w:eastAsia="仿宋_GB2312"/>
          <w:color w:val="auto"/>
          <w:sz w:val="24"/>
        </w:rPr>
        <w:t>万元，最高限价</w:t>
      </w:r>
      <w:r>
        <w:rPr>
          <w:rFonts w:hint="eastAsia" w:ascii="仿宋_GB2312" w:eastAsia="仿宋_GB2312"/>
          <w:color w:val="auto"/>
          <w:sz w:val="24"/>
          <w:lang w:val="en-US" w:eastAsia="zh-CN"/>
        </w:rPr>
        <w:t>0.03</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pPr>
      <w:r>
        <w:rPr>
          <w:rFonts w:hint="eastAsia" w:ascii="仿宋_GB2312" w:eastAsia="仿宋_GB2312"/>
          <w:sz w:val="24"/>
          <w:lang w:val="en-US" w:eastAsia="zh-CN"/>
        </w:rPr>
        <w:t>7包</w:t>
      </w:r>
      <w:r>
        <w:rPr>
          <w:rFonts w:hint="eastAsia" w:ascii="仿宋_GB2312" w:eastAsia="仿宋_GB2312"/>
          <w:color w:val="auto"/>
          <w:sz w:val="24"/>
        </w:rPr>
        <w:t>采购预算资金：</w:t>
      </w:r>
      <w:r>
        <w:rPr>
          <w:rFonts w:hint="eastAsia" w:ascii="仿宋_GB2312" w:eastAsia="仿宋_GB2312"/>
          <w:color w:val="auto"/>
          <w:sz w:val="24"/>
          <w:lang w:val="en-US" w:eastAsia="zh-CN"/>
        </w:rPr>
        <w:t>4.4</w:t>
      </w:r>
      <w:r>
        <w:rPr>
          <w:rFonts w:hint="eastAsia" w:ascii="仿宋_GB2312" w:eastAsia="仿宋_GB2312"/>
          <w:color w:val="auto"/>
          <w:sz w:val="24"/>
        </w:rPr>
        <w:t>万元，最高限价</w:t>
      </w:r>
      <w:r>
        <w:rPr>
          <w:rFonts w:hint="eastAsia" w:ascii="仿宋_GB2312" w:eastAsia="仿宋_GB2312"/>
          <w:color w:val="auto"/>
          <w:sz w:val="24"/>
          <w:lang w:val="en-US" w:eastAsia="zh-CN"/>
        </w:rPr>
        <w:t>4.4</w:t>
      </w:r>
      <w:r>
        <w:rPr>
          <w:rFonts w:hint="eastAsia" w:ascii="仿宋_GB2312" w:eastAsia="仿宋_GB2312"/>
          <w:color w:val="auto"/>
          <w:sz w:val="24"/>
        </w:rPr>
        <w:t>万元。</w:t>
      </w:r>
    </w:p>
    <w:p>
      <w:pPr>
        <w:spacing w:afterLines="50" w:line="240" w:lineRule="auto"/>
        <w:ind w:firstLine="480" w:firstLineChars="200"/>
        <w:rPr>
          <w:rFonts w:hint="eastAsia" w:ascii="仿宋_GB2312" w:eastAsia="仿宋_GB2312"/>
          <w:sz w:val="24"/>
        </w:rPr>
      </w:pPr>
      <w:r>
        <w:rPr>
          <w:rFonts w:hint="eastAsia" w:ascii="仿宋_GB2312" w:eastAsia="仿宋_GB2312"/>
          <w:sz w:val="24"/>
        </w:rPr>
        <w:t>各</w:t>
      </w:r>
      <w:r>
        <w:rPr>
          <w:rFonts w:hint="eastAsia" w:ascii="仿宋_GB2312" w:eastAsia="仿宋_GB2312"/>
          <w:sz w:val="24"/>
          <w:lang w:eastAsia="zh-CN"/>
        </w:rPr>
        <w:t>包</w:t>
      </w:r>
      <w:r>
        <w:rPr>
          <w:rFonts w:hint="eastAsia" w:ascii="仿宋_GB2312" w:eastAsia="仿宋_GB2312"/>
          <w:sz w:val="24"/>
        </w:rPr>
        <w:t>采购预算资金见采购清单，超过各</w:t>
      </w:r>
      <w:r>
        <w:rPr>
          <w:rFonts w:hint="eastAsia" w:ascii="仿宋_GB2312" w:eastAsia="仿宋_GB2312"/>
          <w:sz w:val="24"/>
          <w:lang w:eastAsia="zh-CN"/>
        </w:rPr>
        <w:t>包</w:t>
      </w:r>
      <w:r>
        <w:rPr>
          <w:rFonts w:hint="eastAsia" w:ascii="仿宋_GB2312" w:eastAsia="仿宋_GB2312"/>
          <w:sz w:val="24"/>
        </w:rPr>
        <w:t>采购预算资金的报价为无效投标。</w:t>
      </w:r>
    </w:p>
    <w:p>
      <w:pPr>
        <w:pStyle w:val="26"/>
        <w:spacing w:line="420" w:lineRule="exact"/>
        <w:ind w:firstLine="602" w:firstLineChars="250"/>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*（二）实质性条款</w:t>
      </w:r>
    </w:p>
    <w:p>
      <w:pPr>
        <w:pStyle w:val="26"/>
        <w:spacing w:line="420" w:lineRule="exact"/>
        <w:ind w:firstLine="600" w:firstLineChars="250"/>
        <w:rPr>
          <w:rFonts w:hint="eastAsia" w:ascii="仿宋" w:hAnsi="仿宋" w:eastAsia="仿宋" w:cs="宋体"/>
          <w:sz w:val="24"/>
          <w:lang w:val="en-US" w:eastAsia="zh-CN"/>
        </w:rPr>
      </w:pPr>
      <w:r>
        <w:rPr>
          <w:rFonts w:hint="eastAsia" w:ascii="仿宋" w:hAnsi="仿宋" w:eastAsia="仿宋" w:cs="宋体"/>
          <w:sz w:val="24"/>
        </w:rPr>
        <w:t>属于“四川省体外诊断试剂阳光采购系统”中“采购目录”中产品，投标要求：（</w:t>
      </w:r>
      <w:r>
        <w:rPr>
          <w:rFonts w:ascii="仿宋" w:hAnsi="仿宋" w:eastAsia="仿宋" w:cs="宋体"/>
          <w:sz w:val="24"/>
        </w:rPr>
        <w:t>1</w:t>
      </w:r>
      <w:r>
        <w:rPr>
          <w:rFonts w:hint="eastAsia" w:ascii="仿宋" w:hAnsi="仿宋" w:eastAsia="仿宋" w:cs="宋体"/>
          <w:sz w:val="24"/>
        </w:rPr>
        <w:t>）投标人必须是“四川省体外诊断试剂阳光采购系统”中的配送企业</w:t>
      </w:r>
      <w:r>
        <w:rPr>
          <w:rFonts w:hint="eastAsia" w:ascii="仿宋" w:hAnsi="仿宋" w:eastAsia="仿宋" w:cs="宋体"/>
          <w:sz w:val="24"/>
          <w:lang w:eastAsia="zh-CN"/>
        </w:rPr>
        <w:t>；</w:t>
      </w:r>
      <w:r>
        <w:rPr>
          <w:rFonts w:hint="eastAsia" w:ascii="仿宋" w:hAnsi="仿宋" w:eastAsia="仿宋" w:cs="宋体"/>
          <w:sz w:val="24"/>
        </w:rPr>
        <w:t>（</w:t>
      </w:r>
      <w:r>
        <w:rPr>
          <w:rFonts w:ascii="仿宋" w:hAnsi="仿宋" w:eastAsia="仿宋" w:cs="宋体"/>
          <w:sz w:val="24"/>
        </w:rPr>
        <w:t>2</w:t>
      </w:r>
      <w:r>
        <w:rPr>
          <w:rFonts w:hint="eastAsia" w:ascii="仿宋" w:hAnsi="仿宋" w:eastAsia="仿宋" w:cs="宋体"/>
          <w:sz w:val="24"/>
        </w:rPr>
        <w:t>）投标产品必须是“四川省体外诊断试剂阳光采购系统”中“采购目录”中产品</w:t>
      </w:r>
      <w:r>
        <w:rPr>
          <w:rFonts w:hint="eastAsia" w:ascii="仿宋" w:hAnsi="仿宋" w:eastAsia="仿宋" w:cs="宋体"/>
          <w:sz w:val="24"/>
          <w:lang w:eastAsia="zh-CN"/>
        </w:rPr>
        <w:t>；（</w:t>
      </w:r>
      <w:r>
        <w:rPr>
          <w:rFonts w:hint="eastAsia" w:ascii="仿宋" w:hAnsi="仿宋" w:eastAsia="仿宋" w:cs="宋体"/>
          <w:sz w:val="24"/>
          <w:lang w:val="en-US" w:eastAsia="zh-CN"/>
        </w:rPr>
        <w:t>3）</w:t>
      </w:r>
      <w:r>
        <w:rPr>
          <w:rFonts w:hint="eastAsia" w:ascii="仿宋" w:hAnsi="仿宋" w:eastAsia="仿宋" w:cs="宋体"/>
          <w:sz w:val="24"/>
          <w:lang w:eastAsia="zh-CN"/>
        </w:rPr>
        <w:t>）投标单价≤</w:t>
      </w:r>
      <w:r>
        <w:rPr>
          <w:rFonts w:hint="eastAsia" w:ascii="仿宋" w:hAnsi="仿宋" w:eastAsia="仿宋" w:cs="宋体"/>
          <w:sz w:val="24"/>
        </w:rPr>
        <w:t>全省医疗机构平均采购价</w:t>
      </w:r>
      <w:r>
        <w:rPr>
          <w:rFonts w:hint="eastAsia" w:ascii="仿宋" w:hAnsi="仿宋" w:eastAsia="仿宋" w:cs="宋体"/>
          <w:sz w:val="24"/>
          <w:lang w:eastAsia="zh-CN"/>
        </w:rPr>
        <w:t>。（备注：</w:t>
      </w:r>
      <w:r>
        <w:rPr>
          <w:rFonts w:hint="eastAsia" w:ascii="仿宋" w:hAnsi="仿宋" w:eastAsia="仿宋" w:cs="宋体"/>
          <w:sz w:val="24"/>
        </w:rPr>
        <w:t>提供</w:t>
      </w:r>
      <w:r>
        <w:rPr>
          <w:rFonts w:hint="eastAsia" w:ascii="仿宋" w:hAnsi="仿宋" w:eastAsia="仿宋" w:cs="宋体"/>
          <w:sz w:val="24"/>
          <w:lang w:eastAsia="zh-CN"/>
        </w:rPr>
        <w:t>挂网</w:t>
      </w:r>
      <w:r>
        <w:rPr>
          <w:rFonts w:hint="eastAsia" w:ascii="仿宋" w:hAnsi="仿宋" w:eastAsia="仿宋" w:cs="宋体"/>
          <w:sz w:val="24"/>
        </w:rPr>
        <w:t>平台截图</w:t>
      </w:r>
      <w:r>
        <w:rPr>
          <w:rFonts w:hint="eastAsia" w:ascii="仿宋" w:hAnsi="仿宋" w:eastAsia="仿宋" w:cs="宋体"/>
          <w:sz w:val="24"/>
          <w:lang w:eastAsia="zh-CN"/>
        </w:rPr>
        <w:t>）</w:t>
      </w:r>
      <w:r>
        <w:rPr>
          <w:rFonts w:hint="eastAsia" w:ascii="仿宋" w:hAnsi="仿宋" w:eastAsia="仿宋" w:cs="宋体"/>
          <w:sz w:val="24"/>
        </w:rPr>
        <w:t>。</w:t>
      </w:r>
      <w:r>
        <w:rPr>
          <w:rFonts w:hint="eastAsia" w:ascii="仿宋" w:hAnsi="仿宋" w:eastAsia="仿宋" w:cs="宋体"/>
          <w:sz w:val="24"/>
          <w:lang w:eastAsia="zh-CN"/>
        </w:rPr>
        <w:t>此条适用：</w:t>
      </w:r>
      <w:r>
        <w:rPr>
          <w:rFonts w:hint="eastAsia" w:ascii="仿宋" w:hAnsi="仿宋" w:eastAsia="仿宋" w:cs="宋体"/>
          <w:sz w:val="24"/>
          <w:lang w:val="en-US" w:eastAsia="zh-CN"/>
        </w:rPr>
        <w:t>1包品目2，</w:t>
      </w:r>
    </w:p>
    <w:p>
      <w:pPr>
        <w:pStyle w:val="26"/>
        <w:spacing w:line="420" w:lineRule="exact"/>
        <w:ind w:firstLine="602" w:firstLineChars="250"/>
        <w:rPr>
          <w:rFonts w:ascii="仿宋" w:hAnsi="仿宋" w:eastAsia="仿宋"/>
          <w:sz w:val="24"/>
        </w:rPr>
      </w:pPr>
      <w:r>
        <w:rPr>
          <w:rFonts w:hint="eastAsia" w:ascii="楷体" w:hAnsi="楷体" w:eastAsia="楷体" w:cs="楷体"/>
          <w:b/>
          <w:bCs/>
          <w:color w:val="auto"/>
          <w:kern w:val="2"/>
          <w:sz w:val="24"/>
          <w:szCs w:val="24"/>
          <w:lang w:val="en-US" w:eastAsia="zh-CN" w:bidi="ar-SA"/>
        </w:rPr>
        <w:t>（三）采购清单</w:t>
      </w:r>
    </w:p>
    <w:tbl>
      <w:tblPr>
        <w:tblStyle w:val="18"/>
        <w:tblW w:w="10216" w:type="dxa"/>
        <w:jc w:val="center"/>
        <w:tblInd w:w="-2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54"/>
        <w:gridCol w:w="692"/>
        <w:gridCol w:w="3730"/>
        <w:gridCol w:w="904"/>
        <w:gridCol w:w="1283"/>
        <w:gridCol w:w="109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blHeader/>
          <w:jc w:val="center"/>
        </w:trPr>
        <w:tc>
          <w:tcPr>
            <w:tcW w:w="656"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分包</w:t>
            </w:r>
          </w:p>
        </w:tc>
        <w:tc>
          <w:tcPr>
            <w:tcW w:w="55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品目</w:t>
            </w:r>
          </w:p>
        </w:tc>
        <w:tc>
          <w:tcPr>
            <w:tcW w:w="692"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3730"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产品名</w:t>
            </w:r>
            <w:r>
              <w:rPr>
                <w:rFonts w:hint="eastAsia" w:ascii="仿宋_GB2312" w:hAnsi="仿宋_GB2312" w:eastAsia="仿宋_GB2312" w:cs="仿宋_GB2312"/>
                <w:sz w:val="21"/>
                <w:szCs w:val="21"/>
                <w:lang w:eastAsia="zh-CN"/>
              </w:rPr>
              <w:t>称</w:t>
            </w:r>
          </w:p>
        </w:tc>
        <w:tc>
          <w:tcPr>
            <w:tcW w:w="90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规格</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年预计用</w:t>
            </w:r>
            <w:r>
              <w:rPr>
                <w:rFonts w:hint="eastAsia" w:ascii="仿宋_GB2312" w:hAnsi="仿宋_GB2312" w:eastAsia="仿宋_GB2312" w:cs="仿宋_GB2312"/>
                <w:sz w:val="21"/>
                <w:szCs w:val="21"/>
              </w:rPr>
              <w:t>量</w:t>
            </w:r>
          </w:p>
        </w:tc>
        <w:tc>
          <w:tcPr>
            <w:tcW w:w="1093"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预计单价（元）</w:t>
            </w:r>
          </w:p>
        </w:tc>
        <w:tc>
          <w:tcPr>
            <w:tcW w:w="130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预算资金（元）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56" w:type="dxa"/>
            <w:vMerge w:val="restart"/>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pStyle w:val="6"/>
              <w:spacing w:afterLines="50" w:line="240" w:lineRule="auto"/>
              <w:ind w:firstLine="0" w:firstLine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pStyle w:val="6"/>
              <w:spacing w:afterLines="50" w:line="240" w:lineRule="auto"/>
              <w:ind w:firstLine="0" w:firstLineChars="0"/>
              <w:jc w:val="both"/>
              <w:rPr>
                <w:rFonts w:hint="eastAsia" w:ascii="仿宋_GB2312" w:hAnsi="仿宋" w:eastAsia="仿宋_GB2312"/>
                <w:szCs w:val="21"/>
                <w:lang w:eastAsia="zh-CN"/>
              </w:rPr>
            </w:pPr>
            <w:r>
              <w:rPr>
                <w:rFonts w:hint="eastAsia" w:ascii="仿宋_GB2312" w:hAnsi="仿宋" w:eastAsia="仿宋_GB2312"/>
                <w:szCs w:val="21"/>
                <w:lang w:eastAsia="zh-CN"/>
              </w:rPr>
              <w:t>组织固定液（</w:t>
            </w:r>
            <w:r>
              <w:rPr>
                <w:rFonts w:hint="eastAsia" w:ascii="仿宋_GB2312" w:hAnsi="仿宋" w:eastAsia="仿宋_GB2312"/>
                <w:szCs w:val="21"/>
                <w:lang w:val="en-US" w:eastAsia="zh-CN"/>
              </w:rPr>
              <w:t>含醛型</w:t>
            </w:r>
            <w:r>
              <w:rPr>
                <w:rFonts w:hint="eastAsia" w:ascii="仿宋_GB2312" w:hAnsi="仿宋" w:eastAsia="仿宋_GB2312"/>
                <w:szCs w:val="21"/>
                <w:lang w:eastAsia="zh-CN"/>
              </w:rPr>
              <w:t>）</w:t>
            </w:r>
          </w:p>
        </w:tc>
        <w:tc>
          <w:tcPr>
            <w:tcW w:w="904"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5L</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120L</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17.60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2112.00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56" w:type="dxa"/>
            <w:vMerge w:val="continue"/>
            <w:vAlign w:val="center"/>
          </w:tcPr>
          <w:p>
            <w:pPr>
              <w:pStyle w:val="6"/>
              <w:spacing w:afterLines="50" w:line="240" w:lineRule="auto"/>
              <w:ind w:firstLine="0" w:firstLineChars="0"/>
              <w:jc w:val="center"/>
              <w:rPr>
                <w:rFonts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pStyle w:val="6"/>
              <w:spacing w:afterLines="50" w:line="240" w:lineRule="auto"/>
              <w:ind w:firstLine="0" w:firstLineChars="0"/>
              <w:jc w:val="both"/>
              <w:rPr>
                <w:rFonts w:ascii="仿宋_GB2312" w:hAnsi="仿宋" w:eastAsia="仿宋_GB2312"/>
                <w:szCs w:val="21"/>
              </w:rPr>
            </w:pPr>
            <w:r>
              <w:rPr>
                <w:rFonts w:hint="eastAsia" w:ascii="仿宋_GB2312" w:hAnsi="仿宋" w:eastAsia="仿宋_GB2312"/>
                <w:szCs w:val="21"/>
              </w:rPr>
              <w:t>耗材</w:t>
            </w:r>
          </w:p>
        </w:tc>
        <w:tc>
          <w:tcPr>
            <w:tcW w:w="3730" w:type="dxa"/>
            <w:vAlign w:val="center"/>
          </w:tcPr>
          <w:p>
            <w:pPr>
              <w:spacing w:afterLines="50" w:line="240" w:lineRule="auto"/>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脱蜡液</w:t>
            </w:r>
          </w:p>
        </w:tc>
        <w:tc>
          <w:tcPr>
            <w:tcW w:w="904" w:type="dxa"/>
            <w:vAlign w:val="center"/>
          </w:tcPr>
          <w:p>
            <w:pPr>
              <w:spacing w:afterLines="50" w:line="240" w:lineRule="auto"/>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500ml</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120L</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0.07</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56" w:type="dxa"/>
            <w:vMerge w:val="restart"/>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2包</w:t>
            </w:r>
          </w:p>
        </w:tc>
        <w:tc>
          <w:tcPr>
            <w:tcW w:w="554" w:type="dxa"/>
            <w:vAlign w:val="center"/>
          </w:tcPr>
          <w:p>
            <w:pPr>
              <w:pStyle w:val="6"/>
              <w:spacing w:afterLines="50" w:line="240" w:lineRule="auto"/>
              <w:ind w:left="0" w:leftChars="0"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rPr>
            </w:pPr>
            <w:r>
              <w:rPr>
                <w:rFonts w:hint="eastAsia" w:ascii="仿宋_GB2312" w:hAnsi="仿宋" w:eastAsia="仿宋_GB2312"/>
                <w:szCs w:val="21"/>
              </w:rPr>
              <w:t>耗材</w:t>
            </w:r>
          </w:p>
        </w:tc>
        <w:tc>
          <w:tcPr>
            <w:tcW w:w="3730"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病理标本袋</w:t>
            </w:r>
          </w:p>
        </w:tc>
        <w:tc>
          <w:tcPr>
            <w:tcW w:w="904" w:type="dxa"/>
            <w:vAlign w:val="center"/>
          </w:tcPr>
          <w:p>
            <w:pPr>
              <w:spacing w:afterLines="50" w:line="240" w:lineRule="auto"/>
              <w:ind w:left="0" w:leftChars="0"/>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szCs w:val="21"/>
              </w:rPr>
            </w:pPr>
            <w:r>
              <w:rPr>
                <w:rFonts w:hint="eastAsia" w:ascii="仿宋_GB2312" w:hAnsi="仿宋_GB2312" w:eastAsia="仿宋_GB2312" w:cs="仿宋_GB2312"/>
                <w:szCs w:val="21"/>
                <w:lang w:val="en-US" w:eastAsia="zh-CN"/>
              </w:rPr>
              <w:t>7500个</w:t>
            </w:r>
          </w:p>
        </w:tc>
        <w:tc>
          <w:tcPr>
            <w:tcW w:w="1093" w:type="dxa"/>
            <w:vAlign w:val="center"/>
          </w:tcPr>
          <w:p>
            <w:pPr>
              <w:keepNext w:val="0"/>
              <w:keepLines w:val="0"/>
              <w:widowControl/>
              <w:suppressLineNumbers w:val="0"/>
              <w:ind w:left="0" w:leftChars="0"/>
              <w:jc w:val="right"/>
              <w:textAlignment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2.00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left="0" w:leftChars="0"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spacing w:afterLines="50" w:line="240" w:lineRule="auto"/>
              <w:ind w:left="0" w:leftChars="0"/>
              <w:jc w:val="both"/>
              <w:rPr>
                <w:rFonts w:hint="eastAsia" w:ascii="仿宋_GB2312" w:hAnsi="仿宋" w:eastAsia="仿宋_GB2312"/>
                <w:szCs w:val="21"/>
              </w:rPr>
            </w:pPr>
            <w:r>
              <w:rPr>
                <w:rFonts w:hint="eastAsia" w:ascii="仿宋_GB2312" w:hAnsi="仿宋" w:eastAsia="仿宋_GB2312"/>
                <w:szCs w:val="21"/>
              </w:rPr>
              <w:t>耗材</w:t>
            </w:r>
          </w:p>
        </w:tc>
        <w:tc>
          <w:tcPr>
            <w:tcW w:w="3730"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olor w:val="auto"/>
                <w:szCs w:val="21"/>
              </w:rPr>
              <w:t>10%</w:t>
            </w:r>
            <w:r>
              <w:rPr>
                <w:rFonts w:hint="eastAsia" w:ascii="仿宋_GB2312" w:hAnsi="仿宋" w:eastAsia="仿宋_GB2312" w:cs="Times New Roman"/>
                <w:color w:val="auto"/>
                <w:kern w:val="2"/>
                <w:sz w:val="21"/>
                <w:szCs w:val="21"/>
                <w:lang w:val="en-US" w:eastAsia="zh-CN" w:bidi="ar-SA"/>
              </w:rPr>
              <w:t>中性福尔马林固定液</w:t>
            </w:r>
            <w:r>
              <w:rPr>
                <w:rFonts w:hint="eastAsia" w:ascii="仿宋_GB2312" w:hAnsi="仿宋" w:eastAsia="仿宋_GB2312" w:cs="Times New Roman"/>
                <w:kern w:val="2"/>
                <w:sz w:val="21"/>
                <w:szCs w:val="21"/>
                <w:lang w:val="en-US" w:eastAsia="zh-CN" w:bidi="ar-SA"/>
              </w:rPr>
              <w:t>（病理标本瓶）</w:t>
            </w:r>
          </w:p>
        </w:tc>
        <w:tc>
          <w:tcPr>
            <w:tcW w:w="904" w:type="dxa"/>
            <w:vAlign w:val="center"/>
          </w:tcPr>
          <w:p>
            <w:pPr>
              <w:spacing w:afterLines="50" w:line="240" w:lineRule="auto"/>
              <w:ind w:left="0" w:leftChars="0"/>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7500个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2.20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16500.00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3包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皮肤软组织扩张器</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10个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1200.00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4包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斑试器、斑贴试剂</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50人份</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5包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高效单体银前列腺炎抗菌凝胶</w:t>
            </w:r>
          </w:p>
        </w:tc>
        <w:tc>
          <w:tcPr>
            <w:tcW w:w="90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3000支</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25.00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6包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空气喷雾消毒剂</w:t>
            </w:r>
          </w:p>
        </w:tc>
        <w:tc>
          <w:tcPr>
            <w:tcW w:w="90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6瓶</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50.00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restart"/>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7包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显微手术剪</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FD061</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1把</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显微手术剪</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FD060</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1把</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3</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显微球状剥离器</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BT088R</w:t>
            </w:r>
          </w:p>
        </w:tc>
        <w:tc>
          <w:tcPr>
            <w:tcW w:w="1283" w:type="dxa"/>
            <w:vAlign w:val="center"/>
          </w:tcPr>
          <w:p>
            <w:pPr>
              <w:spacing w:afterLines="50" w:line="240" w:lineRule="auto"/>
              <w:ind w:left="0" w:leftChars="0"/>
              <w:jc w:val="center"/>
              <w:rPr>
                <w:rFonts w:hint="eastAsia" w:ascii="仿宋_GB2312" w:hAnsi="仿宋" w:eastAsia="仿宋_GB2312"/>
                <w:szCs w:val="21"/>
                <w:lang w:eastAsia="zh-CN"/>
              </w:rPr>
            </w:pPr>
            <w:r>
              <w:rPr>
                <w:rFonts w:hint="eastAsia" w:ascii="仿宋_GB2312" w:hAnsi="仿宋" w:eastAsia="仿宋_GB2312"/>
                <w:szCs w:val="21"/>
                <w:lang w:val="en-US" w:eastAsia="zh-CN"/>
              </w:rPr>
              <w:t>1</w:t>
            </w:r>
            <w:r>
              <w:rPr>
                <w:rFonts w:hint="eastAsia" w:ascii="仿宋_GB2312" w:hAnsi="仿宋" w:eastAsia="仿宋_GB2312"/>
                <w:szCs w:val="21"/>
                <w:lang w:eastAsia="zh-CN"/>
              </w:rPr>
              <w:t>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216" w:type="dxa"/>
            <w:gridSpan w:val="8"/>
          </w:tcPr>
          <w:p>
            <w:pPr>
              <w:pStyle w:val="6"/>
              <w:spacing w:afterLines="50" w:line="240" w:lineRule="auto"/>
              <w:ind w:firstLine="0" w:firstLineChars="0"/>
              <w:rPr>
                <w:rFonts w:ascii="仿宋_GB2312" w:hAnsi="仿宋" w:eastAsia="仿宋_GB2312"/>
                <w:sz w:val="24"/>
              </w:rPr>
            </w:pPr>
            <w:r>
              <w:rPr>
                <w:rFonts w:hint="eastAsia" w:ascii="仿宋_GB2312" w:hAnsi="仿宋_GB2312" w:eastAsia="仿宋_GB2312" w:cs="仿宋_GB2312"/>
                <w:sz w:val="24"/>
                <w:szCs w:val="24"/>
              </w:rPr>
              <w:t>备注：投标产品在满足采购要求时，投标产品的名称不限定与采购项目名称一致；投标产品的名称须与注册证名称相同。</w:t>
            </w:r>
          </w:p>
        </w:tc>
      </w:tr>
    </w:tbl>
    <w:p>
      <w:pPr>
        <w:spacing w:afterLines="50" w:line="240" w:lineRule="auto"/>
        <w:ind w:firstLine="472" w:firstLineChars="196"/>
        <w:rPr>
          <w:rFonts w:ascii="黑体" w:hAnsi="黑体" w:eastAsia="黑体"/>
          <w:b/>
          <w:sz w:val="24"/>
        </w:rPr>
      </w:pPr>
      <w:r>
        <w:rPr>
          <w:rFonts w:hint="eastAsia" w:ascii="黑体" w:hAnsi="黑体" w:eastAsia="黑体"/>
          <w:b/>
          <w:sz w:val="24"/>
        </w:rPr>
        <w:t>二、商务要求</w:t>
      </w:r>
    </w:p>
    <w:p>
      <w:pPr>
        <w:spacing w:afterLines="50" w:line="240" w:lineRule="auto"/>
        <w:ind w:firstLine="472" w:firstLineChars="196"/>
        <w:rPr>
          <w:rFonts w:hint="eastAsia" w:ascii="楷体" w:hAnsi="楷体" w:eastAsia="楷体" w:cs="楷体"/>
          <w:b/>
          <w:sz w:val="24"/>
        </w:rPr>
      </w:pPr>
      <w:r>
        <w:rPr>
          <w:rFonts w:hint="eastAsia" w:ascii="楷体" w:hAnsi="楷体" w:eastAsia="楷体" w:cs="楷体"/>
          <w:b/>
          <w:sz w:val="24"/>
          <w:lang w:eastAsia="zh-CN"/>
        </w:rPr>
        <w:t>（一）</w:t>
      </w:r>
      <w:r>
        <w:rPr>
          <w:rFonts w:hint="eastAsia" w:ascii="楷体" w:hAnsi="楷体" w:eastAsia="楷体" w:cs="楷体"/>
          <w:b/>
          <w:sz w:val="24"/>
        </w:rPr>
        <w:t>交货期及地点</w:t>
      </w:r>
    </w:p>
    <w:p>
      <w:pPr>
        <w:spacing w:afterLines="50" w:line="240" w:lineRule="auto"/>
        <w:ind w:firstLine="472" w:firstLineChars="196"/>
        <w:rPr>
          <w:rFonts w:ascii="仿宋_GB2312" w:eastAsia="仿宋_GB2312"/>
          <w:sz w:val="24"/>
        </w:rPr>
      </w:pPr>
      <w:r>
        <w:rPr>
          <w:rFonts w:hint="eastAsia" w:ascii="仿宋_GB2312" w:eastAsia="仿宋_GB2312"/>
          <w:b/>
          <w:bCs/>
          <w:sz w:val="24"/>
          <w:lang w:val="en-US" w:eastAsia="zh-CN"/>
        </w:rPr>
        <w:t>1.</w:t>
      </w:r>
      <w:r>
        <w:rPr>
          <w:rFonts w:hint="eastAsia" w:ascii="仿宋_GB2312" w:eastAsia="仿宋_GB2312"/>
          <w:b/>
          <w:bCs/>
          <w:sz w:val="24"/>
        </w:rPr>
        <w:t xml:space="preserve"> 交货期：</w:t>
      </w:r>
      <w:r>
        <w:rPr>
          <w:rFonts w:hint="eastAsia" w:ascii="仿宋_GB2312" w:eastAsia="仿宋_GB2312"/>
          <w:sz w:val="24"/>
        </w:rPr>
        <w:t>采购人提前3天向中标人提供所需产品的种类、品牌、规格型号及数量清单。中标人接到采购人订货通知后，应4小时内响应回复，产品应在5个工作日内送至采购人库房。如因特殊原因，中标人无法组织产品时，应在接到订货通知后的</w:t>
      </w:r>
      <w:r>
        <w:rPr>
          <w:rFonts w:ascii="仿宋_GB2312" w:eastAsia="仿宋_GB2312"/>
          <w:sz w:val="24"/>
        </w:rPr>
        <w:t>2</w:t>
      </w:r>
      <w:r>
        <w:rPr>
          <w:rFonts w:hint="eastAsia" w:ascii="仿宋_GB2312" w:eastAsia="仿宋_GB2312"/>
          <w:sz w:val="24"/>
        </w:rPr>
        <w:t>天内通知采购人。</w:t>
      </w:r>
    </w:p>
    <w:p>
      <w:pPr>
        <w:spacing w:afterLines="50" w:line="240" w:lineRule="auto"/>
        <w:ind w:firstLine="472" w:firstLineChars="196"/>
        <w:rPr>
          <w:rFonts w:ascii="仿宋_GB2312" w:eastAsia="仿宋_GB2312"/>
          <w:sz w:val="24"/>
        </w:rPr>
      </w:pPr>
      <w:r>
        <w:rPr>
          <w:rFonts w:hint="eastAsia" w:ascii="仿宋_GB2312" w:eastAsia="仿宋_GB2312"/>
          <w:b/>
          <w:bCs/>
          <w:sz w:val="24"/>
          <w:lang w:val="en-US" w:eastAsia="zh-CN"/>
        </w:rPr>
        <w:t xml:space="preserve">2. </w:t>
      </w:r>
      <w:r>
        <w:rPr>
          <w:rFonts w:hint="eastAsia" w:ascii="仿宋_GB2312" w:eastAsia="仿宋_GB2312"/>
          <w:b/>
          <w:bCs/>
          <w:sz w:val="24"/>
        </w:rPr>
        <w:t xml:space="preserve">交货地点: </w:t>
      </w:r>
      <w:r>
        <w:rPr>
          <w:rFonts w:hint="eastAsia" w:ascii="仿宋_GB2312" w:eastAsia="仿宋_GB2312"/>
          <w:sz w:val="24"/>
        </w:rPr>
        <w:t>采购人库房（四川省资阳市仁德西路66号/资阳市第一人民医院（新区）/辅助用房/3楼库房/电话028-26052560，26214384）。</w:t>
      </w:r>
    </w:p>
    <w:p>
      <w:pPr>
        <w:spacing w:afterLines="50" w:line="240" w:lineRule="auto"/>
        <w:ind w:firstLine="472" w:firstLineChars="196"/>
        <w:rPr>
          <w:rFonts w:ascii="仿宋_GB2312" w:eastAsia="仿宋_GB2312"/>
          <w:sz w:val="24"/>
        </w:rPr>
      </w:pPr>
      <w:r>
        <w:rPr>
          <w:rFonts w:hint="eastAsia" w:ascii="楷体" w:hAnsi="楷体" w:eastAsia="楷体" w:cs="楷体"/>
          <w:b/>
          <w:sz w:val="24"/>
          <w:lang w:eastAsia="zh-CN"/>
        </w:rPr>
        <w:t>（二）付款方法和条件：</w:t>
      </w:r>
      <w:r>
        <w:rPr>
          <w:rFonts w:hint="eastAsia" w:ascii="仿宋_GB2312" w:eastAsia="仿宋_GB2312"/>
          <w:sz w:val="24"/>
        </w:rPr>
        <w:t>为确保产品质量，保证医疗质量，从而保障患者权益，采购人收到产品入库、正常使用完后，即可进行滚动付款。中标方如送货时只能先开具《送货单》（包括代管高值耗材），须在次月15日前必须开具《发票》并交至采购人，如不能及时开具《发票》，采购人将延迟支付购置款，中标方应承担违约金1000元/次。</w:t>
      </w:r>
    </w:p>
    <w:p>
      <w:pPr>
        <w:spacing w:afterLines="50" w:line="240" w:lineRule="auto"/>
        <w:ind w:firstLine="472" w:firstLineChars="196"/>
        <w:rPr>
          <w:rFonts w:ascii="仿宋_GB2312" w:eastAsia="仿宋_GB2312"/>
          <w:b/>
          <w:sz w:val="24"/>
        </w:rPr>
      </w:pPr>
      <w:r>
        <w:rPr>
          <w:rFonts w:hint="eastAsia" w:ascii="仿宋_GB2312" w:eastAsia="仿宋_GB2312"/>
          <w:b/>
          <w:sz w:val="24"/>
          <w:lang w:eastAsia="zh-CN"/>
        </w:rPr>
        <w:t>（三）</w:t>
      </w:r>
      <w:r>
        <w:rPr>
          <w:rFonts w:hint="eastAsia" w:ascii="仿宋_GB2312" w:eastAsia="仿宋_GB2312"/>
          <w:b/>
          <w:sz w:val="24"/>
        </w:rPr>
        <w:t>其他：</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1. </w:t>
      </w:r>
      <w:r>
        <w:rPr>
          <w:rFonts w:hint="eastAsia" w:ascii="仿宋_GB2312" w:eastAsia="仿宋_GB2312"/>
          <w:sz w:val="24"/>
        </w:rPr>
        <w:t>其他商务要求请参照《采购合同》执行；</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2. </w:t>
      </w:r>
      <w:r>
        <w:rPr>
          <w:rFonts w:hint="eastAsia" w:ascii="仿宋_GB2312" w:eastAsia="仿宋_GB2312"/>
          <w:sz w:val="24"/>
        </w:rPr>
        <w:t>投标人为非产品制造商承诺：交货时提供制造商针对本项目的授权书；</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3. </w:t>
      </w:r>
      <w:r>
        <w:rPr>
          <w:rFonts w:hint="eastAsia" w:ascii="仿宋_GB2312" w:eastAsia="仿宋_GB2312"/>
          <w:sz w:val="24"/>
        </w:rPr>
        <w:t>供货时</w:t>
      </w:r>
      <w:r>
        <w:rPr>
          <w:rFonts w:hint="eastAsia" w:ascii="仿宋_GB2312" w:eastAsia="仿宋_GB2312"/>
          <w:sz w:val="24"/>
          <w:lang w:eastAsia="zh-CN"/>
        </w:rPr>
        <w:t>投标人</w:t>
      </w:r>
      <w:r>
        <w:rPr>
          <w:rFonts w:hint="eastAsia" w:ascii="仿宋_GB2312" w:eastAsia="仿宋_GB2312"/>
          <w:sz w:val="24"/>
        </w:rPr>
        <w:t>向采购人提供资料：医疗器械需提供《医疗器械注册证》、《使用说明书》、</w:t>
      </w:r>
      <w:r>
        <w:rPr>
          <w:rFonts w:hint="eastAsia" w:ascii="仿宋_GB2312" w:eastAsia="仿宋_GB2312"/>
          <w:sz w:val="24"/>
          <w:lang w:eastAsia="zh-CN"/>
        </w:rPr>
        <w:t>彩页资料、样品</w:t>
      </w:r>
      <w:r>
        <w:rPr>
          <w:rFonts w:hint="eastAsia" w:ascii="仿宋_GB2312" w:eastAsia="仿宋_GB2312"/>
          <w:sz w:val="24"/>
        </w:rPr>
        <w:t>。消毒产品需提供《消毒产品生产企业卫生许可证》、第三方公司出具的《检测报告》、《消毒产品卫生安全评价报告备案凭证》。</w:t>
      </w:r>
    </w:p>
    <w:p>
      <w:pPr>
        <w:spacing w:afterLines="50" w:line="240" w:lineRule="auto"/>
        <w:ind w:firstLine="470" w:firstLineChars="196"/>
        <w:rPr>
          <w:rFonts w:ascii="黑体" w:hAnsi="黑体" w:eastAsia="黑体"/>
          <w:sz w:val="24"/>
        </w:rPr>
      </w:pPr>
      <w:r>
        <w:rPr>
          <w:rFonts w:hint="eastAsia" w:ascii="黑体" w:hAnsi="黑体" w:eastAsia="黑体"/>
          <w:sz w:val="24"/>
        </w:rPr>
        <w:t>三、售后服务</w:t>
      </w:r>
    </w:p>
    <w:p>
      <w:pPr>
        <w:spacing w:afterLines="50" w:line="240" w:lineRule="auto"/>
        <w:ind w:firstLine="470" w:firstLineChars="196"/>
        <w:rPr>
          <w:rFonts w:ascii="仿宋_GB2312" w:eastAsia="仿宋_GB2312"/>
          <w:sz w:val="24"/>
        </w:rPr>
      </w:pPr>
      <w:r>
        <w:rPr>
          <w:rFonts w:hint="eastAsia" w:ascii="仿宋_GB2312" w:eastAsia="仿宋_GB2312"/>
          <w:sz w:val="24"/>
        </w:rPr>
        <w:t>货物质量出现问题，中标方应负责三包（包修、包换、包退），费用由中标方负担。中标方提供的产品（含采购人未使用完的产品）有效期截止前6个月，中标方免费更换。中标方须指派专人负责与采购人联系售后服务事宜。</w:t>
      </w:r>
    </w:p>
    <w:p>
      <w:pPr>
        <w:spacing w:afterLines="50" w:line="240" w:lineRule="auto"/>
        <w:ind w:firstLine="470" w:firstLineChars="196"/>
        <w:rPr>
          <w:rFonts w:hint="eastAsia" w:ascii="黑体" w:hAnsi="黑体" w:eastAsia="黑体"/>
          <w:sz w:val="24"/>
          <w:szCs w:val="24"/>
          <w:lang w:eastAsia="zh-CN"/>
        </w:rPr>
      </w:pPr>
      <w:r>
        <w:rPr>
          <w:rFonts w:hint="eastAsia" w:ascii="黑体" w:hAnsi="黑体" w:eastAsia="黑体"/>
          <w:sz w:val="24"/>
          <w:szCs w:val="24"/>
        </w:rPr>
        <w:t>四、</w:t>
      </w:r>
      <w:r>
        <w:rPr>
          <w:rFonts w:hint="eastAsia" w:ascii="黑体" w:hAnsi="黑体" w:eastAsia="黑体"/>
          <w:sz w:val="24"/>
          <w:szCs w:val="24"/>
          <w:lang w:eastAsia="zh-CN"/>
        </w:rPr>
        <w:t>产品要求</w:t>
      </w:r>
    </w:p>
    <w:p>
      <w:pPr>
        <w:spacing w:afterLines="50" w:line="240" w:lineRule="auto"/>
        <w:ind w:firstLine="472" w:firstLineChars="196"/>
        <w:rPr>
          <w:rFonts w:hint="eastAsia" w:ascii="楷体" w:hAnsi="楷体" w:eastAsia="楷体" w:cs="楷体"/>
          <w:b/>
          <w:sz w:val="24"/>
          <w:szCs w:val="24"/>
          <w:lang w:val="en-US" w:eastAsia="zh-CN"/>
        </w:rPr>
      </w:pPr>
      <w:r>
        <w:rPr>
          <w:rFonts w:hint="eastAsia" w:ascii="楷体" w:hAnsi="楷体" w:eastAsia="楷体" w:cs="楷体"/>
          <w:b/>
          <w:sz w:val="24"/>
          <w:szCs w:val="24"/>
          <w:lang w:eastAsia="zh-CN"/>
        </w:rPr>
        <w:t>（一）包号</w:t>
      </w:r>
      <w:r>
        <w:rPr>
          <w:rFonts w:hint="eastAsia" w:ascii="楷体" w:hAnsi="楷体" w:eastAsia="楷体" w:cs="楷体"/>
          <w:b/>
          <w:sz w:val="24"/>
          <w:szCs w:val="24"/>
          <w:lang w:val="en-US" w:eastAsia="zh-CN"/>
        </w:rPr>
        <w:t>1</w:t>
      </w:r>
    </w:p>
    <w:p>
      <w:pPr>
        <w:spacing w:afterLines="50" w:line="240" w:lineRule="auto"/>
        <w:ind w:firstLine="472" w:firstLineChars="196"/>
        <w:rPr>
          <w:rFonts w:hint="eastAsia" w:ascii="仿宋_GB2312" w:eastAsia="仿宋_GB2312"/>
          <w:b w:val="0"/>
          <w:bCs/>
          <w:sz w:val="24"/>
          <w:szCs w:val="24"/>
          <w:lang w:eastAsia="zh-CN"/>
        </w:rPr>
      </w:pPr>
      <w:r>
        <w:rPr>
          <w:rFonts w:hint="eastAsia" w:ascii="仿宋_GB2312" w:eastAsia="仿宋_GB2312" w:cs="仿宋"/>
          <w:b/>
          <w:bCs w:val="0"/>
          <w:sz w:val="24"/>
          <w:szCs w:val="24"/>
        </w:rPr>
        <w:t>品目号1</w:t>
      </w:r>
      <w:r>
        <w:rPr>
          <w:rFonts w:hint="eastAsia" w:ascii="仿宋_GB2312" w:eastAsia="仿宋_GB2312" w:cs="仿宋"/>
          <w:b/>
          <w:bCs w:val="0"/>
          <w:sz w:val="24"/>
          <w:szCs w:val="24"/>
          <w:lang w:eastAsia="zh-CN"/>
        </w:rPr>
        <w:t>：</w:t>
      </w:r>
      <w:r>
        <w:rPr>
          <w:rFonts w:hint="eastAsia" w:ascii="仿宋_GB2312" w:hAnsi="仿宋" w:eastAsia="仿宋_GB2312" w:cs="Times New Roman"/>
          <w:kern w:val="2"/>
          <w:sz w:val="24"/>
          <w:szCs w:val="24"/>
          <w:lang w:val="en-US" w:eastAsia="zh-CN" w:bidi="ar-SA"/>
        </w:rPr>
        <w:t>组织固定液（含醛型）</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1.即开即用，无需配置，减少操作人员工作量和接触有害试剂时长。</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2.规格型号（1个）：≥5L/桶</w:t>
      </w:r>
    </w:p>
    <w:p>
      <w:pPr>
        <w:spacing w:afterLines="50" w:line="240" w:lineRule="auto"/>
        <w:ind w:firstLine="472" w:firstLineChars="196"/>
        <w:rPr>
          <w:rFonts w:hint="eastAsia" w:ascii="仿宋_GB2312" w:hAnsi="仿宋" w:eastAsia="仿宋_GB2312" w:cs="Times New Roman"/>
          <w:kern w:val="2"/>
          <w:sz w:val="24"/>
          <w:szCs w:val="24"/>
          <w:lang w:val="en-US" w:eastAsia="zh-CN" w:bidi="ar-SA"/>
        </w:rPr>
      </w:pPr>
      <w:r>
        <w:rPr>
          <w:rFonts w:hint="eastAsia" w:ascii="仿宋_GB2312" w:eastAsia="仿宋_GB2312" w:cs="仿宋"/>
          <w:b/>
          <w:bCs w:val="0"/>
          <w:sz w:val="24"/>
          <w:szCs w:val="24"/>
        </w:rPr>
        <w:t>品目号</w:t>
      </w:r>
      <w:r>
        <w:rPr>
          <w:rFonts w:hint="eastAsia" w:ascii="仿宋_GB2312" w:eastAsia="仿宋_GB2312" w:cs="仿宋"/>
          <w:b/>
          <w:bCs w:val="0"/>
          <w:sz w:val="24"/>
          <w:szCs w:val="24"/>
          <w:lang w:val="en-US" w:eastAsia="zh-CN"/>
        </w:rPr>
        <w:t>2</w:t>
      </w:r>
      <w:r>
        <w:rPr>
          <w:rFonts w:hint="eastAsia" w:ascii="仿宋_GB2312" w:eastAsia="仿宋_GB2312" w:cs="仿宋"/>
          <w:b/>
          <w:bCs w:val="0"/>
          <w:sz w:val="24"/>
          <w:szCs w:val="24"/>
          <w:lang w:eastAsia="zh-CN"/>
        </w:rPr>
        <w:t>：</w:t>
      </w:r>
      <w:r>
        <w:rPr>
          <w:rFonts w:hint="eastAsia" w:ascii="仿宋_GB2312" w:hAnsi="仿宋" w:eastAsia="仿宋_GB2312" w:cs="Times New Roman"/>
          <w:kern w:val="2"/>
          <w:sz w:val="24"/>
          <w:szCs w:val="24"/>
          <w:lang w:val="en-US" w:eastAsia="zh-CN" w:bidi="ar-SA"/>
        </w:rPr>
        <w:t>脱蜡液</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1.环保型无苯透明脱蜡液，无毒无害，最大限度保障操作人员安全；                                       </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2.透明效果与二甲苯相同；</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3.长时间浸泡不会使组织发脆，还能增强浸蜡效果，有利于切片。</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4.规格型号（1个）：≥500ml/瓶</w:t>
      </w:r>
    </w:p>
    <w:p>
      <w:pPr>
        <w:spacing w:afterLines="50" w:line="240" w:lineRule="auto"/>
        <w:ind w:firstLine="472" w:firstLineChars="196"/>
        <w:rPr>
          <w:rFonts w:hint="eastAsia" w:ascii="楷体" w:hAnsi="楷体" w:eastAsia="楷体" w:cs="楷体"/>
          <w:b/>
          <w:sz w:val="24"/>
          <w:szCs w:val="24"/>
          <w:lang w:val="en-US" w:eastAsia="zh-CN"/>
        </w:rPr>
      </w:pPr>
      <w:r>
        <w:rPr>
          <w:rFonts w:hint="eastAsia" w:ascii="楷体" w:hAnsi="楷体" w:eastAsia="楷体" w:cs="楷体"/>
          <w:b/>
          <w:sz w:val="24"/>
          <w:szCs w:val="24"/>
          <w:lang w:eastAsia="zh-CN"/>
        </w:rPr>
        <w:t>（一）包号</w:t>
      </w:r>
      <w:r>
        <w:rPr>
          <w:rFonts w:hint="eastAsia" w:ascii="楷体" w:hAnsi="楷体" w:eastAsia="楷体" w:cs="楷体"/>
          <w:b/>
          <w:sz w:val="24"/>
          <w:szCs w:val="24"/>
          <w:lang w:val="en-US" w:eastAsia="zh-CN"/>
        </w:rPr>
        <w:t>2</w:t>
      </w:r>
    </w:p>
    <w:p>
      <w:pPr>
        <w:spacing w:afterLines="50" w:line="240" w:lineRule="auto"/>
        <w:ind w:firstLine="472"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品目号1：</w:t>
      </w:r>
      <w:r>
        <w:rPr>
          <w:rFonts w:hint="eastAsia" w:ascii="仿宋_GB2312" w:hAnsi="仿宋" w:eastAsia="仿宋_GB2312" w:cs="Times New Roman"/>
          <w:kern w:val="2"/>
          <w:sz w:val="24"/>
          <w:szCs w:val="24"/>
          <w:lang w:val="en-US" w:eastAsia="zh-CN" w:bidi="ar-SA"/>
        </w:rPr>
        <w:t>病理标本袋</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1.可站式标本袋，防止漏液，</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2.标本袋标签填写项应包含患者基本信息、标本信息、标本离体时间、标本      固定时间等必要内容，</w:t>
      </w:r>
    </w:p>
    <w:p>
      <w:pPr>
        <w:spacing w:afterLines="50" w:line="240" w:lineRule="auto"/>
        <w:ind w:firstLine="470" w:firstLineChars="196"/>
        <w:rPr>
          <w:rFonts w:hint="eastAsia"/>
          <w:lang w:val="en-US" w:eastAsia="zh-CN"/>
        </w:rPr>
      </w:pPr>
      <w:r>
        <w:rPr>
          <w:rFonts w:hint="eastAsia" w:ascii="仿宋_GB2312" w:hAnsi="仿宋" w:eastAsia="仿宋_GB2312" w:cs="Times New Roman"/>
          <w:kern w:val="2"/>
          <w:sz w:val="24"/>
          <w:szCs w:val="24"/>
          <w:lang w:val="en-US" w:eastAsia="zh-CN" w:bidi="ar-SA"/>
        </w:rPr>
        <w:t>3.规格型号（4个）：特大号、大号、中号、小号，多规格可选，适用于不同大小组织，（以大号做为评分规格）。</w:t>
      </w:r>
    </w:p>
    <w:p>
      <w:pPr>
        <w:pStyle w:val="2"/>
        <w:rPr>
          <w:rFonts w:hint="eastAsia"/>
          <w:lang w:val="en-US" w:eastAsia="zh-CN"/>
        </w:rPr>
      </w:pPr>
      <w:r>
        <w:rPr>
          <w:rFonts w:hint="eastAsia" w:ascii="仿宋_GB2312" w:hAnsi="仿宋" w:eastAsia="仿宋_GB2312" w:cs="Times New Roman"/>
          <w:kern w:val="2"/>
          <w:sz w:val="24"/>
          <w:szCs w:val="24"/>
          <w:lang w:val="en-US" w:eastAsia="zh-CN" w:bidi="ar-SA"/>
        </w:rPr>
        <w:t>此包可投标多个型号，评标时以规格型号为大号的价格做价格评分。</w:t>
      </w:r>
    </w:p>
    <w:p>
      <w:pPr>
        <w:spacing w:afterLines="50" w:line="240" w:lineRule="auto"/>
        <w:ind w:firstLine="472" w:firstLineChars="196"/>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b/>
          <w:bCs/>
          <w:color w:val="auto"/>
          <w:kern w:val="2"/>
          <w:sz w:val="24"/>
          <w:szCs w:val="24"/>
          <w:lang w:val="en-US" w:eastAsia="zh-CN" w:bidi="ar-SA"/>
        </w:rPr>
        <w:t>品目号2：</w:t>
      </w:r>
      <w:r>
        <w:rPr>
          <w:rFonts w:hint="eastAsia" w:ascii="仿宋_GB2312" w:hAnsi="仿宋" w:eastAsia="仿宋_GB2312"/>
          <w:color w:val="auto"/>
          <w:sz w:val="24"/>
        </w:rPr>
        <w:t>10%福尔马林中性固定液</w:t>
      </w:r>
      <w:r>
        <w:rPr>
          <w:rFonts w:hint="eastAsia" w:ascii="仿宋_GB2312" w:hAnsi="仿宋" w:eastAsia="仿宋_GB2312"/>
          <w:color w:val="auto"/>
          <w:sz w:val="24"/>
          <w:lang w:eastAsia="zh-CN"/>
        </w:rPr>
        <w:t>（病理标本瓶）</w:t>
      </w:r>
    </w:p>
    <w:p>
      <w:pPr>
        <w:spacing w:afterLines="50" w:line="240" w:lineRule="auto"/>
        <w:ind w:firstLine="470" w:firstLineChars="196"/>
        <w:rPr>
          <w:rFonts w:hint="eastAsia" w:ascii="仿宋_GB2312" w:hAnsi="仿宋" w:eastAsia="仿宋_GB2312" w:cs="Times New Roman"/>
          <w:color w:val="auto"/>
          <w:kern w:val="2"/>
          <w:sz w:val="24"/>
          <w:szCs w:val="24"/>
          <w:lang w:val="en-US" w:eastAsia="zh-CN" w:bidi="ar-SA"/>
        </w:rPr>
      </w:pPr>
      <w:r>
        <w:rPr>
          <w:rFonts w:hint="eastAsia" w:ascii="仿宋_GB2312" w:hAnsi="仿宋" w:eastAsia="仿宋_GB2312" w:cs="Times New Roman"/>
          <w:color w:val="auto"/>
          <w:kern w:val="2"/>
          <w:sz w:val="24"/>
          <w:szCs w:val="24"/>
          <w:lang w:val="en-US" w:eastAsia="zh-CN" w:bidi="ar-SA"/>
        </w:rPr>
        <w:t>1.内含10%中性福尔马林固定液，开盖即用，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2.附带标签，可填写标本信息，</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3.规格型号（2个）：≥5ml、≥15ml，多规格可选，适用于不同大小组织（以≥5ml做为评分规格），</w:t>
      </w:r>
    </w:p>
    <w:p>
      <w:pPr>
        <w:pStyle w:val="2"/>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此包可投标多个型号，评标时以规格型号为≥5ml的价格做价格评分。</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（三）包号3</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品目1：皮肤软组织扩张器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1.适用范围：用于通过外科手术植入皮肤软组织下获取病员自身组织；</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2.结构及组成：采用医用级硅橡胶材料制成,由外囊、导管和注射阀三部分组成，产品经辐照灭菌,一次性使用；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3.规格型号：各型号（以≥15-250ml做为评分规格）。</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此包可投标多个型号，评标时以规格型号为≥15-250ml的价格做价格评分。</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（四）包号4</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品目1：斑试器、斑贴试剂</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1.适用范围：用于斑贴试验，是用于寻找由接触过敏引起的变应性接触性皮炎的变应原人体体外测试用的装置，适用于筛查引发病人过敏反应的过敏原和致敏程度的临床辅助诊断和科学研究；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2.结构及组成：由医用外科胶带、医用聚氯乙烯泡沫塑料条带、合成纤维滤纸或保离）构成。</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3.规格型号：各型号（以20点/人份做为评分规格）</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此包可投标多个型号，评标时以规格型号为20点/人份的价格做价格评分。</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（五）包号5</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品目1：高效单体银前列腺炎抗菌凝胶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1.适用范围：用于慢性前列腺炎（非特异性）引发的尿频、尿痛、尿等待、尿不尽、腰膝酸痛、会阴部局部坠胀症状的治疗；</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2.结构及组成：由抗菌凝胶和给凝胶器两部分构成；</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3.规格型号：银含量350μg/g，≥3g/支。</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（六）包号6</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品目1：空气喷雾消毒剂（消毒产品）</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1.适用范围：用于喷射于空气中，预防交叉感染，有效杀灭空气中的细菌、病毒、直菌等致病微生物；</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2.主要成分：双长链季铵盐复合物，含量0.1±0.01%（w/w）；</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3.规格型号：≥400ml/瓶；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4.高效消毒，清洁空气，对人、动物及环境安全无害，对室内各种物体无损伤；</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5.有效期：≥24个月</w:t>
      </w:r>
      <w:r>
        <w:rPr>
          <w:rFonts w:hint="eastAsia" w:ascii="仿宋_GB2312" w:hAnsi="黑体" w:eastAsia="仿宋_GB2312"/>
          <w:sz w:val="24"/>
        </w:rPr>
        <w:t>，可在室温下保存</w:t>
      </w:r>
      <w:r>
        <w:rPr>
          <w:rFonts w:hint="eastAsia" w:ascii="仿宋_GB2312" w:hAnsi="仿宋" w:eastAsia="仿宋_GB2312" w:cs="Times New Roman"/>
          <w:kern w:val="2"/>
          <w:sz w:val="24"/>
          <w:szCs w:val="24"/>
          <w:lang w:val="en-US" w:eastAsia="zh-CN" w:bidi="ar-SA"/>
        </w:rPr>
        <w:t>。</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（七）包号7</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品目1-3：显微手术剪、显微球状剥离器</w:t>
      </w:r>
    </w:p>
    <w:p>
      <w:pPr>
        <w:spacing w:afterLines="50" w:line="240" w:lineRule="auto"/>
        <w:ind w:firstLine="470"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1.适用范围：用于神经外科显微手术使用；</w:t>
      </w:r>
    </w:p>
    <w:p>
      <w:pPr>
        <w:spacing w:afterLines="50" w:line="240" w:lineRule="auto"/>
        <w:ind w:firstLine="470" w:firstLineChars="196"/>
        <w:rPr>
          <w:rFonts w:hint="eastAsia"/>
        </w:rPr>
      </w:pPr>
      <w:r>
        <w:rPr>
          <w:rFonts w:hint="eastAsia" w:ascii="仿宋_GB2312" w:hAnsi="仿宋" w:eastAsia="仿宋_GB2312" w:cs="Times New Roman"/>
          <w:kern w:val="2"/>
          <w:sz w:val="24"/>
          <w:szCs w:val="24"/>
          <w:lang w:val="en-US" w:eastAsia="zh-CN" w:bidi="ar-SA"/>
        </w:rPr>
        <w:t>★2.结构性能：投标产品完全满足产品清单中的“规格”，或，投标的产品的性能够满足产品清单中的“规格”设定性能的其他品牌、规格的产品（以投标时的样品实物为准）。</w:t>
      </w:r>
    </w:p>
    <w:p>
      <w:pPr>
        <w:pStyle w:val="34"/>
        <w:rPr>
          <w:rFonts w:hint="eastAsia"/>
          <w:lang w:eastAsia="zh-CN"/>
        </w:rPr>
      </w:pPr>
      <w:bookmarkStart w:id="13" w:name="_Toc18323_WPSOffice_Level1"/>
      <w:r>
        <w:rPr>
          <w:rFonts w:hint="eastAsia"/>
          <w:lang w:eastAsia="zh-CN"/>
        </w:rPr>
        <w:t>第三章  评标办法</w:t>
      </w:r>
      <w:bookmarkEnd w:id="13"/>
      <w:bookmarkStart w:id="14" w:name="_Hlt101846155"/>
      <w:bookmarkEnd w:id="14"/>
      <w:bookmarkStart w:id="15" w:name="_Toc208849007"/>
      <w:bookmarkStart w:id="16" w:name="_Toc183582280"/>
      <w:bookmarkStart w:id="17" w:name="_Toc217446097"/>
      <w:bookmarkStart w:id="18" w:name="_Toc183682415"/>
    </w:p>
    <w:bookmarkEnd w:id="15"/>
    <w:bookmarkEnd w:id="16"/>
    <w:bookmarkEnd w:id="17"/>
    <w:bookmarkEnd w:id="18"/>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一、总则　</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是否具备投标资格。</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评标工作由</w:t>
      </w:r>
      <w:r>
        <w:rPr>
          <w:rFonts w:hint="eastAsia" w:ascii="仿宋_GB2312" w:hAnsi="仿宋_GB2312" w:eastAsia="仿宋_GB2312" w:cs="仿宋_GB2312"/>
          <w:sz w:val="24"/>
          <w:lang w:eastAsia="zh-CN"/>
        </w:rPr>
        <w:t>本单位</w:t>
      </w:r>
      <w:r>
        <w:rPr>
          <w:rFonts w:hint="eastAsia" w:ascii="仿宋_GB2312" w:hAnsi="仿宋_GB2312" w:eastAsia="仿宋_GB2312" w:cs="仿宋_GB2312"/>
          <w:sz w:val="24"/>
        </w:rPr>
        <w:t>负责组织，具体评标事务由</w:t>
      </w:r>
      <w:r>
        <w:rPr>
          <w:rFonts w:hint="eastAsia" w:ascii="仿宋_GB2312" w:hAnsi="仿宋_GB2312" w:eastAsia="仿宋_GB2312" w:cs="仿宋_GB2312"/>
          <w:sz w:val="24"/>
          <w:lang w:eastAsia="zh-CN"/>
        </w:rPr>
        <w:t>本单位组织的</w:t>
      </w:r>
      <w:r>
        <w:rPr>
          <w:rFonts w:hint="eastAsia" w:ascii="仿宋_GB2312" w:hAnsi="仿宋_GB2312" w:eastAsia="仿宋_GB2312" w:cs="仿宋_GB2312"/>
          <w:sz w:val="24"/>
        </w:rPr>
        <w:t>评标委员会负责。</w:t>
      </w:r>
    </w:p>
    <w:p>
      <w:pPr>
        <w:spacing w:line="400" w:lineRule="exact"/>
        <w:ind w:firstLine="480" w:firstLineChars="200"/>
        <w:rPr>
          <w:rFonts w:hint="eastAsia" w:ascii="黑体" w:hAnsi="黑体" w:eastAsia="黑体" w:cs="黑体"/>
          <w:sz w:val="24"/>
          <w:szCs w:val="24"/>
          <w:lang w:eastAsia="zh-CN"/>
        </w:rPr>
      </w:pPr>
      <w:bookmarkStart w:id="19" w:name="_Toc217446098"/>
      <w:r>
        <w:rPr>
          <w:rFonts w:hint="eastAsia" w:ascii="黑体" w:hAnsi="黑体" w:eastAsia="黑体" w:cs="黑体"/>
          <w:sz w:val="24"/>
          <w:szCs w:val="24"/>
          <w:lang w:eastAsia="zh-CN"/>
        </w:rPr>
        <w:t>二、评标</w:t>
      </w:r>
      <w:bookmarkEnd w:id="19"/>
      <w:r>
        <w:rPr>
          <w:rFonts w:hint="eastAsia" w:ascii="黑体" w:hAnsi="黑体" w:eastAsia="黑体" w:cs="黑体"/>
          <w:sz w:val="24"/>
          <w:szCs w:val="24"/>
          <w:lang w:eastAsia="zh-CN"/>
        </w:rPr>
        <w:t>方法</w:t>
      </w:r>
      <w:bookmarkStart w:id="20" w:name="_Toc217446103"/>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三、评标程序</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（一）评标内容</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、评标方法和标准以及可能涉及签订采购合同的内容等。</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（二）符合性检查</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投标文件正副本数量不足的；（</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）投标文件组成明显不符合招标文件的规定要求，影响评标委员会评判的；（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）投标文件的格式、语言、计量单位、报价货币、知识产权、投标有效期等不符合招标文件的规定，影响评标委员会评判的；（</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）投标报价不符合招标文件规定的采购预算或限价或其他报价规定的；（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）商务、技术、服务应答内容没有完全响应招标文件的实质性要求的；（</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）未载明或者载明的招标项目履约时间、方式、数量及其他政府采购合同实质性内容与招标文件要求不一致，且招标采购单位无法接受的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）投标文件未按招标文件要求签署、盖章的；（</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）没有完全响应招标文件的其他实质性要求或属于招标文件中投标无效情形的。</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比较与评价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按招标文件中规定的评标方法和标准，对未作无效投标处理的投标文件进行</w:t>
      </w:r>
      <w:r>
        <w:rPr>
          <w:rFonts w:hint="eastAsia" w:ascii="仿宋_GB2312" w:hAnsi="仿宋_GB2312" w:eastAsia="仿宋_GB2312" w:cs="仿宋_GB2312"/>
          <w:sz w:val="24"/>
          <w:lang w:eastAsia="zh-CN"/>
        </w:rPr>
        <w:t>产品要求</w:t>
      </w:r>
      <w:r>
        <w:rPr>
          <w:rFonts w:hint="eastAsia" w:ascii="仿宋_GB2312" w:hAnsi="仿宋_GB2312" w:eastAsia="仿宋_GB2312" w:cs="仿宋_GB2312"/>
          <w:sz w:val="24"/>
        </w:rPr>
        <w:t>等方面评估，综合比较与评价。</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 xml:space="preserve">4. </w:t>
      </w:r>
      <w:r>
        <w:rPr>
          <w:rFonts w:hint="eastAsia" w:ascii="仿宋_GB2312" w:hAnsi="仿宋_GB2312" w:eastAsia="仿宋_GB2312" w:cs="仿宋_GB2312"/>
          <w:b/>
          <w:bCs/>
          <w:sz w:val="24"/>
        </w:rPr>
        <w:t>复核</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评分汇总结束后，评标委员会应当进行复核，特别要对拟推荐为中标候选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的、报价最低的、投标文件被认定为无效的进行重点复核。</w:t>
      </w:r>
    </w:p>
    <w:p>
      <w:pPr>
        <w:spacing w:line="400" w:lineRule="exact"/>
        <w:ind w:firstLine="482"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 xml:space="preserve">5. </w:t>
      </w:r>
      <w:r>
        <w:rPr>
          <w:rFonts w:hint="eastAsia" w:ascii="仿宋_GB2312" w:hAnsi="仿宋_GB2312" w:eastAsia="仿宋_GB2312" w:cs="仿宋_GB2312"/>
          <w:b/>
          <w:bCs/>
          <w:sz w:val="24"/>
        </w:rPr>
        <w:t>推荐中标候选</w:t>
      </w: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sz w:val="24"/>
        </w:rPr>
        <w:t>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应当排序。本项目采用综合评分法，评标结果按评审后得分由高到低顺序排列。得分相同的，按投标报价由低到高顺序排列</w:t>
      </w:r>
      <w:r>
        <w:rPr>
          <w:rFonts w:hint="eastAsia" w:ascii="仿宋_GB2312" w:hAnsi="仿宋_GB2312" w:eastAsia="仿宋_GB2312" w:cs="仿宋_GB2312"/>
          <w:sz w:val="24"/>
          <w:lang w:eastAsia="zh-CN"/>
        </w:rPr>
        <w:t>。</w:t>
      </w:r>
    </w:p>
    <w:p>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评标细则及标准</w:t>
      </w:r>
      <w:bookmarkEnd w:id="20"/>
    </w:p>
    <w:p>
      <w:pPr>
        <w:spacing w:line="400" w:lineRule="exact"/>
        <w:ind w:firstLine="482" w:firstLineChars="200"/>
        <w:rPr>
          <w:rFonts w:hint="eastAsia" w:ascii="仿宋_GB2312" w:hAnsi="仿宋_GB2312" w:eastAsia="仿宋_GB2312" w:cs="仿宋_GB2312"/>
          <w:sz w:val="24"/>
        </w:rPr>
      </w:pPr>
      <w:r>
        <w:rPr>
          <w:rFonts w:hint="eastAsia" w:ascii="楷体" w:hAnsi="楷体" w:eastAsia="楷体" w:cs="楷体"/>
          <w:b/>
          <w:bCs/>
          <w:sz w:val="24"/>
          <w:lang w:eastAsia="zh-CN"/>
        </w:rPr>
        <w:t>（一）评分法，</w:t>
      </w:r>
      <w:r>
        <w:rPr>
          <w:rFonts w:hint="eastAsia" w:ascii="仿宋_GB2312" w:hAnsi="仿宋_GB2312" w:eastAsia="仿宋_GB2312" w:cs="仿宋_GB2312"/>
          <w:sz w:val="24"/>
        </w:rPr>
        <w:t>本项目采用综合评分法，评分因素详见综合评分明细表。</w:t>
      </w:r>
    </w:p>
    <w:p>
      <w:pPr>
        <w:pStyle w:val="29"/>
        <w:ind w:firstLine="482" w:firstLineChars="200"/>
        <w:jc w:val="both"/>
        <w:rPr>
          <w:rFonts w:hint="eastAsia" w:ascii="仿宋_GB2312" w:hAnsi="仿宋_GB2312" w:eastAsia="仿宋_GB2312" w:cs="仿宋_GB2312"/>
        </w:rPr>
      </w:pPr>
      <w:r>
        <w:rPr>
          <w:rFonts w:hint="eastAsia" w:ascii="楷体" w:hAnsi="楷体" w:eastAsia="楷体" w:cs="楷体"/>
          <w:b/>
          <w:bCs/>
          <w:kern w:val="2"/>
          <w:sz w:val="24"/>
          <w:szCs w:val="24"/>
          <w:lang w:val="en-US" w:eastAsia="zh-CN" w:bidi="ar-SA"/>
        </w:rPr>
        <w:t>（二）分工，</w:t>
      </w:r>
      <w:r>
        <w:rPr>
          <w:rFonts w:hint="eastAsia" w:ascii="仿宋_GB2312" w:hAnsi="仿宋_GB2312" w:eastAsia="仿宋_GB2312" w:cs="仿宋_GB2312"/>
        </w:rPr>
        <w:t>评标委员会成员应当根据自身专业情况对每个有效投标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的投标文件进行独立评分，加权汇总每项评分因素的得分，得出每个有效投标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的总分。技术类评分因素由技术方面评标委员会成员独立评分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经济类评分因素由经济方面评标委员会成员独立评分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政策合同类的评分因素由</w:t>
      </w:r>
      <w:r>
        <w:rPr>
          <w:rFonts w:hint="eastAsia" w:ascii="仿宋_GB2312" w:hAnsi="仿宋_GB2312" w:eastAsia="仿宋_GB2312" w:cs="仿宋_GB2312"/>
          <w:lang w:eastAsia="zh-CN"/>
        </w:rPr>
        <w:t>相关</w:t>
      </w:r>
      <w:r>
        <w:rPr>
          <w:rFonts w:hint="eastAsia" w:ascii="仿宋_GB2312" w:hAnsi="仿宋_GB2312" w:eastAsia="仿宋_GB2312" w:cs="仿宋_GB2312"/>
        </w:rPr>
        <w:t>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价格和其他不能明确区分的评分因素由评标委员会成员共同评分。</w:t>
      </w: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（三）综合评分明细表</w:t>
      </w:r>
    </w:p>
    <w:tbl>
      <w:tblPr>
        <w:tblStyle w:val="18"/>
        <w:tblW w:w="9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561"/>
        <w:gridCol w:w="4733"/>
        <w:gridCol w:w="165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序号</w:t>
            </w:r>
          </w:p>
        </w:tc>
        <w:tc>
          <w:tcPr>
            <w:tcW w:w="1119"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评分因素</w:t>
            </w:r>
          </w:p>
          <w:p>
            <w:pPr>
              <w:spacing w:afterLines="50" w:line="240" w:lineRule="auto"/>
              <w:ind w:firstLine="28"/>
              <w:jc w:val="center"/>
              <w:rPr>
                <w:rFonts w:ascii="仿宋" w:hAnsi="仿宋" w:eastAsia="仿宋"/>
                <w:szCs w:val="21"/>
              </w:rPr>
            </w:pPr>
            <w:r>
              <w:rPr>
                <w:rFonts w:hint="eastAsia" w:ascii="仿宋" w:hAnsi="仿宋" w:eastAsia="仿宋"/>
                <w:szCs w:val="21"/>
              </w:rPr>
              <w:t>及权重</w:t>
            </w:r>
          </w:p>
        </w:tc>
        <w:tc>
          <w:tcPr>
            <w:tcW w:w="561"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分　值</w:t>
            </w:r>
          </w:p>
        </w:tc>
        <w:tc>
          <w:tcPr>
            <w:tcW w:w="4733"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评分标准</w:t>
            </w:r>
          </w:p>
        </w:tc>
        <w:tc>
          <w:tcPr>
            <w:tcW w:w="1652" w:type="dxa"/>
            <w:vAlign w:val="center"/>
          </w:tcPr>
          <w:p>
            <w:pPr>
              <w:spacing w:afterLines="50" w:line="240" w:lineRule="auto"/>
              <w:jc w:val="center"/>
              <w:rPr>
                <w:rFonts w:ascii="仿宋" w:hAnsi="仿宋" w:eastAsia="仿宋"/>
                <w:szCs w:val="21"/>
              </w:rPr>
            </w:pPr>
            <w:r>
              <w:rPr>
                <w:rFonts w:hint="eastAsia" w:ascii="仿宋" w:hAnsi="仿宋" w:eastAsia="仿宋"/>
                <w:szCs w:val="21"/>
              </w:rPr>
              <w:t>备注</w:t>
            </w:r>
          </w:p>
        </w:tc>
        <w:tc>
          <w:tcPr>
            <w:tcW w:w="1117" w:type="dxa"/>
            <w:vAlign w:val="center"/>
          </w:tcPr>
          <w:p>
            <w:pPr>
              <w:spacing w:afterLines="50" w:line="240" w:lineRule="auto"/>
              <w:jc w:val="center"/>
              <w:rPr>
                <w:rFonts w:ascii="仿宋" w:hAnsi="仿宋" w:eastAsia="仿宋"/>
                <w:szCs w:val="21"/>
              </w:rPr>
            </w:pPr>
            <w:r>
              <w:rPr>
                <w:rFonts w:hint="eastAsia" w:ascii="仿宋" w:hAnsi="仿宋" w:eastAsia="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1</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报价</w:t>
            </w:r>
            <w:r>
              <w:rPr>
                <w:rFonts w:ascii="仿宋" w:hAnsi="仿宋" w:eastAsia="仿宋"/>
                <w:szCs w:val="21"/>
              </w:rPr>
              <w:t>35%</w:t>
            </w:r>
          </w:p>
          <w:p>
            <w:pPr>
              <w:spacing w:afterLines="50" w:line="240" w:lineRule="auto"/>
              <w:rPr>
                <w:rFonts w:ascii="仿宋" w:hAnsi="仿宋" w:eastAsia="仿宋"/>
                <w:szCs w:val="21"/>
              </w:rPr>
            </w:pP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ascii="仿宋" w:hAnsi="仿宋" w:eastAsia="仿宋"/>
                <w:szCs w:val="21"/>
              </w:rPr>
              <w:t>35</w:t>
            </w:r>
            <w:r>
              <w:rPr>
                <w:rFonts w:hint="eastAsia" w:ascii="仿宋" w:hAnsi="仿宋" w:eastAsia="仿宋"/>
                <w:szCs w:val="21"/>
              </w:rPr>
              <w:t>分</w:t>
            </w:r>
          </w:p>
        </w:tc>
        <w:tc>
          <w:tcPr>
            <w:tcW w:w="4733" w:type="dxa"/>
            <w:vAlign w:val="center"/>
          </w:tcPr>
          <w:p>
            <w:pPr>
              <w:spacing w:afterLines="50" w:line="240" w:lineRule="auto"/>
              <w:jc w:val="left"/>
              <w:rPr>
                <w:rFonts w:ascii="仿宋" w:hAnsi="仿宋" w:eastAsia="仿宋"/>
                <w:szCs w:val="21"/>
              </w:rPr>
            </w:pPr>
            <w:r>
              <w:rPr>
                <w:rFonts w:hint="eastAsia" w:ascii="仿宋" w:hAnsi="仿宋" w:eastAsia="仿宋"/>
                <w:szCs w:val="21"/>
              </w:rPr>
              <w:t xml:space="preserve">满足医学装备采购要求及评分标准要求且投标价格最低的投标报价为基准价，其价格分为满分。其他投标人的价格分统一按照下列公式计算：投标报价得分=(评标基准价／投标报价)* </w:t>
            </w:r>
            <w:r>
              <w:rPr>
                <w:rFonts w:ascii="仿宋" w:hAnsi="仿宋" w:eastAsia="仿宋"/>
                <w:szCs w:val="21"/>
              </w:rPr>
              <w:t>35%</w:t>
            </w:r>
            <w:r>
              <w:rPr>
                <w:rFonts w:hint="eastAsia" w:ascii="仿宋" w:hAnsi="仿宋" w:eastAsia="仿宋"/>
                <w:szCs w:val="21"/>
              </w:rPr>
              <w:t>*100</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ascii="仿宋" w:hAnsi="仿宋" w:eastAsia="仿宋"/>
                <w:szCs w:val="21"/>
              </w:rPr>
              <w:t>2</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商务</w:t>
            </w:r>
            <w:r>
              <w:rPr>
                <w:rFonts w:hint="eastAsia" w:ascii="仿宋" w:hAnsi="仿宋" w:eastAsia="仿宋"/>
                <w:szCs w:val="21"/>
                <w:lang w:eastAsia="zh-CN"/>
              </w:rPr>
              <w:t>及产品</w:t>
            </w:r>
            <w:r>
              <w:rPr>
                <w:rFonts w:hint="eastAsia" w:ascii="仿宋" w:hAnsi="仿宋" w:eastAsia="仿宋"/>
                <w:szCs w:val="21"/>
              </w:rPr>
              <w:t>要求53</w:t>
            </w:r>
            <w:r>
              <w:rPr>
                <w:rFonts w:ascii="仿宋" w:hAnsi="仿宋" w:eastAsia="仿宋"/>
                <w:szCs w:val="21"/>
              </w:rPr>
              <w:t>%</w:t>
            </w: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53分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完全符合医学装备采购要求</w:t>
            </w:r>
            <w:r>
              <w:rPr>
                <w:rFonts w:hint="eastAsia" w:ascii="仿宋" w:hAnsi="仿宋" w:eastAsia="仿宋"/>
                <w:szCs w:val="21"/>
                <w:lang w:eastAsia="zh-CN"/>
              </w:rPr>
              <w:t>中“二、</w:t>
            </w:r>
            <w:r>
              <w:rPr>
                <w:rFonts w:hint="eastAsia" w:ascii="仿宋" w:hAnsi="仿宋" w:eastAsia="仿宋"/>
                <w:szCs w:val="21"/>
              </w:rPr>
              <w:t>商务</w:t>
            </w:r>
            <w:r>
              <w:rPr>
                <w:rFonts w:hint="eastAsia" w:ascii="仿宋" w:hAnsi="仿宋" w:eastAsia="仿宋"/>
                <w:szCs w:val="21"/>
                <w:lang w:eastAsia="zh-CN"/>
              </w:rPr>
              <w:t>要求、四、产品要求”，</w:t>
            </w:r>
            <w:r>
              <w:rPr>
                <w:rFonts w:hint="eastAsia" w:ascii="仿宋" w:hAnsi="仿宋" w:eastAsia="仿宋"/>
                <w:szCs w:val="21"/>
              </w:rPr>
              <w:t>没有负偏离得</w:t>
            </w:r>
            <w:r>
              <w:rPr>
                <w:rFonts w:hint="eastAsia" w:ascii="仿宋" w:hAnsi="仿宋" w:eastAsia="仿宋"/>
                <w:szCs w:val="21"/>
                <w:lang w:val="en-US" w:eastAsia="zh-CN"/>
              </w:rPr>
              <w:t>53</w:t>
            </w:r>
            <w:r>
              <w:rPr>
                <w:rFonts w:hint="eastAsia" w:ascii="仿宋" w:hAnsi="仿宋" w:eastAsia="仿宋"/>
                <w:szCs w:val="21"/>
              </w:rPr>
              <w:t>分；低要求的（负偏离），“★”号</w:t>
            </w:r>
            <w:r>
              <w:rPr>
                <w:rFonts w:ascii="仿宋" w:hAnsi="仿宋" w:eastAsia="仿宋"/>
                <w:szCs w:val="21"/>
              </w:rPr>
              <w:t>条款负偏离</w:t>
            </w:r>
            <w:r>
              <w:rPr>
                <w:rFonts w:hint="eastAsia" w:ascii="仿宋" w:hAnsi="仿宋" w:eastAsia="仿宋"/>
                <w:szCs w:val="21"/>
              </w:rPr>
              <w:t>一项扣</w:t>
            </w:r>
            <w:r>
              <w:rPr>
                <w:rFonts w:ascii="仿宋" w:hAnsi="仿宋" w:eastAsia="仿宋"/>
                <w:szCs w:val="21"/>
              </w:rPr>
              <w:t>5</w:t>
            </w:r>
            <w:r>
              <w:rPr>
                <w:rFonts w:hint="eastAsia" w:ascii="仿宋" w:hAnsi="仿宋" w:eastAsia="仿宋"/>
                <w:szCs w:val="21"/>
              </w:rPr>
              <w:t>分，一般</w:t>
            </w:r>
            <w:r>
              <w:rPr>
                <w:rFonts w:ascii="仿宋" w:hAnsi="仿宋" w:eastAsia="仿宋"/>
                <w:szCs w:val="21"/>
              </w:rPr>
              <w:t>条款负偏离一项扣2</w:t>
            </w:r>
            <w:r>
              <w:rPr>
                <w:rFonts w:hint="eastAsia" w:ascii="仿宋" w:hAnsi="仿宋" w:eastAsia="仿宋"/>
                <w:szCs w:val="21"/>
              </w:rPr>
              <w:t>分，</w:t>
            </w:r>
            <w:r>
              <w:rPr>
                <w:rFonts w:ascii="仿宋" w:hAnsi="仿宋" w:eastAsia="仿宋"/>
                <w:szCs w:val="21"/>
              </w:rPr>
              <w:t xml:space="preserve">扣完为止。 </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所有响应</w:t>
            </w:r>
            <w:r>
              <w:rPr>
                <w:rFonts w:hint="eastAsia" w:ascii="仿宋" w:hAnsi="仿宋" w:eastAsia="仿宋"/>
                <w:szCs w:val="21"/>
                <w:lang w:eastAsia="zh-CN"/>
              </w:rPr>
              <w:t>要求</w:t>
            </w:r>
            <w:r>
              <w:rPr>
                <w:rFonts w:hint="eastAsia" w:ascii="仿宋" w:hAnsi="仿宋" w:eastAsia="仿宋"/>
                <w:szCs w:val="21"/>
              </w:rPr>
              <w:t>需提供相应证明文件，不能提供者视为不能响应，以相应国家机关证明优于地方机关证明、地方机关证明优于自我证明为原则</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3</w:t>
            </w:r>
          </w:p>
        </w:tc>
        <w:tc>
          <w:tcPr>
            <w:tcW w:w="1119" w:type="dxa"/>
            <w:vAlign w:val="center"/>
          </w:tcPr>
          <w:p>
            <w:pPr>
              <w:spacing w:afterLines="50" w:line="240" w:lineRule="auto"/>
              <w:rPr>
                <w:rFonts w:hint="eastAsia" w:ascii="仿宋" w:hAnsi="仿宋" w:eastAsia="仿宋"/>
                <w:szCs w:val="21"/>
              </w:rPr>
            </w:pPr>
            <w:r>
              <w:rPr>
                <w:rFonts w:hint="eastAsia" w:ascii="仿宋" w:hAnsi="仿宋" w:eastAsia="仿宋"/>
                <w:szCs w:val="21"/>
              </w:rPr>
              <w:t>售后服务4%</w:t>
            </w:r>
          </w:p>
        </w:tc>
        <w:tc>
          <w:tcPr>
            <w:tcW w:w="561" w:type="dxa"/>
            <w:vAlign w:val="center"/>
          </w:tcPr>
          <w:p>
            <w:pPr>
              <w:spacing w:afterLines="50" w:line="240" w:lineRule="auto"/>
              <w:rPr>
                <w:rFonts w:hint="eastAsia" w:ascii="仿宋" w:hAnsi="仿宋" w:eastAsia="仿宋"/>
                <w:szCs w:val="21"/>
              </w:rPr>
            </w:pPr>
            <w:r>
              <w:rPr>
                <w:rFonts w:hint="eastAsia" w:ascii="仿宋" w:hAnsi="仿宋" w:eastAsia="仿宋"/>
                <w:szCs w:val="21"/>
              </w:rPr>
              <w:t>4分</w:t>
            </w:r>
          </w:p>
        </w:tc>
        <w:tc>
          <w:tcPr>
            <w:tcW w:w="4733" w:type="dxa"/>
            <w:vAlign w:val="center"/>
          </w:tcPr>
          <w:p>
            <w:pPr>
              <w:spacing w:afterLines="50" w:line="240" w:lineRule="auto"/>
              <w:rPr>
                <w:rFonts w:hint="eastAsia" w:ascii="仿宋" w:hAnsi="仿宋" w:eastAsia="仿宋"/>
                <w:szCs w:val="21"/>
              </w:rPr>
            </w:pPr>
            <w:r>
              <w:rPr>
                <w:rFonts w:hint="eastAsia" w:ascii="仿宋" w:hAnsi="仿宋" w:eastAsia="仿宋"/>
                <w:szCs w:val="21"/>
              </w:rPr>
              <w:t>完全满足医学装备采购要求</w:t>
            </w:r>
            <w:r>
              <w:rPr>
                <w:rFonts w:hint="eastAsia" w:ascii="仿宋" w:hAnsi="仿宋" w:eastAsia="仿宋"/>
                <w:szCs w:val="21"/>
                <w:lang w:eastAsia="zh-CN"/>
              </w:rPr>
              <w:t>“三、售后服务”</w:t>
            </w:r>
            <w:r>
              <w:rPr>
                <w:rFonts w:hint="eastAsia" w:ascii="仿宋" w:hAnsi="仿宋" w:eastAsia="仿宋"/>
                <w:szCs w:val="21"/>
              </w:rPr>
              <w:t>的得4分，低于招标文件第六章要求的（负偏离），一项扣1分，扣完为止。</w:t>
            </w:r>
          </w:p>
        </w:tc>
        <w:tc>
          <w:tcPr>
            <w:tcW w:w="1652" w:type="dxa"/>
            <w:vAlign w:val="center"/>
          </w:tcPr>
          <w:p>
            <w:pPr>
              <w:spacing w:afterLines="50" w:line="240" w:lineRule="auto"/>
              <w:rPr>
                <w:rFonts w:hint="eastAsia" w:ascii="仿宋" w:hAnsi="仿宋" w:eastAsia="仿宋"/>
                <w:szCs w:val="21"/>
              </w:rPr>
            </w:pPr>
          </w:p>
        </w:tc>
        <w:tc>
          <w:tcPr>
            <w:tcW w:w="1117" w:type="dxa"/>
            <w:vAlign w:val="center"/>
          </w:tcPr>
          <w:p>
            <w:pPr>
              <w:spacing w:afterLines="50" w:line="240" w:lineRule="auto"/>
              <w:rPr>
                <w:rFonts w:hint="eastAsia"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4</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投标人及所投产品制造厂家综合实力3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投标人或所投产品制造厂家具有</w:t>
            </w:r>
            <w:r>
              <w:rPr>
                <w:rFonts w:ascii="仿宋" w:hAnsi="仿宋" w:eastAsia="仿宋"/>
                <w:szCs w:val="21"/>
              </w:rPr>
              <w:t>ISO9001</w:t>
            </w:r>
            <w:r>
              <w:rPr>
                <w:rFonts w:hint="eastAsia" w:ascii="仿宋" w:hAnsi="仿宋" w:eastAsia="仿宋"/>
                <w:szCs w:val="21"/>
              </w:rPr>
              <w:t>认证证书、</w:t>
            </w:r>
            <w:r>
              <w:rPr>
                <w:rFonts w:ascii="仿宋" w:hAnsi="仿宋" w:eastAsia="仿宋"/>
                <w:szCs w:val="21"/>
              </w:rPr>
              <w:t>ISO13485</w:t>
            </w:r>
            <w:r>
              <w:rPr>
                <w:rFonts w:hint="eastAsia" w:ascii="仿宋" w:hAnsi="仿宋" w:eastAsia="仿宋"/>
                <w:szCs w:val="21"/>
              </w:rPr>
              <w:t>认证证书、</w:t>
            </w:r>
            <w:r>
              <w:rPr>
                <w:rFonts w:ascii="仿宋" w:hAnsi="仿宋" w:eastAsia="仿宋"/>
                <w:szCs w:val="21"/>
              </w:rPr>
              <w:t>ISO14001</w:t>
            </w:r>
            <w:r>
              <w:rPr>
                <w:rFonts w:hint="eastAsia" w:ascii="仿宋" w:hAnsi="仿宋" w:eastAsia="仿宋"/>
                <w:szCs w:val="21"/>
              </w:rPr>
              <w:t>认证证书，每提供一个得</w:t>
            </w:r>
            <w:r>
              <w:rPr>
                <w:rFonts w:ascii="仿宋" w:hAnsi="仿宋" w:eastAsia="仿宋"/>
                <w:szCs w:val="21"/>
              </w:rPr>
              <w:t>1</w:t>
            </w:r>
            <w:r>
              <w:rPr>
                <w:rFonts w:hint="eastAsia" w:ascii="仿宋" w:hAnsi="仿宋" w:eastAsia="仿宋"/>
                <w:szCs w:val="21"/>
              </w:rPr>
              <w:t>分，最多得</w:t>
            </w:r>
            <w:r>
              <w:rPr>
                <w:rFonts w:ascii="仿宋" w:hAnsi="仿宋" w:eastAsia="仿宋"/>
                <w:szCs w:val="21"/>
              </w:rPr>
              <w:t>3</w:t>
            </w:r>
            <w:r>
              <w:rPr>
                <w:rFonts w:hint="eastAsia" w:ascii="仿宋" w:hAnsi="仿宋" w:eastAsia="仿宋"/>
                <w:szCs w:val="21"/>
              </w:rPr>
              <w:t>分。</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提供证书复印件并加盖投标人鲜章。</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5</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业绩3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评标委员会根据</w:t>
            </w:r>
            <w:r>
              <w:rPr>
                <w:rFonts w:ascii="仿宋" w:hAnsi="仿宋" w:eastAsia="仿宋"/>
                <w:szCs w:val="21"/>
              </w:rPr>
              <w:t>同类</w:t>
            </w:r>
            <w:r>
              <w:rPr>
                <w:rFonts w:hint="eastAsia" w:ascii="仿宋" w:hAnsi="仿宋" w:eastAsia="仿宋"/>
                <w:szCs w:val="21"/>
              </w:rPr>
              <w:t>产品（设备</w:t>
            </w:r>
            <w:r>
              <w:rPr>
                <w:rFonts w:ascii="仿宋" w:hAnsi="仿宋" w:eastAsia="仿宋"/>
                <w:szCs w:val="21"/>
              </w:rPr>
              <w:t>及耗材</w:t>
            </w:r>
            <w:r>
              <w:rPr>
                <w:rFonts w:hint="eastAsia" w:ascii="仿宋" w:hAnsi="仿宋" w:eastAsia="仿宋"/>
                <w:szCs w:val="21"/>
              </w:rPr>
              <w:t>）销售业绩（</w:t>
            </w:r>
            <w:r>
              <w:rPr>
                <w:rFonts w:ascii="仿宋" w:hAnsi="仿宋" w:eastAsia="仿宋"/>
                <w:szCs w:val="21"/>
              </w:rPr>
              <w:t>201</w:t>
            </w:r>
            <w:r>
              <w:rPr>
                <w:rFonts w:hint="eastAsia" w:ascii="仿宋" w:hAnsi="仿宋" w:eastAsia="仿宋"/>
                <w:szCs w:val="21"/>
              </w:rPr>
              <w:t>7年</w:t>
            </w:r>
            <w:r>
              <w:rPr>
                <w:rFonts w:ascii="仿宋" w:hAnsi="仿宋" w:eastAsia="仿宋"/>
                <w:szCs w:val="21"/>
              </w:rPr>
              <w:t>-</w:t>
            </w:r>
            <w:r>
              <w:rPr>
                <w:rFonts w:hint="eastAsia" w:ascii="仿宋" w:hAnsi="仿宋" w:eastAsia="仿宋"/>
                <w:szCs w:val="21"/>
              </w:rPr>
              <w:t>至递交投标文件截止日）进行评定，每</w:t>
            </w:r>
            <w:r>
              <w:rPr>
                <w:rFonts w:ascii="仿宋" w:hAnsi="仿宋" w:eastAsia="仿宋"/>
                <w:szCs w:val="21"/>
              </w:rPr>
              <w:t>提供一个</w:t>
            </w:r>
            <w:r>
              <w:rPr>
                <w:rFonts w:hint="eastAsia" w:ascii="仿宋" w:hAnsi="仿宋" w:eastAsia="仿宋"/>
                <w:szCs w:val="21"/>
              </w:rPr>
              <w:t>同类</w:t>
            </w:r>
            <w:r>
              <w:rPr>
                <w:rFonts w:ascii="仿宋" w:hAnsi="仿宋" w:eastAsia="仿宋"/>
                <w:szCs w:val="21"/>
              </w:rPr>
              <w:t>设备</w:t>
            </w:r>
            <w:r>
              <w:rPr>
                <w:rFonts w:hint="eastAsia" w:ascii="仿宋" w:hAnsi="仿宋" w:eastAsia="仿宋"/>
                <w:szCs w:val="21"/>
              </w:rPr>
              <w:t>及耗材</w:t>
            </w:r>
            <w:r>
              <w:rPr>
                <w:rFonts w:ascii="仿宋" w:hAnsi="仿宋" w:eastAsia="仿宋"/>
                <w:szCs w:val="21"/>
              </w:rPr>
              <w:t>业绩得0.5</w:t>
            </w:r>
            <w:r>
              <w:rPr>
                <w:rFonts w:hint="eastAsia" w:ascii="仿宋" w:hAnsi="仿宋" w:eastAsia="仿宋"/>
                <w:szCs w:val="21"/>
              </w:rPr>
              <w:t>分</w:t>
            </w:r>
            <w:r>
              <w:rPr>
                <w:rFonts w:ascii="仿宋" w:hAnsi="仿宋" w:eastAsia="仿宋"/>
                <w:szCs w:val="21"/>
              </w:rPr>
              <w:t>，最多得</w:t>
            </w:r>
            <w:r>
              <w:rPr>
                <w:rFonts w:hint="eastAsia" w:ascii="仿宋" w:hAnsi="仿宋" w:eastAsia="仿宋"/>
                <w:szCs w:val="21"/>
              </w:rPr>
              <w:t>3分</w:t>
            </w:r>
            <w:r>
              <w:rPr>
                <w:rFonts w:ascii="仿宋" w:hAnsi="仿宋" w:eastAsia="仿宋"/>
                <w:szCs w:val="21"/>
              </w:rPr>
              <w:t xml:space="preserve">； </w:t>
            </w:r>
          </w:p>
        </w:tc>
        <w:tc>
          <w:tcPr>
            <w:tcW w:w="1652" w:type="dxa"/>
            <w:vAlign w:val="center"/>
          </w:tcPr>
          <w:p>
            <w:pPr>
              <w:spacing w:afterLines="50" w:line="240" w:lineRule="auto"/>
              <w:rPr>
                <w:rFonts w:ascii="仿宋" w:hAnsi="仿宋" w:eastAsia="仿宋" w:cs="仿宋"/>
                <w:szCs w:val="21"/>
              </w:rPr>
            </w:pPr>
            <w:r>
              <w:rPr>
                <w:rFonts w:hint="eastAsia" w:ascii="仿宋" w:hAnsi="仿宋" w:eastAsia="仿宋"/>
                <w:szCs w:val="21"/>
              </w:rPr>
              <w:t>提供销售合同或中标通知书复印件</w:t>
            </w:r>
          </w:p>
        </w:tc>
        <w:tc>
          <w:tcPr>
            <w:tcW w:w="1117" w:type="dxa"/>
            <w:vAlign w:val="center"/>
          </w:tcPr>
          <w:p>
            <w:pPr>
              <w:spacing w:afterLines="50" w:line="240" w:lineRule="auto"/>
              <w:rPr>
                <w:rFonts w:ascii="仿宋" w:hAnsi="仿宋" w:eastAsia="仿宋" w:cs="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投标文件的规范性</w:t>
            </w:r>
            <w:r>
              <w:rPr>
                <w:rFonts w:hint="eastAsia" w:ascii="仿宋" w:hAnsi="仿宋" w:eastAsia="仿宋"/>
                <w:szCs w:val="21"/>
                <w:lang w:val="en-US" w:eastAsia="zh-CN"/>
              </w:rPr>
              <w:t>2</w:t>
            </w:r>
            <w:r>
              <w:rPr>
                <w:rFonts w:hint="eastAsia"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投标文件制作规范，没有细微偏差情形的得</w:t>
            </w:r>
            <w:r>
              <w:rPr>
                <w:rFonts w:hint="eastAsia" w:ascii="仿宋" w:hAnsi="仿宋" w:eastAsia="仿宋"/>
                <w:szCs w:val="21"/>
                <w:lang w:val="en-US" w:eastAsia="zh-CN"/>
              </w:rPr>
              <w:t>2</w:t>
            </w:r>
            <w:r>
              <w:rPr>
                <w:rFonts w:hint="eastAsia" w:ascii="仿宋" w:hAnsi="仿宋" w:eastAsia="仿宋"/>
                <w:szCs w:val="21"/>
              </w:rPr>
              <w:t>分；有一项细微偏差扣0.5分，直至该项分值扣完为止。</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bl>
    <w:p>
      <w:pPr>
        <w:pStyle w:val="13"/>
      </w:pPr>
      <w:r>
        <w:rPr>
          <w:rFonts w:ascii="黑体" w:hAnsi="黑体" w:eastAsia="黑体"/>
          <w:szCs w:val="21"/>
        </w:rPr>
        <w:br w:type="page"/>
      </w:r>
    </w:p>
    <w:p>
      <w:pPr>
        <w:pStyle w:val="34"/>
        <w:rPr>
          <w:rFonts w:hint="eastAsia"/>
          <w:lang w:eastAsia="zh-CN"/>
        </w:rPr>
      </w:pPr>
      <w:bookmarkStart w:id="21" w:name="_Toc17767_WPSOffice_Level1"/>
      <w:r>
        <w:rPr>
          <w:rFonts w:hint="eastAsia"/>
          <w:lang w:eastAsia="zh-CN"/>
        </w:rPr>
        <w:t>第四章　采购合同</w:t>
      </w:r>
      <w:bookmarkEnd w:id="21"/>
    </w:p>
    <w:p>
      <w:pPr>
        <w:pStyle w:val="13"/>
        <w:rPr>
          <w:rFonts w:hint="eastAsia" w:ascii="方正小标宋简体" w:hAnsi="方正小标宋简体" w:eastAsia="方正小标宋简体" w:cs="方正小标宋简体"/>
          <w:b w:val="0"/>
          <w:sz w:val="24"/>
          <w:szCs w:val="24"/>
        </w:rPr>
      </w:pPr>
      <w:r>
        <w:rPr>
          <w:rFonts w:hint="eastAsia" w:ascii="方正小标宋简体" w:hAnsi="方正小标宋简体" w:eastAsia="方正小标宋简体" w:cs="方正小标宋简体"/>
          <w:b w:val="0"/>
          <w:sz w:val="24"/>
          <w:szCs w:val="24"/>
        </w:rPr>
        <w:t>采购合同</w:t>
      </w:r>
    </w:p>
    <w:p>
      <w:pPr>
        <w:snapToGrid w:val="0"/>
        <w:spacing w:line="400" w:lineRule="exact"/>
        <w:rPr>
          <w:rFonts w:hint="eastAsia" w:ascii="仿宋_GB2312" w:hAnsi="仿宋_GB2312" w:eastAsia="仿宋_GB2312" w:cs="仿宋_GB2312"/>
          <w:sz w:val="24"/>
          <w:szCs w:val="24"/>
        </w:rPr>
      </w:pP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合同编号：</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签订地点：四川省资阳市</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采购人（甲方）：资阳市第一人民医院</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（乙方）：</w:t>
      </w:r>
    </w:p>
    <w:p>
      <w:pPr>
        <w:pStyle w:val="30"/>
        <w:snapToGrid w:val="0"/>
        <w:spacing w:line="240" w:lineRule="auto"/>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根据《中华人民共和国政府采购法》、《中华人民共和国合同法》及采购项目    （项目编号：   ）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hint="eastAsia" w:ascii="黑体" w:hAnsi="黑体" w:eastAsia="黑体" w:cs="黑体"/>
          <w:sz w:val="24"/>
          <w:szCs w:val="24"/>
        </w:rPr>
      </w:pPr>
      <w:bookmarkStart w:id="22" w:name="_Toc217446107"/>
      <w:r>
        <w:rPr>
          <w:rFonts w:hint="eastAsia" w:ascii="黑体" w:hAnsi="黑体" w:eastAsia="黑体" w:cs="黑体"/>
          <w:sz w:val="24"/>
          <w:szCs w:val="24"/>
        </w:rPr>
        <w:t>一、合同产品</w:t>
      </w:r>
      <w:bookmarkEnd w:id="22"/>
    </w:p>
    <w:tbl>
      <w:tblPr>
        <w:tblStyle w:val="18"/>
        <w:tblW w:w="8957" w:type="dxa"/>
        <w:jc w:val="center"/>
        <w:tblInd w:w="-5" w:type="dxa"/>
        <w:shd w:val="clear" w:color="auto" w:fill="FFFFFF"/>
        <w:tblLayout w:type="fixed"/>
        <w:tblCellMar>
          <w:top w:w="0" w:type="dxa"/>
          <w:left w:w="0" w:type="dxa"/>
          <w:bottom w:w="0" w:type="dxa"/>
          <w:right w:w="0" w:type="dxa"/>
        </w:tblCellMar>
      </w:tblPr>
      <w:tblGrid>
        <w:gridCol w:w="1694"/>
        <w:gridCol w:w="894"/>
        <w:gridCol w:w="743"/>
        <w:gridCol w:w="1223"/>
        <w:gridCol w:w="1431"/>
        <w:gridCol w:w="1965"/>
        <w:gridCol w:w="1007"/>
      </w:tblGrid>
      <w:tr>
        <w:tblPrEx>
          <w:shd w:val="clear" w:color="auto" w:fill="FFFFFF"/>
          <w:tblLayout w:type="fixed"/>
          <w:tblCellMar>
            <w:top w:w="0" w:type="dxa"/>
            <w:left w:w="0" w:type="dxa"/>
            <w:bottom w:w="0" w:type="dxa"/>
            <w:right w:w="0" w:type="dxa"/>
          </w:tblCellMar>
        </w:tblPrEx>
        <w:trPr>
          <w:trHeight w:val="705" w:hRule="atLeast"/>
          <w:jc w:val="center"/>
        </w:trPr>
        <w:tc>
          <w:tcPr>
            <w:tcW w:w="1694" w:type="dxa"/>
            <w:tcBorders>
              <w:top w:val="single" w:color="auto" w:sz="8" w:space="0"/>
              <w:left w:val="single" w:color="auto" w:sz="4" w:space="0"/>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注册证名称</w:t>
            </w:r>
          </w:p>
        </w:tc>
        <w:tc>
          <w:tcPr>
            <w:tcW w:w="894"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规格</w:t>
            </w:r>
          </w:p>
        </w:tc>
        <w:tc>
          <w:tcPr>
            <w:tcW w:w="743"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单位</w:t>
            </w:r>
          </w:p>
        </w:tc>
        <w:tc>
          <w:tcPr>
            <w:tcW w:w="1223" w:type="dxa"/>
            <w:tcBorders>
              <w:top w:val="single" w:color="auto" w:sz="8" w:space="0"/>
              <w:left w:val="nil"/>
              <w:bottom w:val="single" w:color="auto" w:sz="8" w:space="0"/>
              <w:right w:val="single" w:color="auto" w:sz="4"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价格（元）</w:t>
            </w:r>
          </w:p>
        </w:tc>
        <w:tc>
          <w:tcPr>
            <w:tcW w:w="143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生产厂家</w:t>
            </w:r>
          </w:p>
        </w:tc>
        <w:tc>
          <w:tcPr>
            <w:tcW w:w="19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注册证号</w:t>
            </w:r>
          </w:p>
        </w:tc>
        <w:tc>
          <w:tcPr>
            <w:tcW w:w="100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w:t>
            </w:r>
          </w:p>
          <w:p>
            <w:pPr>
              <w:snapToGrid w:val="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流水号</w:t>
            </w:r>
          </w:p>
        </w:tc>
      </w:tr>
      <w:tr>
        <w:tblPrEx>
          <w:tblLayout w:type="fixed"/>
          <w:tblCellMar>
            <w:top w:w="0" w:type="dxa"/>
            <w:left w:w="0" w:type="dxa"/>
            <w:bottom w:w="0" w:type="dxa"/>
            <w:right w:w="0" w:type="dxa"/>
          </w:tblCellMar>
        </w:tblPrEx>
        <w:trPr>
          <w:trHeight w:val="705" w:hRule="atLeast"/>
          <w:jc w:val="center"/>
        </w:trPr>
        <w:tc>
          <w:tcPr>
            <w:tcW w:w="1694" w:type="dxa"/>
            <w:tcBorders>
              <w:top w:val="single" w:color="auto" w:sz="8" w:space="0"/>
              <w:left w:val="single" w:color="auto" w:sz="4" w:space="0"/>
              <w:bottom w:val="single" w:color="auto" w:sz="8" w:space="0"/>
              <w:right w:val="single" w:color="auto" w:sz="8" w:space="0"/>
            </w:tcBorders>
            <w:shd w:val="clear" w:color="auto" w:fill="FFFFFF"/>
            <w:vAlign w:val="center"/>
          </w:tcPr>
          <w:p>
            <w:pPr>
              <w:snapToGrid w:val="0"/>
              <w:rPr>
                <w:rFonts w:hint="eastAsia" w:ascii="仿宋_GB2312" w:hAnsi="仿宋_GB2312" w:eastAsia="仿宋_GB2312" w:cs="仿宋_GB2312"/>
                <w:sz w:val="21"/>
                <w:szCs w:val="21"/>
              </w:rPr>
            </w:pPr>
          </w:p>
        </w:tc>
        <w:tc>
          <w:tcPr>
            <w:tcW w:w="894"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p>
        </w:tc>
        <w:tc>
          <w:tcPr>
            <w:tcW w:w="743"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p>
        </w:tc>
        <w:tc>
          <w:tcPr>
            <w:tcW w:w="1223" w:type="dxa"/>
            <w:tcBorders>
              <w:top w:val="single" w:color="auto" w:sz="8" w:space="0"/>
              <w:left w:val="nil"/>
              <w:bottom w:val="single" w:color="auto" w:sz="8" w:space="0"/>
              <w:right w:val="single" w:color="auto" w:sz="4" w:space="0"/>
            </w:tcBorders>
            <w:shd w:val="clear" w:color="auto" w:fill="FFFFFF"/>
            <w:vAlign w:val="center"/>
          </w:tcPr>
          <w:p>
            <w:pPr>
              <w:widowControl/>
              <w:snapToGrid w:val="0"/>
              <w:spacing w:line="520" w:lineRule="exact"/>
              <w:jc w:val="right"/>
              <w:textAlignment w:val="baseline"/>
              <w:rPr>
                <w:rFonts w:hint="eastAsia" w:ascii="仿宋_GB2312" w:hAnsi="仿宋_GB2312" w:eastAsia="仿宋_GB2312" w:cs="仿宋_GB2312"/>
                <w:kern w:val="0"/>
                <w:sz w:val="21"/>
                <w:szCs w:val="21"/>
              </w:rPr>
            </w:pPr>
          </w:p>
        </w:tc>
        <w:tc>
          <w:tcPr>
            <w:tcW w:w="143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21"/>
                <w:szCs w:val="21"/>
              </w:rPr>
            </w:pPr>
          </w:p>
        </w:tc>
        <w:tc>
          <w:tcPr>
            <w:tcW w:w="19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21"/>
                <w:szCs w:val="21"/>
              </w:rPr>
            </w:pPr>
          </w:p>
        </w:tc>
        <w:tc>
          <w:tcPr>
            <w:tcW w:w="100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hint="eastAsia" w:ascii="仿宋_GB2312" w:hAnsi="仿宋_GB2312" w:eastAsia="仿宋_GB2312" w:cs="仿宋_GB2312"/>
                <w:kern w:val="0"/>
                <w:sz w:val="21"/>
                <w:szCs w:val="21"/>
              </w:rPr>
            </w:pPr>
          </w:p>
        </w:tc>
      </w:tr>
      <w:tr>
        <w:tblPrEx>
          <w:tblLayout w:type="fixed"/>
          <w:tblCellMar>
            <w:top w:w="0" w:type="dxa"/>
            <w:left w:w="0" w:type="dxa"/>
            <w:bottom w:w="0" w:type="dxa"/>
            <w:right w:w="0" w:type="dxa"/>
          </w:tblCellMar>
        </w:tblPrEx>
        <w:trPr>
          <w:trHeight w:val="705" w:hRule="atLeast"/>
          <w:jc w:val="center"/>
        </w:trPr>
        <w:tc>
          <w:tcPr>
            <w:tcW w:w="1694" w:type="dxa"/>
            <w:tcBorders>
              <w:top w:val="single" w:color="auto" w:sz="8" w:space="0"/>
              <w:left w:val="single" w:color="auto" w:sz="4" w:space="0"/>
              <w:bottom w:val="single" w:color="auto" w:sz="8" w:space="0"/>
              <w:right w:val="single" w:color="auto" w:sz="8" w:space="0"/>
            </w:tcBorders>
            <w:shd w:val="clear" w:color="auto" w:fill="FFFFFF"/>
            <w:vAlign w:val="center"/>
          </w:tcPr>
          <w:p>
            <w:pPr>
              <w:snapToGrid w:val="0"/>
              <w:rPr>
                <w:rFonts w:hint="eastAsia" w:ascii="仿宋_GB2312" w:hAnsi="仿宋_GB2312" w:eastAsia="仿宋_GB2312" w:cs="仿宋_GB2312"/>
                <w:sz w:val="21"/>
                <w:szCs w:val="21"/>
              </w:rPr>
            </w:pPr>
          </w:p>
        </w:tc>
        <w:tc>
          <w:tcPr>
            <w:tcW w:w="894"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p>
        </w:tc>
        <w:tc>
          <w:tcPr>
            <w:tcW w:w="743"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p>
        </w:tc>
        <w:tc>
          <w:tcPr>
            <w:tcW w:w="1223" w:type="dxa"/>
            <w:tcBorders>
              <w:top w:val="single" w:color="auto" w:sz="8" w:space="0"/>
              <w:left w:val="nil"/>
              <w:bottom w:val="single" w:color="auto" w:sz="8" w:space="0"/>
              <w:right w:val="single" w:color="auto" w:sz="4" w:space="0"/>
            </w:tcBorders>
            <w:shd w:val="clear" w:color="auto" w:fill="FFFFFF"/>
            <w:vAlign w:val="center"/>
          </w:tcPr>
          <w:p>
            <w:pPr>
              <w:widowControl/>
              <w:snapToGrid w:val="0"/>
              <w:spacing w:line="520" w:lineRule="exact"/>
              <w:jc w:val="right"/>
              <w:textAlignment w:val="baseline"/>
              <w:rPr>
                <w:rFonts w:hint="eastAsia" w:ascii="仿宋_GB2312" w:hAnsi="仿宋_GB2312" w:eastAsia="仿宋_GB2312" w:cs="仿宋_GB2312"/>
                <w:kern w:val="0"/>
                <w:sz w:val="21"/>
                <w:szCs w:val="21"/>
              </w:rPr>
            </w:pPr>
          </w:p>
        </w:tc>
        <w:tc>
          <w:tcPr>
            <w:tcW w:w="143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21"/>
                <w:szCs w:val="21"/>
              </w:rPr>
            </w:pPr>
          </w:p>
        </w:tc>
        <w:tc>
          <w:tcPr>
            <w:tcW w:w="19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21"/>
                <w:szCs w:val="21"/>
              </w:rPr>
            </w:pPr>
          </w:p>
        </w:tc>
        <w:tc>
          <w:tcPr>
            <w:tcW w:w="100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hint="eastAsia" w:ascii="仿宋_GB2312" w:hAnsi="仿宋_GB2312" w:eastAsia="仿宋_GB2312" w:cs="仿宋_GB2312"/>
                <w:kern w:val="0"/>
                <w:sz w:val="21"/>
                <w:szCs w:val="21"/>
              </w:rPr>
            </w:pPr>
          </w:p>
        </w:tc>
      </w:tr>
    </w:tbl>
    <w:p>
      <w:pPr>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ind w:firstLine="480" w:firstLineChars="200"/>
        <w:rPr>
          <w:rFonts w:hint="eastAsia" w:ascii="黑体" w:hAnsi="黑体" w:eastAsia="黑体" w:cs="黑体"/>
          <w:sz w:val="24"/>
          <w:szCs w:val="24"/>
        </w:rPr>
      </w:pPr>
      <w:bookmarkStart w:id="23" w:name="_Toc217446108"/>
      <w:r>
        <w:rPr>
          <w:rFonts w:hint="eastAsia" w:ascii="黑体" w:hAnsi="黑体" w:eastAsia="黑体" w:cs="黑体"/>
          <w:sz w:val="24"/>
          <w:szCs w:val="24"/>
        </w:rPr>
        <w:t>二、合同</w:t>
      </w:r>
      <w:bookmarkEnd w:id="23"/>
      <w:r>
        <w:rPr>
          <w:rFonts w:hint="eastAsia" w:ascii="黑体" w:hAnsi="黑体" w:eastAsia="黑体" w:cs="黑体"/>
          <w:sz w:val="24"/>
          <w:szCs w:val="24"/>
        </w:rPr>
        <w:t>价格</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对高于“四川省医用耗材集中挂网阳光采购系统”、“体外诊断试剂阳光采购系统”当时最低配送价格进入甲方的产品，如乙方在半年内进行二次及以上价格调整的，每次承担违约金1000元/次/项。</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乙方承诺按国家法律法规和甲方规章制度合法经营，并签订《廉洁购销合同》（附后）。</w:t>
      </w:r>
    </w:p>
    <w:p>
      <w:pPr>
        <w:ind w:firstLine="480" w:firstLineChars="200"/>
        <w:rPr>
          <w:rFonts w:hint="eastAsia" w:ascii="黑体" w:hAnsi="黑体" w:eastAsia="黑体" w:cs="黑体"/>
          <w:sz w:val="24"/>
          <w:szCs w:val="24"/>
        </w:rPr>
      </w:pPr>
      <w:bookmarkStart w:id="24" w:name="_Toc217446109"/>
      <w:r>
        <w:rPr>
          <w:rFonts w:hint="eastAsia" w:ascii="黑体" w:hAnsi="黑体" w:eastAsia="黑体" w:cs="黑体"/>
          <w:sz w:val="24"/>
          <w:szCs w:val="24"/>
        </w:rPr>
        <w:t>三、质量要求</w:t>
      </w:r>
      <w:bookmarkEnd w:id="24"/>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乙方须提供全新的产品（含零部件、配件等），产品及包装表面无划伤、无碰撞痕迹，且权属清楚，不得侵害他人的知识产权。</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ind w:firstLine="480" w:firstLineChars="200"/>
        <w:rPr>
          <w:rFonts w:hint="eastAsia" w:ascii="黑体" w:hAnsi="黑体" w:eastAsia="黑体" w:cs="黑体"/>
          <w:sz w:val="24"/>
          <w:szCs w:val="24"/>
        </w:rPr>
      </w:pPr>
      <w:bookmarkStart w:id="25" w:name="_Toc217446110"/>
      <w:r>
        <w:rPr>
          <w:rFonts w:hint="eastAsia" w:ascii="黑体" w:hAnsi="黑体" w:eastAsia="黑体" w:cs="黑体"/>
          <w:sz w:val="24"/>
          <w:szCs w:val="24"/>
        </w:rPr>
        <w:t>四、交货及验收</w:t>
      </w:r>
      <w:bookmarkEnd w:id="25"/>
    </w:p>
    <w:p>
      <w:pPr>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甲方应提前3天向乙方提供所需产品的种类、品牌、规格型号及数量清单。</w:t>
      </w:r>
    </w:p>
    <w:p>
      <w:pPr>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乙方接到甲方订货通知后，应4小时内响应回复，产品应在5个工作日内送至甲方库房（库房地址：四川省资阳市仁德西路66号/资阳市第一人民医院（新区）/辅助用房/3楼库房/电话028-26052560，26214384）。</w:t>
      </w:r>
    </w:p>
    <w:p>
      <w:pPr>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如因特殊原因，乙方无法组织产品时，应在接到订货通知后的2天内通知甲方。</w:t>
      </w:r>
    </w:p>
    <w:p>
      <w:pPr>
        <w:pStyle w:val="2"/>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如遇紧急或重大突发事件时，乙方应及时、主动与甲方联系，优先保证甲方的物资供应。</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验收由甲方组织，乙方配合进行：</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乙方在配送产品的同时开具《发票》或《送货单》，甲方在收货时未见《发票》或《送货单》，有权拒绝收货。</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乙方应将所提供产品的配件、随机工具等资料交付给甲方；乙方不能完整交付产品及本款规定的单证和工具的，必须负责补齐，否则视为未按合同约定交货。</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其他未尽事宜应严格按照《四川省政府采购项目需求论证和履约验收管理办法》（川财采〔2015〕32号）的要求进行。</w:t>
      </w:r>
    </w:p>
    <w:p>
      <w:pPr>
        <w:ind w:firstLine="480" w:firstLineChars="200"/>
        <w:rPr>
          <w:rFonts w:hint="eastAsia" w:ascii="黑体" w:hAnsi="黑体" w:eastAsia="黑体" w:cs="黑体"/>
          <w:sz w:val="24"/>
          <w:szCs w:val="24"/>
        </w:rPr>
      </w:pPr>
      <w:bookmarkStart w:id="26" w:name="_Toc217446111"/>
      <w:r>
        <w:rPr>
          <w:rFonts w:hint="eastAsia" w:ascii="黑体" w:hAnsi="黑体" w:eastAsia="黑体" w:cs="黑体"/>
          <w:sz w:val="24"/>
          <w:szCs w:val="24"/>
        </w:rPr>
        <w:t>五、付款方式</w:t>
      </w:r>
      <w:bookmarkEnd w:id="26"/>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为确保产品质量，保证医疗质量，进一步保障患者权益，甲方收到产品入库、正常使用完后，即可进行滚动付款。</w:t>
      </w:r>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乙方如送货时只能先开具《送货单》（包括代管高值耗材），须在次月15日前必须开具《发票》并交至甲方，如不能及时开具《发票》，甲方将延迟支付购置款，乙方应承担违约金1000元/次。</w:t>
      </w:r>
    </w:p>
    <w:p>
      <w:pPr>
        <w:ind w:firstLine="480" w:firstLineChars="200"/>
        <w:rPr>
          <w:rFonts w:hint="eastAsia" w:ascii="黑体" w:hAnsi="黑体" w:eastAsia="黑体" w:cs="黑体"/>
          <w:sz w:val="24"/>
          <w:szCs w:val="24"/>
        </w:rPr>
      </w:pPr>
      <w:bookmarkStart w:id="27" w:name="_Toc217446112"/>
      <w:r>
        <w:rPr>
          <w:rFonts w:hint="eastAsia" w:ascii="黑体" w:hAnsi="黑体" w:eastAsia="黑体" w:cs="黑体"/>
          <w:sz w:val="24"/>
          <w:szCs w:val="24"/>
        </w:rPr>
        <w:t>六、售后服务</w:t>
      </w:r>
      <w:bookmarkEnd w:id="27"/>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产品质量出现问题，乙方应负责三包（包修、包换、包退），费用由乙方负担。乙方提供的产品（含甲方未使用完的产品）有效期将至时，乙方免费更换。</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乙方须指派专人负责与甲方联系售后服务事宜。 </w:t>
      </w:r>
    </w:p>
    <w:p>
      <w:pPr>
        <w:ind w:firstLine="480" w:firstLineChars="200"/>
        <w:rPr>
          <w:rFonts w:hint="eastAsia" w:ascii="黑体" w:hAnsi="黑体" w:eastAsia="黑体" w:cs="黑体"/>
          <w:sz w:val="24"/>
          <w:szCs w:val="24"/>
        </w:rPr>
      </w:pPr>
      <w:r>
        <w:rPr>
          <w:rFonts w:hint="eastAsia" w:ascii="黑体" w:hAnsi="黑体" w:eastAsia="黑体" w:cs="黑体"/>
          <w:sz w:val="24"/>
          <w:szCs w:val="24"/>
        </w:rPr>
        <w:t>七、合同期限</w:t>
      </w:r>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本合同期限为一年，从    年　月　日至    年　月　日。</w:t>
      </w:r>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如乙方无违约行为，到期前三个月双方再次协商续约或重新签订《购销合同》。签订本合同并不给予乙方任何形式的续约优先权。</w:t>
      </w:r>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协议期满后根据法律法规规定须重新招标（比选）的，甲方有权重新招标（比选）。</w:t>
      </w:r>
    </w:p>
    <w:p>
      <w:pPr>
        <w:ind w:firstLine="480" w:firstLineChars="200"/>
        <w:rPr>
          <w:rFonts w:hint="eastAsia" w:ascii="黑体" w:hAnsi="黑体" w:eastAsia="黑体" w:cs="黑体"/>
          <w:sz w:val="24"/>
          <w:szCs w:val="24"/>
        </w:rPr>
      </w:pPr>
      <w:bookmarkStart w:id="28" w:name="_Toc217446113"/>
      <w:r>
        <w:rPr>
          <w:rFonts w:hint="eastAsia" w:ascii="黑体" w:hAnsi="黑体" w:eastAsia="黑体" w:cs="黑体"/>
          <w:sz w:val="24"/>
          <w:szCs w:val="24"/>
        </w:rPr>
        <w:t>八、违约责任</w:t>
      </w:r>
      <w:bookmarkEnd w:id="28"/>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甲方违约责任</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（1）甲方无正当理由拒收产品的，甲方应支付所拒收产品购置金额百分之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的违约金；</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（2）甲方无故逾期支付货款的，应向乙方支付应支付购置金额的百分之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的违约金；</w:t>
      </w:r>
    </w:p>
    <w:p>
      <w:pPr>
        <w:pStyle w:val="30"/>
        <w:snapToGrid w:val="0"/>
        <w:spacing w:line="240" w:lineRule="auto"/>
        <w:ind w:firstLine="720" w:firstLineChars="3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乙方违约责任</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（1）乙方交付的产品质量不符合合同规定的，乙方应向甲方支付订购产品购置金额的百分之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的违约金，并须在合同规定的交货时间内更换合格的产品给甲方，否则，视作乙方不能交付产品而违约，按本条本款下述第“（2）”项规定由乙方支付违约赔偿金给甲方。</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（2）乙方不能交付产品或逾期交付产品而违约的，除应及时交足产品外，应向甲方支付逾期交货部分货款总额的百分之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的违约金；逾期交货超过</w:t>
      </w:r>
      <w:r>
        <w:rPr>
          <w:rFonts w:hint="eastAsia" w:ascii="仿宋_GB2312" w:hAnsi="仿宋_GB2312" w:eastAsia="仿宋_GB2312" w:cs="仿宋_GB2312"/>
          <w:sz w:val="24"/>
          <w:szCs w:val="24"/>
          <w:u w:val="single"/>
        </w:rPr>
        <w:t>10</w:t>
      </w:r>
      <w:r>
        <w:rPr>
          <w:rFonts w:hint="eastAsia" w:ascii="仿宋_GB2312" w:hAnsi="仿宋_GB2312" w:eastAsia="仿宋_GB2312" w:cs="仿宋_GB2312"/>
          <w:sz w:val="24"/>
          <w:szCs w:val="24"/>
        </w:rPr>
        <w:t>个工作日，甲方有权终止合同，乙方则应按订购产品购置金额的百分之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的款额向甲方支付赔偿金。</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_GB2312" w:eastAsia="仿宋_GB2312" w:cs="仿宋_GB2312"/>
          <w:sz w:val="24"/>
          <w:szCs w:val="24"/>
          <w:u w:val="single"/>
        </w:rPr>
        <w:t>5</w:t>
      </w:r>
      <w:r>
        <w:rPr>
          <w:rFonts w:hint="eastAsia" w:ascii="仿宋_GB2312" w:hAnsi="仿宋_GB2312" w:eastAsia="仿宋_GB2312" w:cs="仿宋_GB2312"/>
          <w:sz w:val="24"/>
          <w:szCs w:val="24"/>
        </w:rPr>
        <w:t>个工作日内无条件更换合格的产品，如逾期不能更换合格的产品，甲方有权终止本合同，乙方应另付订购产品购置金额的百分之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的赔偿金给甲方。</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向甲方支付违约金并赔偿因此给甲方造成的一切损失。</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（5）乙方支付的违约金不足以弥补甲方损失的，还应按甲方损失尚未弥补的部分，支付赔偿金给甲方。</w:t>
      </w:r>
    </w:p>
    <w:p>
      <w:pPr>
        <w:ind w:firstLine="480" w:firstLineChars="200"/>
        <w:rPr>
          <w:rFonts w:hint="eastAsia" w:ascii="黑体" w:hAnsi="黑体" w:eastAsia="黑体" w:cs="黑体"/>
          <w:sz w:val="24"/>
          <w:szCs w:val="24"/>
        </w:rPr>
      </w:pPr>
      <w:bookmarkStart w:id="29" w:name="_Toc217446114"/>
      <w:r>
        <w:rPr>
          <w:rFonts w:hint="eastAsia" w:ascii="黑体" w:hAnsi="黑体" w:eastAsia="黑体" w:cs="黑体"/>
          <w:sz w:val="24"/>
          <w:szCs w:val="24"/>
        </w:rPr>
        <w:t>九、争议解决办法</w:t>
      </w:r>
      <w:bookmarkEnd w:id="29"/>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因产品的质量问题发生争议，由质量技术监督部门或其指定的质量鉴定机构进行质量鉴定。产品符合标准的，鉴定费由甲方承担；产品不符合质量标准的，鉴定费由乙方承担。</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合同履行期间,若双方发生争议，可协商或由有关部门调解解决，协商或调解不成的，提交甲方所在地法院解决，诉讼费、律师费由败诉方承担。</w:t>
      </w:r>
    </w:p>
    <w:p>
      <w:pPr>
        <w:ind w:firstLine="480" w:firstLineChars="200"/>
        <w:rPr>
          <w:rFonts w:hint="eastAsia" w:ascii="黑体" w:hAnsi="黑体" w:eastAsia="黑体" w:cs="黑体"/>
          <w:sz w:val="24"/>
          <w:szCs w:val="24"/>
        </w:rPr>
      </w:pPr>
      <w:bookmarkStart w:id="30" w:name="_Toc217446115"/>
      <w:r>
        <w:rPr>
          <w:rFonts w:hint="eastAsia" w:ascii="黑体" w:hAnsi="黑体" w:eastAsia="黑体" w:cs="黑体"/>
          <w:sz w:val="24"/>
          <w:szCs w:val="24"/>
        </w:rPr>
        <w:t>十、其他</w:t>
      </w:r>
      <w:bookmarkEnd w:id="30"/>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如有未尽事宜，由双方依法订立补充合同。</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本合同一式六份，自双方签章之日起生效。甲方三份，乙方、政府采购管理部门、采购代理机构各一份。</w:t>
      </w:r>
    </w:p>
    <w:p>
      <w:pPr>
        <w:pStyle w:val="2"/>
        <w:rPr>
          <w:rFonts w:hint="eastAsia" w:ascii="仿宋_GB2312" w:hAnsi="仿宋_GB2312" w:eastAsia="仿宋_GB2312" w:cs="仿宋_GB2312"/>
          <w:sz w:val="24"/>
          <w:szCs w:val="24"/>
        </w:rPr>
      </w:pPr>
    </w:p>
    <w:p>
      <w:pPr>
        <w:snapToGrid w:val="0"/>
        <w:rPr>
          <w:rFonts w:hint="eastAsia" w:ascii="仿宋_GB2312" w:hAnsi="仿宋_GB2312" w:eastAsia="仿宋_GB2312" w:cs="仿宋_GB2312"/>
          <w:sz w:val="24"/>
          <w:szCs w:val="24"/>
          <w:u w:val="thick"/>
        </w:rPr>
      </w:pPr>
      <w:r>
        <w:rPr>
          <w:rFonts w:hint="eastAsia" w:ascii="仿宋_GB2312" w:hAnsi="仿宋_GB2312" w:eastAsia="仿宋_GB2312" w:cs="仿宋_GB2312"/>
          <w:sz w:val="24"/>
          <w:szCs w:val="24"/>
        </w:rPr>
        <w:t>甲方：（章）资阳市第一人民医院    乙方：</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地址：资阳市雁江镇健康19号/ 　　地址： </w:t>
      </w:r>
    </w:p>
    <w:p>
      <w:pPr>
        <w:snapToGrid w:val="0"/>
        <w:ind w:right="560" w:firstLine="1680" w:firstLineChars="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仁德西路66号　　　　　　　 </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                     授权代理人：</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               统一社会信用代码：</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12511800451513294D　　　　　　　　</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开户行：建行资阳和平路支行   　　开户行： </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账号：51001687367051500244     　账号：</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邮编：641300                     邮编：</w:t>
      </w:r>
    </w:p>
    <w:p>
      <w:pPr>
        <w:snapToGrid w:val="0"/>
        <w:rPr>
          <w:rFonts w:hint="eastAsia" w:ascii="仿宋_GB2312" w:hAnsi="仿宋_GB2312" w:eastAsia="仿宋_GB2312" w:cs="仿宋_GB2312"/>
          <w:sz w:val="24"/>
          <w:szCs w:val="24"/>
          <w:u w:val="thick"/>
        </w:rPr>
      </w:pPr>
      <w:r>
        <w:rPr>
          <w:rFonts w:hint="eastAsia" w:ascii="仿宋_GB2312" w:hAnsi="仿宋_GB2312" w:eastAsia="仿宋_GB2312" w:cs="仿宋_GB2312"/>
          <w:sz w:val="24"/>
          <w:szCs w:val="24"/>
        </w:rPr>
        <w:t>电话：028-26222538               电话：</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传真：028-26229036               传真：</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订货QQ：2448659267　　　　　　　 订货QQ：</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         　　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napToGrid w:val="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合同附件一</w:t>
      </w:r>
    </w:p>
    <w:p>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送货单</w:t>
      </w:r>
    </w:p>
    <w:tbl>
      <w:tblPr>
        <w:tblStyle w:val="18"/>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90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w:t>
            </w:r>
          </w:p>
        </w:tc>
        <w:tc>
          <w:tcPr>
            <w:tcW w:w="49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1134"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证号</w:t>
            </w:r>
          </w:p>
        </w:tc>
        <w:tc>
          <w:tcPr>
            <w:tcW w:w="84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生产厂家</w:t>
            </w:r>
          </w:p>
        </w:tc>
        <w:tc>
          <w:tcPr>
            <w:tcW w:w="889" w:type="dxa"/>
            <w:vAlign w:val="top"/>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jc w:val="center"/>
              <w:rPr>
                <w:rFonts w:hint="eastAsia" w:ascii="仿宋_GB2312" w:hAnsi="仿宋_GB2312" w:eastAsia="仿宋_GB2312" w:cs="仿宋_GB2312"/>
                <w:sz w:val="21"/>
                <w:szCs w:val="21"/>
              </w:rPr>
            </w:pPr>
          </w:p>
        </w:tc>
      </w:tr>
    </w:tbl>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备注：乙方随货的《送货单》须包含上述内容。 </w:t>
      </w:r>
    </w:p>
    <w:p>
      <w:pPr>
        <w:snapToGrid w:val="0"/>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合同附件二</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甲方（医院）：</w:t>
      </w:r>
      <w:r>
        <w:rPr>
          <w:rFonts w:hint="eastAsia" w:ascii="仿宋_GB2312" w:hAnsi="仿宋_GB2312" w:eastAsia="仿宋_GB2312" w:cs="仿宋_GB2312"/>
          <w:sz w:val="24"/>
          <w:szCs w:val="24"/>
          <w:u w:val="single"/>
        </w:rPr>
        <w:t>资阳市第一人民医院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四、医院各科室医务人员不得替厂家（经销商）代表非法统计销售药品、耗材数量等，一经发现按商业贿赂行为严肃处理。医院对于出现药品、耗材等销售异常的，查实后将停止购进。</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五、甲方购进药品、医用卫生材料、医疗设备、检验试剂、基建材料、后勤物资等，不得以任何方式向乙方索取回扣，或者索要、收受乙方产品发票价外的赞助，不得要求乙方代支任何费用开支。</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六、甲方工作人员不得以暗示或其他任何形式索要回扣、提成、有价证券、现金、购物卡等。如甲方工作人员暗示或索要，乙方应予拒绝，并有责任如实向甲方监督部门反映情况。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七、乙方不得暗中给予甲方回扣，不得以提成和赠送有价证券、现金、信用卡、购物卡、宴请、娱乐及提供国内或境外学术活动等手段影响甲方对设备、耗材、药品、物资等产品的选择权。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八、乙方在销售活动中，要自觉遵守国家和地方的有关法律、法规，严格执行合同条款，不以次充好，不降低产品质量，做到诚信经营。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九、甲乙双方应共同遵守商业道德，友好合作，杜绝弄虚作假，商业欺诈，商业贿赂等不道德和非法行为，要规范合同行为，诚实守约，严格履行合同，决不利用非法手段谋取不正当利益，公平公正处理业务。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十、甲方人员违反本合同，情节较轻的，医院将相关规定进行处理，情节较重构成违纪的，交纪检监察部门处理；情节严重涉嫌犯罪的，移交司法机关处理。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十一、乙方如违反上述条款，一经发现，甲方有权终止购销合同，列入不良行为记录，计入黑名单，禁止在本院进行经营销售2年以上，造成经济损失的乙方需承担赔偿责任，涉嫌违法的，交由司法机关处理。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十二、本合同书一式两份，购销双方各执一份，本合同作为合同的附件，本合同效力优于双方之前签订的购销合同，如本合同与原有合同不一致的，以本合同为准。随合同签字之日起生效。</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法人签章：                           法人签章：</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Style w:val="2"/>
        <w:rPr>
          <w:rFonts w:hint="eastAsia" w:ascii="仿宋_GB2312" w:hAnsi="仿宋" w:eastAsia="仿宋_GB2312"/>
          <w:szCs w:val="21"/>
        </w:rPr>
      </w:pPr>
    </w:p>
    <w:p>
      <w:pPr>
        <w:widowControl/>
        <w:spacing w:line="360" w:lineRule="atLeast"/>
        <w:jc w:val="center"/>
        <w:outlineLvl w:val="1"/>
        <w:rPr>
          <w:rFonts w:hint="eastAsia" w:ascii="方正小标宋简体" w:eastAsia="方正小标宋简体"/>
          <w:sz w:val="44"/>
          <w:szCs w:val="44"/>
        </w:rPr>
      </w:pPr>
      <w:r>
        <w:rPr>
          <w:rFonts w:hint="eastAsia" w:ascii="方正小标宋简体" w:eastAsia="方正小标宋简体"/>
          <w:sz w:val="44"/>
          <w:szCs w:val="44"/>
        </w:rPr>
        <w:br w:type="page"/>
      </w:r>
    </w:p>
    <w:p>
      <w:pPr>
        <w:pStyle w:val="34"/>
        <w:rPr>
          <w:rFonts w:hint="eastAsia"/>
        </w:rPr>
      </w:pPr>
      <w:bookmarkStart w:id="31" w:name="_Toc8526_WPSOffice_Level1"/>
      <w:r>
        <w:rPr>
          <w:rFonts w:hint="eastAsia"/>
          <w:lang w:eastAsia="zh-CN"/>
        </w:rPr>
        <w:t>第五章　</w:t>
      </w:r>
      <w:r>
        <w:rPr>
          <w:rFonts w:hint="eastAsia"/>
        </w:rPr>
        <w:t>投标人应提供的</w:t>
      </w:r>
      <w:r>
        <w:rPr>
          <w:rFonts w:hint="eastAsia"/>
          <w:lang w:eastAsia="zh-CN"/>
        </w:rPr>
        <w:t>资</w:t>
      </w:r>
      <w:r>
        <w:rPr>
          <w:rFonts w:hint="eastAsia"/>
        </w:rPr>
        <w:t>料</w:t>
      </w:r>
      <w:bookmarkEnd w:id="31"/>
    </w:p>
    <w:tbl>
      <w:tblPr>
        <w:tblStyle w:val="19"/>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w:t>
            </w:r>
            <w:r>
              <w:rPr>
                <w:rFonts w:hint="eastAsia" w:ascii="仿宋_GB2312" w:eastAsia="仿宋_GB2312"/>
                <w:lang w:eastAsia="zh-CN"/>
              </w:rPr>
              <w:t>应</w:t>
            </w:r>
            <w:r>
              <w:rPr>
                <w:rFonts w:hint="eastAsia" w:ascii="仿宋_GB2312" w:eastAsia="仿宋_GB2312"/>
              </w:rPr>
              <w:t>提供资料</w:t>
            </w:r>
          </w:p>
        </w:tc>
        <w:tc>
          <w:tcPr>
            <w:tcW w:w="6117" w:type="dxa"/>
            <w:vAlign w:val="center"/>
          </w:tcPr>
          <w:p>
            <w:pPr>
              <w:rPr>
                <w:rFonts w:hint="eastAsia" w:ascii="仿宋_GB2312" w:eastAsia="仿宋_GB2312"/>
                <w:lang w:eastAsia="zh-CN"/>
              </w:rPr>
            </w:pPr>
            <w:r>
              <w:rPr>
                <w:rFonts w:hint="eastAsia" w:ascii="仿宋_GB2312" w:eastAsia="仿宋_GB2312"/>
                <w:lang w:eastAsia="zh-CN"/>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hint="eastAsia" w:ascii="仿宋_GB2312" w:eastAsia="仿宋_GB2312"/>
              </w:rPr>
            </w:pPr>
          </w:p>
        </w:tc>
        <w:tc>
          <w:tcPr>
            <w:tcW w:w="6117" w:type="dxa"/>
            <w:vAlign w:val="center"/>
          </w:tcPr>
          <w:p>
            <w:pPr>
              <w:rPr>
                <w:rFonts w:hint="eastAsia"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eastAsia="zh-CN"/>
              </w:rPr>
              <w:t>投标人</w:t>
            </w:r>
            <w:r>
              <w:rPr>
                <w:rFonts w:hint="eastAsia" w:ascii="仿宋_GB2312" w:eastAsia="仿宋_GB2312"/>
              </w:rPr>
              <w:t>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val="en-US" w:eastAsia="zh-CN"/>
              </w:rPr>
              <w:t>投标项目资质（医疗器械注册证/</w:t>
            </w:r>
            <w:r>
              <w:rPr>
                <w:rFonts w:hint="eastAsia" w:ascii="仿宋_GB2312" w:eastAsia="仿宋_GB2312"/>
              </w:rPr>
              <w:t>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hint="eastAsia" w:ascii="仿宋_GB2312" w:eastAsia="仿宋_GB2312"/>
              </w:rPr>
            </w:pPr>
            <w:r>
              <w:rPr>
                <w:rFonts w:hint="eastAsia" w:ascii="仿宋_GB2312" w:eastAsia="仿宋_GB2312" w:hAnsiTheme="minorEastAsia"/>
              </w:rPr>
              <w:t>正、副本各一本，  按顺序装订成册，加盖公章</w:t>
            </w:r>
          </w:p>
        </w:tc>
      </w:tr>
    </w:tbl>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br w:type="page"/>
      </w:r>
    </w:p>
    <w:p>
      <w:pPr>
        <w:pStyle w:val="34"/>
        <w:rPr>
          <w:rFonts w:hint="eastAsia"/>
          <w:lang w:eastAsia="zh-CN"/>
        </w:rPr>
      </w:pPr>
      <w:bookmarkStart w:id="32" w:name="_Toc23582_WPSOffice_Level1"/>
      <w:r>
        <w:rPr>
          <w:rFonts w:hint="eastAsia"/>
          <w:lang w:eastAsia="zh-CN"/>
        </w:rPr>
        <w:t>第四章　报名表及</w:t>
      </w:r>
      <w:r>
        <w:rPr>
          <w:rFonts w:hint="eastAsia"/>
        </w:rPr>
        <w:t>投标文件格</w:t>
      </w:r>
      <w:r>
        <w:rPr>
          <w:rFonts w:hint="eastAsia"/>
          <w:lang w:eastAsia="zh-CN"/>
        </w:rPr>
        <w:t>式</w:t>
      </w:r>
      <w:bookmarkEnd w:id="32"/>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格式一：报名表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组织固定液等医用耗材采购项目</w:t>
      </w:r>
    </w:p>
    <w:tbl>
      <w:tblPr>
        <w:tblStyle w:val="19"/>
        <w:tblW w:w="9331"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7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1304"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87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2258"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1116"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1761" w:type="dxa"/>
            <w:vAlign w:val="center"/>
          </w:tcPr>
          <w:p>
            <w:pPr>
              <w:jc w:val="center"/>
              <w:rPr>
                <w:rFonts w:hint="eastAsia" w:ascii="仿宋_GB2312" w:hAnsi="仿宋_GB2312" w:eastAsia="仿宋_GB2312" w:cs="仿宋_GB2312"/>
                <w:sz w:val="21"/>
                <w:szCs w:val="21"/>
                <w:vertAlign w:val="baseline"/>
                <w:lang w:eastAsia="zh-CN"/>
              </w:rPr>
            </w:pPr>
          </w:p>
        </w:tc>
        <w:tc>
          <w:tcPr>
            <w:tcW w:w="1304" w:type="dxa"/>
            <w:vAlign w:val="center"/>
          </w:tcPr>
          <w:p>
            <w:pPr>
              <w:jc w:val="center"/>
              <w:rPr>
                <w:rFonts w:hint="eastAsia" w:ascii="仿宋_GB2312" w:hAnsi="仿宋_GB2312" w:eastAsia="仿宋_GB2312" w:cs="仿宋_GB2312"/>
                <w:sz w:val="21"/>
                <w:szCs w:val="21"/>
                <w:vertAlign w:val="baseline"/>
                <w:lang w:eastAsia="zh-CN"/>
              </w:rPr>
            </w:pPr>
          </w:p>
        </w:tc>
        <w:tc>
          <w:tcPr>
            <w:tcW w:w="1878" w:type="dxa"/>
            <w:vAlign w:val="center"/>
          </w:tcPr>
          <w:p>
            <w:pPr>
              <w:jc w:val="center"/>
              <w:rPr>
                <w:rFonts w:hint="eastAsia" w:ascii="仿宋_GB2312" w:hAnsi="仿宋_GB2312" w:eastAsia="仿宋_GB2312" w:cs="仿宋_GB2312"/>
                <w:sz w:val="21"/>
                <w:szCs w:val="21"/>
                <w:vertAlign w:val="baseline"/>
                <w:lang w:eastAsia="zh-CN"/>
              </w:rPr>
            </w:pPr>
          </w:p>
        </w:tc>
        <w:tc>
          <w:tcPr>
            <w:tcW w:w="2258" w:type="dxa"/>
            <w:vAlign w:val="center"/>
          </w:tcPr>
          <w:p>
            <w:pPr>
              <w:jc w:val="center"/>
              <w:rPr>
                <w:rFonts w:hint="eastAsia" w:ascii="仿宋_GB2312" w:eastAsia="仿宋_GB2312"/>
                <w:sz w:val="21"/>
                <w:szCs w:val="21"/>
                <w:lang w:eastAsia="zh-CN"/>
              </w:rPr>
            </w:pPr>
          </w:p>
        </w:tc>
        <w:tc>
          <w:tcPr>
            <w:tcW w:w="1116"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bl>
    <w:p>
      <w:pPr>
        <w:jc w:val="cente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联系人：　　　　　　　　　　　　电话：　　　　　　　　</w:t>
      </w:r>
      <w:r>
        <w:rPr>
          <w:rFonts w:hint="eastAsia" w:ascii="仿宋_GB2312" w:hAnsi="仿宋_GB2312" w:eastAsia="仿宋_GB2312" w:cs="仿宋_GB2312"/>
          <w:sz w:val="24"/>
          <w:szCs w:val="24"/>
          <w:lang w:val="en-US" w:eastAsia="zh-CN"/>
        </w:rPr>
        <w:t>QQ：</w:t>
      </w:r>
    </w:p>
    <w:p>
      <w:pPr>
        <w:rPr>
          <w:rFonts w:hint="eastAsia" w:ascii="仿宋_GB2312" w:hAnsi="仿宋_GB2312" w:eastAsia="仿宋_GB2312" w:cs="仿宋_GB2312"/>
          <w:sz w:val="24"/>
          <w:szCs w:val="24"/>
        </w:rPr>
      </w:pP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公司（盖章）：</w:t>
      </w: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　月　日</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备注：投标产品的序号须与采购项目序号一致。</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tabs>
          <w:tab w:val="left" w:pos="900"/>
        </w:tabs>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二：封面</w:t>
      </w:r>
    </w:p>
    <w:p>
      <w:pPr>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（正本/副本）</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44"/>
          <w:szCs w:val="44"/>
        </w:rPr>
      </w:pPr>
    </w:p>
    <w:p>
      <w:pPr>
        <w:spacing w:line="36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hint="eastAsia" w:eastAsia="仿宋_GB2312"/>
          <w:sz w:val="44"/>
          <w:szCs w:val="44"/>
          <w:lang w:eastAsia="zh-CN"/>
        </w:rPr>
      </w:pPr>
      <w:r>
        <w:rPr>
          <w:rFonts w:hint="eastAsia" w:ascii="仿宋_GB2312" w:hAnsi="仿宋_GB2312" w:eastAsia="仿宋_GB2312" w:cs="仿宋_GB2312"/>
          <w:sz w:val="44"/>
          <w:szCs w:val="44"/>
          <w:lang w:eastAsia="zh-CN"/>
        </w:rPr>
        <w:t>投标文件</w:t>
      </w:r>
    </w:p>
    <w:p>
      <w:pPr>
        <w:spacing w:line="360" w:lineRule="auto"/>
        <w:rPr>
          <w:rFonts w:hint="eastAsia" w:ascii="仿宋_GB2312" w:hAnsi="仿宋_GB2312" w:eastAsia="仿宋_GB2312" w:cs="仿宋_GB2312"/>
          <w:sz w:val="24"/>
          <w:szCs w:val="24"/>
        </w:rPr>
      </w:pPr>
    </w:p>
    <w:p>
      <w:pPr>
        <w:spacing w:line="36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 标 人名称：</w:t>
      </w:r>
    </w:p>
    <w:p>
      <w:pPr>
        <w:spacing w:line="360" w:lineRule="auto"/>
        <w:ind w:firstLine="590" w:firstLineChars="246"/>
        <w:jc w:val="center"/>
        <w:rPr>
          <w:rFonts w:hint="eastAsia" w:ascii="仿宋_GB2312" w:hAnsi="仿宋_GB2312" w:eastAsia="仿宋_GB2312" w:cs="仿宋_GB2312"/>
          <w:sz w:val="24"/>
          <w:szCs w:val="24"/>
        </w:rPr>
      </w:pP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投标时间：201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格式三：目录</w:t>
      </w:r>
    </w:p>
    <w:p>
      <w:pPr>
        <w:pStyle w:val="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目录</w:t>
      </w:r>
    </w:p>
    <w:p>
      <w:pPr>
        <w:pStyle w:val="2"/>
        <w:jc w:val="center"/>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1.开标一览表................................................X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2.投标应答表................................................X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3.法定代表人/单位负责人授权书...............................X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4.承诺函....................................................X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5.投标人基本情况表..........................................X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6.投标人资质................................................X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7.投标项目销售资格授权......................................X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8.生产商资质................................................X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9.投标项目资质（医疗器械注册证/</w:t>
      </w:r>
      <w:r>
        <w:rPr>
          <w:rFonts w:hint="eastAsia" w:ascii="仿宋_GB2312" w:hAnsi="仿宋_GB2312" w:eastAsia="仿宋_GB2312" w:cs="仿宋_GB2312"/>
          <w:sz w:val="24"/>
          <w:szCs w:val="24"/>
        </w:rPr>
        <w:t>消毒产品卫生许可证</w:t>
      </w:r>
      <w:r>
        <w:rPr>
          <w:rFonts w:hint="eastAsia" w:ascii="仿宋_GB2312" w:hAnsi="仿宋_GB2312" w:eastAsia="仿宋_GB2312" w:cs="仿宋_GB2312"/>
          <w:sz w:val="24"/>
          <w:szCs w:val="24"/>
          <w:lang w:val="en-US" w:eastAsia="zh-CN"/>
        </w:rPr>
        <w:t>）.........X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10.采购要求的其他资料.......................................X</w:t>
      </w:r>
    </w:p>
    <w:p>
      <w:pPr>
        <w:pStyle w:val="2"/>
        <w:rPr>
          <w:rFonts w:hint="eastAsia" w:ascii="仿宋_GB2312" w:hAnsi="仿宋_GB2312" w:eastAsia="仿宋_GB2312" w:cs="仿宋_GB2312"/>
          <w:sz w:val="24"/>
          <w:szCs w:val="24"/>
          <w:lang w:val="en-US" w:eastAsia="zh-CN"/>
        </w:rPr>
      </w:pPr>
    </w:p>
    <w:p>
      <w:pPr>
        <w:spacing w:line="36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四：开标一览表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4"/>
          <w:szCs w:val="24"/>
        </w:rPr>
      </w:pPr>
      <w:bookmarkStart w:id="33" w:name="_Toc217446085"/>
      <w:r>
        <w:rPr>
          <w:rFonts w:hint="eastAsia" w:ascii="仿宋_GB2312" w:hAnsi="仿宋_GB2312" w:eastAsia="仿宋_GB2312" w:cs="仿宋_GB2312"/>
          <w:b w:val="0"/>
          <w:bCs/>
          <w:sz w:val="24"/>
          <w:szCs w:val="24"/>
        </w:rPr>
        <w:t>开标一览表</w:t>
      </w:r>
      <w:bookmarkEnd w:id="33"/>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组织固定液等医用耗材采购项目</w:t>
      </w:r>
    </w:p>
    <w:tbl>
      <w:tblPr>
        <w:tblStyle w:val="19"/>
        <w:tblW w:w="9355"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15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72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3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1479"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预计年用量</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w:t>
            </w:r>
          </w:p>
        </w:tc>
        <w:tc>
          <w:tcPr>
            <w:tcW w:w="89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投标单价（元）</w:t>
            </w:r>
          </w:p>
        </w:tc>
        <w:tc>
          <w:tcPr>
            <w:tcW w:w="88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1153" w:type="dxa"/>
            <w:vAlign w:val="center"/>
          </w:tcPr>
          <w:p>
            <w:pPr>
              <w:jc w:val="center"/>
              <w:rPr>
                <w:rFonts w:hint="eastAsia" w:ascii="仿宋_GB2312" w:hAnsi="仿宋_GB2312" w:eastAsia="仿宋_GB2312" w:cs="仿宋_GB2312"/>
                <w:sz w:val="21"/>
                <w:szCs w:val="21"/>
                <w:vertAlign w:val="baseline"/>
                <w:lang w:eastAsia="zh-CN"/>
              </w:rPr>
            </w:pPr>
          </w:p>
        </w:tc>
        <w:tc>
          <w:tcPr>
            <w:tcW w:w="722" w:type="dxa"/>
            <w:vAlign w:val="center"/>
          </w:tcPr>
          <w:p>
            <w:pPr>
              <w:jc w:val="center"/>
              <w:rPr>
                <w:rFonts w:hint="eastAsia" w:ascii="仿宋_GB2312" w:hAnsi="仿宋_GB2312" w:eastAsia="仿宋_GB2312" w:cs="仿宋_GB2312"/>
                <w:sz w:val="21"/>
                <w:szCs w:val="21"/>
                <w:vertAlign w:val="baseline"/>
                <w:lang w:eastAsia="zh-CN"/>
              </w:rPr>
            </w:pPr>
          </w:p>
        </w:tc>
        <w:tc>
          <w:tcPr>
            <w:tcW w:w="1361" w:type="dxa"/>
            <w:vAlign w:val="center"/>
          </w:tcPr>
          <w:p>
            <w:pPr>
              <w:jc w:val="center"/>
              <w:rPr>
                <w:rFonts w:hint="eastAsia" w:ascii="仿宋_GB2312" w:hAnsi="仿宋_GB2312" w:eastAsia="仿宋_GB2312" w:cs="仿宋_GB2312"/>
                <w:sz w:val="21"/>
                <w:szCs w:val="21"/>
                <w:vertAlign w:val="baseline"/>
                <w:lang w:eastAsia="zh-CN"/>
              </w:rPr>
            </w:pPr>
          </w:p>
        </w:tc>
        <w:tc>
          <w:tcPr>
            <w:tcW w:w="1479" w:type="dxa"/>
            <w:vAlign w:val="center"/>
          </w:tcPr>
          <w:p>
            <w:pPr>
              <w:jc w:val="center"/>
              <w:rPr>
                <w:rFonts w:hint="eastAsia" w:ascii="仿宋_GB2312" w:eastAsia="仿宋_GB2312"/>
                <w:sz w:val="21"/>
                <w:szCs w:val="21"/>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895" w:type="dxa"/>
            <w:vAlign w:val="center"/>
          </w:tcPr>
          <w:p>
            <w:pPr>
              <w:jc w:val="center"/>
              <w:rPr>
                <w:rFonts w:hint="eastAsia" w:ascii="仿宋_GB2312" w:hAnsi="仿宋_GB2312" w:eastAsia="仿宋_GB2312" w:cs="仿宋_GB2312"/>
                <w:sz w:val="21"/>
                <w:szCs w:val="21"/>
                <w:vertAlign w:val="baseline"/>
                <w:lang w:eastAsia="zh-CN"/>
              </w:rPr>
            </w:pPr>
          </w:p>
        </w:tc>
        <w:tc>
          <w:tcPr>
            <w:tcW w:w="888"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1.“开标一览表”为多页的，每页均需由法定代表人/单位负责人或授权代表签字并盖投标人印章。</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“开标一览表”投标产品的序号须与</w:t>
      </w:r>
      <w:r>
        <w:rPr>
          <w:rFonts w:hint="eastAsia" w:ascii="仿宋_GB2312" w:hAnsi="仿宋_GB2312" w:eastAsia="仿宋_GB2312" w:cs="仿宋_GB2312"/>
          <w:sz w:val="24"/>
          <w:szCs w:val="24"/>
          <w:lang w:eastAsia="zh-CN"/>
        </w:rPr>
        <w:t>项目概述中</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清单</w:t>
      </w:r>
      <w:r>
        <w:rPr>
          <w:rFonts w:hint="eastAsia" w:ascii="仿宋_GB2312" w:hAnsi="仿宋_GB2312" w:eastAsia="仿宋_GB2312" w:cs="仿宋_GB2312"/>
          <w:sz w:val="24"/>
          <w:szCs w:val="24"/>
        </w:rPr>
        <w:t>序号一致。除了单独密封递交外，投标文件（正副本）也应当提供，如有遗漏，将视为无效。</w:t>
      </w:r>
    </w:p>
    <w:p>
      <w:pPr>
        <w:widowControl/>
        <w:spacing w:line="360" w:lineRule="atLeast"/>
        <w:jc w:val="left"/>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szCs w:val="24"/>
        </w:rPr>
        <w:t>3. “开标一览表”中“单位”为最小单位，如g、张、个、套。</w:t>
      </w: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五：投标应答表</w:t>
      </w:r>
    </w:p>
    <w:p>
      <w:pPr>
        <w:widowControl/>
        <w:spacing w:line="360" w:lineRule="atLeast"/>
        <w:jc w:val="center"/>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（一）</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商务要求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售后要求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sz w:val="21"/>
                <w:szCs w:val="21"/>
                <w:vertAlign w:val="baseline"/>
              </w:rPr>
            </w:pPr>
          </w:p>
        </w:tc>
        <w:tc>
          <w:tcPr>
            <w:tcW w:w="3173" w:type="dxa"/>
            <w:vAlign w:val="center"/>
          </w:tcPr>
          <w:p>
            <w:pPr>
              <w:pStyle w:val="2"/>
              <w:jc w:val="both"/>
              <w:rPr>
                <w:rFonts w:hint="eastAsia" w:ascii="仿宋_GB2312" w:hAnsi="仿宋_GB2312" w:eastAsia="仿宋_GB2312" w:cs="仿宋_GB2312"/>
                <w:b/>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bl>
    <w:p>
      <w:pPr>
        <w:pStyle w:val="2"/>
        <w:rPr>
          <w:rFonts w:hint="eastAsia" w:ascii="仿宋_GB2312" w:hAnsi="仿宋_GB2312" w:eastAsia="仿宋_GB2312" w:cs="仿宋_GB2312"/>
          <w:b/>
          <w:sz w:val="24"/>
          <w:szCs w:val="24"/>
        </w:rPr>
      </w:pPr>
    </w:p>
    <w:p>
      <w:pPr>
        <w:pStyle w:val="2"/>
        <w:jc w:val="center"/>
        <w:rPr>
          <w:rFonts w:hint="eastAsia" w:ascii="仿宋_GB2312" w:hAnsi="仿宋_GB2312" w:eastAsia="仿宋_GB2312" w:cs="仿宋_GB2312"/>
          <w:b/>
          <w:sz w:val="24"/>
          <w:szCs w:val="24"/>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（二）</w:t>
      </w:r>
    </w:p>
    <w:tbl>
      <w:tblPr>
        <w:tblStyle w:val="18"/>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559"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25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产品要求</w:t>
            </w:r>
          </w:p>
        </w:tc>
        <w:tc>
          <w:tcPr>
            <w:tcW w:w="2381" w:type="dxa"/>
            <w:vAlign w:val="center"/>
          </w:tcPr>
          <w:p>
            <w:pPr>
              <w:widowControl/>
              <w:spacing w:line="360" w:lineRule="atLeast"/>
              <w:jc w:val="center"/>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必须把</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各项</w:t>
      </w:r>
      <w:r>
        <w:rPr>
          <w:rFonts w:hint="eastAsia" w:ascii="仿宋_GB2312" w:hAnsi="仿宋_GB2312" w:eastAsia="仿宋_GB2312" w:cs="仿宋_GB2312"/>
          <w:sz w:val="24"/>
          <w:szCs w:val="24"/>
        </w:rPr>
        <w:t>要求列入此表。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文件的要求的顺序逐条对应填写。</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必须据实填写，不得虚假填写，否则将取消其投标或中标资格。</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p>
    <w:p>
      <w:pPr>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六：</w:t>
      </w:r>
      <w:r>
        <w:rPr>
          <w:rFonts w:hint="eastAsia" w:ascii="仿宋_GB2312" w:hAnsi="仿宋_GB2312" w:eastAsia="仿宋_GB2312" w:cs="仿宋_GB2312"/>
          <w:b w:val="0"/>
          <w:bCs/>
          <w:sz w:val="24"/>
          <w:szCs w:val="24"/>
        </w:rPr>
        <w:t>法定代表人/单位负责人授权书</w:t>
      </w:r>
    </w:p>
    <w:p>
      <w:pPr>
        <w:widowControl/>
        <w:jc w:val="left"/>
        <w:rPr>
          <w:rFonts w:hint="eastAsia" w:ascii="仿宋_GB2312" w:hAnsi="仿宋_GB2312" w:eastAsia="仿宋_GB2312" w:cs="仿宋_GB2312"/>
          <w:b w:val="0"/>
          <w:bCs/>
          <w:sz w:val="24"/>
          <w:szCs w:val="24"/>
          <w:lang w:eastAsia="zh-CN"/>
        </w:rPr>
      </w:pPr>
    </w:p>
    <w:p>
      <w:pPr>
        <w:spacing w:line="36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法定代表人/单位负责人授权书</w:t>
      </w:r>
    </w:p>
    <w:p>
      <w:pPr>
        <w:widowControl/>
        <w:spacing w:line="360" w:lineRule="atLeast"/>
        <w:jc w:val="left"/>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法定代表人/单位负责人（委托人）签字或者加盖个人名章：XXXX。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授权代表（被授权人）签字：XXXX。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期：XXXX。</w:t>
      </w:r>
    </w:p>
    <w:p>
      <w:pPr>
        <w:widowControl/>
        <w:spacing w:line="360" w:lineRule="atLeast"/>
        <w:jc w:val="left"/>
        <w:outlineLvl w:val="1"/>
        <w:rPr>
          <w:rFonts w:hint="eastAsia" w:ascii="仿宋_GB2312" w:hAnsi="仿宋_GB2312" w:eastAsia="仿宋_GB2312" w:cs="仿宋_GB2312"/>
          <w:b/>
          <w:sz w:val="24"/>
          <w:szCs w:val="24"/>
        </w:rPr>
      </w:pPr>
      <w:bookmarkStart w:id="34" w:name="_Toc217446084"/>
    </w:p>
    <w:p>
      <w:pPr>
        <w:spacing w:line="400" w:lineRule="exact"/>
        <w:ind w:left="1120" w:hanging="840" w:hangingChars="3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为法人单位时提供“法定代表人授权书”，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为其他组织时提供“单位负责人授权书”，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为自然人时提供“自然人身份证明材料”。</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应附法定代表人/单位负责人身份证明材料复印件和授权代表身份证明材料复印件。</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身份证明材料包括居民身份证或户口本或军官证或护照等。</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身份证明材料应同时提供其在有效期的材料，如居民身份证正、反面复印件。</w:t>
      </w:r>
      <w:bookmarkEnd w:id="34"/>
    </w:p>
    <w:p>
      <w:pPr>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七：承诺函</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承诺函</w:t>
      </w:r>
    </w:p>
    <w:p>
      <w:pPr>
        <w:widowControl/>
        <w:spacing w:line="360" w:lineRule="atLeast"/>
        <w:jc w:val="center"/>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一、具备《中华人民共和国政府采购法》第二十二条第一款和本项目规定的条件：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（一）具有独立承担民事责任的能力；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（二）具有良好的商业信誉和健全的财务会计制度；</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（三）具有履行合同所必需的耗材和专业技术能力；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（四）有依法缴纳税收和社会保障资金的良好记录；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（五）参加采购活动前三年内，在经营活动中没有重大违法记录；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（六）法律、行政法规规定的其他条件；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（七）根据采购项目提出的特殊条件。</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本项目参加采购活动的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单位及其现任法定代表人/主要负责人不得具有行贿犯罪记录。</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二、我单位及其现任法定代表人/主要负责人不具有行贿犯罪记录。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（二）参加本次招标采购活动，不存在与单位负责人为同一人或者存在直接控股、管理关系的其他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参与同一合同项下的采购活动的行为。为采购项目提供整体设计、规范编制或者项目管理、监理、检测等服务的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，不得再参加该采购项目的其他采购活动。</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（三）参加本次招标采购活动，不存在和其他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在同一合同项下的采购项目中，同时委托同一个自然人、同一家庭的人员、同一单位的人员作为代理人的行为。</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（五）投标文件中提供的能够给予我单位带来优惠、好处的任何材料资料和技术、服务、要求、响应产品等响应承诺情况都是真实的、有效的、合法的。</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（七）一旦我方中标，我方将严格履行政府采购合同规定的责任和义务。</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（八）我方愿意提供贵单位可能另外要求的，与投标有关的文件资料，并保证我方已提供和将要提供的文件资料是真实、准确的。</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（九）我方承诺本次招标中标后，中标项目的销售资格授权最少时间为投标截止时间届满后</w:t>
      </w:r>
      <w:r>
        <w:rPr>
          <w:rFonts w:hint="eastAsia" w:ascii="仿宋_GB2312" w:hAnsi="仿宋_GB2312" w:eastAsia="仿宋_GB2312" w:cs="仿宋_GB2312"/>
          <w:sz w:val="24"/>
          <w:szCs w:val="24"/>
          <w:u w:val="single"/>
        </w:rPr>
        <w:t>365</w:t>
      </w:r>
      <w:r>
        <w:rPr>
          <w:rFonts w:hint="eastAsia" w:ascii="仿宋_GB2312" w:hAnsi="仿宋_GB2312" w:eastAsia="仿宋_GB2312" w:cs="仿宋_GB2312"/>
          <w:sz w:val="24"/>
          <w:szCs w:val="24"/>
        </w:rPr>
        <w:t xml:space="preserve">天。 </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（十）我方为本项目提交的投标文件正、副本各壹份，用于开标唱标的“开标一览表”一式壹份。</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日    期：XXXX。</w:t>
      </w:r>
    </w:p>
    <w:p>
      <w:pPr>
        <w:widowControl/>
        <w:spacing w:line="360" w:lineRule="atLeast"/>
        <w:ind w:firstLine="472" w:firstLineChars="196"/>
        <w:jc w:val="left"/>
        <w:outlineLvl w:val="1"/>
        <w:rPr>
          <w:rFonts w:hint="eastAsia" w:ascii="仿宋_GB2312" w:hAnsi="仿宋_GB2312" w:eastAsia="仿宋_GB2312" w:cs="仿宋_GB2312"/>
          <w:b/>
          <w:sz w:val="24"/>
          <w:szCs w:val="24"/>
        </w:rPr>
        <w:sectPr>
          <w:footerReference r:id="rId11" w:type="default"/>
          <w:pgSz w:w="11907" w:h="16840"/>
          <w:pgMar w:top="2098" w:right="1474" w:bottom="1985" w:left="1588" w:header="851" w:footer="992" w:gutter="0"/>
          <w:cols w:space="720" w:num="1"/>
          <w:docGrid w:linePitch="312" w:charSpace="0"/>
        </w:sectPr>
      </w:pPr>
    </w:p>
    <w:p>
      <w:pPr>
        <w:spacing w:line="360" w:lineRule="auto"/>
        <w:rPr>
          <w:rFonts w:hint="eastAsia" w:ascii="仿宋_GB2312" w:hAnsi="仿宋_GB2312" w:eastAsia="仿宋_GB2312" w:cs="仿宋_GB2312"/>
          <w:b w:val="0"/>
          <w:bCs/>
          <w:sz w:val="24"/>
          <w:szCs w:val="24"/>
          <w:lang w:eastAsia="zh-CN"/>
        </w:rPr>
      </w:pPr>
      <w:bookmarkStart w:id="35" w:name="_Toc217446088"/>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八：投标人情况表</w:t>
      </w:r>
    </w:p>
    <w:p>
      <w:pPr>
        <w:widowControl/>
        <w:spacing w:line="360" w:lineRule="atLeast"/>
        <w:jc w:val="center"/>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投标人基本情况表</w:t>
      </w:r>
      <w:bookmarkEnd w:id="35"/>
    </w:p>
    <w:tbl>
      <w:tblPr>
        <w:tblStyle w:val="18"/>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hint="eastAsia" w:ascii="仿宋_GB2312" w:hAnsi="仿宋_GB2312" w:eastAsia="仿宋_GB2312" w:cs="仿宋_GB2312"/>
                <w:sz w:val="24"/>
                <w:szCs w:val="24"/>
              </w:rPr>
            </w:pP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4954" w:type="dxa"/>
            <w:gridSpan w:val="5"/>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restart"/>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150" w:type="dxa"/>
            <w:gridSpan w:val="7"/>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投标日期: XXXX。</w:t>
      </w:r>
    </w:p>
    <w:sectPr>
      <w:headerReference r:id="rId14" w:type="first"/>
      <w:footerReference r:id="rId16" w:type="first"/>
      <w:headerReference r:id="rId12" w:type="default"/>
      <w:headerReference r:id="rId13" w:type="even"/>
      <w:footerReference r:id="rId15"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rPr>
                              <w:rStyle w:val="15"/>
                            </w:rPr>
                          </w:pPr>
                          <w:r>
                            <w:fldChar w:fldCharType="begin"/>
                          </w:r>
                          <w:r>
                            <w:rPr>
                              <w:rStyle w:val="15"/>
                            </w:rPr>
                            <w:instrText xml:space="preserve">PAGE  </w:instrText>
                          </w:r>
                          <w:r>
                            <w:fldChar w:fldCharType="separate"/>
                          </w:r>
                          <w:r>
                            <w:rPr>
                              <w:rStyle w:val="15"/>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jc w:val="center"/>
                      <w:rPr>
                        <w:rStyle w:val="15"/>
                      </w:rPr>
                    </w:pPr>
                    <w:r>
                      <w:fldChar w:fldCharType="begin"/>
                    </w:r>
                    <w:r>
                      <w:rPr>
                        <w:rStyle w:val="15"/>
                      </w:rPr>
                      <w:instrText xml:space="preserve">PAGE  </w:instrText>
                    </w:r>
                    <w:r>
                      <w:fldChar w:fldCharType="separate"/>
                    </w:r>
                    <w:r>
                      <w:rPr>
                        <w:rStyle w:val="15"/>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74</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1"/>
      </w:numPr>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137CD"/>
    <w:rsid w:val="00C54C64"/>
    <w:rsid w:val="00CB43DE"/>
    <w:rsid w:val="00D55D7C"/>
    <w:rsid w:val="00DB7959"/>
    <w:rsid w:val="00DC5C3F"/>
    <w:rsid w:val="00DD5ED7"/>
    <w:rsid w:val="00E945DA"/>
    <w:rsid w:val="00F50E42"/>
    <w:rsid w:val="00FF61B5"/>
    <w:rsid w:val="06A305E5"/>
    <w:rsid w:val="09F22FF5"/>
    <w:rsid w:val="0A4346AA"/>
    <w:rsid w:val="0A4C7111"/>
    <w:rsid w:val="0A5159BE"/>
    <w:rsid w:val="0B56279E"/>
    <w:rsid w:val="0BAB3B9A"/>
    <w:rsid w:val="0D5039F1"/>
    <w:rsid w:val="0D5A1E98"/>
    <w:rsid w:val="0E6416B3"/>
    <w:rsid w:val="0FCC5BE4"/>
    <w:rsid w:val="102854E6"/>
    <w:rsid w:val="11C20CDA"/>
    <w:rsid w:val="14631B3A"/>
    <w:rsid w:val="16126D0C"/>
    <w:rsid w:val="16331E02"/>
    <w:rsid w:val="18836C21"/>
    <w:rsid w:val="1905296B"/>
    <w:rsid w:val="198405CB"/>
    <w:rsid w:val="1D2221C0"/>
    <w:rsid w:val="1FD13655"/>
    <w:rsid w:val="20874A11"/>
    <w:rsid w:val="23C74069"/>
    <w:rsid w:val="23F15E6E"/>
    <w:rsid w:val="25833166"/>
    <w:rsid w:val="280E7B48"/>
    <w:rsid w:val="2996474C"/>
    <w:rsid w:val="2B106C7F"/>
    <w:rsid w:val="2D6B6A8F"/>
    <w:rsid w:val="2DD21197"/>
    <w:rsid w:val="2F441CB2"/>
    <w:rsid w:val="32536FD3"/>
    <w:rsid w:val="32720D7F"/>
    <w:rsid w:val="33CB6621"/>
    <w:rsid w:val="34FF0B5C"/>
    <w:rsid w:val="38965316"/>
    <w:rsid w:val="3A632565"/>
    <w:rsid w:val="3BFC01EF"/>
    <w:rsid w:val="3D1F7B5B"/>
    <w:rsid w:val="433E11C8"/>
    <w:rsid w:val="44E02E01"/>
    <w:rsid w:val="44E96280"/>
    <w:rsid w:val="46801FBD"/>
    <w:rsid w:val="46AA3511"/>
    <w:rsid w:val="470D2A02"/>
    <w:rsid w:val="47162FEE"/>
    <w:rsid w:val="47203FB7"/>
    <w:rsid w:val="476C749F"/>
    <w:rsid w:val="497824CD"/>
    <w:rsid w:val="50DD6FFE"/>
    <w:rsid w:val="57AF56A8"/>
    <w:rsid w:val="5B7C0B95"/>
    <w:rsid w:val="5C8D1ED9"/>
    <w:rsid w:val="5D7F0CC2"/>
    <w:rsid w:val="5EF56C44"/>
    <w:rsid w:val="631A1F65"/>
    <w:rsid w:val="64BF1D1B"/>
    <w:rsid w:val="65F838D3"/>
    <w:rsid w:val="66311611"/>
    <w:rsid w:val="69090096"/>
    <w:rsid w:val="6BF0276C"/>
    <w:rsid w:val="6CF407B5"/>
    <w:rsid w:val="71744923"/>
    <w:rsid w:val="71A21CC7"/>
    <w:rsid w:val="73C743D0"/>
    <w:rsid w:val="76F60DC2"/>
    <w:rsid w:val="78062ECC"/>
    <w:rsid w:val="78A0245F"/>
    <w:rsid w:val="7A2F5F74"/>
    <w:rsid w:val="7D1321E6"/>
    <w:rsid w:val="7F0E1038"/>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left="0" w:leftChars="0"/>
      <w:jc w:val="both"/>
    </w:pPr>
    <w:rPr>
      <w:rFonts w:ascii="Calibri" w:hAnsi="Calibri"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5"/>
    <w:qFormat/>
    <w:uiPriority w:val="0"/>
    <w:pPr>
      <w:ind w:firstLine="630"/>
    </w:pPr>
    <w:rPr>
      <w:sz w:val="32"/>
      <w:szCs w:val="20"/>
    </w:rPr>
  </w:style>
  <w:style w:type="paragraph" w:styleId="9">
    <w:name w:val="Balloon Text"/>
    <w:basedOn w:val="1"/>
    <w:link w:val="23"/>
    <w:semiHidden/>
    <w:unhideWhenUsed/>
    <w:qFormat/>
    <w:uiPriority w:val="99"/>
    <w:pPr>
      <w:spacing w:after="0" w:line="240" w:lineRule="auto"/>
    </w:pPr>
    <w:rPr>
      <w:sz w:val="18"/>
      <w:szCs w:val="18"/>
    </w:rPr>
  </w:style>
  <w:style w:type="paragraph" w:styleId="10">
    <w:name w:val="footer"/>
    <w:basedOn w:val="1"/>
    <w:link w:val="22"/>
    <w:semiHidden/>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link w:val="31"/>
    <w:qFormat/>
    <w:uiPriority w:val="39"/>
  </w:style>
  <w:style w:type="paragraph" w:styleId="13">
    <w:name w:val="Title"/>
    <w:basedOn w:val="1"/>
    <w:next w:val="1"/>
    <w:link w:val="28"/>
    <w:qFormat/>
    <w:uiPriority w:val="0"/>
    <w:pPr>
      <w:spacing w:before="240" w:after="60" w:line="240" w:lineRule="auto"/>
      <w:jc w:val="center"/>
      <w:outlineLvl w:val="0"/>
    </w:pPr>
    <w:rPr>
      <w:rFonts w:asciiTheme="majorHAnsi" w:hAnsiTheme="majorHAnsi" w:cstheme="majorBidi"/>
      <w:b/>
      <w:bCs/>
      <w:sz w:val="32"/>
      <w:szCs w:val="32"/>
    </w:rPr>
  </w:style>
  <w:style w:type="character" w:styleId="15">
    <w:name w:val="page number"/>
    <w:qFormat/>
    <w:uiPriority w:val="0"/>
  </w:style>
  <w:style w:type="character" w:styleId="16">
    <w:name w:val="FollowedHyperlink"/>
    <w:basedOn w:val="14"/>
    <w:semiHidden/>
    <w:unhideWhenUsed/>
    <w:qFormat/>
    <w:uiPriority w:val="99"/>
    <w:rPr>
      <w:color w:val="003399"/>
      <w:u w:val="none"/>
    </w:rPr>
  </w:style>
  <w:style w:type="character" w:styleId="17">
    <w:name w:val="Hyperlink"/>
    <w:basedOn w:val="14"/>
    <w:semiHidden/>
    <w:unhideWhenUsed/>
    <w:qFormat/>
    <w:uiPriority w:val="99"/>
    <w:rPr>
      <w:color w:val="0045AD"/>
      <w:u w:val="none"/>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0">
    <w:name w:val="标题 2 Char"/>
    <w:basedOn w:val="14"/>
    <w:link w:val="4"/>
    <w:qFormat/>
    <w:uiPriority w:val="0"/>
    <w:rPr>
      <w:rFonts w:ascii="Arial" w:hAnsi="Arial" w:eastAsia="黑体" w:cs="Times New Roman"/>
      <w:b/>
      <w:bCs/>
      <w:sz w:val="32"/>
      <w:szCs w:val="32"/>
    </w:rPr>
  </w:style>
  <w:style w:type="character" w:customStyle="1" w:styleId="21">
    <w:name w:val="页眉 Char"/>
    <w:basedOn w:val="14"/>
    <w:link w:val="11"/>
    <w:qFormat/>
    <w:uiPriority w:val="99"/>
    <w:rPr>
      <w:rFonts w:ascii="Calibri" w:hAnsi="Calibri" w:eastAsia="宋体" w:cs="Times New Roman"/>
      <w:sz w:val="18"/>
      <w:szCs w:val="18"/>
    </w:rPr>
  </w:style>
  <w:style w:type="character" w:customStyle="1" w:styleId="22">
    <w:name w:val="页脚 Char"/>
    <w:basedOn w:val="14"/>
    <w:link w:val="10"/>
    <w:semiHidden/>
    <w:qFormat/>
    <w:uiPriority w:val="99"/>
    <w:rPr>
      <w:rFonts w:ascii="Calibri" w:hAnsi="Calibri" w:eastAsia="宋体" w:cs="Times New Roman"/>
      <w:sz w:val="18"/>
      <w:szCs w:val="18"/>
    </w:rPr>
  </w:style>
  <w:style w:type="character" w:customStyle="1" w:styleId="23">
    <w:name w:val="批注框文本 Char"/>
    <w:basedOn w:val="14"/>
    <w:link w:val="9"/>
    <w:semiHidden/>
    <w:qFormat/>
    <w:uiPriority w:val="99"/>
    <w:rPr>
      <w:rFonts w:ascii="Calibri" w:hAnsi="Calibri" w:eastAsia="宋体" w:cs="Times New Roman"/>
      <w:sz w:val="18"/>
      <w:szCs w:val="18"/>
    </w:rPr>
  </w:style>
  <w:style w:type="character" w:customStyle="1" w:styleId="24">
    <w:name w:val="标题 3 Char"/>
    <w:basedOn w:val="14"/>
    <w:link w:val="5"/>
    <w:semiHidden/>
    <w:qFormat/>
    <w:uiPriority w:val="9"/>
    <w:rPr>
      <w:rFonts w:ascii="Calibri" w:hAnsi="Calibri" w:eastAsia="宋体" w:cs="Times New Roman"/>
      <w:b/>
      <w:bCs/>
      <w:sz w:val="32"/>
      <w:szCs w:val="32"/>
    </w:rPr>
  </w:style>
  <w:style w:type="character" w:customStyle="1" w:styleId="25">
    <w:name w:val="正文文本缩进 Char"/>
    <w:basedOn w:val="14"/>
    <w:link w:val="8"/>
    <w:qFormat/>
    <w:uiPriority w:val="0"/>
    <w:rPr>
      <w:rFonts w:ascii="Calibri" w:hAnsi="Calibri" w:eastAsia="宋体" w:cs="Times New Roman"/>
      <w:sz w:val="32"/>
      <w:szCs w:val="20"/>
    </w:rPr>
  </w:style>
  <w:style w:type="paragraph" w:customStyle="1" w:styleId="26">
    <w:name w:val="正文首行缩进两字符"/>
    <w:basedOn w:val="1"/>
    <w:qFormat/>
    <w:uiPriority w:val="0"/>
    <w:pPr>
      <w:spacing w:line="360" w:lineRule="auto"/>
      <w:ind w:firstLine="200" w:firstLineChars="200"/>
    </w:pPr>
  </w:style>
  <w:style w:type="character" w:customStyle="1" w:styleId="27">
    <w:name w:val="标题 1 Char"/>
    <w:basedOn w:val="14"/>
    <w:link w:val="3"/>
    <w:qFormat/>
    <w:uiPriority w:val="0"/>
    <w:rPr>
      <w:rFonts w:ascii="Calibri" w:hAnsi="Calibri" w:eastAsia="宋体" w:cs="Times New Roman"/>
      <w:b/>
      <w:bCs/>
      <w:kern w:val="44"/>
      <w:sz w:val="44"/>
      <w:szCs w:val="44"/>
    </w:rPr>
  </w:style>
  <w:style w:type="character" w:customStyle="1" w:styleId="28">
    <w:name w:val="标题 Char"/>
    <w:basedOn w:val="14"/>
    <w:link w:val="13"/>
    <w:qFormat/>
    <w:uiPriority w:val="0"/>
    <w:rPr>
      <w:rFonts w:eastAsia="宋体" w:asciiTheme="majorHAnsi" w:hAnsiTheme="majorHAnsi" w:cstheme="majorBidi"/>
      <w:b/>
      <w:bCs/>
      <w:sz w:val="32"/>
      <w:szCs w:val="32"/>
    </w:rPr>
  </w:style>
  <w:style w:type="paragraph" w:customStyle="1" w:styleId="29">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0">
    <w:name w:val="样式 首行缩进:  2 字符"/>
    <w:basedOn w:val="1"/>
    <w:qFormat/>
    <w:uiPriority w:val="0"/>
    <w:pPr>
      <w:spacing w:line="400" w:lineRule="exact"/>
      <w:ind w:firstLine="200" w:firstLineChars="200"/>
    </w:pPr>
    <w:rPr>
      <w:rFonts w:cs="宋体"/>
      <w:sz w:val="24"/>
      <w:lang w:bidi="ar-SA"/>
    </w:rPr>
  </w:style>
  <w:style w:type="character" w:customStyle="1" w:styleId="31">
    <w:name w:val="目录 1 Char"/>
    <w:link w:val="12"/>
    <w:qFormat/>
    <w:uiPriority w:val="0"/>
  </w:style>
  <w:style w:type="paragraph" w:customStyle="1" w:styleId="32">
    <w:name w:val="样式1"/>
    <w:basedOn w:val="3"/>
    <w:next w:val="1"/>
    <w:qFormat/>
    <w:uiPriority w:val="0"/>
    <w:rPr>
      <w:rFonts w:eastAsia="方正仿宋简体"/>
      <w:sz w:val="24"/>
    </w:rPr>
  </w:style>
  <w:style w:type="paragraph" w:customStyle="1" w:styleId="33">
    <w:name w:val="样式2"/>
    <w:basedOn w:val="3"/>
    <w:next w:val="1"/>
    <w:qFormat/>
    <w:uiPriority w:val="0"/>
    <w:pPr>
      <w:jc w:val="center"/>
    </w:pPr>
    <w:rPr>
      <w:rFonts w:eastAsia="方正仿宋简体"/>
      <w:b w:val="0"/>
    </w:rPr>
  </w:style>
  <w:style w:type="paragraph" w:customStyle="1" w:styleId="34">
    <w:name w:val="标题1"/>
    <w:basedOn w:val="3"/>
    <w:next w:val="1"/>
    <w:qFormat/>
    <w:uiPriority w:val="0"/>
    <w:pPr>
      <w:jc w:val="center"/>
    </w:pPr>
    <w:rPr>
      <w:rFonts w:eastAsia="方正小标宋简体" w:asciiTheme="majorAscii" w:hAnsiTheme="majorAscii"/>
      <w:b w:val="0"/>
      <w:sz w:val="24"/>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3eca351-2958-433f-bd81-31589cb68fc9}"/>
        <w:style w:val=""/>
        <w:category>
          <w:name w:val="常规"/>
          <w:gallery w:val="placeholder"/>
        </w:category>
        <w:types>
          <w:type w:val="bbPlcHdr"/>
        </w:types>
        <w:behaviors>
          <w:behavior w:val="content"/>
        </w:behaviors>
        <w:description w:val=""/>
        <w:guid w:val="{e3eca351-2958-433f-bd81-31589cb68fc9}"/>
      </w:docPartPr>
      <w:docPartBody>
        <w:p>
          <w:r>
            <w:rPr>
              <w:color w:val="808080"/>
            </w:rPr>
            <w:t>单击此处输入文字。</w:t>
          </w:r>
        </w:p>
      </w:docPartBody>
    </w:docPart>
    <w:docPart>
      <w:docPartPr>
        <w:name w:val="{a1c5fec8-c9e1-4270-9433-018d36f0ed65}"/>
        <w:style w:val=""/>
        <w:category>
          <w:name w:val="常规"/>
          <w:gallery w:val="placeholder"/>
        </w:category>
        <w:types>
          <w:type w:val="bbPlcHdr"/>
        </w:types>
        <w:behaviors>
          <w:behavior w:val="content"/>
        </w:behaviors>
        <w:description w:val=""/>
        <w:guid w:val="{a1c5fec8-c9e1-4270-9433-018d36f0ed65}"/>
      </w:docPartPr>
      <w:docPartBody>
        <w:p>
          <w:r>
            <w:rPr>
              <w:color w:val="808080"/>
            </w:rPr>
            <w:t>单击此处输入文字。</w:t>
          </w:r>
        </w:p>
      </w:docPartBody>
    </w:docPart>
    <w:docPart>
      <w:docPartPr>
        <w:name w:val="{efc039f8-986e-4169-9fdc-6b4d81fa0853}"/>
        <w:style w:val=""/>
        <w:category>
          <w:name w:val="常规"/>
          <w:gallery w:val="placeholder"/>
        </w:category>
        <w:types>
          <w:type w:val="bbPlcHdr"/>
        </w:types>
        <w:behaviors>
          <w:behavior w:val="content"/>
        </w:behaviors>
        <w:description w:val=""/>
        <w:guid w:val="{efc039f8-986e-4169-9fdc-6b4d81fa0853}"/>
      </w:docPartPr>
      <w:docPartBody>
        <w:p>
          <w:r>
            <w:rPr>
              <w:color w:val="808080"/>
            </w:rPr>
            <w:t>单击此处输入文字。</w:t>
          </w:r>
        </w:p>
      </w:docPartBody>
    </w:docPart>
    <w:docPart>
      <w:docPartPr>
        <w:name w:val="{301a3136-a2d8-45a9-bb9e-edd724fc32b0}"/>
        <w:style w:val=""/>
        <w:category>
          <w:name w:val="常规"/>
          <w:gallery w:val="placeholder"/>
        </w:category>
        <w:types>
          <w:type w:val="bbPlcHdr"/>
        </w:types>
        <w:behaviors>
          <w:behavior w:val="content"/>
        </w:behaviors>
        <w:description w:val=""/>
        <w:guid w:val="{301a3136-a2d8-45a9-bb9e-edd724fc32b0}"/>
      </w:docPartPr>
      <w:docPartBody>
        <w:p>
          <w:r>
            <w:rPr>
              <w:color w:val="808080"/>
            </w:rPr>
            <w:t>单击此处输入文字。</w:t>
          </w:r>
        </w:p>
      </w:docPartBody>
    </w:docPart>
    <w:docPart>
      <w:docPartPr>
        <w:name w:val="{4dbfa6ce-838f-4407-8944-a869fd8843f8}"/>
        <w:style w:val=""/>
        <w:category>
          <w:name w:val="常规"/>
          <w:gallery w:val="placeholder"/>
        </w:category>
        <w:types>
          <w:type w:val="bbPlcHdr"/>
        </w:types>
        <w:behaviors>
          <w:behavior w:val="content"/>
        </w:behaviors>
        <w:description w:val=""/>
        <w:guid w:val="{4dbfa6ce-838f-4407-8944-a869fd8843f8}"/>
      </w:docPartPr>
      <w:docPartBody>
        <w:p>
          <w:r>
            <w:rPr>
              <w:color w:val="808080"/>
            </w:rPr>
            <w:t>单击此处输入文字。</w:t>
          </w:r>
        </w:p>
      </w:docPartBody>
    </w:docPart>
    <w:docPart>
      <w:docPartPr>
        <w:name w:val="{bbb3521e-52c4-405f-a2e2-c2a5889b4344}"/>
        <w:style w:val=""/>
        <w:category>
          <w:name w:val="常规"/>
          <w:gallery w:val="placeholder"/>
        </w:category>
        <w:types>
          <w:type w:val="bbPlcHdr"/>
        </w:types>
        <w:behaviors>
          <w:behavior w:val="content"/>
        </w:behaviors>
        <w:description w:val=""/>
        <w:guid w:val="{bbb3521e-52c4-405f-a2e2-c2a5889b4344}"/>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528</Words>
  <Characters>3015</Characters>
  <Lines>25</Lines>
  <Paragraphs>7</Paragraphs>
  <TotalTime>37</TotalTime>
  <ScaleCrop>false</ScaleCrop>
  <LinksUpToDate>false</LinksUpToDate>
  <CharactersWithSpaces>3536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admin</cp:lastModifiedBy>
  <cp:lastPrinted>2019-05-14T08:25:37Z</cp:lastPrinted>
  <dcterms:modified xsi:type="dcterms:W3CDTF">2019-05-14T08:30:10Z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