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E2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bCs/>
          <w:sz w:val="44"/>
          <w:szCs w:val="44"/>
          <w:lang w:val="en-US" w:eastAsia="zh-CN"/>
        </w:rPr>
      </w:pPr>
      <w:bookmarkStart w:id="41" w:name="_GoBack"/>
      <w:bookmarkEnd w:id="41"/>
      <w:r>
        <w:rPr>
          <w:rFonts w:hint="eastAsia" w:ascii="黑体" w:hAnsi="黑体" w:eastAsia="黑体" w:cs="黑体"/>
          <w:b/>
          <w:bCs/>
          <w:sz w:val="44"/>
          <w:szCs w:val="44"/>
          <w:lang w:val="en-US" w:eastAsia="zh-CN"/>
        </w:rPr>
        <w:t>资阳市中心医院信息化灾备建设项目</w:t>
      </w:r>
    </w:p>
    <w:p w14:paraId="1905D8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调研公告（第二次）</w:t>
      </w:r>
    </w:p>
    <w:p w14:paraId="11A4E7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lang w:val="en-US" w:eastAsia="zh-CN" w:bidi="zh-CN"/>
        </w:rPr>
      </w:pPr>
    </w:p>
    <w:p w14:paraId="2C7D1A3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经对该项目第一次调研后，我院对该项目进行了上云应用及资源现状等资料的梳理。现对该项目进行第二次市场调研。诚邀潜在供应商报名（获取我院现上云应用及资源占用情况、核心业务系统服务器清单等资料联系罗老师028-26219526），现将有关事宜公告如下：</w:t>
      </w:r>
    </w:p>
    <w:p w14:paraId="128B2B31">
      <w:pPr>
        <w:spacing w:line="360" w:lineRule="exact"/>
        <w:ind w:firstLine="560" w:firstLineChars="200"/>
        <w:rPr>
          <w:rFonts w:hint="default"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一、</w:t>
      </w:r>
      <w:r>
        <w:rPr>
          <w:rFonts w:hint="eastAsia" w:ascii="微软雅黑" w:hAnsi="微软雅黑" w:eastAsia="微软雅黑" w:cs="微软雅黑"/>
          <w:color w:val="auto"/>
          <w:kern w:val="0"/>
          <w:sz w:val="28"/>
          <w:szCs w:val="28"/>
          <w:lang w:bidi="ar"/>
        </w:rPr>
        <w:t>项目概述</w:t>
      </w:r>
    </w:p>
    <w:p w14:paraId="7CA3A4C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为全面落实国家及地方医疗信息化相关政策要求，破解当前医院信息系统灾备能力短板，保障医疗数据安全与业务连续运行，满足医院对信息化灾难恢复指标及备份数据存储和备份要求，达到资源的统一调度、灵活分配、自由扩展等目的，拟调研的建设清单如下表。</w:t>
      </w:r>
    </w:p>
    <w:tbl>
      <w:tblPr>
        <w:tblStyle w:val="9"/>
        <w:tblpPr w:leftFromText="180" w:rightFromText="180" w:vertAnchor="text" w:horzAnchor="page" w:tblpX="1870" w:tblpY="36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1072"/>
        <w:gridCol w:w="6646"/>
      </w:tblGrid>
      <w:tr w14:paraId="7005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F6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91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功能项</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A6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项目概述</w:t>
            </w:r>
          </w:p>
        </w:tc>
      </w:tr>
      <w:tr w14:paraId="7615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D6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4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总体技术要求</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3A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总体技术要求不限于以下内容：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本次改造后的数据中心作为医院政务云（或未来信创云）的灾备业务用房，当用户访问云端业务异常时，可切换到医院本地灾备业务用房，由灾备业务用房接管医院业务系统；关键业务信息系统恢复时间目标（RTO）≦1小时、数据恢复点目标（RPO）≦30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（2）部分设备利旧，医院近年来采购的部分网络设备和安全设备如能够满足灾备中心的建设将利旧设备。如不能满足，调研方可根据实际灾备业务用房建设要求新增设备，鼓励新增硬件设备采用国产芯片；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（3）医院计算资源、核心数据库部署、后端存储架构（应充分考虑医院影像数据的存储空间，方便后期根据业务进行扩容升级）、网络资源等由供应商提供解决方案。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灾备业务用房升级改造，包括传染病住院楼一楼区域灾备中心约107平米（图1），按照B级机房标准要求进行改造，充分考虑区域的划分；区域医疗中心一楼信息化运维中心约83平米（图2），建成后的灾备中心具备统一管理、统一运维能力，并增加动环、网管等大屏展示；另需对医院现有医技大楼楼顶机房、儿科楼一楼机房进行架构改造。</w:t>
            </w:r>
          </w:p>
          <w:p w14:paraId="3DAB96B2">
            <w:pPr>
              <w:pStyle w:val="2"/>
              <w:rPr>
                <w:rFonts w:hint="default"/>
                <w:sz w:val="21"/>
                <w:szCs w:val="21"/>
                <w:lang w:val="en-US"/>
              </w:rPr>
            </w:pPr>
            <w:r>
              <w:rPr>
                <w:rFonts w:hint="eastAsia" w:ascii="宋体" w:hAnsi="宋体" w:eastAsia="宋体" w:cs="宋体"/>
                <w:i w:val="0"/>
                <w:iCs w:val="0"/>
                <w:color w:val="auto"/>
                <w:kern w:val="0"/>
                <w:sz w:val="21"/>
                <w:szCs w:val="21"/>
                <w:u w:val="none"/>
                <w:lang w:val="en-US" w:eastAsia="zh-CN" w:bidi="ar"/>
              </w:rPr>
              <w:t>（5）需包含配合云上数据迁移实施、灾备演练服务。</w:t>
            </w:r>
          </w:p>
        </w:tc>
      </w:tr>
      <w:tr w14:paraId="5308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40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0A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灾备计算资源池</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2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（1）本次</w:t>
            </w:r>
            <w:r>
              <w:rPr>
                <w:rFonts w:hint="eastAsia" w:ascii="宋体" w:hAnsi="宋体" w:eastAsia="宋体" w:cs="宋体"/>
                <w:i w:val="0"/>
                <w:iCs w:val="0"/>
                <w:color w:val="auto"/>
                <w:kern w:val="0"/>
                <w:sz w:val="21"/>
                <w:szCs w:val="21"/>
                <w:highlight w:val="none"/>
                <w:u w:val="none"/>
                <w:lang w:val="en-US" w:eastAsia="zh-CN" w:bidi="ar"/>
              </w:rPr>
              <w:t>调研要求计算资源主机物理CPU≥400核，CPU频率≥2.0Ghz，能虚拟出的vCPU≥1500颗，内存≥2TB，最低资源要求须实现数据全量灾备和核心业务应用接管能力，以及未来3-5年冗余资源。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（2）搭配的管理平台应能够实现可扩展、灵活分配资源、统一管理、较高的冗余性能、高效的负载均衡等运维管理要求。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（3）配置方案需结合</w:t>
            </w:r>
            <w:r>
              <w:rPr>
                <w:rFonts w:hint="eastAsia" w:ascii="宋体" w:hAnsi="宋体" w:eastAsia="宋体" w:cs="宋体"/>
                <w:i w:val="0"/>
                <w:iCs w:val="0"/>
                <w:color w:val="auto"/>
                <w:kern w:val="0"/>
                <w:sz w:val="21"/>
                <w:szCs w:val="21"/>
                <w:highlight w:val="none"/>
                <w:u w:val="none"/>
                <w:lang w:val="en-US" w:eastAsia="zh-CN" w:bidi="ar"/>
              </w:rPr>
              <w:t>业务用房改造配置对应数量的机柜、电源、数据交换等设备，计算架构应充分考虑现有应用稳定性与未来信创云之间的平衡和兼容能力，采用国内外技术稳定、先进、性价比高的技术架构进行配置。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（4）HIS数据库系统需单独搭配两台裸金属服务器。配置要求单台至少2路CPU≥2.5Ghz,≥256GB内存。</w:t>
            </w:r>
          </w:p>
        </w:tc>
      </w:tr>
      <w:tr w14:paraId="1EEC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6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灾备存储资源池</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FCF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（1）按</w:t>
            </w:r>
            <w:r>
              <w:rPr>
                <w:rFonts w:hint="eastAsia" w:ascii="宋体" w:hAnsi="宋体" w:eastAsia="宋体" w:cs="宋体"/>
                <w:i w:val="0"/>
                <w:iCs w:val="0"/>
                <w:color w:val="auto"/>
                <w:kern w:val="0"/>
                <w:sz w:val="21"/>
                <w:szCs w:val="21"/>
                <w:highlight w:val="none"/>
                <w:u w:val="none"/>
                <w:lang w:val="en-US" w:eastAsia="zh-CN" w:bidi="ar"/>
              </w:rPr>
              <w:t>照可用存储资源≥600TB配置，满足未来5年业务发展需要；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（2）存储数据需包扩医院生产影像数据、历史影像数据、业务数据、历史业务数据的全部数据的存储。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（3）采用国内外技术稳定、先进、性价比高的技术架构进行配置。需针对冷数据、热数</w:t>
            </w:r>
            <w:r>
              <w:rPr>
                <w:rFonts w:hint="eastAsia" w:ascii="宋体" w:hAnsi="宋体" w:eastAsia="宋体" w:cs="宋体"/>
                <w:i w:val="0"/>
                <w:iCs w:val="0"/>
                <w:color w:val="auto"/>
                <w:kern w:val="0"/>
                <w:sz w:val="21"/>
                <w:szCs w:val="21"/>
                <w:u w:val="none"/>
                <w:lang w:val="en-US" w:eastAsia="zh-CN" w:bidi="ar"/>
              </w:rPr>
              <w:t>据、影像数据等进行针对性优化存储和管理，能够实现自动管理。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（4）核心应用数据应实现高可用。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（5）宜对存储类型、高性能SSD盘，大容量存储盘，热备盘、RAID等进行合理规划。</w:t>
            </w:r>
          </w:p>
        </w:tc>
      </w:tr>
      <w:tr w14:paraId="58DD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68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F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灾备环境改造</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0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（1）含灾备中心装修工程、电气工程、机柜及布线、防雷接地、新风系统、消</w:t>
            </w:r>
            <w:r>
              <w:rPr>
                <w:rFonts w:hint="eastAsia" w:ascii="宋体" w:hAnsi="宋体" w:eastAsia="宋体" w:cs="宋体"/>
                <w:i w:val="0"/>
                <w:iCs w:val="0"/>
                <w:color w:val="auto"/>
                <w:kern w:val="0"/>
                <w:sz w:val="21"/>
                <w:szCs w:val="21"/>
                <w:highlight w:val="none"/>
                <w:u w:val="none"/>
                <w:lang w:val="en-US" w:eastAsia="zh-CN" w:bidi="ar"/>
              </w:rPr>
              <w:t>防报警灭火系统（需与现有消防报警灭火系统对接、联动）、门禁系统（需实现与消防报警联动）、动环监控系统、精密空调系统、UPS系统（UPS间位于传染病住院楼一楼弱电进线间，电池需放置于此房间，如图1）等，运维大屏展示（安装于区域医疗中心一楼信息化运维中心如图2）等。相关门禁等系统优先采用国密安全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（2）区域医疗中心一楼信息化运维中心基础装修及网络布线、LED全彩屏（面积≥8平方，点间距≤1.6mm）等内容，医技楼机房及儿科楼机房相应的网络部分改造。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（3）供应商宜利用CAD图纸等方式进行方案思路的阐述。</w:t>
            </w:r>
          </w:p>
        </w:tc>
      </w:tr>
      <w:tr w14:paraId="0AA7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F5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灾备安全改造及评估</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502">
            <w:pPr>
              <w:keepNext w:val="0"/>
              <w:keepLines w:val="0"/>
              <w:widowControl/>
              <w:numPr>
                <w:ilvl w:val="0"/>
                <w:numId w:val="0"/>
              </w:numPr>
              <w:suppressLineNumbers w:val="0"/>
              <w:jc w:val="left"/>
              <w:textAlignment w:val="center"/>
              <w:rPr>
                <w:rFonts w:hint="eastAsia" w:eastAsia="宋体"/>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（1）根据实际情况评估需增加的安全设备。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（2）改造完成后，需对整体灾备能力环境进行安全评估，对存在的问题进行改造。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（3）可利旧医院现有的安全能力，进行针对性补强。</w:t>
            </w:r>
          </w:p>
        </w:tc>
      </w:tr>
      <w:tr w14:paraId="4266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4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1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灾备正版化软件</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6A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本项目灾备能力建设中使用到成品软件，其数量由供应商根据方案自行配置，包括但不限于数据库、应用软件、操作系统、中间件等，需为正版软件，如厂商授权，需直接授权给医院，且可供查验。</w:t>
            </w:r>
          </w:p>
        </w:tc>
      </w:tr>
      <w:tr w14:paraId="1EFC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7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4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信息化运维管理平台</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A5A">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信息化运维管理平台应具备包括但不限于虚拟化资源管理、容灾管理、备份管理、运维管理、监控管理等功能，由供应商根据自身方案自行配置。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（2）软件需正版授权，且授权管理设备数量、备份容量应涵盖医院现有体量内容或无限制。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（3）可纳管医院现有主要存储系统，实现存储资源优化配置及灵活管理。</w:t>
            </w:r>
          </w:p>
          <w:p w14:paraId="5791D0DE">
            <w:pPr>
              <w:pStyle w:val="2"/>
              <w:keepNext w:val="0"/>
              <w:keepLines w:val="0"/>
              <w:pageBreakBefore w:val="0"/>
              <w:widowControl w:val="0"/>
              <w:numPr>
                <w:ilvl w:val="0"/>
                <w:numId w:val="2"/>
              </w:numPr>
              <w:kinsoku/>
              <w:wordWrap/>
              <w:overflowPunct/>
              <w:topLinePunct w:val="0"/>
              <w:autoSpaceDE w:val="0"/>
              <w:autoSpaceDN w:val="0"/>
              <w:bidi w:val="0"/>
              <w:adjustRightInd w:val="0"/>
              <w:snapToGrid/>
              <w:spacing w:line="3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运维监控与运维管理：</w:t>
            </w:r>
          </w:p>
          <w:p w14:paraId="6B95661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firstLine="420" w:firstLineChars="20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1.运维监控配置有合理的告警规则，具有短信、微信、电话报警的任意一种；</w:t>
            </w:r>
          </w:p>
          <w:p w14:paraId="60925E43">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firstLine="420" w:firstLineChars="200"/>
              <w:textAlignment w:val="auto"/>
              <w:rPr>
                <w:rFonts w:hint="default" w:eastAsia="宋体"/>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2.医院具有统一的监控体系，包括网络监控、服务器监控、存储监控机房环境监控（温湿度、UPS、漏水、空调等）和集中展示等</w:t>
            </w:r>
            <w:r>
              <w:rPr>
                <w:rFonts w:hint="eastAsia" w:hAnsi="宋体" w:cs="宋体"/>
                <w:i w:val="0"/>
                <w:iCs w:val="0"/>
                <w:color w:val="auto"/>
                <w:kern w:val="0"/>
                <w:sz w:val="21"/>
                <w:szCs w:val="21"/>
                <w:highlight w:val="none"/>
                <w:u w:val="none"/>
                <w:lang w:val="en-US" w:eastAsia="zh-CN" w:bidi="ar"/>
              </w:rPr>
              <w:t>。</w:t>
            </w:r>
          </w:p>
        </w:tc>
      </w:tr>
      <w:tr w14:paraId="0B83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E07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1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其他需求</w:t>
            </w:r>
          </w:p>
        </w:tc>
        <w:tc>
          <w:tcPr>
            <w:tcW w:w="6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C1F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以上内容如供应厂商有合理化建议，可进行补充说明。</w:t>
            </w:r>
          </w:p>
        </w:tc>
      </w:tr>
    </w:tbl>
    <w:p w14:paraId="7C114629">
      <w:pPr>
        <w:jc w:val="center"/>
      </w:pPr>
      <w:r>
        <w:drawing>
          <wp:inline distT="0" distB="0" distL="114300" distR="114300">
            <wp:extent cx="5266690" cy="348043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6"/>
                    <a:stretch>
                      <a:fillRect/>
                    </a:stretch>
                  </pic:blipFill>
                  <pic:spPr>
                    <a:xfrm>
                      <a:off x="0" y="0"/>
                      <a:ext cx="5266690" cy="3480435"/>
                    </a:xfrm>
                    <a:prstGeom prst="rect">
                      <a:avLst/>
                    </a:prstGeom>
                    <a:noFill/>
                    <a:ln>
                      <a:noFill/>
                    </a:ln>
                  </pic:spPr>
                </pic:pic>
              </a:graphicData>
            </a:graphic>
          </wp:inline>
        </w:drawing>
      </w:r>
    </w:p>
    <w:p w14:paraId="150569FA">
      <w:pPr>
        <w:spacing w:line="360" w:lineRule="auto"/>
        <w:ind w:firstLine="420" w:firstLineChars="20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图1 </w:t>
      </w:r>
      <w:r>
        <w:rPr>
          <w:rFonts w:hint="eastAsia" w:ascii="宋体" w:hAnsi="宋体" w:eastAsia="宋体" w:cs="宋体"/>
          <w:i w:val="0"/>
          <w:iCs w:val="0"/>
          <w:color w:val="auto"/>
          <w:kern w:val="0"/>
          <w:sz w:val="22"/>
          <w:szCs w:val="22"/>
          <w:u w:val="none"/>
          <w:lang w:val="en-US" w:eastAsia="zh-CN" w:bidi="ar"/>
        </w:rPr>
        <w:t>传染病住院楼一楼区域灾备中心约107平米</w:t>
      </w:r>
    </w:p>
    <w:p w14:paraId="07BDECC2">
      <w:pPr>
        <w:jc w:val="center"/>
        <w:rPr>
          <w:rFonts w:hint="default"/>
          <w:lang w:val="en-US" w:eastAsia="zh-CN"/>
        </w:rPr>
      </w:pPr>
    </w:p>
    <w:p w14:paraId="48B4020F">
      <w:pPr>
        <w:jc w:val="center"/>
      </w:pPr>
      <w:r>
        <w:drawing>
          <wp:inline distT="0" distB="0" distL="114300" distR="114300">
            <wp:extent cx="2519045" cy="3274060"/>
            <wp:effectExtent l="0" t="0" r="14605" b="25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2519045" cy="3274060"/>
                    </a:xfrm>
                    <a:prstGeom prst="rect">
                      <a:avLst/>
                    </a:prstGeom>
                    <a:noFill/>
                    <a:ln>
                      <a:noFill/>
                    </a:ln>
                  </pic:spPr>
                </pic:pic>
              </a:graphicData>
            </a:graphic>
          </wp:inline>
        </w:drawing>
      </w:r>
    </w:p>
    <w:p w14:paraId="284C1513">
      <w:pPr>
        <w:spacing w:line="360" w:lineRule="auto"/>
        <w:ind w:firstLine="420" w:firstLineChars="20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图2 区域医疗中心一楼信息化运维中心约83平米</w:t>
      </w:r>
    </w:p>
    <w:p w14:paraId="748D66DB">
      <w:pPr>
        <w:spacing w:line="360" w:lineRule="exact"/>
        <w:ind w:firstLine="560" w:firstLineChars="200"/>
        <w:rPr>
          <w:rFonts w:ascii="微软雅黑" w:hAnsi="微软雅黑" w:eastAsia="微软雅黑" w:cs="微软雅黑"/>
          <w:color w:val="auto"/>
          <w:kern w:val="0"/>
          <w:sz w:val="28"/>
          <w:szCs w:val="28"/>
          <w:lang w:bidi="ar"/>
        </w:rPr>
      </w:pPr>
      <w:r>
        <w:rPr>
          <w:rFonts w:hint="eastAsia" w:ascii="微软雅黑" w:hAnsi="微软雅黑" w:eastAsia="微软雅黑" w:cs="微软雅黑"/>
          <w:color w:val="auto"/>
          <w:kern w:val="0"/>
          <w:sz w:val="28"/>
          <w:szCs w:val="28"/>
          <w:lang w:val="en-US" w:eastAsia="zh-CN" w:bidi="ar"/>
        </w:rPr>
        <w:t>二、</w:t>
      </w:r>
      <w:r>
        <w:rPr>
          <w:rFonts w:hint="eastAsia" w:ascii="微软雅黑" w:hAnsi="微软雅黑" w:eastAsia="微软雅黑" w:cs="微软雅黑"/>
          <w:color w:val="auto"/>
          <w:kern w:val="0"/>
          <w:sz w:val="28"/>
          <w:szCs w:val="28"/>
          <w:lang w:bidi="ar"/>
        </w:rPr>
        <w:t>项目要求</w:t>
      </w:r>
      <w:r>
        <w:rPr>
          <w:rFonts w:hint="eastAsia" w:ascii="仿宋" w:hAnsi="仿宋" w:cs="仿宋"/>
          <w:color w:val="auto"/>
          <w:sz w:val="28"/>
          <w:szCs w:val="28"/>
          <w:lang w:val="en-US"/>
        </w:rPr>
        <w:t>（如后期正式公布更新标准替代</w:t>
      </w:r>
      <w:r>
        <w:rPr>
          <w:rFonts w:hint="eastAsia" w:ascii="仿宋" w:hAnsi="仿宋" w:cs="仿宋"/>
          <w:color w:val="auto"/>
          <w:sz w:val="28"/>
          <w:szCs w:val="28"/>
          <w:lang w:val="en-US" w:eastAsia="zh-CN"/>
        </w:rPr>
        <w:t>以下</w:t>
      </w:r>
      <w:r>
        <w:rPr>
          <w:rFonts w:hint="eastAsia" w:ascii="仿宋" w:hAnsi="仿宋" w:cs="仿宋"/>
          <w:color w:val="auto"/>
          <w:sz w:val="28"/>
          <w:szCs w:val="28"/>
          <w:lang w:val="en-US"/>
        </w:rPr>
        <w:t>标准的，应按照最新标准对应相关等级达标</w:t>
      </w:r>
      <w:r>
        <w:rPr>
          <w:rFonts w:hint="eastAsia" w:ascii="仿宋" w:hAnsi="仿宋" w:cs="仿宋"/>
          <w:color w:val="auto"/>
          <w:sz w:val="28"/>
          <w:szCs w:val="28"/>
          <w:lang w:val="en-US" w:eastAsia="zh-CN"/>
        </w:rPr>
        <w:t>）</w:t>
      </w:r>
    </w:p>
    <w:p w14:paraId="04ABA33A">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1．参照《电子病历系统功能应用水平分级评价方法及标准（试行）》六级要求建设；</w:t>
      </w:r>
    </w:p>
    <w:p w14:paraId="3F7ED7CA">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2．参照《国家医疗健康信息区域卫生(医院)信息互联互通标准化成熟度测评方案（2020年版）》五级乙等求建设；</w:t>
      </w:r>
    </w:p>
    <w:p w14:paraId="27572A7D">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3．参照《医院智慧服务分级评估标准体系（试行）》四级要求建设；</w:t>
      </w:r>
    </w:p>
    <w:p w14:paraId="47CCB0A2">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4．需参照《医院智慧管理分级评估标准体系（试行）》三级要求建设；</w:t>
      </w:r>
    </w:p>
    <w:p w14:paraId="055FF4AB">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rPr>
        <w:t>5．必须达到《信息安全技术信息系统安全等级保护基本要求》(GB/T22239-2019)三级要求；</w:t>
      </w:r>
    </w:p>
    <w:p w14:paraId="56EC8D04">
      <w:pPr>
        <w:pStyle w:val="5"/>
        <w:spacing w:line="360" w:lineRule="exact"/>
        <w:ind w:firstLine="560" w:firstLineChars="200"/>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6.参照《四川省智慧医院评价标准》六星要求建设；</w:t>
      </w:r>
    </w:p>
    <w:p w14:paraId="10DB03C9">
      <w:pPr>
        <w:pStyle w:val="5"/>
        <w:spacing w:line="360" w:lineRule="exact"/>
        <w:ind w:firstLine="560" w:firstLineChars="200"/>
        <w:rPr>
          <w:rFonts w:hint="eastAsia" w:ascii="仿宋" w:hAnsi="仿宋" w:cs="仿宋"/>
          <w:color w:val="auto"/>
          <w:sz w:val="28"/>
          <w:szCs w:val="28"/>
          <w:lang w:val="en-US"/>
        </w:rPr>
      </w:pPr>
      <w:r>
        <w:rPr>
          <w:rFonts w:hint="eastAsia" w:ascii="仿宋" w:hAnsi="仿宋" w:cs="仿宋"/>
          <w:color w:val="auto"/>
          <w:sz w:val="28"/>
          <w:szCs w:val="28"/>
          <w:lang w:val="en-US" w:eastAsia="zh-CN"/>
        </w:rPr>
        <w:t>7</w:t>
      </w:r>
      <w:r>
        <w:rPr>
          <w:rFonts w:hint="eastAsia" w:ascii="仿宋" w:hAnsi="仿宋" w:cs="仿宋"/>
          <w:color w:val="auto"/>
          <w:sz w:val="28"/>
          <w:szCs w:val="28"/>
          <w:lang w:val="en-US"/>
        </w:rPr>
        <w:t>．要求提供定制化开发服务，满足医院个性化需求。</w:t>
      </w:r>
    </w:p>
    <w:p w14:paraId="3B75CFF9">
      <w:pPr>
        <w:spacing w:line="360" w:lineRule="exact"/>
        <w:ind w:firstLine="560" w:firstLineChars="200"/>
        <w:rPr>
          <w:rFonts w:hint="eastAsia" w:ascii="微软雅黑" w:hAnsi="微软雅黑" w:eastAsia="微软雅黑" w:cs="微软雅黑"/>
          <w:color w:val="auto"/>
          <w:kern w:val="0"/>
          <w:sz w:val="28"/>
          <w:szCs w:val="28"/>
          <w:lang w:bidi="ar"/>
        </w:rPr>
      </w:pPr>
      <w:r>
        <w:rPr>
          <w:rFonts w:hint="eastAsia" w:ascii="微软雅黑" w:hAnsi="微软雅黑" w:eastAsia="微软雅黑" w:cs="微软雅黑"/>
          <w:color w:val="auto"/>
          <w:kern w:val="0"/>
          <w:sz w:val="28"/>
          <w:szCs w:val="28"/>
          <w:lang w:bidi="ar"/>
        </w:rPr>
        <w:t>三、报名时间、方式及相关要求</w:t>
      </w:r>
    </w:p>
    <w:p w14:paraId="4D1D7A2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（一）报名时间：本公告自挂网公告日起，截止时间为自发布公告起第5个工作日（包含发布当天），公告截止日期后递交的报名资料无效。</w:t>
      </w:r>
    </w:p>
    <w:p w14:paraId="4DFF7BA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（二）报名方式:本次市场调研活动采用邮箱报名，不接受现场报名。</w:t>
      </w:r>
    </w:p>
    <w:p w14:paraId="24D15C1F">
      <w:pPr>
        <w:pStyle w:val="5"/>
        <w:spacing w:before="0" w:line="360" w:lineRule="exact"/>
        <w:ind w:firstLine="560" w:firstLineChars="200"/>
        <w:jc w:val="left"/>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三）1.报名资料按附件《报名须知》要求，将电子文档（盖章扫描件和可编辑版本）发送至zyszxyyxxb@163.com，并抄送至zyszxyyxxb001@163.com。邮件名称：“XXXX项目名称+公司名称+联系人+联系电话）”报名资料目录见附件。</w:t>
      </w:r>
    </w:p>
    <w:p w14:paraId="6A7BDCB0">
      <w:pPr>
        <w:pStyle w:val="5"/>
        <w:keepNext w:val="0"/>
        <w:keepLines w:val="0"/>
        <w:pageBreakBefore w:val="0"/>
        <w:kinsoku/>
        <w:wordWrap/>
        <w:overflowPunct/>
        <w:topLinePunct w:val="0"/>
        <w:autoSpaceDE/>
        <w:autoSpaceDN/>
        <w:bidi w:val="0"/>
        <w:adjustRightInd/>
        <w:snapToGrid/>
        <w:spacing w:line="440" w:lineRule="exact"/>
        <w:ind w:firstLine="560" w:firstLineChars="200"/>
        <w:rPr>
          <w:rFonts w:hint="default" w:ascii="仿宋" w:hAnsi="仿宋" w:eastAsia="仿宋" w:cs="仿宋"/>
          <w:i w:val="0"/>
          <w:iCs w:val="0"/>
          <w:color w:val="000000"/>
          <w:sz w:val="28"/>
          <w:szCs w:val="28"/>
          <w:u w:val="none"/>
          <w:lang w:val="en-US" w:eastAsia="zh-CN"/>
        </w:rPr>
      </w:pPr>
      <w:r>
        <w:rPr>
          <w:rFonts w:hint="eastAsia" w:ascii="仿宋" w:hAnsi="仿宋" w:cs="仿宋"/>
          <w:color w:val="auto"/>
          <w:sz w:val="28"/>
          <w:szCs w:val="28"/>
          <w:lang w:val="en-US" w:eastAsia="zh-CN"/>
        </w:rPr>
        <w:t>（四）</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罗老师，报名电话咨</w:t>
      </w:r>
      <w:r>
        <w:rPr>
          <w:rFonts w:hint="eastAsia" w:ascii="仿宋" w:hAnsi="仿宋" w:eastAsia="仿宋" w:cs="仿宋"/>
          <w:i w:val="0"/>
          <w:iCs w:val="0"/>
          <w:color w:val="000000"/>
          <w:sz w:val="28"/>
          <w:szCs w:val="28"/>
          <w:u w:val="none"/>
          <w:lang w:val="en-US" w:eastAsia="zh-CN"/>
        </w:rPr>
        <w:t>询：028-26219526</w:t>
      </w:r>
      <w:r>
        <w:rPr>
          <w:rFonts w:hint="eastAsia" w:ascii="仿宋" w:hAnsi="仿宋" w:cs="仿宋"/>
          <w:i w:val="0"/>
          <w:iCs w:val="0"/>
          <w:color w:val="000000"/>
          <w:sz w:val="28"/>
          <w:szCs w:val="28"/>
          <w:u w:val="none"/>
          <w:lang w:val="en-US" w:eastAsia="zh-CN"/>
        </w:rPr>
        <w:t xml:space="preserve"> </w:t>
      </w:r>
      <w:r>
        <w:rPr>
          <w:rFonts w:hint="eastAsia" w:ascii="仿宋" w:hAnsi="仿宋" w:cs="仿宋"/>
          <w:b w:val="0"/>
          <w:bCs w:val="0"/>
          <w:i w:val="0"/>
          <w:iCs w:val="0"/>
          <w:color w:val="000000"/>
          <w:sz w:val="28"/>
          <w:szCs w:val="28"/>
          <w:u w:val="none"/>
          <w:lang w:val="en-US" w:eastAsia="zh-CN"/>
        </w:rPr>
        <w:t>获取我院现上云应用及资源占用情况、核心业务系统服务器清单等资料。</w:t>
      </w:r>
    </w:p>
    <w:p w14:paraId="55ECE8F6">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color w:val="auto"/>
          <w:sz w:val="28"/>
          <w:szCs w:val="28"/>
          <w:lang w:val="en-US" w:eastAsia="zh-CN"/>
        </w:rPr>
      </w:pPr>
      <w:r>
        <w:rPr>
          <w:rFonts w:hint="eastAsia" w:ascii="仿宋" w:hAnsi="仿宋" w:eastAsia="仿宋" w:cs="仿宋"/>
          <w:color w:val="auto"/>
          <w:kern w:val="2"/>
          <w:sz w:val="28"/>
          <w:szCs w:val="28"/>
          <w:lang w:val="en-US" w:eastAsia="zh-CN" w:bidi="zh-CN"/>
        </w:rPr>
        <w:t>（五）</w:t>
      </w:r>
      <w:r>
        <w:rPr>
          <w:rFonts w:hint="eastAsia" w:ascii="仿宋" w:hAnsi="仿宋" w:cs="仿宋"/>
          <w:color w:val="auto"/>
          <w:sz w:val="28"/>
          <w:szCs w:val="28"/>
          <w:lang w:val="en-US" w:eastAsia="zh-CN"/>
        </w:rPr>
        <w:t>现场调研会（需要PPT演示）具体时间及地点将另行通知，请各供应商提前筹备纸质版报价表、汇报PPT等相关材料，做好参会准备。</w:t>
      </w:r>
    </w:p>
    <w:p w14:paraId="74F72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640" w:firstLineChars="200"/>
        <w:jc w:val="both"/>
        <w:textAlignment w:val="center"/>
        <w:rPr>
          <w:rFonts w:hint="default" w:ascii="黑体" w:hAnsi="黑体" w:eastAsia="黑体" w:cs="黑体"/>
          <w:i w:val="0"/>
          <w:iCs w:val="0"/>
          <w:color w:val="auto"/>
          <w:kern w:val="0"/>
          <w:sz w:val="28"/>
          <w:szCs w:val="28"/>
          <w:u w:val="none"/>
          <w:lang w:val="en-US" w:eastAsia="zh-CN" w:bidi="ar"/>
        </w:rPr>
      </w:pPr>
      <w:r>
        <w:rPr>
          <w:rFonts w:hint="eastAsia" w:ascii="仿宋_GB2312" w:hAnsi="仿宋_GB2312" w:eastAsia="仿宋_GB2312" w:cs="仿宋_GB2312"/>
          <w:sz w:val="32"/>
          <w:szCs w:val="32"/>
          <w:lang w:val="en-US" w:eastAsia="zh-CN"/>
        </w:rPr>
        <w:t>四、</w:t>
      </w:r>
      <w:r>
        <w:rPr>
          <w:rFonts w:hint="eastAsia" w:ascii="黑体" w:hAnsi="黑体" w:eastAsia="黑体" w:cs="黑体"/>
          <w:i w:val="0"/>
          <w:iCs w:val="0"/>
          <w:color w:val="auto"/>
          <w:kern w:val="0"/>
          <w:sz w:val="28"/>
          <w:szCs w:val="28"/>
          <w:u w:val="none"/>
          <w:lang w:val="en-US" w:eastAsia="zh-CN" w:bidi="ar"/>
        </w:rPr>
        <w:t>其他说明</w:t>
      </w:r>
    </w:p>
    <w:p w14:paraId="5CCB385B">
      <w:pPr>
        <w:pStyle w:val="5"/>
        <w:spacing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BB0CD0B">
      <w:pPr>
        <w:pStyle w:val="5"/>
        <w:spacing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24AB5332">
      <w:pPr>
        <w:pStyle w:val="5"/>
        <w:spacing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3.参加供应商保证拟推荐货物应为合法、全新、未使用过的原装正品，配置应为出厂标准配置，如有选配件需单独注明；如需使用单一来源的耗材也需单独注明。</w:t>
      </w:r>
    </w:p>
    <w:p w14:paraId="42390850">
      <w:pPr>
        <w:pStyle w:val="5"/>
        <w:spacing w:line="360" w:lineRule="exact"/>
        <w:ind w:firstLine="560" w:firstLineChars="200"/>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4.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0FA17DCF">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59BBC968">
      <w:pPr>
        <w:pStyle w:val="2"/>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6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1.请参与报名的各潜在供应商在准备报名资料时，按照报名资料目录顺序和模板提交，若其中某项资料不需提供，请勿删除页面，自动跳过当前页即可。</w:t>
      </w:r>
    </w:p>
    <w:p w14:paraId="2310D6F0">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2.可根据项目方案内容通过PPT重点介绍产品功能、亮点及落地案例，15分钟。</w:t>
      </w:r>
    </w:p>
    <w:p w14:paraId="22BC656B">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3.报名资料电子文档（盖章扫描件和可编辑版本）发送至zyszxyyxxb@163.com。邮件名称：“XXXX项目名称（公司名称+联系人+联系电话）”</w:t>
      </w:r>
    </w:p>
    <w:p w14:paraId="2AA7B7F7">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r>
        <w:rPr>
          <w:rFonts w:hint="eastAsia" w:ascii="仿宋" w:hAnsi="仿宋" w:eastAsia="仿宋" w:cs="仿宋"/>
          <w:color w:val="auto"/>
          <w:kern w:val="2"/>
          <w:sz w:val="28"/>
          <w:szCs w:val="28"/>
          <w:lang w:val="en-US" w:eastAsia="zh-CN" w:bidi="zh-CN"/>
        </w:rPr>
        <w:t>4.收到您的邮件即报名成功。特殊情况，我们会通过电话与您联系，请注意保持电话畅通。感谢您的积极参与！</w:t>
      </w:r>
    </w:p>
    <w:p w14:paraId="04C4AE5E">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847AD26">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3B354166">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5B5241D6">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103C960F">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79176C07">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944EB58">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4722B037">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0ECDD285">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5A016886">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301727F0">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4F5B2B5">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00199997">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5130B1CC">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2D8EA2FC">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D3E7049">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5CB079A4">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1A5AA393">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F7283CE">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EE5DF0B">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DCAF5CC">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4B3F6C75">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419B286B">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p w14:paraId="633ADD91">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560" w:firstLineChars="200"/>
        <w:textAlignment w:val="auto"/>
        <w:rPr>
          <w:rFonts w:hint="eastAsia" w:ascii="仿宋" w:hAnsi="仿宋" w:eastAsia="仿宋" w:cs="仿宋"/>
          <w:color w:val="auto"/>
          <w:kern w:val="2"/>
          <w:sz w:val="28"/>
          <w:szCs w:val="28"/>
          <w:lang w:val="en-US" w:eastAsia="zh-CN" w:bidi="zh-CN"/>
        </w:rPr>
      </w:pPr>
    </w:p>
    <w:sdt>
      <w:sdtPr>
        <w:rPr>
          <w:rFonts w:ascii="宋体" w:hAnsi="宋体" w:eastAsia="宋体"/>
          <w:color w:val="auto"/>
          <w:sz w:val="28"/>
          <w:szCs w:val="36"/>
        </w:rPr>
        <w:id w:val="147457145"/>
        <w:docPartObj>
          <w:docPartGallery w:val="Table of Contents"/>
          <w:docPartUnique/>
        </w:docPartObj>
      </w:sdtPr>
      <w:sdtEndPr>
        <w:rPr>
          <w:rFonts w:asciiTheme="minorHAnsi" w:hAnsiTheme="minorHAnsi" w:eastAsiaTheme="minorEastAsia"/>
          <w:color w:val="auto"/>
          <w:sz w:val="21"/>
          <w:szCs w:val="24"/>
        </w:rPr>
      </w:sdtEndPr>
      <w:sdtContent>
        <w:p w14:paraId="4C804AE8">
          <w:pPr>
            <w:jc w:val="center"/>
            <w:rPr>
              <w:rFonts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rPr>
            <w:t>调研报名目录</w:t>
          </w:r>
        </w:p>
        <w:p w14:paraId="1184562D">
          <w:pPr>
            <w:jc w:val="center"/>
            <w:rPr>
              <w:color w:val="auto"/>
            </w:rPr>
          </w:pPr>
        </w:p>
        <w:p w14:paraId="306CE842">
          <w:pPr>
            <w:pStyle w:val="7"/>
            <w:tabs>
              <w:tab w:val="right" w:leader="dot" w:pos="8306"/>
            </w:tabs>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_Toc29870 </w:instrText>
          </w:r>
          <w:r>
            <w:fldChar w:fldCharType="separate"/>
          </w:r>
          <w:r>
            <w:rPr>
              <w:rFonts w:hint="eastAsia"/>
            </w:rPr>
            <w:t>一、 报名登记表</w:t>
          </w:r>
          <w:r>
            <w:tab/>
          </w:r>
          <w:r>
            <w:fldChar w:fldCharType="begin"/>
          </w:r>
          <w:r>
            <w:instrText xml:space="preserve"> PAGEREF _Toc29870 \h </w:instrText>
          </w:r>
          <w:r>
            <w:fldChar w:fldCharType="separate"/>
          </w:r>
          <w:r>
            <w:t>7</w:t>
          </w:r>
          <w:r>
            <w:fldChar w:fldCharType="end"/>
          </w:r>
          <w:r>
            <w:rPr>
              <w:color w:val="auto"/>
            </w:rPr>
            <w:fldChar w:fldCharType="end"/>
          </w:r>
        </w:p>
        <w:p w14:paraId="4B3869A5">
          <w:pPr>
            <w:pStyle w:val="7"/>
            <w:tabs>
              <w:tab w:val="right" w:leader="dot" w:pos="8306"/>
            </w:tabs>
          </w:pPr>
          <w:r>
            <w:rPr>
              <w:color w:val="auto"/>
            </w:rPr>
            <w:fldChar w:fldCharType="begin"/>
          </w:r>
          <w:r>
            <w:instrText xml:space="preserve"> HYPERLINK \l _Toc29136 </w:instrText>
          </w:r>
          <w:r>
            <w:fldChar w:fldCharType="separate"/>
          </w:r>
          <w:r>
            <w:rPr>
              <w:rFonts w:hint="eastAsia"/>
            </w:rPr>
            <w:t>二、资质：</w:t>
          </w:r>
          <w:r>
            <w:tab/>
          </w:r>
          <w:r>
            <w:fldChar w:fldCharType="begin"/>
          </w:r>
          <w:r>
            <w:instrText xml:space="preserve"> PAGEREF _Toc29136 \h </w:instrText>
          </w:r>
          <w:r>
            <w:fldChar w:fldCharType="separate"/>
          </w:r>
          <w:r>
            <w:t>7</w:t>
          </w:r>
          <w:r>
            <w:fldChar w:fldCharType="end"/>
          </w:r>
          <w:r>
            <w:rPr>
              <w:color w:val="auto"/>
            </w:rPr>
            <w:fldChar w:fldCharType="end"/>
          </w:r>
        </w:p>
        <w:p w14:paraId="3F703E58">
          <w:pPr>
            <w:pStyle w:val="8"/>
            <w:tabs>
              <w:tab w:val="right" w:leader="dot" w:pos="8306"/>
            </w:tabs>
          </w:pPr>
          <w:r>
            <w:rPr>
              <w:color w:val="auto"/>
            </w:rPr>
            <w:fldChar w:fldCharType="begin"/>
          </w:r>
          <w:r>
            <w:instrText xml:space="preserve"> HYPERLINK \l _Toc6776 </w:instrText>
          </w:r>
          <w:r>
            <w:fldChar w:fldCharType="separate"/>
          </w:r>
          <w:r>
            <w:rPr>
              <w:rFonts w:hint="eastAsia"/>
            </w:rPr>
            <w:t>2.1营业执照</w:t>
          </w:r>
          <w:r>
            <w:tab/>
          </w:r>
          <w:r>
            <w:fldChar w:fldCharType="begin"/>
          </w:r>
          <w:r>
            <w:instrText xml:space="preserve"> PAGEREF _Toc6776 \h </w:instrText>
          </w:r>
          <w:r>
            <w:fldChar w:fldCharType="separate"/>
          </w:r>
          <w:r>
            <w:t>7</w:t>
          </w:r>
          <w:r>
            <w:fldChar w:fldCharType="end"/>
          </w:r>
          <w:r>
            <w:rPr>
              <w:color w:val="auto"/>
            </w:rPr>
            <w:fldChar w:fldCharType="end"/>
          </w:r>
        </w:p>
        <w:p w14:paraId="0D02B1A7">
          <w:pPr>
            <w:pStyle w:val="8"/>
            <w:tabs>
              <w:tab w:val="right" w:leader="dot" w:pos="8306"/>
            </w:tabs>
          </w:pPr>
          <w:r>
            <w:rPr>
              <w:color w:val="auto"/>
            </w:rPr>
            <w:fldChar w:fldCharType="begin"/>
          </w:r>
          <w:r>
            <w:instrText xml:space="preserve"> HYPERLINK \l _Toc26820 </w:instrText>
          </w:r>
          <w:r>
            <w:fldChar w:fldCharType="separate"/>
          </w:r>
          <w:r>
            <w:rPr>
              <w:rFonts w:hint="eastAsia"/>
            </w:rPr>
            <w:t>2.2法定代表人授权书</w:t>
          </w:r>
          <w:r>
            <w:tab/>
          </w:r>
          <w:r>
            <w:fldChar w:fldCharType="begin"/>
          </w:r>
          <w:r>
            <w:instrText xml:space="preserve"> PAGEREF _Toc26820 \h </w:instrText>
          </w:r>
          <w:r>
            <w:fldChar w:fldCharType="separate"/>
          </w:r>
          <w:r>
            <w:t>7</w:t>
          </w:r>
          <w:r>
            <w:fldChar w:fldCharType="end"/>
          </w:r>
          <w:r>
            <w:rPr>
              <w:color w:val="auto"/>
            </w:rPr>
            <w:fldChar w:fldCharType="end"/>
          </w:r>
        </w:p>
        <w:p w14:paraId="0F9DFD0E">
          <w:pPr>
            <w:pStyle w:val="8"/>
            <w:tabs>
              <w:tab w:val="right" w:leader="dot" w:pos="8306"/>
            </w:tabs>
          </w:pPr>
          <w:r>
            <w:rPr>
              <w:color w:val="auto"/>
            </w:rPr>
            <w:fldChar w:fldCharType="begin"/>
          </w:r>
          <w:r>
            <w:instrText xml:space="preserve"> HYPERLINK \l _Toc27595 </w:instrText>
          </w:r>
          <w:r>
            <w:fldChar w:fldCharType="separate"/>
          </w:r>
          <w:r>
            <w:rPr>
              <w:rFonts w:hint="eastAsia"/>
            </w:rPr>
            <w:t>2.3法人及被授权人身份证</w:t>
          </w:r>
          <w:r>
            <w:tab/>
          </w:r>
          <w:r>
            <w:fldChar w:fldCharType="begin"/>
          </w:r>
          <w:r>
            <w:instrText xml:space="preserve"> PAGEREF _Toc27595 \h </w:instrText>
          </w:r>
          <w:r>
            <w:fldChar w:fldCharType="separate"/>
          </w:r>
          <w:r>
            <w:t>7</w:t>
          </w:r>
          <w:r>
            <w:fldChar w:fldCharType="end"/>
          </w:r>
          <w:r>
            <w:rPr>
              <w:color w:val="auto"/>
            </w:rPr>
            <w:fldChar w:fldCharType="end"/>
          </w:r>
        </w:p>
        <w:p w14:paraId="56C2532A">
          <w:pPr>
            <w:pStyle w:val="8"/>
            <w:tabs>
              <w:tab w:val="right" w:leader="dot" w:pos="8306"/>
            </w:tabs>
          </w:pPr>
          <w:r>
            <w:rPr>
              <w:color w:val="auto"/>
            </w:rPr>
            <w:fldChar w:fldCharType="begin"/>
          </w:r>
          <w:r>
            <w:instrText xml:space="preserve"> HYPERLINK \l _Toc1254 </w:instrText>
          </w:r>
          <w:r>
            <w:fldChar w:fldCharType="separate"/>
          </w:r>
          <w:r>
            <w:rPr>
              <w:rFonts w:hint="eastAsia"/>
            </w:rPr>
            <w:t>2.4公司资质</w:t>
          </w:r>
          <w:r>
            <w:tab/>
          </w:r>
          <w:r>
            <w:fldChar w:fldCharType="begin"/>
          </w:r>
          <w:r>
            <w:instrText xml:space="preserve"> PAGEREF _Toc1254 \h </w:instrText>
          </w:r>
          <w:r>
            <w:fldChar w:fldCharType="separate"/>
          </w:r>
          <w:r>
            <w:t>7</w:t>
          </w:r>
          <w:r>
            <w:fldChar w:fldCharType="end"/>
          </w:r>
          <w:r>
            <w:rPr>
              <w:color w:val="auto"/>
            </w:rPr>
            <w:fldChar w:fldCharType="end"/>
          </w:r>
        </w:p>
        <w:p w14:paraId="49F37955">
          <w:pPr>
            <w:pStyle w:val="8"/>
            <w:tabs>
              <w:tab w:val="right" w:leader="dot" w:pos="8306"/>
            </w:tabs>
          </w:pPr>
          <w:r>
            <w:rPr>
              <w:color w:val="auto"/>
            </w:rPr>
            <w:fldChar w:fldCharType="begin"/>
          </w:r>
          <w:r>
            <w:instrText xml:space="preserve"> HYPERLINK \l _Toc20273 </w:instrText>
          </w:r>
          <w:r>
            <w:fldChar w:fldCharType="separate"/>
          </w:r>
          <w:r>
            <w:rPr>
              <w:rFonts w:hint="eastAsia"/>
            </w:rPr>
            <w:t>2.5软件资质</w:t>
          </w:r>
          <w:r>
            <w:tab/>
          </w:r>
          <w:r>
            <w:fldChar w:fldCharType="begin"/>
          </w:r>
          <w:r>
            <w:instrText xml:space="preserve"> PAGEREF _Toc20273 \h </w:instrText>
          </w:r>
          <w:r>
            <w:fldChar w:fldCharType="separate"/>
          </w:r>
          <w:r>
            <w:t>7</w:t>
          </w:r>
          <w:r>
            <w:fldChar w:fldCharType="end"/>
          </w:r>
          <w:r>
            <w:rPr>
              <w:color w:val="auto"/>
            </w:rPr>
            <w:fldChar w:fldCharType="end"/>
          </w:r>
        </w:p>
        <w:p w14:paraId="40A52D47">
          <w:pPr>
            <w:pStyle w:val="8"/>
            <w:tabs>
              <w:tab w:val="right" w:leader="dot" w:pos="8306"/>
            </w:tabs>
          </w:pPr>
          <w:r>
            <w:rPr>
              <w:color w:val="auto"/>
            </w:rPr>
            <w:fldChar w:fldCharType="begin"/>
          </w:r>
          <w:r>
            <w:instrText xml:space="preserve"> HYPERLINK \l _Toc31468 </w:instrText>
          </w:r>
          <w:r>
            <w:fldChar w:fldCharType="separate"/>
          </w:r>
          <w:r>
            <w:rPr>
              <w:rFonts w:hint="eastAsia"/>
            </w:rPr>
            <w:t>2.6本项目涉及资质</w:t>
          </w:r>
          <w:r>
            <w:tab/>
          </w:r>
          <w:r>
            <w:fldChar w:fldCharType="begin"/>
          </w:r>
          <w:r>
            <w:instrText xml:space="preserve"> PAGEREF _Toc31468 \h </w:instrText>
          </w:r>
          <w:r>
            <w:fldChar w:fldCharType="separate"/>
          </w:r>
          <w:r>
            <w:t>7</w:t>
          </w:r>
          <w:r>
            <w:fldChar w:fldCharType="end"/>
          </w:r>
          <w:r>
            <w:rPr>
              <w:color w:val="auto"/>
            </w:rPr>
            <w:fldChar w:fldCharType="end"/>
          </w:r>
        </w:p>
        <w:p w14:paraId="7D7F4A1E">
          <w:pPr>
            <w:pStyle w:val="8"/>
            <w:tabs>
              <w:tab w:val="right" w:leader="dot" w:pos="8306"/>
            </w:tabs>
          </w:pPr>
          <w:r>
            <w:rPr>
              <w:color w:val="auto"/>
            </w:rPr>
            <w:fldChar w:fldCharType="begin"/>
          </w:r>
          <w:r>
            <w:instrText xml:space="preserve"> HYPERLINK \l _Toc13719 </w:instrText>
          </w:r>
          <w:r>
            <w:fldChar w:fldCharType="separate"/>
          </w:r>
          <w:r>
            <w:rPr>
              <w:rFonts w:hint="eastAsia"/>
            </w:rPr>
            <w:t>2.7开发商委托销售授权函</w:t>
          </w:r>
          <w:r>
            <w:tab/>
          </w:r>
          <w:r>
            <w:fldChar w:fldCharType="begin"/>
          </w:r>
          <w:r>
            <w:instrText xml:space="preserve"> PAGEREF _Toc13719 \h </w:instrText>
          </w:r>
          <w:r>
            <w:fldChar w:fldCharType="separate"/>
          </w:r>
          <w:r>
            <w:t>7</w:t>
          </w:r>
          <w:r>
            <w:fldChar w:fldCharType="end"/>
          </w:r>
          <w:r>
            <w:rPr>
              <w:color w:val="auto"/>
            </w:rPr>
            <w:fldChar w:fldCharType="end"/>
          </w:r>
        </w:p>
        <w:p w14:paraId="51F80B95">
          <w:pPr>
            <w:pStyle w:val="7"/>
            <w:tabs>
              <w:tab w:val="right" w:leader="dot" w:pos="8306"/>
            </w:tabs>
          </w:pPr>
          <w:r>
            <w:rPr>
              <w:color w:val="auto"/>
            </w:rPr>
            <w:fldChar w:fldCharType="begin"/>
          </w:r>
          <w:r>
            <w:instrText xml:space="preserve"> HYPERLINK \l _Toc29424 </w:instrText>
          </w:r>
          <w:r>
            <w:fldChar w:fldCharType="separate"/>
          </w:r>
          <w:r>
            <w:rPr>
              <w:rFonts w:hint="eastAsia"/>
              <w:lang w:val="en-US" w:eastAsia="zh-CN"/>
            </w:rPr>
            <w:t>三</w:t>
          </w:r>
          <w:r>
            <w:rPr>
              <w:rFonts w:hint="eastAsia"/>
            </w:rPr>
            <w:t>、项目调研情况一览汇总表</w:t>
          </w:r>
          <w:r>
            <w:tab/>
          </w:r>
          <w:r>
            <w:fldChar w:fldCharType="begin"/>
          </w:r>
          <w:r>
            <w:instrText xml:space="preserve"> PAGEREF _Toc29424 \h </w:instrText>
          </w:r>
          <w:r>
            <w:fldChar w:fldCharType="separate"/>
          </w:r>
          <w:r>
            <w:t>8</w:t>
          </w:r>
          <w:r>
            <w:fldChar w:fldCharType="end"/>
          </w:r>
          <w:r>
            <w:rPr>
              <w:color w:val="auto"/>
            </w:rPr>
            <w:fldChar w:fldCharType="end"/>
          </w:r>
        </w:p>
        <w:p w14:paraId="6B18ABDB">
          <w:pPr>
            <w:pStyle w:val="7"/>
            <w:tabs>
              <w:tab w:val="right" w:leader="dot" w:pos="8306"/>
            </w:tabs>
          </w:pPr>
          <w:r>
            <w:rPr>
              <w:color w:val="auto"/>
            </w:rPr>
            <w:fldChar w:fldCharType="begin"/>
          </w:r>
          <w:r>
            <w:instrText xml:space="preserve"> HYPERLINK \l _Toc15881 </w:instrText>
          </w:r>
          <w:r>
            <w:fldChar w:fldCharType="separate"/>
          </w:r>
          <w:r>
            <w:rPr>
              <w:rFonts w:hint="eastAsia"/>
              <w:lang w:val="en-US" w:eastAsia="zh-CN"/>
            </w:rPr>
            <w:t>四、</w:t>
          </w:r>
          <w:r>
            <w:rPr>
              <w:rFonts w:hint="eastAsia"/>
            </w:rPr>
            <w:t>调研项目配置清单及分项报价明细</w:t>
          </w:r>
          <w:r>
            <w:tab/>
          </w:r>
          <w:r>
            <w:fldChar w:fldCharType="begin"/>
          </w:r>
          <w:r>
            <w:instrText xml:space="preserve"> PAGEREF _Toc15881 \h </w:instrText>
          </w:r>
          <w:r>
            <w:fldChar w:fldCharType="separate"/>
          </w:r>
          <w:r>
            <w:t>9</w:t>
          </w:r>
          <w:r>
            <w:fldChar w:fldCharType="end"/>
          </w:r>
          <w:r>
            <w:rPr>
              <w:color w:val="auto"/>
            </w:rPr>
            <w:fldChar w:fldCharType="end"/>
          </w:r>
        </w:p>
        <w:p w14:paraId="6C4CEF07">
          <w:pPr>
            <w:pStyle w:val="7"/>
            <w:tabs>
              <w:tab w:val="right" w:leader="dot" w:pos="8306"/>
            </w:tabs>
          </w:pPr>
          <w:r>
            <w:rPr>
              <w:color w:val="auto"/>
            </w:rPr>
            <w:fldChar w:fldCharType="begin"/>
          </w:r>
          <w:r>
            <w:instrText xml:space="preserve"> HYPERLINK \l _Toc12736 </w:instrText>
          </w:r>
          <w:r>
            <w:fldChar w:fldCharType="separate"/>
          </w:r>
          <w:r>
            <w:rPr>
              <w:rFonts w:hint="eastAsia"/>
              <w:lang w:val="en-US" w:eastAsia="zh-CN"/>
            </w:rPr>
            <w:t>五</w:t>
          </w:r>
          <w:r>
            <w:rPr>
              <w:rFonts w:hint="eastAsia"/>
            </w:rPr>
            <w:t>、三甲综合医院同类项目案例</w:t>
          </w:r>
          <w:r>
            <w:tab/>
          </w:r>
          <w:r>
            <w:fldChar w:fldCharType="begin"/>
          </w:r>
          <w:r>
            <w:instrText xml:space="preserve"> PAGEREF _Toc12736 \h </w:instrText>
          </w:r>
          <w:r>
            <w:fldChar w:fldCharType="separate"/>
          </w:r>
          <w:r>
            <w:t>9</w:t>
          </w:r>
          <w:r>
            <w:fldChar w:fldCharType="end"/>
          </w:r>
          <w:r>
            <w:rPr>
              <w:color w:val="auto"/>
            </w:rPr>
            <w:fldChar w:fldCharType="end"/>
          </w:r>
        </w:p>
        <w:p w14:paraId="0F18BE1C">
          <w:pPr>
            <w:pStyle w:val="8"/>
            <w:tabs>
              <w:tab w:val="right" w:leader="dot" w:pos="8306"/>
            </w:tabs>
          </w:pPr>
          <w:r>
            <w:rPr>
              <w:color w:val="auto"/>
            </w:rPr>
            <w:fldChar w:fldCharType="begin"/>
          </w:r>
          <w:r>
            <w:instrText xml:space="preserve"> HYPERLINK \l _Toc31813 </w:instrText>
          </w:r>
          <w:r>
            <w:fldChar w:fldCharType="separate"/>
          </w:r>
          <w:r>
            <w:rPr>
              <w:rFonts w:hint="eastAsia"/>
              <w:lang w:val="en-US" w:eastAsia="zh-CN"/>
            </w:rPr>
            <w:t>5</w:t>
          </w:r>
          <w:r>
            <w:rPr>
              <w:rFonts w:hint="eastAsia"/>
            </w:rPr>
            <w:t>.1 四川省内（  ）家</w:t>
          </w:r>
          <w:r>
            <w:tab/>
          </w:r>
          <w:r>
            <w:fldChar w:fldCharType="begin"/>
          </w:r>
          <w:r>
            <w:instrText xml:space="preserve"> PAGEREF _Toc31813 \h </w:instrText>
          </w:r>
          <w:r>
            <w:fldChar w:fldCharType="separate"/>
          </w:r>
          <w:r>
            <w:t>9</w:t>
          </w:r>
          <w:r>
            <w:fldChar w:fldCharType="end"/>
          </w:r>
          <w:r>
            <w:rPr>
              <w:color w:val="auto"/>
            </w:rPr>
            <w:fldChar w:fldCharType="end"/>
          </w:r>
        </w:p>
        <w:p w14:paraId="5F91A1BD">
          <w:pPr>
            <w:pStyle w:val="8"/>
            <w:tabs>
              <w:tab w:val="right" w:leader="dot" w:pos="8306"/>
            </w:tabs>
          </w:pPr>
          <w:r>
            <w:rPr>
              <w:color w:val="auto"/>
            </w:rPr>
            <w:fldChar w:fldCharType="begin"/>
          </w:r>
          <w:r>
            <w:instrText xml:space="preserve"> HYPERLINK \l _Toc32164 </w:instrText>
          </w:r>
          <w:r>
            <w:fldChar w:fldCharType="separate"/>
          </w:r>
          <w:r>
            <w:rPr>
              <w:rFonts w:hint="eastAsia"/>
              <w:lang w:val="en-US" w:eastAsia="zh-CN"/>
            </w:rPr>
            <w:t>5</w:t>
          </w:r>
          <w:r>
            <w:rPr>
              <w:rFonts w:hint="eastAsia"/>
            </w:rPr>
            <w:t>.2 四川省外（  ）家</w:t>
          </w:r>
          <w:r>
            <w:tab/>
          </w:r>
          <w:r>
            <w:fldChar w:fldCharType="begin"/>
          </w:r>
          <w:r>
            <w:instrText xml:space="preserve"> PAGEREF _Toc32164 \h </w:instrText>
          </w:r>
          <w:r>
            <w:fldChar w:fldCharType="separate"/>
          </w:r>
          <w:r>
            <w:t>9</w:t>
          </w:r>
          <w:r>
            <w:fldChar w:fldCharType="end"/>
          </w:r>
          <w:r>
            <w:rPr>
              <w:color w:val="auto"/>
            </w:rPr>
            <w:fldChar w:fldCharType="end"/>
          </w:r>
        </w:p>
        <w:p w14:paraId="4A11374C">
          <w:pPr>
            <w:pStyle w:val="8"/>
            <w:tabs>
              <w:tab w:val="right" w:leader="dot" w:pos="8306"/>
            </w:tabs>
          </w:pPr>
          <w:r>
            <w:rPr>
              <w:color w:val="auto"/>
            </w:rPr>
            <w:fldChar w:fldCharType="begin"/>
          </w:r>
          <w:r>
            <w:instrText xml:space="preserve"> HYPERLINK \l _Toc8434 </w:instrText>
          </w:r>
          <w:r>
            <w:fldChar w:fldCharType="separate"/>
          </w:r>
          <w:r>
            <w:rPr>
              <w:rFonts w:hint="eastAsia"/>
              <w:lang w:val="en-US" w:eastAsia="zh-CN"/>
            </w:rPr>
            <w:t>5</w:t>
          </w:r>
          <w:r>
            <w:rPr>
              <w:rFonts w:hint="eastAsia"/>
            </w:rPr>
            <w:t>.3三甲综合医院同类项目案例合同及验收佐证</w:t>
          </w:r>
          <w:r>
            <w:tab/>
          </w:r>
          <w:r>
            <w:fldChar w:fldCharType="begin"/>
          </w:r>
          <w:r>
            <w:instrText xml:space="preserve"> PAGEREF _Toc8434 \h </w:instrText>
          </w:r>
          <w:r>
            <w:fldChar w:fldCharType="separate"/>
          </w:r>
          <w:r>
            <w:t>10</w:t>
          </w:r>
          <w:r>
            <w:fldChar w:fldCharType="end"/>
          </w:r>
          <w:r>
            <w:rPr>
              <w:color w:val="auto"/>
            </w:rPr>
            <w:fldChar w:fldCharType="end"/>
          </w:r>
        </w:p>
        <w:p w14:paraId="709B571F">
          <w:pPr>
            <w:pStyle w:val="7"/>
            <w:tabs>
              <w:tab w:val="right" w:leader="dot" w:pos="8306"/>
            </w:tabs>
          </w:pPr>
          <w:r>
            <w:rPr>
              <w:color w:val="auto"/>
            </w:rPr>
            <w:fldChar w:fldCharType="begin"/>
          </w:r>
          <w:r>
            <w:instrText xml:space="preserve"> HYPERLINK \l _Toc8761 </w:instrText>
          </w:r>
          <w:r>
            <w:fldChar w:fldCharType="separate"/>
          </w:r>
          <w:r>
            <w:rPr>
              <w:rFonts w:hint="eastAsia"/>
              <w:lang w:val="en-US" w:eastAsia="zh-CN"/>
            </w:rPr>
            <w:t>六</w:t>
          </w:r>
          <w:r>
            <w:rPr>
              <w:rFonts w:hint="eastAsia"/>
            </w:rPr>
            <w:t>、报价表包含内容</w:t>
          </w:r>
          <w:r>
            <w:tab/>
          </w:r>
          <w:r>
            <w:fldChar w:fldCharType="begin"/>
          </w:r>
          <w:r>
            <w:instrText xml:space="preserve"> PAGEREF _Toc8761 \h </w:instrText>
          </w:r>
          <w:r>
            <w:fldChar w:fldCharType="separate"/>
          </w:r>
          <w:r>
            <w:t>10</w:t>
          </w:r>
          <w:r>
            <w:fldChar w:fldCharType="end"/>
          </w:r>
          <w:r>
            <w:rPr>
              <w:color w:val="auto"/>
            </w:rPr>
            <w:fldChar w:fldCharType="end"/>
          </w:r>
        </w:p>
        <w:p w14:paraId="56E66178">
          <w:pPr>
            <w:pStyle w:val="7"/>
            <w:tabs>
              <w:tab w:val="right" w:leader="dot" w:pos="8306"/>
            </w:tabs>
          </w:pPr>
          <w:r>
            <w:rPr>
              <w:color w:val="auto"/>
            </w:rPr>
            <w:fldChar w:fldCharType="begin"/>
          </w:r>
          <w:r>
            <w:instrText xml:space="preserve"> HYPERLINK \l _Toc30845 </w:instrText>
          </w:r>
          <w:r>
            <w:fldChar w:fldCharType="separate"/>
          </w:r>
          <w:r>
            <w:rPr>
              <w:rFonts w:hint="eastAsia"/>
              <w:lang w:val="en-US" w:eastAsia="zh-CN"/>
            </w:rPr>
            <w:t>七</w:t>
          </w:r>
          <w:r>
            <w:rPr>
              <w:rFonts w:hint="eastAsia"/>
            </w:rPr>
            <w:t>、建设方案</w:t>
          </w:r>
          <w:r>
            <w:tab/>
          </w:r>
          <w:r>
            <w:fldChar w:fldCharType="begin"/>
          </w:r>
          <w:r>
            <w:instrText xml:space="preserve"> PAGEREF _Toc30845 \h </w:instrText>
          </w:r>
          <w:r>
            <w:fldChar w:fldCharType="separate"/>
          </w:r>
          <w:r>
            <w:t>11</w:t>
          </w:r>
          <w:r>
            <w:fldChar w:fldCharType="end"/>
          </w:r>
          <w:r>
            <w:rPr>
              <w:color w:val="auto"/>
            </w:rPr>
            <w:fldChar w:fldCharType="end"/>
          </w:r>
        </w:p>
        <w:p w14:paraId="6FEA8F64">
          <w:pPr>
            <w:pStyle w:val="8"/>
            <w:tabs>
              <w:tab w:val="right" w:leader="dot" w:pos="8306"/>
            </w:tabs>
          </w:pPr>
          <w:r>
            <w:rPr>
              <w:color w:val="auto"/>
            </w:rPr>
            <w:fldChar w:fldCharType="begin"/>
          </w:r>
          <w:r>
            <w:instrText xml:space="preserve"> HYPERLINK \l _Toc21598 </w:instrText>
          </w:r>
          <w:r>
            <w:fldChar w:fldCharType="separate"/>
          </w:r>
          <w:r>
            <w:rPr>
              <w:rFonts w:hint="eastAsia"/>
              <w:lang w:val="en-US" w:eastAsia="zh-CN"/>
            </w:rPr>
            <w:t>7.</w:t>
          </w:r>
          <w:r>
            <w:rPr>
              <w:rFonts w:hint="eastAsia"/>
            </w:rPr>
            <w:t>1 实施条件（实施所需的支持条件）</w:t>
          </w:r>
          <w:r>
            <w:tab/>
          </w:r>
          <w:r>
            <w:fldChar w:fldCharType="begin"/>
          </w:r>
          <w:r>
            <w:instrText xml:space="preserve"> PAGEREF _Toc21598 \h </w:instrText>
          </w:r>
          <w:r>
            <w:fldChar w:fldCharType="separate"/>
          </w:r>
          <w:r>
            <w:t>11</w:t>
          </w:r>
          <w:r>
            <w:fldChar w:fldCharType="end"/>
          </w:r>
          <w:r>
            <w:rPr>
              <w:color w:val="auto"/>
            </w:rPr>
            <w:fldChar w:fldCharType="end"/>
          </w:r>
        </w:p>
        <w:p w14:paraId="2D25EB74">
          <w:pPr>
            <w:pStyle w:val="8"/>
            <w:tabs>
              <w:tab w:val="right" w:leader="dot" w:pos="8306"/>
            </w:tabs>
          </w:pPr>
          <w:r>
            <w:rPr>
              <w:color w:val="auto"/>
            </w:rPr>
            <w:fldChar w:fldCharType="begin"/>
          </w:r>
          <w:r>
            <w:instrText xml:space="preserve"> HYPERLINK \l _Toc7653 </w:instrText>
          </w:r>
          <w:r>
            <w:fldChar w:fldCharType="separate"/>
          </w:r>
          <w:r>
            <w:rPr>
              <w:rFonts w:hint="eastAsia"/>
              <w:lang w:val="en-US" w:eastAsia="zh-CN"/>
            </w:rPr>
            <w:t>7</w:t>
          </w:r>
          <w:r>
            <w:rPr>
              <w:rFonts w:hint="eastAsia"/>
            </w:rPr>
            <w:t>.2 实施周期</w:t>
          </w:r>
          <w:r>
            <w:tab/>
          </w:r>
          <w:r>
            <w:fldChar w:fldCharType="begin"/>
          </w:r>
          <w:r>
            <w:instrText xml:space="preserve"> PAGEREF _Toc7653 \h </w:instrText>
          </w:r>
          <w:r>
            <w:fldChar w:fldCharType="separate"/>
          </w:r>
          <w:r>
            <w:t>11</w:t>
          </w:r>
          <w:r>
            <w:fldChar w:fldCharType="end"/>
          </w:r>
          <w:r>
            <w:rPr>
              <w:color w:val="auto"/>
            </w:rPr>
            <w:fldChar w:fldCharType="end"/>
          </w:r>
        </w:p>
        <w:p w14:paraId="1BDABCDF">
          <w:pPr>
            <w:pStyle w:val="8"/>
            <w:tabs>
              <w:tab w:val="right" w:leader="dot" w:pos="8306"/>
            </w:tabs>
          </w:pPr>
          <w:r>
            <w:rPr>
              <w:color w:val="auto"/>
            </w:rPr>
            <w:fldChar w:fldCharType="begin"/>
          </w:r>
          <w:r>
            <w:instrText xml:space="preserve"> HYPERLINK \l _Toc32321 </w:instrText>
          </w:r>
          <w:r>
            <w:fldChar w:fldCharType="separate"/>
          </w:r>
          <w:r>
            <w:rPr>
              <w:rFonts w:hint="eastAsia"/>
              <w:lang w:val="en-US" w:eastAsia="zh-CN"/>
            </w:rPr>
            <w:t>7</w:t>
          </w:r>
          <w:r>
            <w:rPr>
              <w:rFonts w:hint="eastAsia"/>
            </w:rPr>
            <w:t>.3 系统运行环境</w:t>
          </w:r>
          <w:r>
            <w:tab/>
          </w:r>
          <w:r>
            <w:fldChar w:fldCharType="begin"/>
          </w:r>
          <w:r>
            <w:instrText xml:space="preserve"> PAGEREF _Toc32321 \h </w:instrText>
          </w:r>
          <w:r>
            <w:fldChar w:fldCharType="separate"/>
          </w:r>
          <w:r>
            <w:t>11</w:t>
          </w:r>
          <w:r>
            <w:fldChar w:fldCharType="end"/>
          </w:r>
          <w:r>
            <w:rPr>
              <w:color w:val="auto"/>
            </w:rPr>
            <w:fldChar w:fldCharType="end"/>
          </w:r>
        </w:p>
        <w:p w14:paraId="500DC41F">
          <w:pPr>
            <w:pStyle w:val="8"/>
            <w:tabs>
              <w:tab w:val="right" w:leader="dot" w:pos="8306"/>
            </w:tabs>
          </w:pPr>
          <w:r>
            <w:rPr>
              <w:color w:val="auto"/>
            </w:rPr>
            <w:fldChar w:fldCharType="begin"/>
          </w:r>
          <w:r>
            <w:instrText xml:space="preserve"> HYPERLINK \l _Toc26889 </w:instrText>
          </w:r>
          <w:r>
            <w:fldChar w:fldCharType="separate"/>
          </w:r>
          <w:r>
            <w:rPr>
              <w:rFonts w:hint="eastAsia"/>
              <w:lang w:val="en-US" w:eastAsia="zh-CN"/>
            </w:rPr>
            <w:t>7</w:t>
          </w:r>
          <w:r>
            <w:rPr>
              <w:rFonts w:hint="eastAsia"/>
            </w:rPr>
            <w:t>.4 系统总体架构</w:t>
          </w:r>
          <w:r>
            <w:tab/>
          </w:r>
          <w:r>
            <w:fldChar w:fldCharType="begin"/>
          </w:r>
          <w:r>
            <w:instrText xml:space="preserve"> PAGEREF _Toc26889 \h </w:instrText>
          </w:r>
          <w:r>
            <w:fldChar w:fldCharType="separate"/>
          </w:r>
          <w:r>
            <w:t>11</w:t>
          </w:r>
          <w:r>
            <w:fldChar w:fldCharType="end"/>
          </w:r>
          <w:r>
            <w:rPr>
              <w:color w:val="auto"/>
            </w:rPr>
            <w:fldChar w:fldCharType="end"/>
          </w:r>
        </w:p>
        <w:p w14:paraId="761DCEF7">
          <w:pPr>
            <w:rPr>
              <w:color w:val="auto"/>
            </w:rPr>
          </w:pPr>
          <w:r>
            <w:rPr>
              <w:color w:val="auto"/>
            </w:rPr>
            <w:fldChar w:fldCharType="end"/>
          </w:r>
        </w:p>
      </w:sdtContent>
    </w:sdt>
    <w:p w14:paraId="3983821C">
      <w:pPr>
        <w:rPr>
          <w:color w:val="auto"/>
        </w:rPr>
      </w:pPr>
    </w:p>
    <w:p w14:paraId="2A770AD1">
      <w:pPr>
        <w:rPr>
          <w:color w:val="auto"/>
        </w:rPr>
      </w:pPr>
    </w:p>
    <w:p w14:paraId="11B55DC4">
      <w:pPr>
        <w:rPr>
          <w:color w:val="auto"/>
        </w:rPr>
      </w:pPr>
    </w:p>
    <w:p w14:paraId="5883CCD5">
      <w:pPr>
        <w:rPr>
          <w:color w:val="auto"/>
        </w:rPr>
      </w:pPr>
    </w:p>
    <w:p w14:paraId="0D241116">
      <w:pPr>
        <w:rPr>
          <w:color w:val="auto"/>
        </w:rPr>
      </w:pPr>
    </w:p>
    <w:p w14:paraId="1FAD62D6">
      <w:pPr>
        <w:rPr>
          <w:color w:val="auto"/>
        </w:rPr>
      </w:pPr>
    </w:p>
    <w:p w14:paraId="682AE94C">
      <w:pPr>
        <w:rPr>
          <w:color w:val="auto"/>
        </w:rPr>
      </w:pPr>
    </w:p>
    <w:p w14:paraId="3A2B0AC6">
      <w:pPr>
        <w:rPr>
          <w:color w:val="auto"/>
        </w:rPr>
      </w:pPr>
    </w:p>
    <w:p w14:paraId="68781129">
      <w:pPr>
        <w:rPr>
          <w:color w:val="auto"/>
        </w:rPr>
      </w:pPr>
    </w:p>
    <w:p w14:paraId="2279E995">
      <w:pPr>
        <w:rPr>
          <w:color w:val="auto"/>
        </w:rPr>
      </w:pPr>
    </w:p>
    <w:p w14:paraId="35DBBFEC">
      <w:pPr>
        <w:rPr>
          <w:color w:val="auto"/>
        </w:rPr>
      </w:pPr>
    </w:p>
    <w:p w14:paraId="40EEAAD9">
      <w:pPr>
        <w:rPr>
          <w:color w:val="auto"/>
        </w:rPr>
        <w:sectPr>
          <w:footerReference r:id="rId3" w:type="default"/>
          <w:pgSz w:w="11906" w:h="16838"/>
          <w:pgMar w:top="1134" w:right="1800" w:bottom="1134" w:left="1800" w:header="851" w:footer="992" w:gutter="0"/>
          <w:cols w:space="425" w:num="1"/>
          <w:docGrid w:type="lines" w:linePitch="312" w:charSpace="0"/>
        </w:sectPr>
      </w:pPr>
    </w:p>
    <w:p w14:paraId="049AF2A2">
      <w:pPr>
        <w:pStyle w:val="3"/>
        <w:numPr>
          <w:ilvl w:val="0"/>
          <w:numId w:val="3"/>
        </w:numPr>
        <w:spacing w:before="100" w:after="100"/>
        <w:jc w:val="both"/>
        <w:rPr>
          <w:color w:val="auto"/>
        </w:rPr>
      </w:pPr>
      <w:bookmarkStart w:id="0" w:name="_Toc427002393"/>
      <w:bookmarkStart w:id="1" w:name="_Toc7415"/>
      <w:bookmarkStart w:id="2" w:name="_Toc144974876"/>
      <w:bookmarkStart w:id="3" w:name="_Toc247514300"/>
      <w:bookmarkStart w:id="4" w:name="_Toc29870"/>
      <w:bookmarkStart w:id="5" w:name="_Toc152045808"/>
      <w:bookmarkStart w:id="6" w:name="_Toc10065"/>
      <w:bookmarkStart w:id="7" w:name="_Toc247527848"/>
      <w:bookmarkStart w:id="8" w:name="_Toc152042597"/>
      <w:r>
        <w:rPr>
          <w:rFonts w:hint="eastAsia"/>
          <w:color w:val="auto"/>
        </w:rPr>
        <w:t>报名登记表</w:t>
      </w:r>
      <w:bookmarkEnd w:id="0"/>
      <w:bookmarkEnd w:id="1"/>
      <w:bookmarkEnd w:id="2"/>
      <w:bookmarkEnd w:id="3"/>
      <w:bookmarkEnd w:id="4"/>
      <w:bookmarkEnd w:id="5"/>
      <w:bookmarkEnd w:id="6"/>
      <w:bookmarkEnd w:id="7"/>
      <w:bookmarkEnd w:id="8"/>
    </w:p>
    <w:tbl>
      <w:tblPr>
        <w:tblStyle w:val="9"/>
        <w:tblW w:w="5461" w:type="pct"/>
        <w:jc w:val="center"/>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505CFB04">
        <w:tblPrEx>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126C054">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9D040E">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5C0485B">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C9909B2">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76AEEFE">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联系邮箱</w:t>
            </w:r>
          </w:p>
          <w:p w14:paraId="07455D91">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48BB408">
            <w:pPr>
              <w:jc w:val="center"/>
              <w:rPr>
                <w:color w:val="auto"/>
              </w:rPr>
            </w:pPr>
            <w:r>
              <w:rPr>
                <w:rFonts w:hint="eastAsia" w:ascii="宋体" w:hAnsi="宋体" w:eastAsia="宋体" w:cs="宋体"/>
                <w:color w:val="auto"/>
                <w:kern w:val="0"/>
                <w:sz w:val="24"/>
                <w:lang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CA49706">
            <w:pPr>
              <w:jc w:val="center"/>
              <w:rPr>
                <w:color w:val="auto"/>
              </w:rPr>
            </w:pPr>
            <w:r>
              <w:rPr>
                <w:rFonts w:hint="eastAsia" w:ascii="宋体" w:hAnsi="宋体" w:eastAsia="宋体" w:cs="宋体"/>
                <w:color w:val="auto"/>
                <w:kern w:val="0"/>
                <w:sz w:val="24"/>
                <w:lang w:bidi="ar"/>
              </w:rPr>
              <w:t>备注</w:t>
            </w:r>
          </w:p>
        </w:tc>
      </w:tr>
      <w:tr w14:paraId="17232EB9">
        <w:tblPrEx>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A0F558F">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2B0547">
            <w:pPr>
              <w:jc w:val="center"/>
              <w:rPr>
                <w:rFonts w:ascii="宋体" w:hAnsi="宋体" w:eastAsia="宋体" w:cs="宋体"/>
                <w:color w:val="auto"/>
                <w:sz w:val="24"/>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C72C95F">
            <w:pPr>
              <w:jc w:val="center"/>
              <w:rPr>
                <w:rFonts w:ascii="宋体" w:hAnsi="宋体" w:eastAsia="宋体" w:cs="宋体"/>
                <w:color w:val="auto"/>
                <w:sz w:val="24"/>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51D3293">
            <w:pPr>
              <w:jc w:val="center"/>
              <w:rPr>
                <w:rFonts w:ascii="宋体" w:hAnsi="宋体" w:eastAsia="宋体" w:cs="宋体"/>
                <w:color w:val="auto"/>
                <w:sz w:val="24"/>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7F46234">
            <w:pPr>
              <w:jc w:val="center"/>
              <w:rPr>
                <w:rFonts w:ascii="宋体" w:hAnsi="宋体" w:eastAsia="宋体" w:cs="宋体"/>
                <w:color w:val="auto"/>
                <w:sz w:val="24"/>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569E13A">
            <w:pPr>
              <w:jc w:val="center"/>
              <w:rPr>
                <w:rFonts w:ascii="宋体" w:hAnsi="宋体" w:eastAsia="宋体" w:cs="宋体"/>
                <w:color w:val="auto"/>
                <w:sz w:val="24"/>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E820D6E">
            <w:pPr>
              <w:jc w:val="center"/>
              <w:rPr>
                <w:rFonts w:ascii="宋体" w:hAnsi="宋体" w:eastAsia="宋体" w:cs="宋体"/>
                <w:color w:val="auto"/>
                <w:sz w:val="24"/>
              </w:rPr>
            </w:pPr>
          </w:p>
        </w:tc>
      </w:tr>
    </w:tbl>
    <w:p w14:paraId="41BB6D7C">
      <w:pPr>
        <w:rPr>
          <w:color w:val="auto"/>
        </w:rPr>
      </w:pPr>
    </w:p>
    <w:p w14:paraId="5D13BD86">
      <w:pPr>
        <w:pStyle w:val="3"/>
        <w:spacing w:before="100" w:after="100"/>
        <w:jc w:val="both"/>
        <w:rPr>
          <w:color w:val="auto"/>
        </w:rPr>
      </w:pPr>
      <w:bookmarkStart w:id="9" w:name="_Toc29136"/>
      <w:bookmarkStart w:id="10" w:name="_Toc2669"/>
      <w:r>
        <w:rPr>
          <w:rFonts w:hint="eastAsia"/>
          <w:color w:val="auto"/>
        </w:rPr>
        <w:t>二、资质：</w:t>
      </w:r>
      <w:bookmarkEnd w:id="9"/>
    </w:p>
    <w:p w14:paraId="0142EFAF">
      <w:pPr>
        <w:pStyle w:val="4"/>
        <w:rPr>
          <w:color w:val="auto"/>
        </w:rPr>
      </w:pPr>
      <w:bookmarkStart w:id="11" w:name="_Toc6776"/>
      <w:r>
        <w:rPr>
          <w:rFonts w:hint="eastAsia"/>
          <w:color w:val="auto"/>
        </w:rPr>
        <w:t>2.1营业执照</w:t>
      </w:r>
      <w:bookmarkEnd w:id="10"/>
      <w:bookmarkEnd w:id="11"/>
      <w:bookmarkStart w:id="12" w:name="_Toc3036"/>
    </w:p>
    <w:p w14:paraId="6C9D0EBF">
      <w:pPr>
        <w:pStyle w:val="4"/>
        <w:rPr>
          <w:color w:val="auto"/>
        </w:rPr>
      </w:pPr>
      <w:bookmarkStart w:id="13" w:name="_Toc26820"/>
      <w:r>
        <w:rPr>
          <w:rFonts w:hint="eastAsia"/>
          <w:color w:val="auto"/>
        </w:rPr>
        <w:t>2.2法定代表人授权书</w:t>
      </w:r>
      <w:bookmarkEnd w:id="12"/>
      <w:bookmarkEnd w:id="13"/>
    </w:p>
    <w:p w14:paraId="490D47AA">
      <w:pPr>
        <w:pStyle w:val="4"/>
        <w:rPr>
          <w:color w:val="auto"/>
        </w:rPr>
      </w:pPr>
      <w:bookmarkStart w:id="14" w:name="_Toc27595"/>
      <w:bookmarkStart w:id="15" w:name="_Toc5131"/>
      <w:r>
        <w:rPr>
          <w:rFonts w:hint="eastAsia"/>
          <w:color w:val="auto"/>
        </w:rPr>
        <w:t>2.3法人及被授权人身份证</w:t>
      </w:r>
      <w:bookmarkEnd w:id="14"/>
      <w:bookmarkEnd w:id="15"/>
    </w:p>
    <w:p w14:paraId="638BDE84">
      <w:pPr>
        <w:pStyle w:val="4"/>
        <w:rPr>
          <w:color w:val="auto"/>
        </w:rPr>
      </w:pPr>
      <w:bookmarkStart w:id="16" w:name="_Toc1254"/>
      <w:bookmarkStart w:id="17" w:name="_Toc22588"/>
      <w:r>
        <w:rPr>
          <w:rFonts w:hint="eastAsia"/>
          <w:color w:val="auto"/>
        </w:rPr>
        <w:t>2.4公司资质</w:t>
      </w:r>
      <w:bookmarkEnd w:id="16"/>
      <w:bookmarkEnd w:id="17"/>
    </w:p>
    <w:p w14:paraId="2C2287F2">
      <w:pPr>
        <w:pStyle w:val="4"/>
        <w:rPr>
          <w:color w:val="auto"/>
        </w:rPr>
      </w:pPr>
      <w:bookmarkStart w:id="18" w:name="_Toc20273"/>
      <w:r>
        <w:rPr>
          <w:rFonts w:hint="eastAsia"/>
          <w:color w:val="auto"/>
        </w:rPr>
        <w:t>2.5软件资质</w:t>
      </w:r>
      <w:bookmarkEnd w:id="18"/>
    </w:p>
    <w:p w14:paraId="47D70C20">
      <w:pPr>
        <w:pStyle w:val="4"/>
        <w:rPr>
          <w:color w:val="auto"/>
        </w:rPr>
      </w:pPr>
      <w:bookmarkStart w:id="19" w:name="_Toc11995"/>
      <w:bookmarkStart w:id="20" w:name="_Toc31468"/>
      <w:r>
        <w:rPr>
          <w:rFonts w:hint="eastAsia"/>
          <w:color w:val="auto"/>
        </w:rPr>
        <w:t>2.6本项目涉及资质</w:t>
      </w:r>
      <w:bookmarkEnd w:id="19"/>
      <w:bookmarkEnd w:id="20"/>
    </w:p>
    <w:p w14:paraId="78800263">
      <w:pPr>
        <w:pStyle w:val="4"/>
        <w:rPr>
          <w:rFonts w:hint="eastAsia"/>
          <w:color w:val="auto"/>
        </w:rPr>
        <w:sectPr>
          <w:pgSz w:w="11906" w:h="16838"/>
          <w:pgMar w:top="1440" w:right="1800" w:bottom="1440" w:left="1800" w:header="851" w:footer="992" w:gutter="0"/>
          <w:cols w:space="425" w:num="1"/>
          <w:docGrid w:type="lines" w:linePitch="312" w:charSpace="0"/>
        </w:sectPr>
      </w:pPr>
      <w:bookmarkStart w:id="21" w:name="_Toc21787"/>
      <w:bookmarkStart w:id="22" w:name="_Toc13719"/>
      <w:r>
        <w:rPr>
          <w:rFonts w:hint="eastAsia"/>
          <w:color w:val="auto"/>
        </w:rPr>
        <w:t>2.7开发商委托销售授权函</w:t>
      </w:r>
      <w:bookmarkEnd w:id="21"/>
      <w:bookmarkEnd w:id="22"/>
    </w:p>
    <w:p w14:paraId="53F77A88">
      <w:pPr>
        <w:pStyle w:val="3"/>
        <w:spacing w:before="100" w:after="100"/>
        <w:jc w:val="both"/>
        <w:rPr>
          <w:color w:val="auto"/>
        </w:rPr>
      </w:pPr>
      <w:bookmarkStart w:id="23" w:name="_Toc29424"/>
      <w:r>
        <w:rPr>
          <w:rFonts w:hint="eastAsia"/>
          <w:color w:val="auto"/>
          <w:lang w:val="en-US" w:eastAsia="zh-CN"/>
        </w:rPr>
        <w:t>三</w:t>
      </w:r>
      <w:r>
        <w:rPr>
          <w:rFonts w:hint="eastAsia"/>
          <w:color w:val="auto"/>
        </w:rPr>
        <w:t>、项目调研情况一览汇总表</w:t>
      </w:r>
      <w:bookmarkEnd w:id="23"/>
    </w:p>
    <w:p w14:paraId="51A9C95D">
      <w:pPr>
        <w:pStyle w:val="5"/>
        <w:ind w:firstLine="720" w:firstLineChars="300"/>
        <w:rPr>
          <w:rFonts w:ascii="仿宋" w:hAnsi="仿宋" w:cs="仿宋"/>
          <w:color w:val="auto"/>
          <w:kern w:val="0"/>
          <w:lang w:val="en-US" w:bidi="ar"/>
        </w:rPr>
      </w:pPr>
      <w:r>
        <w:rPr>
          <w:rFonts w:hint="eastAsia" w:ascii="仿宋" w:hAnsi="仿宋" w:cs="仿宋"/>
          <w:color w:val="auto"/>
          <w:kern w:val="0"/>
          <w:lang w:val="en-US" w:bidi="ar"/>
        </w:rPr>
        <w:t>项目名称：                              采购品目分类名称：</w:t>
      </w:r>
    </w:p>
    <w:p w14:paraId="5262E6D6">
      <w:pPr>
        <w:pStyle w:val="5"/>
        <w:ind w:firstLine="720" w:firstLineChars="300"/>
        <w:rPr>
          <w:rFonts w:ascii="仿宋" w:hAnsi="仿宋" w:cs="仿宋"/>
          <w:color w:val="auto"/>
          <w:kern w:val="0"/>
          <w:lang w:val="en-US" w:bidi="ar"/>
        </w:rPr>
      </w:pPr>
      <w:r>
        <w:rPr>
          <w:rFonts w:hint="eastAsia" w:ascii="仿宋" w:hAnsi="仿宋" w:cs="仿宋"/>
          <w:color w:val="auto"/>
          <w:kern w:val="0"/>
          <w:lang w:val="en-US" w:bidi="ar"/>
        </w:rPr>
        <w:t>供应商名称：                            联系人及联系电话：</w:t>
      </w:r>
    </w:p>
    <w:tbl>
      <w:tblPr>
        <w:tblStyle w:val="9"/>
        <w:tblW w:w="5245" w:type="pct"/>
        <w:jc w:val="center"/>
        <w:tblLayout w:type="fixed"/>
        <w:tblCellMar>
          <w:top w:w="0" w:type="dxa"/>
          <w:left w:w="108" w:type="dxa"/>
          <w:bottom w:w="0" w:type="dxa"/>
          <w:right w:w="108" w:type="dxa"/>
        </w:tblCellMar>
      </w:tblPr>
      <w:tblGrid>
        <w:gridCol w:w="546"/>
        <w:gridCol w:w="1711"/>
        <w:gridCol w:w="1992"/>
        <w:gridCol w:w="1220"/>
        <w:gridCol w:w="1311"/>
        <w:gridCol w:w="1368"/>
        <w:gridCol w:w="1050"/>
        <w:gridCol w:w="1160"/>
        <w:gridCol w:w="3012"/>
        <w:gridCol w:w="1499"/>
      </w:tblGrid>
      <w:tr w14:paraId="692E0526">
        <w:tblPrEx>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14:paraId="0CA052F5">
            <w:pPr>
              <w:widowControl/>
              <w:jc w:val="center"/>
              <w:textAlignment w:val="center"/>
              <w:rPr>
                <w:rFonts w:ascii="微软雅黑" w:hAnsi="微软雅黑" w:eastAsia="微软雅黑" w:cs="微软雅黑"/>
                <w:color w:val="auto"/>
                <w:sz w:val="36"/>
                <w:szCs w:val="36"/>
              </w:rPr>
            </w:pPr>
            <w:r>
              <w:rPr>
                <w:rFonts w:hint="eastAsia" w:ascii="微软雅黑" w:hAnsi="微软雅黑" w:eastAsia="微软雅黑" w:cs="微软雅黑"/>
                <w:color w:val="auto"/>
                <w:kern w:val="0"/>
                <w:sz w:val="36"/>
                <w:szCs w:val="36"/>
                <w:lang w:bidi="ar"/>
              </w:rPr>
              <w:t>项目调研情况一览汇总表</w:t>
            </w:r>
          </w:p>
        </w:tc>
      </w:tr>
      <w:tr w14:paraId="31D5ECA0">
        <w:tblPrEx>
          <w:tblCellMar>
            <w:top w:w="0" w:type="dxa"/>
            <w:left w:w="108" w:type="dxa"/>
            <w:bottom w:w="0" w:type="dxa"/>
            <w:right w:w="108" w:type="dxa"/>
          </w:tblCellMar>
        </w:tblPrEx>
        <w:trPr>
          <w:trHeight w:val="1399" w:hRule="atLeast"/>
          <w:jc w:val="center"/>
        </w:trPr>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14:paraId="180B61CD">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序号</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3674011D">
            <w:pPr>
              <w:widowControl/>
              <w:spacing w:line="240" w:lineRule="exac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供应商名称</w:t>
            </w:r>
          </w:p>
          <w:p w14:paraId="41103013">
            <w:pPr>
              <w:pStyle w:val="2"/>
              <w:spacing w:line="240" w:lineRule="exact"/>
              <w:jc w:val="center"/>
              <w:rPr>
                <w:rFonts w:ascii="仿宋" w:hAnsi="仿宋" w:eastAsia="仿宋" w:cs="仿宋"/>
                <w:color w:val="auto"/>
                <w:kern w:val="2"/>
              </w:rPr>
            </w:pPr>
            <w:r>
              <w:rPr>
                <w:rFonts w:hint="eastAsia" w:ascii="仿宋" w:hAnsi="仿宋" w:eastAsia="仿宋" w:cs="仿宋"/>
                <w:color w:val="auto"/>
                <w:sz w:val="20"/>
                <w:szCs w:val="20"/>
              </w:rPr>
              <w:t>（必填）</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0401DBDC">
            <w:pPr>
              <w:widowControl/>
              <w:spacing w:line="240" w:lineRule="exac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产品公司名称</w:t>
            </w:r>
          </w:p>
          <w:p w14:paraId="1677FC64">
            <w:pPr>
              <w:pStyle w:val="2"/>
              <w:spacing w:line="240" w:lineRule="exact"/>
              <w:jc w:val="center"/>
              <w:rPr>
                <w:rFonts w:ascii="仿宋" w:hAnsi="仿宋" w:eastAsia="仿宋" w:cs="仿宋"/>
                <w:color w:val="auto"/>
                <w:kern w:val="2"/>
              </w:rPr>
            </w:pPr>
            <w:r>
              <w:rPr>
                <w:rFonts w:hint="eastAsia" w:ascii="仿宋" w:hAnsi="仿宋" w:eastAsia="仿宋" w:cs="仿宋"/>
                <w:color w:val="auto"/>
                <w:sz w:val="20"/>
                <w:szCs w:val="20"/>
              </w:rPr>
              <w:t>（必填）</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11C490E9">
            <w:pPr>
              <w:widowControl/>
              <w:spacing w:line="240" w:lineRule="exac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总包干</w:t>
            </w:r>
          </w:p>
          <w:p w14:paraId="4F287950">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报价</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（万元）</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1F5DBD5">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该产品在国内三甲医院用户案例</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03D9126F">
            <w:pPr>
              <w:widowControl/>
              <w:spacing w:line="240" w:lineRule="exac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实施周期及驻场实施人员</w:t>
            </w:r>
          </w:p>
          <w:p w14:paraId="73170FD9">
            <w:pPr>
              <w:widowControl/>
              <w:spacing w:line="240" w:lineRule="exact"/>
              <w:jc w:val="left"/>
              <w:textAlignment w:val="center"/>
              <w:rPr>
                <w:rFonts w:ascii="仿宋" w:hAnsi="仿宋" w:eastAsia="仿宋" w:cs="仿宋"/>
                <w:color w:val="auto"/>
                <w:sz w:val="24"/>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508C95A3">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免费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质保期（3年及以上）</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13B783A9">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后期</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维护费</w:t>
            </w:r>
            <w:r>
              <w:rPr>
                <w:rFonts w:hint="eastAsia" w:ascii="仿宋" w:hAnsi="仿宋" w:eastAsia="仿宋" w:cs="仿宋"/>
                <w:color w:val="auto"/>
                <w:sz w:val="20"/>
                <w:szCs w:val="20"/>
              </w:rPr>
              <w:br w:type="textWrapping"/>
            </w:r>
            <w:r>
              <w:rPr>
                <w:rFonts w:hint="eastAsia" w:ascii="仿宋" w:hAnsi="仿宋" w:eastAsia="仿宋" w:cs="仿宋"/>
                <w:color w:val="auto"/>
                <w:sz w:val="20"/>
                <w:szCs w:val="20"/>
              </w:rPr>
              <w:t>（不得高于合同金额5%）</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5C701134">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98C9AE6">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评级情况</w:t>
            </w:r>
          </w:p>
        </w:tc>
      </w:tr>
      <w:tr w14:paraId="7D78105D">
        <w:tblPrEx>
          <w:tblCellMar>
            <w:top w:w="0" w:type="dxa"/>
            <w:left w:w="108" w:type="dxa"/>
            <w:bottom w:w="0" w:type="dxa"/>
            <w:right w:w="108" w:type="dxa"/>
          </w:tblCellMar>
        </w:tblPrEx>
        <w:trPr>
          <w:trHeight w:val="3127" w:hRule="atLeast"/>
          <w:jc w:val="center"/>
        </w:trPr>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14:paraId="71DCE5D3">
            <w:pPr>
              <w:widowControl/>
              <w:spacing w:line="240" w:lineRule="exact"/>
              <w:jc w:val="center"/>
              <w:textAlignment w:val="center"/>
              <w:rPr>
                <w:rFonts w:ascii="仿宋" w:hAnsi="仿宋" w:eastAsia="仿宋" w:cs="仿宋"/>
                <w:color w:val="auto"/>
                <w:sz w:val="24"/>
              </w:rPr>
            </w:pPr>
            <w:r>
              <w:rPr>
                <w:rFonts w:hint="eastAsia" w:ascii="仿宋" w:hAnsi="仿宋" w:eastAsia="仿宋" w:cs="仿宋"/>
                <w:color w:val="auto"/>
                <w:sz w:val="20"/>
                <w:szCs w:val="20"/>
              </w:rPr>
              <w:t>1</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A694EAF">
            <w:pPr>
              <w:widowControl/>
              <w:spacing w:line="240" w:lineRule="exact"/>
              <w:jc w:val="center"/>
              <w:rPr>
                <w:rFonts w:ascii="仿宋" w:hAnsi="仿宋" w:eastAsia="仿宋" w:cs="仿宋"/>
                <w:color w:val="auto"/>
                <w:sz w:val="24"/>
              </w:rPr>
            </w:pP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33A27972">
            <w:pPr>
              <w:widowControl/>
              <w:spacing w:line="240" w:lineRule="exact"/>
              <w:jc w:val="center"/>
              <w:rPr>
                <w:rFonts w:ascii="仿宋" w:hAnsi="仿宋" w:eastAsia="仿宋" w:cs="仿宋"/>
                <w:color w:val="auto"/>
                <w:sz w:val="24"/>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2F85B89B">
            <w:pPr>
              <w:widowControl/>
              <w:spacing w:line="240" w:lineRule="exact"/>
              <w:jc w:val="center"/>
              <w:rPr>
                <w:rFonts w:ascii="仿宋" w:hAnsi="仿宋" w:eastAsia="仿宋" w:cs="仿宋"/>
                <w:color w:val="auto"/>
                <w:sz w:val="24"/>
              </w:rPr>
            </w:pP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5638D02">
            <w:pPr>
              <w:pStyle w:val="2"/>
              <w:spacing w:line="240" w:lineRule="exact"/>
              <w:rPr>
                <w:rFonts w:ascii="仿宋" w:hAnsi="仿宋" w:eastAsia="仿宋" w:cs="仿宋"/>
                <w:color w:val="auto"/>
                <w:sz w:val="20"/>
                <w:szCs w:val="20"/>
              </w:rPr>
            </w:pPr>
            <w:r>
              <w:rPr>
                <w:rFonts w:hint="eastAsia" w:ascii="仿宋" w:hAnsi="仿宋" w:eastAsia="仿宋" w:cs="仿宋"/>
                <w:color w:val="auto"/>
                <w:sz w:val="20"/>
                <w:szCs w:val="20"/>
              </w:rPr>
              <w:t>填写样例:</w:t>
            </w:r>
          </w:p>
          <w:p w14:paraId="256D0E06">
            <w:pPr>
              <w:pStyle w:val="2"/>
              <w:spacing w:line="240" w:lineRule="exact"/>
              <w:rPr>
                <w:rFonts w:ascii="仿宋" w:hAnsi="仿宋" w:eastAsia="仿宋" w:cs="仿宋"/>
                <w:color w:val="auto"/>
                <w:sz w:val="20"/>
                <w:szCs w:val="20"/>
              </w:rPr>
            </w:pPr>
            <w:r>
              <w:rPr>
                <w:rFonts w:hint="eastAsia" w:ascii="仿宋" w:hAnsi="仿宋" w:eastAsia="仿宋" w:cs="仿宋"/>
                <w:color w:val="auto"/>
                <w:sz w:val="20"/>
                <w:szCs w:val="20"/>
              </w:rPr>
              <w:t>省内X家，省外X家</w:t>
            </w:r>
          </w:p>
          <w:p w14:paraId="7C89148B">
            <w:pPr>
              <w:widowControl/>
              <w:spacing w:line="240" w:lineRule="exact"/>
              <w:jc w:val="center"/>
              <w:rPr>
                <w:rFonts w:ascii="仿宋" w:hAnsi="仿宋" w:eastAsia="仿宋" w:cs="仿宋"/>
                <w:color w:val="auto"/>
                <w:sz w:val="24"/>
              </w:rPr>
            </w:pPr>
            <w:r>
              <w:rPr>
                <w:rFonts w:hint="eastAsia" w:ascii="仿宋" w:hAnsi="仿宋" w:eastAsia="仿宋" w:cs="仿宋"/>
                <w:color w:val="auto"/>
                <w:sz w:val="20"/>
                <w:szCs w:val="20"/>
              </w:rPr>
              <w:t>代表案例具体医院名称：</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6CE27B93">
            <w:pPr>
              <w:pStyle w:val="2"/>
              <w:spacing w:line="240" w:lineRule="exact"/>
              <w:rPr>
                <w:rFonts w:ascii="仿宋" w:hAnsi="仿宋" w:eastAsia="仿宋" w:cs="仿宋"/>
                <w:color w:val="auto"/>
                <w:sz w:val="20"/>
                <w:szCs w:val="20"/>
              </w:rPr>
            </w:pPr>
            <w:r>
              <w:rPr>
                <w:rFonts w:hint="eastAsia" w:ascii="仿宋" w:hAnsi="仿宋" w:eastAsia="仿宋" w:cs="仿宋"/>
                <w:color w:val="auto"/>
                <w:sz w:val="20"/>
                <w:szCs w:val="20"/>
              </w:rPr>
              <w:t>填写样例:</w:t>
            </w:r>
          </w:p>
          <w:p w14:paraId="0BD71516">
            <w:pPr>
              <w:pStyle w:val="2"/>
              <w:spacing w:line="240" w:lineRule="exact"/>
              <w:rPr>
                <w:rFonts w:ascii="仿宋" w:hAnsi="仿宋" w:eastAsia="仿宋" w:cs="仿宋"/>
                <w:color w:val="auto"/>
                <w:kern w:val="2"/>
                <w:sz w:val="20"/>
                <w:szCs w:val="20"/>
              </w:rPr>
            </w:pPr>
            <w:r>
              <w:rPr>
                <w:rFonts w:hint="eastAsia" w:ascii="仿宋" w:hAnsi="仿宋" w:eastAsia="仿宋" w:cs="仿宋"/>
                <w:color w:val="auto"/>
                <w:kern w:val="2"/>
                <w:sz w:val="20"/>
                <w:szCs w:val="20"/>
              </w:rPr>
              <w:t>实施周期：X天</w:t>
            </w:r>
          </w:p>
          <w:p w14:paraId="585EADFE">
            <w:pPr>
              <w:widowControl/>
              <w:spacing w:line="240" w:lineRule="exact"/>
              <w:rPr>
                <w:rFonts w:ascii="仿宋" w:hAnsi="仿宋" w:eastAsia="仿宋" w:cs="仿宋"/>
                <w:color w:val="auto"/>
                <w:sz w:val="24"/>
              </w:rPr>
            </w:pPr>
            <w:r>
              <w:rPr>
                <w:rFonts w:hint="eastAsia" w:ascii="仿宋" w:hAnsi="仿宋" w:eastAsia="仿宋" w:cs="仿宋"/>
                <w:color w:val="auto"/>
                <w:sz w:val="20"/>
                <w:szCs w:val="20"/>
              </w:rPr>
              <w:t>驻场实施人数：X人</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DD9A94C">
            <w:pPr>
              <w:pStyle w:val="2"/>
              <w:spacing w:line="240" w:lineRule="exact"/>
              <w:rPr>
                <w:rFonts w:ascii="仿宋" w:hAnsi="仿宋" w:eastAsia="仿宋" w:cs="仿宋"/>
                <w:color w:val="auto"/>
                <w:sz w:val="20"/>
                <w:szCs w:val="20"/>
              </w:rPr>
            </w:pPr>
            <w:r>
              <w:rPr>
                <w:rFonts w:hint="eastAsia" w:ascii="仿宋" w:hAnsi="仿宋" w:eastAsia="仿宋" w:cs="仿宋"/>
                <w:color w:val="auto"/>
                <w:sz w:val="20"/>
                <w:szCs w:val="20"/>
              </w:rPr>
              <w:t>填写样例:</w:t>
            </w:r>
          </w:p>
          <w:p w14:paraId="2BE7D36E">
            <w:pPr>
              <w:pStyle w:val="2"/>
              <w:spacing w:line="240" w:lineRule="exact"/>
              <w:rPr>
                <w:rFonts w:ascii="仿宋" w:hAnsi="仿宋" w:eastAsia="仿宋" w:cs="仿宋"/>
                <w:color w:val="auto"/>
                <w:kern w:val="2"/>
              </w:rPr>
            </w:pPr>
            <w:r>
              <w:rPr>
                <w:rFonts w:hint="eastAsia" w:ascii="仿宋" w:hAnsi="仿宋" w:eastAsia="仿宋" w:cs="仿宋"/>
                <w:color w:val="auto"/>
                <w:sz w:val="20"/>
                <w:szCs w:val="20"/>
              </w:rPr>
              <w:t>X年</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31D72CC3">
            <w:pPr>
              <w:pStyle w:val="2"/>
              <w:spacing w:line="240" w:lineRule="exact"/>
              <w:rPr>
                <w:rFonts w:ascii="仿宋" w:hAnsi="仿宋" w:eastAsia="仿宋" w:cs="仿宋"/>
                <w:color w:val="auto"/>
                <w:sz w:val="20"/>
                <w:szCs w:val="20"/>
              </w:rPr>
            </w:pPr>
            <w:r>
              <w:rPr>
                <w:rFonts w:hint="eastAsia" w:ascii="仿宋" w:hAnsi="仿宋" w:eastAsia="仿宋" w:cs="仿宋"/>
                <w:color w:val="auto"/>
                <w:sz w:val="20"/>
                <w:szCs w:val="20"/>
              </w:rPr>
              <w:t>填写样例:</w:t>
            </w:r>
          </w:p>
          <w:p w14:paraId="283CB1A6">
            <w:pPr>
              <w:pStyle w:val="2"/>
              <w:spacing w:line="240" w:lineRule="exact"/>
              <w:rPr>
                <w:rFonts w:ascii="仿宋" w:hAnsi="仿宋" w:eastAsia="仿宋" w:cs="仿宋"/>
                <w:color w:val="auto"/>
                <w:kern w:val="2"/>
              </w:rPr>
            </w:pPr>
            <w:r>
              <w:rPr>
                <w:rFonts w:hint="eastAsia" w:ascii="仿宋" w:hAnsi="仿宋" w:eastAsia="仿宋" w:cs="仿宋"/>
                <w:color w:val="auto"/>
                <w:sz w:val="20"/>
                <w:szCs w:val="20"/>
              </w:rPr>
              <w:t>合同金额的5%</w:t>
            </w:r>
          </w:p>
        </w:tc>
        <w:tc>
          <w:tcPr>
            <w:tcW w:w="1012" w:type="pct"/>
            <w:tcBorders>
              <w:top w:val="single" w:color="auto" w:sz="4" w:space="0"/>
              <w:left w:val="single" w:color="auto" w:sz="4" w:space="0"/>
              <w:bottom w:val="single" w:color="auto" w:sz="4" w:space="0"/>
              <w:right w:val="single" w:color="auto" w:sz="4" w:space="0"/>
            </w:tcBorders>
            <w:shd w:val="clear" w:color="auto" w:fill="auto"/>
            <w:vAlign w:val="center"/>
          </w:tcPr>
          <w:p w14:paraId="5EE65F63">
            <w:pPr>
              <w:widowControl/>
              <w:spacing w:line="240" w:lineRule="exact"/>
              <w:jc w:val="center"/>
              <w:rPr>
                <w:rFonts w:ascii="仿宋" w:hAnsi="仿宋" w:eastAsia="仿宋" w:cs="仿宋"/>
                <w:color w:val="auto"/>
                <w:sz w:val="24"/>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16E19">
            <w:pPr>
              <w:widowControl/>
              <w:spacing w:line="240" w:lineRule="exact"/>
              <w:textAlignment w:val="center"/>
              <w:rPr>
                <w:rFonts w:ascii="仿宋" w:hAnsi="仿宋" w:eastAsia="仿宋" w:cs="仿宋"/>
                <w:color w:val="auto"/>
                <w:sz w:val="20"/>
                <w:szCs w:val="20"/>
              </w:rPr>
            </w:pPr>
            <w:r>
              <w:rPr>
                <w:rFonts w:hint="eastAsia" w:ascii="仿宋" w:hAnsi="仿宋" w:eastAsia="仿宋" w:cs="仿宋"/>
                <w:color w:val="auto"/>
                <w:sz w:val="20"/>
                <w:szCs w:val="20"/>
              </w:rPr>
              <w:t>填写样例:</w:t>
            </w:r>
          </w:p>
          <w:p w14:paraId="66DC5DD6">
            <w:pPr>
              <w:widowControl/>
              <w:spacing w:line="240" w:lineRule="exact"/>
              <w:textAlignment w:val="center"/>
              <w:rPr>
                <w:rFonts w:ascii="仿宋" w:hAnsi="仿宋" w:eastAsia="仿宋" w:cs="仿宋"/>
                <w:color w:val="auto"/>
                <w:sz w:val="20"/>
                <w:szCs w:val="20"/>
              </w:rPr>
            </w:pPr>
            <w:r>
              <w:rPr>
                <w:rFonts w:hint="eastAsia" w:ascii="仿宋" w:hAnsi="仿宋" w:eastAsia="仿宋" w:cs="仿宋"/>
                <w:color w:val="auto"/>
                <w:sz w:val="20"/>
                <w:szCs w:val="20"/>
              </w:rPr>
              <w:t>1.电子病历：</w:t>
            </w:r>
          </w:p>
          <w:p w14:paraId="178657C9">
            <w:pPr>
              <w:widowControl/>
              <w:spacing w:line="240" w:lineRule="exact"/>
              <w:textAlignment w:val="center"/>
              <w:rPr>
                <w:rFonts w:ascii="仿宋" w:hAnsi="仿宋" w:eastAsia="仿宋" w:cs="仿宋"/>
                <w:color w:val="auto"/>
                <w:sz w:val="20"/>
                <w:szCs w:val="20"/>
              </w:rPr>
            </w:pPr>
            <w:r>
              <w:rPr>
                <w:rFonts w:hint="eastAsia" w:ascii="仿宋" w:hAnsi="仿宋" w:eastAsia="仿宋" w:cs="仿宋"/>
                <w:color w:val="auto"/>
                <w:sz w:val="20"/>
                <w:szCs w:val="20"/>
              </w:rPr>
              <w:t>2.智慧管理：</w:t>
            </w:r>
          </w:p>
          <w:p w14:paraId="066855BE">
            <w:pPr>
              <w:widowControl/>
              <w:spacing w:line="240" w:lineRule="exact"/>
              <w:textAlignment w:val="center"/>
              <w:rPr>
                <w:rFonts w:ascii="仿宋" w:hAnsi="仿宋" w:eastAsia="仿宋" w:cs="仿宋"/>
                <w:color w:val="auto"/>
                <w:sz w:val="20"/>
                <w:szCs w:val="20"/>
              </w:rPr>
            </w:pPr>
            <w:r>
              <w:rPr>
                <w:rFonts w:hint="eastAsia" w:ascii="仿宋" w:hAnsi="仿宋" w:eastAsia="仿宋" w:cs="仿宋"/>
                <w:color w:val="auto"/>
                <w:sz w:val="20"/>
                <w:szCs w:val="20"/>
              </w:rPr>
              <w:t>3.智慧服务：</w:t>
            </w:r>
          </w:p>
          <w:p w14:paraId="5E728D63">
            <w:pPr>
              <w:widowControl/>
              <w:spacing w:line="240" w:lineRule="exact"/>
              <w:rPr>
                <w:rFonts w:ascii="仿宋" w:hAnsi="仿宋" w:eastAsia="仿宋" w:cs="仿宋"/>
                <w:color w:val="auto"/>
                <w:sz w:val="24"/>
              </w:rPr>
            </w:pPr>
            <w:r>
              <w:rPr>
                <w:rFonts w:hint="eastAsia" w:ascii="仿宋" w:hAnsi="仿宋" w:eastAsia="仿宋" w:cs="仿宋"/>
                <w:color w:val="auto"/>
                <w:sz w:val="20"/>
                <w:szCs w:val="20"/>
              </w:rPr>
              <w:t>4.四川省智慧医院得分：</w:t>
            </w:r>
          </w:p>
        </w:tc>
      </w:tr>
      <w:tr w14:paraId="19E5D295">
        <w:tblPrEx>
          <w:tblCellMar>
            <w:top w:w="0" w:type="dxa"/>
            <w:left w:w="108" w:type="dxa"/>
            <w:bottom w:w="0" w:type="dxa"/>
            <w:right w:w="108" w:type="dxa"/>
          </w:tblCellMar>
        </w:tblPrEx>
        <w:trPr>
          <w:trHeight w:val="640" w:hRule="atLeast"/>
          <w:jc w:val="center"/>
        </w:trPr>
        <w:tc>
          <w:tcPr>
            <w:tcW w:w="142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3BDE22">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合计：</w:t>
            </w:r>
          </w:p>
        </w:tc>
        <w:tc>
          <w:tcPr>
            <w:tcW w:w="357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CED9383">
            <w:pPr>
              <w:widowControl/>
              <w:spacing w:line="400" w:lineRule="exact"/>
              <w:jc w:val="center"/>
              <w:rPr>
                <w:rFonts w:ascii="仿宋" w:hAnsi="仿宋" w:eastAsia="仿宋" w:cs="仿宋"/>
                <w:color w:val="auto"/>
                <w:sz w:val="24"/>
              </w:rPr>
            </w:pPr>
          </w:p>
        </w:tc>
      </w:tr>
      <w:tr w14:paraId="10C5F4CF">
        <w:tblPrEx>
          <w:tblCellMar>
            <w:top w:w="0" w:type="dxa"/>
            <w:left w:w="108" w:type="dxa"/>
            <w:bottom w:w="0" w:type="dxa"/>
            <w:right w:w="108" w:type="dxa"/>
          </w:tblCellMar>
        </w:tblPrEx>
        <w:trPr>
          <w:trHeight w:val="640" w:hRule="atLeast"/>
          <w:jc w:val="center"/>
        </w:trPr>
        <w:tc>
          <w:tcPr>
            <w:tcW w:w="142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6FDFC2">
            <w:pPr>
              <w:widowControl/>
              <w:spacing w:line="400" w:lineRule="exact"/>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c>
          <w:tcPr>
            <w:tcW w:w="357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7AC8C2B">
            <w:pPr>
              <w:widowControl/>
              <w:spacing w:line="400" w:lineRule="exact"/>
              <w:jc w:val="center"/>
              <w:rPr>
                <w:rFonts w:ascii="仿宋" w:hAnsi="仿宋" w:eastAsia="仿宋" w:cs="仿宋"/>
                <w:color w:val="auto"/>
                <w:sz w:val="24"/>
              </w:rPr>
            </w:pPr>
            <w:r>
              <w:rPr>
                <w:rFonts w:hint="eastAsia" w:ascii="仿宋" w:hAnsi="仿宋" w:eastAsia="仿宋" w:cs="仿宋"/>
                <w:color w:val="auto"/>
                <w:sz w:val="20"/>
                <w:szCs w:val="20"/>
                <w:lang w:val="en-US" w:eastAsia="zh-CN"/>
              </w:rPr>
              <w:t>灾备技术实现路线、资金成本等进行研判，如有意提供相关支撑</w:t>
            </w:r>
          </w:p>
        </w:tc>
      </w:tr>
    </w:tbl>
    <w:p w14:paraId="7317B308">
      <w:pPr>
        <w:rPr>
          <w:color w:val="auto"/>
        </w:rPr>
        <w:sectPr>
          <w:pgSz w:w="16838" w:h="11906" w:orient="landscape"/>
          <w:pgMar w:top="1800" w:right="1440" w:bottom="1800" w:left="1440" w:header="851" w:footer="992" w:gutter="0"/>
          <w:cols w:space="425" w:num="1"/>
          <w:docGrid w:type="lines" w:linePitch="312" w:charSpace="0"/>
        </w:sectPr>
      </w:pPr>
    </w:p>
    <w:p w14:paraId="69CE9992">
      <w:pPr>
        <w:pStyle w:val="3"/>
        <w:numPr>
          <w:ilvl w:val="0"/>
          <w:numId w:val="0"/>
        </w:numPr>
        <w:spacing w:before="100" w:after="100"/>
        <w:jc w:val="both"/>
        <w:rPr>
          <w:color w:val="auto"/>
        </w:rPr>
      </w:pPr>
      <w:bookmarkStart w:id="24" w:name="_Toc15881"/>
      <w:r>
        <w:rPr>
          <w:rFonts w:hint="eastAsia"/>
          <w:color w:val="auto"/>
          <w:lang w:val="en-US" w:eastAsia="zh-CN"/>
        </w:rPr>
        <w:t>四、</w:t>
      </w:r>
      <w:r>
        <w:rPr>
          <w:rFonts w:hint="eastAsia"/>
          <w:color w:val="auto"/>
        </w:rPr>
        <w:t>调研项目配置清单及分项报价明细</w:t>
      </w:r>
      <w:bookmarkEnd w:id="24"/>
    </w:p>
    <w:p w14:paraId="453511C3">
      <w:pPr>
        <w:rPr>
          <w:color w:val="auto"/>
        </w:rPr>
      </w:pPr>
      <w:r>
        <w:rPr>
          <w:rFonts w:hint="eastAsia"/>
          <w:color w:val="auto"/>
        </w:rPr>
        <w:t>（格式可自拟）</w:t>
      </w:r>
    </w:p>
    <w:p w14:paraId="27CD8E73">
      <w:pPr>
        <w:pStyle w:val="3"/>
        <w:spacing w:before="100" w:after="100"/>
        <w:jc w:val="both"/>
        <w:rPr>
          <w:color w:val="auto"/>
        </w:rPr>
      </w:pPr>
      <w:bookmarkStart w:id="25" w:name="_Toc12736"/>
      <w:r>
        <w:rPr>
          <w:rFonts w:hint="eastAsia"/>
          <w:color w:val="auto"/>
          <w:lang w:val="en-US" w:eastAsia="zh-CN"/>
        </w:rPr>
        <w:t>五</w:t>
      </w:r>
      <w:r>
        <w:rPr>
          <w:rFonts w:hint="eastAsia"/>
          <w:color w:val="auto"/>
        </w:rPr>
        <w:t>、三甲综合医院同类项目案例</w:t>
      </w:r>
      <w:bookmarkEnd w:id="25"/>
    </w:p>
    <w:p w14:paraId="62A9465F">
      <w:pPr>
        <w:pStyle w:val="4"/>
        <w:ind w:firstLine="482" w:firstLineChars="200"/>
        <w:rPr>
          <w:color w:val="auto"/>
        </w:rPr>
      </w:pPr>
      <w:bookmarkStart w:id="26" w:name="_Toc31813"/>
      <w:r>
        <w:rPr>
          <w:rFonts w:hint="eastAsia"/>
          <w:color w:val="auto"/>
          <w:lang w:val="en-US" w:eastAsia="zh-CN"/>
        </w:rPr>
        <w:t>5</w:t>
      </w:r>
      <w:r>
        <w:rPr>
          <w:rFonts w:hint="eastAsia"/>
          <w:color w:val="auto"/>
        </w:rPr>
        <w:t>.1 四川省内（  ）家</w:t>
      </w:r>
      <w:bookmarkEnd w:id="26"/>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408719C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5A0D2A50">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序号</w:t>
            </w:r>
          </w:p>
        </w:tc>
        <w:tc>
          <w:tcPr>
            <w:tcW w:w="2421" w:type="dxa"/>
            <w:tcBorders>
              <w:left w:val="single" w:color="000000" w:sz="4" w:space="0"/>
              <w:bottom w:val="single" w:color="000000" w:sz="4" w:space="0"/>
              <w:right w:val="single" w:color="000000" w:sz="4" w:space="0"/>
            </w:tcBorders>
            <w:vAlign w:val="center"/>
          </w:tcPr>
          <w:p w14:paraId="3DD42B7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医院名称</w:t>
            </w:r>
          </w:p>
        </w:tc>
        <w:tc>
          <w:tcPr>
            <w:tcW w:w="1710" w:type="dxa"/>
            <w:tcBorders>
              <w:left w:val="single" w:color="000000" w:sz="4" w:space="0"/>
              <w:bottom w:val="single" w:color="000000" w:sz="4" w:space="0"/>
              <w:right w:val="single" w:color="000000" w:sz="4" w:space="0"/>
            </w:tcBorders>
            <w:vAlign w:val="center"/>
          </w:tcPr>
          <w:p w14:paraId="26E3F10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合同标的</w:t>
            </w:r>
          </w:p>
        </w:tc>
        <w:tc>
          <w:tcPr>
            <w:tcW w:w="1350" w:type="dxa"/>
            <w:tcBorders>
              <w:left w:val="single" w:color="000000" w:sz="4" w:space="0"/>
              <w:bottom w:val="single" w:color="000000" w:sz="4" w:space="0"/>
              <w:right w:val="single" w:color="000000" w:sz="4" w:space="0"/>
            </w:tcBorders>
            <w:vAlign w:val="center"/>
          </w:tcPr>
          <w:p w14:paraId="78CAFF94">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合同金额</w:t>
            </w:r>
          </w:p>
        </w:tc>
        <w:tc>
          <w:tcPr>
            <w:tcW w:w="1425" w:type="dxa"/>
            <w:tcBorders>
              <w:left w:val="single" w:color="000000" w:sz="4" w:space="0"/>
              <w:bottom w:val="single" w:color="000000" w:sz="4" w:space="0"/>
              <w:right w:val="single" w:color="000000" w:sz="4" w:space="0"/>
            </w:tcBorders>
            <w:vAlign w:val="center"/>
          </w:tcPr>
          <w:p w14:paraId="5B416B7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实施年份</w:t>
            </w:r>
          </w:p>
        </w:tc>
        <w:tc>
          <w:tcPr>
            <w:tcW w:w="1410" w:type="dxa"/>
            <w:tcBorders>
              <w:left w:val="single" w:color="000000" w:sz="4" w:space="0"/>
              <w:bottom w:val="single" w:color="000000" w:sz="4" w:space="0"/>
              <w:right w:val="single" w:color="auto" w:sz="4" w:space="0"/>
            </w:tcBorders>
            <w:vAlign w:val="center"/>
          </w:tcPr>
          <w:p w14:paraId="41EE6490">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验收时间</w:t>
            </w:r>
          </w:p>
        </w:tc>
      </w:tr>
      <w:tr w14:paraId="05F7C8E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4E521D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14:paraId="7D0B587B">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6A37CDE2">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988A929">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E81F07B">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6D1B0759">
            <w:pPr>
              <w:widowControl/>
              <w:spacing w:line="400" w:lineRule="exact"/>
              <w:jc w:val="center"/>
              <w:textAlignment w:val="center"/>
              <w:rPr>
                <w:rFonts w:ascii="仿宋" w:hAnsi="仿宋" w:eastAsia="仿宋" w:cs="仿宋"/>
                <w:color w:val="auto"/>
                <w:sz w:val="24"/>
              </w:rPr>
            </w:pPr>
          </w:p>
        </w:tc>
      </w:tr>
      <w:tr w14:paraId="04C048D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36A226E8">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2421" w:type="dxa"/>
            <w:tcBorders>
              <w:top w:val="single" w:color="000000" w:sz="4" w:space="0"/>
              <w:left w:val="single" w:color="000000" w:sz="4" w:space="0"/>
              <w:bottom w:val="single" w:color="000000" w:sz="4" w:space="0"/>
              <w:right w:val="single" w:color="000000" w:sz="4" w:space="0"/>
            </w:tcBorders>
            <w:vAlign w:val="center"/>
          </w:tcPr>
          <w:p w14:paraId="48243DE6">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614A54AD">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048A10">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6E3D057">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8B89702">
            <w:pPr>
              <w:widowControl/>
              <w:spacing w:line="400" w:lineRule="exact"/>
              <w:jc w:val="center"/>
              <w:textAlignment w:val="center"/>
              <w:rPr>
                <w:rFonts w:ascii="仿宋" w:hAnsi="仿宋" w:eastAsia="仿宋" w:cs="仿宋"/>
                <w:color w:val="auto"/>
                <w:sz w:val="24"/>
              </w:rPr>
            </w:pPr>
          </w:p>
        </w:tc>
      </w:tr>
      <w:tr w14:paraId="1DEC2BC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21D0E32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14:paraId="628742C0">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3B9D97E4">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199A005">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FB1F162">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172CE24A">
            <w:pPr>
              <w:widowControl/>
              <w:spacing w:line="400" w:lineRule="exact"/>
              <w:jc w:val="center"/>
              <w:textAlignment w:val="center"/>
              <w:rPr>
                <w:rFonts w:ascii="仿宋" w:hAnsi="仿宋" w:eastAsia="仿宋" w:cs="仿宋"/>
                <w:color w:val="auto"/>
                <w:sz w:val="24"/>
              </w:rPr>
            </w:pPr>
          </w:p>
        </w:tc>
      </w:tr>
      <w:tr w14:paraId="75E1FBF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601C8DE">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14:paraId="03BF302F">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742B50F1">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01A5F17">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029DEF9D">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3FC822B4">
            <w:pPr>
              <w:widowControl/>
              <w:spacing w:line="400" w:lineRule="exact"/>
              <w:jc w:val="center"/>
              <w:textAlignment w:val="center"/>
              <w:rPr>
                <w:rFonts w:ascii="仿宋" w:hAnsi="仿宋" w:eastAsia="仿宋" w:cs="仿宋"/>
                <w:color w:val="auto"/>
                <w:sz w:val="24"/>
              </w:rPr>
            </w:pPr>
          </w:p>
        </w:tc>
      </w:tr>
    </w:tbl>
    <w:p w14:paraId="6004BB65">
      <w:pPr>
        <w:pStyle w:val="11"/>
        <w:ind w:firstLine="0" w:firstLineChars="0"/>
        <w:rPr>
          <w:rFonts w:ascii="仿宋" w:hAnsi="仿宋" w:eastAsia="仿宋" w:cs="仿宋"/>
          <w:color w:val="auto"/>
          <w:sz w:val="30"/>
          <w:szCs w:val="30"/>
        </w:rPr>
      </w:pPr>
    </w:p>
    <w:p w14:paraId="0F354400">
      <w:pPr>
        <w:pStyle w:val="2"/>
        <w:rPr>
          <w:rFonts w:ascii="仿宋" w:hAnsi="仿宋" w:eastAsia="仿宋" w:cs="仿宋"/>
          <w:color w:val="auto"/>
          <w:kern w:val="2"/>
          <w:sz w:val="30"/>
          <w:szCs w:val="30"/>
        </w:rPr>
      </w:pPr>
    </w:p>
    <w:p w14:paraId="10604110">
      <w:pPr>
        <w:pStyle w:val="2"/>
        <w:rPr>
          <w:rFonts w:ascii="仿宋" w:hAnsi="仿宋" w:eastAsia="仿宋" w:cs="仿宋"/>
          <w:color w:val="auto"/>
          <w:kern w:val="2"/>
          <w:sz w:val="30"/>
          <w:szCs w:val="30"/>
        </w:rPr>
      </w:pPr>
    </w:p>
    <w:p w14:paraId="05627AB1">
      <w:pPr>
        <w:pStyle w:val="2"/>
        <w:rPr>
          <w:rFonts w:ascii="仿宋" w:hAnsi="仿宋" w:eastAsia="仿宋" w:cs="仿宋"/>
          <w:color w:val="auto"/>
          <w:kern w:val="2"/>
          <w:sz w:val="30"/>
          <w:szCs w:val="30"/>
        </w:rPr>
      </w:pPr>
    </w:p>
    <w:p w14:paraId="54164CA5">
      <w:pPr>
        <w:pStyle w:val="2"/>
        <w:rPr>
          <w:rFonts w:ascii="仿宋" w:hAnsi="仿宋" w:eastAsia="仿宋" w:cs="仿宋"/>
          <w:color w:val="auto"/>
          <w:kern w:val="2"/>
          <w:sz w:val="30"/>
          <w:szCs w:val="30"/>
        </w:rPr>
      </w:pPr>
    </w:p>
    <w:p w14:paraId="59FD12A9">
      <w:pPr>
        <w:pStyle w:val="2"/>
        <w:rPr>
          <w:rFonts w:ascii="仿宋" w:hAnsi="仿宋" w:eastAsia="仿宋" w:cs="仿宋"/>
          <w:color w:val="auto"/>
          <w:kern w:val="2"/>
          <w:sz w:val="30"/>
          <w:szCs w:val="30"/>
        </w:rPr>
      </w:pPr>
    </w:p>
    <w:p w14:paraId="41E65FA8">
      <w:pPr>
        <w:pStyle w:val="4"/>
        <w:ind w:firstLine="482" w:firstLineChars="200"/>
        <w:rPr>
          <w:color w:val="auto"/>
        </w:rPr>
      </w:pPr>
      <w:bookmarkStart w:id="27" w:name="_Toc32164"/>
      <w:r>
        <w:rPr>
          <w:rFonts w:hint="eastAsia"/>
          <w:color w:val="auto"/>
          <w:lang w:val="en-US" w:eastAsia="zh-CN"/>
        </w:rPr>
        <w:t>5</w:t>
      </w:r>
      <w:r>
        <w:rPr>
          <w:rFonts w:hint="eastAsia"/>
          <w:color w:val="auto"/>
        </w:rPr>
        <w:t>.2 四川省外（  ）家</w:t>
      </w:r>
      <w:bookmarkEnd w:id="27"/>
    </w:p>
    <w:tbl>
      <w:tblPr>
        <w:tblStyle w:val="9"/>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30FCFB1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vAlign w:val="center"/>
          </w:tcPr>
          <w:p w14:paraId="20493D6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序号</w:t>
            </w:r>
          </w:p>
        </w:tc>
        <w:tc>
          <w:tcPr>
            <w:tcW w:w="2421" w:type="dxa"/>
            <w:tcBorders>
              <w:left w:val="single" w:color="000000" w:sz="4" w:space="0"/>
              <w:bottom w:val="single" w:color="000000" w:sz="4" w:space="0"/>
              <w:right w:val="single" w:color="000000" w:sz="4" w:space="0"/>
            </w:tcBorders>
            <w:vAlign w:val="center"/>
          </w:tcPr>
          <w:p w14:paraId="4621EC3E">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医院名称</w:t>
            </w:r>
          </w:p>
        </w:tc>
        <w:tc>
          <w:tcPr>
            <w:tcW w:w="1710" w:type="dxa"/>
            <w:tcBorders>
              <w:left w:val="single" w:color="000000" w:sz="4" w:space="0"/>
              <w:bottom w:val="single" w:color="000000" w:sz="4" w:space="0"/>
              <w:right w:val="single" w:color="000000" w:sz="4" w:space="0"/>
            </w:tcBorders>
            <w:vAlign w:val="center"/>
          </w:tcPr>
          <w:p w14:paraId="0E5C3A9C">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合同标的</w:t>
            </w:r>
          </w:p>
        </w:tc>
        <w:tc>
          <w:tcPr>
            <w:tcW w:w="1350" w:type="dxa"/>
            <w:tcBorders>
              <w:left w:val="single" w:color="000000" w:sz="4" w:space="0"/>
              <w:bottom w:val="single" w:color="000000" w:sz="4" w:space="0"/>
              <w:right w:val="single" w:color="000000" w:sz="4" w:space="0"/>
            </w:tcBorders>
            <w:vAlign w:val="center"/>
          </w:tcPr>
          <w:p w14:paraId="16E6FDD2">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合同金额</w:t>
            </w:r>
          </w:p>
        </w:tc>
        <w:tc>
          <w:tcPr>
            <w:tcW w:w="1425" w:type="dxa"/>
            <w:tcBorders>
              <w:left w:val="single" w:color="000000" w:sz="4" w:space="0"/>
              <w:bottom w:val="single" w:color="000000" w:sz="4" w:space="0"/>
              <w:right w:val="single" w:color="000000" w:sz="4" w:space="0"/>
            </w:tcBorders>
            <w:vAlign w:val="center"/>
          </w:tcPr>
          <w:p w14:paraId="0412A31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实施年份</w:t>
            </w:r>
          </w:p>
        </w:tc>
        <w:tc>
          <w:tcPr>
            <w:tcW w:w="1410" w:type="dxa"/>
            <w:tcBorders>
              <w:left w:val="single" w:color="000000" w:sz="4" w:space="0"/>
              <w:bottom w:val="single" w:color="000000" w:sz="4" w:space="0"/>
              <w:right w:val="single" w:color="auto" w:sz="4" w:space="0"/>
            </w:tcBorders>
            <w:vAlign w:val="center"/>
          </w:tcPr>
          <w:p w14:paraId="5E8865A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验收时间</w:t>
            </w:r>
          </w:p>
        </w:tc>
      </w:tr>
      <w:tr w14:paraId="4AD3FA3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5F27803">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2421" w:type="dxa"/>
            <w:tcBorders>
              <w:top w:val="single" w:color="000000" w:sz="4" w:space="0"/>
              <w:left w:val="single" w:color="000000" w:sz="4" w:space="0"/>
              <w:bottom w:val="single" w:color="000000" w:sz="4" w:space="0"/>
              <w:right w:val="single" w:color="000000" w:sz="4" w:space="0"/>
            </w:tcBorders>
            <w:vAlign w:val="center"/>
          </w:tcPr>
          <w:p w14:paraId="23B6CCD2">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05284765">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011FD86">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6978E518">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758497C9">
            <w:pPr>
              <w:widowControl/>
              <w:spacing w:line="400" w:lineRule="exact"/>
              <w:jc w:val="center"/>
              <w:textAlignment w:val="center"/>
              <w:rPr>
                <w:rFonts w:ascii="仿宋" w:hAnsi="仿宋" w:eastAsia="仿宋" w:cs="仿宋"/>
                <w:color w:val="auto"/>
                <w:sz w:val="24"/>
              </w:rPr>
            </w:pPr>
          </w:p>
        </w:tc>
      </w:tr>
      <w:tr w14:paraId="2A7071B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029410E9">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2</w:t>
            </w:r>
          </w:p>
        </w:tc>
        <w:tc>
          <w:tcPr>
            <w:tcW w:w="2421" w:type="dxa"/>
            <w:tcBorders>
              <w:top w:val="single" w:color="000000" w:sz="4" w:space="0"/>
              <w:left w:val="single" w:color="000000" w:sz="4" w:space="0"/>
              <w:bottom w:val="single" w:color="000000" w:sz="4" w:space="0"/>
              <w:right w:val="single" w:color="000000" w:sz="4" w:space="0"/>
            </w:tcBorders>
            <w:vAlign w:val="center"/>
          </w:tcPr>
          <w:p w14:paraId="44708EC0">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72668CFD">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F1E9668">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29C8F235">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7C43E8A3">
            <w:pPr>
              <w:widowControl/>
              <w:spacing w:line="400" w:lineRule="exact"/>
              <w:jc w:val="center"/>
              <w:textAlignment w:val="center"/>
              <w:rPr>
                <w:rFonts w:ascii="仿宋" w:hAnsi="仿宋" w:eastAsia="仿宋" w:cs="仿宋"/>
                <w:color w:val="auto"/>
                <w:sz w:val="24"/>
              </w:rPr>
            </w:pPr>
          </w:p>
        </w:tc>
      </w:tr>
      <w:tr w14:paraId="05CF911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7C167B0B">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3</w:t>
            </w:r>
          </w:p>
        </w:tc>
        <w:tc>
          <w:tcPr>
            <w:tcW w:w="2421" w:type="dxa"/>
            <w:tcBorders>
              <w:top w:val="single" w:color="000000" w:sz="4" w:space="0"/>
              <w:left w:val="single" w:color="000000" w:sz="4" w:space="0"/>
              <w:bottom w:val="single" w:color="000000" w:sz="4" w:space="0"/>
              <w:right w:val="single" w:color="000000" w:sz="4" w:space="0"/>
            </w:tcBorders>
            <w:vAlign w:val="center"/>
          </w:tcPr>
          <w:p w14:paraId="4A70720B">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0EDE5228">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7287853">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3EE9F361">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29E9EA10">
            <w:pPr>
              <w:widowControl/>
              <w:spacing w:line="400" w:lineRule="exact"/>
              <w:jc w:val="center"/>
              <w:textAlignment w:val="center"/>
              <w:rPr>
                <w:rFonts w:ascii="仿宋" w:hAnsi="仿宋" w:eastAsia="仿宋" w:cs="仿宋"/>
                <w:color w:val="auto"/>
                <w:sz w:val="24"/>
              </w:rPr>
            </w:pPr>
          </w:p>
        </w:tc>
      </w:tr>
      <w:tr w14:paraId="2CB74A7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vAlign w:val="center"/>
          </w:tcPr>
          <w:p w14:paraId="67A51FF1">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w:t>
            </w:r>
          </w:p>
        </w:tc>
        <w:tc>
          <w:tcPr>
            <w:tcW w:w="2421" w:type="dxa"/>
            <w:tcBorders>
              <w:top w:val="single" w:color="000000" w:sz="4" w:space="0"/>
              <w:left w:val="single" w:color="000000" w:sz="4" w:space="0"/>
              <w:bottom w:val="single" w:color="000000" w:sz="4" w:space="0"/>
              <w:right w:val="single" w:color="000000" w:sz="4" w:space="0"/>
            </w:tcBorders>
            <w:vAlign w:val="center"/>
          </w:tcPr>
          <w:p w14:paraId="3A3E08BC">
            <w:pPr>
              <w:widowControl/>
              <w:spacing w:line="400" w:lineRule="exact"/>
              <w:jc w:val="center"/>
              <w:textAlignment w:val="center"/>
              <w:rPr>
                <w:rFonts w:ascii="仿宋" w:hAnsi="仿宋" w:eastAsia="仿宋" w:cs="仿宋"/>
                <w:color w:val="auto"/>
                <w:sz w:val="24"/>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225B62AC">
            <w:pPr>
              <w:widowControl/>
              <w:spacing w:line="400" w:lineRule="exact"/>
              <w:jc w:val="center"/>
              <w:textAlignment w:val="center"/>
              <w:rPr>
                <w:rFonts w:ascii="仿宋" w:hAnsi="仿宋" w:eastAsia="仿宋" w:cs="仿宋"/>
                <w:color w:val="auto"/>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C1A8E8C">
            <w:pPr>
              <w:widowControl/>
              <w:spacing w:line="400" w:lineRule="exact"/>
              <w:jc w:val="center"/>
              <w:textAlignment w:val="center"/>
              <w:rPr>
                <w:rFonts w:ascii="仿宋" w:hAnsi="仿宋" w:eastAsia="仿宋" w:cs="仿宋"/>
                <w:color w:val="auto"/>
                <w:sz w:val="24"/>
              </w:rPr>
            </w:pPr>
          </w:p>
        </w:tc>
        <w:tc>
          <w:tcPr>
            <w:tcW w:w="1425" w:type="dxa"/>
            <w:tcBorders>
              <w:top w:val="single" w:color="000000" w:sz="4" w:space="0"/>
              <w:left w:val="single" w:color="000000" w:sz="4" w:space="0"/>
              <w:bottom w:val="single" w:color="000000" w:sz="4" w:space="0"/>
              <w:right w:val="single" w:color="000000" w:sz="4" w:space="0"/>
            </w:tcBorders>
            <w:vAlign w:val="center"/>
          </w:tcPr>
          <w:p w14:paraId="5187D4F2">
            <w:pPr>
              <w:widowControl/>
              <w:spacing w:line="400" w:lineRule="exact"/>
              <w:jc w:val="center"/>
              <w:textAlignment w:val="center"/>
              <w:rPr>
                <w:rFonts w:ascii="仿宋" w:hAnsi="仿宋" w:eastAsia="仿宋" w:cs="仿宋"/>
                <w:color w:val="auto"/>
                <w:sz w:val="24"/>
              </w:rPr>
            </w:pPr>
          </w:p>
        </w:tc>
        <w:tc>
          <w:tcPr>
            <w:tcW w:w="1410" w:type="dxa"/>
            <w:tcBorders>
              <w:top w:val="single" w:color="000000" w:sz="4" w:space="0"/>
              <w:left w:val="single" w:color="000000" w:sz="4" w:space="0"/>
              <w:bottom w:val="single" w:color="000000" w:sz="4" w:space="0"/>
              <w:right w:val="single" w:color="auto" w:sz="4" w:space="0"/>
            </w:tcBorders>
            <w:vAlign w:val="center"/>
          </w:tcPr>
          <w:p w14:paraId="4F8DDAD0">
            <w:pPr>
              <w:widowControl/>
              <w:spacing w:line="400" w:lineRule="exact"/>
              <w:jc w:val="center"/>
              <w:textAlignment w:val="center"/>
              <w:rPr>
                <w:rFonts w:ascii="仿宋" w:hAnsi="仿宋" w:eastAsia="仿宋" w:cs="仿宋"/>
                <w:color w:val="auto"/>
                <w:sz w:val="24"/>
              </w:rPr>
            </w:pPr>
          </w:p>
        </w:tc>
      </w:tr>
    </w:tbl>
    <w:p w14:paraId="44CE58ED">
      <w:pPr>
        <w:rPr>
          <w:color w:val="auto"/>
        </w:rPr>
      </w:pPr>
    </w:p>
    <w:p w14:paraId="6817340D">
      <w:pPr>
        <w:pStyle w:val="3"/>
        <w:spacing w:before="100" w:after="100"/>
        <w:jc w:val="both"/>
        <w:rPr>
          <w:color w:val="auto"/>
        </w:rPr>
      </w:pPr>
    </w:p>
    <w:p w14:paraId="48D0B051">
      <w:pPr>
        <w:pStyle w:val="3"/>
        <w:spacing w:before="100" w:after="100"/>
        <w:jc w:val="both"/>
        <w:rPr>
          <w:color w:val="auto"/>
        </w:rPr>
      </w:pPr>
    </w:p>
    <w:p w14:paraId="08E0801A">
      <w:pPr>
        <w:pStyle w:val="4"/>
        <w:ind w:firstLine="482" w:firstLineChars="200"/>
        <w:rPr>
          <w:color w:val="auto"/>
        </w:rPr>
      </w:pPr>
      <w:bookmarkStart w:id="28" w:name="_Toc138151651"/>
      <w:bookmarkStart w:id="29" w:name="_Toc8434"/>
      <w:r>
        <w:rPr>
          <w:rFonts w:hint="eastAsia"/>
          <w:color w:val="auto"/>
          <w:lang w:val="en-US" w:eastAsia="zh-CN"/>
        </w:rPr>
        <w:t>5</w:t>
      </w:r>
      <w:r>
        <w:rPr>
          <w:rFonts w:hint="eastAsia"/>
          <w:color w:val="auto"/>
        </w:rPr>
        <w:t>.3三甲综合医院同类项目案例合同及验收佐证</w:t>
      </w:r>
      <w:bookmarkEnd w:id="28"/>
      <w:bookmarkEnd w:id="29"/>
    </w:p>
    <w:p w14:paraId="4B357217">
      <w:pPr>
        <w:pStyle w:val="3"/>
        <w:spacing w:before="100" w:after="100"/>
        <w:jc w:val="both"/>
        <w:rPr>
          <w:color w:val="auto"/>
        </w:rPr>
      </w:pPr>
      <w:bookmarkStart w:id="30" w:name="_Toc138151652"/>
      <w:bookmarkStart w:id="31" w:name="_Toc8761"/>
      <w:r>
        <w:rPr>
          <w:rFonts w:hint="eastAsia"/>
          <w:color w:val="auto"/>
          <w:lang w:val="en-US" w:eastAsia="zh-CN"/>
        </w:rPr>
        <w:t>六</w:t>
      </w:r>
      <w:r>
        <w:rPr>
          <w:rFonts w:hint="eastAsia"/>
          <w:color w:val="auto"/>
        </w:rPr>
        <w:t>、报价表</w:t>
      </w:r>
      <w:bookmarkEnd w:id="30"/>
      <w:r>
        <w:rPr>
          <w:rFonts w:hint="eastAsia"/>
          <w:color w:val="auto"/>
        </w:rPr>
        <w:t>包含内容</w:t>
      </w:r>
      <w:bookmarkEnd w:id="31"/>
    </w:p>
    <w:p w14:paraId="4699813D">
      <w:pPr>
        <w:pStyle w:val="2"/>
        <w:ind w:firstLine="560"/>
        <w:rPr>
          <w:rFonts w:ascii="仿宋" w:hAnsi="仿宋" w:eastAsia="仿宋" w:cs="仿宋"/>
          <w:color w:val="auto"/>
          <w:kern w:val="2"/>
        </w:rPr>
      </w:pPr>
      <w:r>
        <w:rPr>
          <w:rFonts w:hint="eastAsia" w:ascii="仿宋" w:hAnsi="仿宋" w:eastAsia="仿宋" w:cs="仿宋"/>
          <w:color w:val="auto"/>
          <w:kern w:val="2"/>
        </w:rPr>
        <w:t>1.报价包含项目实施所涉及的软件及配套硬件、成本、费用和税金，其包括但不限于软件开发、安装、调试、验收、培训、税金、第三方系统的接口开发等费用。</w:t>
      </w:r>
    </w:p>
    <w:p w14:paraId="2EAFFF19">
      <w:pPr>
        <w:pStyle w:val="2"/>
        <w:ind w:firstLine="560"/>
        <w:rPr>
          <w:rFonts w:ascii="仿宋" w:hAnsi="仿宋" w:eastAsia="仿宋" w:cs="仿宋"/>
          <w:color w:val="auto"/>
          <w:kern w:val="2"/>
        </w:rPr>
      </w:pPr>
      <w:r>
        <w:rPr>
          <w:rFonts w:hint="eastAsia" w:ascii="仿宋" w:hAnsi="仿宋" w:eastAsia="仿宋" w:cs="仿宋"/>
          <w:color w:val="auto"/>
          <w:kern w:val="2"/>
        </w:rPr>
        <w:t>2.系统建设实施直至整体验收提供不少于1名具有实施经验的技术人员常驻医院现场。</w:t>
      </w:r>
    </w:p>
    <w:p w14:paraId="722BE552">
      <w:pPr>
        <w:pStyle w:val="2"/>
        <w:ind w:firstLine="560"/>
        <w:rPr>
          <w:rFonts w:ascii="仿宋" w:hAnsi="仿宋" w:eastAsia="仿宋" w:cs="仿宋"/>
          <w:color w:val="auto"/>
          <w:kern w:val="2"/>
        </w:rPr>
      </w:pPr>
      <w:r>
        <w:rPr>
          <w:rFonts w:hint="eastAsia" w:ascii="仿宋" w:hAnsi="仿宋" w:eastAsia="仿宋" w:cs="仿宋"/>
          <w:color w:val="auto"/>
          <w:kern w:val="2"/>
        </w:rPr>
        <w:t>3.系统整体验收合格之日起提供不少于3年的免费质保期，质保期内免费上门服务，质保期内提供免费的软件升级及接口改造服务，包括医院主要业务系统变更等。</w:t>
      </w:r>
    </w:p>
    <w:p w14:paraId="2FF7D1FC">
      <w:pPr>
        <w:pStyle w:val="2"/>
        <w:ind w:firstLine="560"/>
        <w:rPr>
          <w:rFonts w:ascii="仿宋" w:hAnsi="仿宋" w:eastAsia="仿宋" w:cs="仿宋"/>
          <w:color w:val="auto"/>
          <w:kern w:val="2"/>
        </w:rPr>
      </w:pPr>
      <w:r>
        <w:rPr>
          <w:rFonts w:hint="eastAsia" w:ascii="仿宋" w:hAnsi="仿宋" w:eastAsia="仿宋" w:cs="仿宋"/>
          <w:color w:val="auto"/>
          <w:kern w:val="2"/>
        </w:rPr>
        <w:t>4.质保期之后，系统维保费率不高于招投标总价的5%。</w:t>
      </w:r>
    </w:p>
    <w:p w14:paraId="7007D5BA">
      <w:pPr>
        <w:pStyle w:val="2"/>
        <w:ind w:firstLine="560"/>
        <w:rPr>
          <w:rFonts w:ascii="仿宋" w:hAnsi="仿宋" w:eastAsia="仿宋" w:cs="仿宋"/>
          <w:color w:val="auto"/>
          <w:kern w:val="2"/>
        </w:rPr>
      </w:pPr>
      <w:r>
        <w:rPr>
          <w:rFonts w:hint="eastAsia" w:ascii="仿宋" w:hAnsi="仿宋" w:eastAsia="仿宋" w:cs="仿宋"/>
          <w:color w:val="auto"/>
          <w:kern w:val="2"/>
        </w:rPr>
        <w:t>5.支持Windows平台</w:t>
      </w:r>
      <w:r>
        <w:rPr>
          <w:rFonts w:hint="eastAsia" w:ascii="仿宋" w:hAnsi="仿宋" w:eastAsia="仿宋" w:cs="仿宋"/>
          <w:color w:val="auto"/>
          <w:kern w:val="2"/>
          <w:lang w:val="en-US" w:eastAsia="zh-CN"/>
        </w:rPr>
        <w:t>或</w:t>
      </w:r>
      <w:r>
        <w:rPr>
          <w:rFonts w:hint="eastAsia" w:ascii="仿宋" w:hAnsi="仿宋" w:eastAsia="仿宋" w:cs="仿宋"/>
          <w:color w:val="auto"/>
          <w:kern w:val="2"/>
        </w:rPr>
        <w:t>国产化平台。</w:t>
      </w:r>
    </w:p>
    <w:p w14:paraId="0A4C36E9">
      <w:pPr>
        <w:pStyle w:val="2"/>
        <w:ind w:firstLine="560"/>
        <w:rPr>
          <w:rFonts w:ascii="仿宋" w:hAnsi="仿宋" w:eastAsia="仿宋" w:cs="仿宋"/>
          <w:color w:val="auto"/>
          <w:kern w:val="2"/>
        </w:rPr>
      </w:pPr>
      <w:r>
        <w:rPr>
          <w:rFonts w:hint="eastAsia" w:ascii="仿宋" w:hAnsi="仿宋" w:eastAsia="仿宋" w:cs="仿宋"/>
          <w:color w:val="auto"/>
          <w:kern w:val="2"/>
        </w:rPr>
        <w:t>6.</w:t>
      </w:r>
      <w:r>
        <w:rPr>
          <w:rFonts w:hint="eastAsia" w:ascii="仿宋" w:hAnsi="仿宋" w:eastAsia="仿宋" w:cs="仿宋"/>
          <w:color w:val="auto"/>
          <w:kern w:val="2"/>
          <w:lang w:val="en-US" w:eastAsia="zh-CN"/>
        </w:rPr>
        <w:t>灾备中心视频监控及门禁系统</w:t>
      </w:r>
      <w:r>
        <w:rPr>
          <w:rFonts w:hint="eastAsia" w:ascii="仿宋" w:hAnsi="仿宋" w:eastAsia="仿宋" w:cs="仿宋"/>
          <w:color w:val="auto"/>
          <w:kern w:val="2"/>
        </w:rPr>
        <w:t>须</w:t>
      </w:r>
      <w:r>
        <w:rPr>
          <w:rFonts w:hint="eastAsia" w:ascii="仿宋" w:hAnsi="仿宋" w:eastAsia="仿宋" w:cs="仿宋"/>
          <w:color w:val="auto"/>
          <w:kern w:val="2"/>
          <w:lang w:val="en-US" w:eastAsia="zh-CN"/>
        </w:rPr>
        <w:t>选用支持国家商用密码应用相关要求产品</w:t>
      </w:r>
      <w:r>
        <w:rPr>
          <w:rFonts w:hint="eastAsia" w:ascii="仿宋" w:hAnsi="仿宋" w:eastAsia="仿宋" w:cs="仿宋"/>
          <w:color w:val="auto"/>
          <w:kern w:val="2"/>
        </w:rPr>
        <w:t>。</w:t>
      </w:r>
    </w:p>
    <w:p w14:paraId="2256267F">
      <w:pPr>
        <w:pStyle w:val="2"/>
        <w:ind w:firstLine="560"/>
        <w:rPr>
          <w:rFonts w:ascii="仿宋" w:hAnsi="仿宋" w:eastAsia="仿宋" w:cs="仿宋"/>
          <w:color w:val="auto"/>
          <w:kern w:val="2"/>
        </w:rPr>
      </w:pPr>
      <w:r>
        <w:rPr>
          <w:rFonts w:hint="eastAsia" w:ascii="仿宋" w:hAnsi="仿宋" w:eastAsia="仿宋" w:cs="仿宋"/>
          <w:color w:val="auto"/>
          <w:kern w:val="2"/>
        </w:rPr>
        <w:t>7.待资阳市政务服务和大数据管理局完成政务信创云项目建设后，本系统将迁移至政务信创云，需对本项目进行服务及数据迁移，业务中断≤24小时。</w:t>
      </w:r>
    </w:p>
    <w:p w14:paraId="74F7F14E">
      <w:pPr>
        <w:pStyle w:val="3"/>
        <w:spacing w:before="100" w:after="100"/>
        <w:jc w:val="both"/>
        <w:rPr>
          <w:rFonts w:hint="eastAsia"/>
          <w:color w:val="auto"/>
          <w:lang w:val="en-US" w:eastAsia="zh-CN"/>
        </w:rPr>
      </w:pPr>
      <w:bookmarkStart w:id="32" w:name="_Toc30845"/>
    </w:p>
    <w:p w14:paraId="5B532DF8">
      <w:pPr>
        <w:rPr>
          <w:rFonts w:hint="eastAsia"/>
          <w:lang w:val="en-US" w:eastAsia="zh-CN"/>
        </w:rPr>
      </w:pPr>
    </w:p>
    <w:p w14:paraId="53126409">
      <w:pPr>
        <w:pStyle w:val="3"/>
        <w:spacing w:before="100" w:after="100"/>
        <w:jc w:val="both"/>
        <w:rPr>
          <w:rFonts w:hint="eastAsia" w:ascii="仿宋" w:hAnsi="仿宋" w:cs="仿宋" w:eastAsiaTheme="minorEastAsia"/>
          <w:b w:val="0"/>
          <w:color w:val="auto"/>
          <w:kern w:val="2"/>
          <w:sz w:val="24"/>
          <w:lang w:eastAsia="zh-CN"/>
        </w:rPr>
      </w:pPr>
      <w:r>
        <w:rPr>
          <w:rFonts w:hint="eastAsia"/>
          <w:color w:val="auto"/>
          <w:lang w:val="en-US" w:eastAsia="zh-CN"/>
        </w:rPr>
        <w:t>七</w:t>
      </w:r>
      <w:r>
        <w:rPr>
          <w:rFonts w:hint="eastAsia"/>
          <w:color w:val="auto"/>
        </w:rPr>
        <w:t>、建设方案</w:t>
      </w:r>
      <w:bookmarkEnd w:id="32"/>
    </w:p>
    <w:p w14:paraId="530B99F8">
      <w:pPr>
        <w:rPr>
          <w:color w:val="auto"/>
        </w:rPr>
      </w:pPr>
      <w:bookmarkStart w:id="33" w:name="_Toc138151653"/>
      <w:r>
        <w:rPr>
          <w:rFonts w:hint="eastAsia"/>
          <w:color w:val="auto"/>
        </w:rPr>
        <w:t>（包含以内容，其他内容自拟）</w:t>
      </w:r>
    </w:p>
    <w:p w14:paraId="78C71DCF">
      <w:pPr>
        <w:pStyle w:val="4"/>
        <w:ind w:firstLine="482" w:firstLineChars="200"/>
        <w:rPr>
          <w:color w:val="auto"/>
        </w:rPr>
      </w:pPr>
      <w:bookmarkStart w:id="34" w:name="_Toc21598"/>
      <w:r>
        <w:rPr>
          <w:rFonts w:hint="eastAsia"/>
          <w:color w:val="auto"/>
          <w:lang w:val="en-US" w:eastAsia="zh-CN"/>
        </w:rPr>
        <w:t>7.</w:t>
      </w:r>
      <w:r>
        <w:rPr>
          <w:rFonts w:hint="eastAsia"/>
          <w:color w:val="auto"/>
        </w:rPr>
        <w:t>1 实施条件（实施所需的支持条件）</w:t>
      </w:r>
      <w:bookmarkEnd w:id="33"/>
      <w:bookmarkEnd w:id="34"/>
    </w:p>
    <w:p w14:paraId="57E04C03">
      <w:pPr>
        <w:pStyle w:val="4"/>
        <w:ind w:firstLine="482" w:firstLineChars="200"/>
        <w:rPr>
          <w:color w:val="auto"/>
        </w:rPr>
      </w:pPr>
      <w:bookmarkStart w:id="35" w:name="_Toc138151654"/>
      <w:bookmarkStart w:id="36" w:name="_Toc7653"/>
      <w:r>
        <w:rPr>
          <w:rFonts w:hint="eastAsia"/>
          <w:color w:val="auto"/>
          <w:lang w:val="en-US" w:eastAsia="zh-CN"/>
        </w:rPr>
        <w:t>7</w:t>
      </w:r>
      <w:r>
        <w:rPr>
          <w:rFonts w:hint="eastAsia"/>
          <w:color w:val="auto"/>
        </w:rPr>
        <w:t>.2 实施周期</w:t>
      </w:r>
      <w:bookmarkEnd w:id="35"/>
      <w:bookmarkEnd w:id="36"/>
    </w:p>
    <w:p w14:paraId="0D513008">
      <w:pPr>
        <w:pStyle w:val="4"/>
        <w:ind w:firstLine="482" w:firstLineChars="200"/>
        <w:rPr>
          <w:color w:val="auto"/>
        </w:rPr>
      </w:pPr>
      <w:bookmarkStart w:id="37" w:name="_Toc32321"/>
      <w:bookmarkStart w:id="38" w:name="_Toc138151655"/>
      <w:r>
        <w:rPr>
          <w:rFonts w:hint="eastAsia"/>
          <w:color w:val="auto"/>
          <w:lang w:val="en-US" w:eastAsia="zh-CN"/>
        </w:rPr>
        <w:t>7</w:t>
      </w:r>
      <w:r>
        <w:rPr>
          <w:rFonts w:hint="eastAsia"/>
          <w:color w:val="auto"/>
        </w:rPr>
        <w:t>.3 系统运行环境</w:t>
      </w:r>
      <w:bookmarkEnd w:id="37"/>
      <w:bookmarkEnd w:id="38"/>
    </w:p>
    <w:p w14:paraId="43C68818">
      <w:pPr>
        <w:pStyle w:val="4"/>
        <w:ind w:firstLine="482" w:firstLineChars="200"/>
        <w:rPr>
          <w:color w:val="auto"/>
        </w:rPr>
      </w:pPr>
      <w:bookmarkStart w:id="39" w:name="_Toc138151656"/>
      <w:bookmarkStart w:id="40" w:name="_Toc26889"/>
      <w:r>
        <w:rPr>
          <w:rFonts w:hint="eastAsia"/>
          <w:color w:val="auto"/>
          <w:lang w:val="en-US" w:eastAsia="zh-CN"/>
        </w:rPr>
        <w:t>7</w:t>
      </w:r>
      <w:r>
        <w:rPr>
          <w:rFonts w:hint="eastAsia"/>
          <w:color w:val="auto"/>
        </w:rPr>
        <w:t>.4 系统总体架构</w:t>
      </w:r>
      <w:bookmarkEnd w:id="39"/>
      <w:bookmarkEnd w:id="40"/>
    </w:p>
    <w:p w14:paraId="022BCB04">
      <w:pPr>
        <w:keepNext w:val="0"/>
        <w:keepLines w:val="0"/>
        <w:pageBreakBefore w:val="0"/>
        <w:widowControl w:val="0"/>
        <w:kinsoku/>
        <w:wordWrap/>
        <w:overflowPunct/>
        <w:topLinePunct w:val="0"/>
        <w:bidi w:val="0"/>
        <w:snapToGrid/>
        <w:spacing w:line="530" w:lineRule="exact"/>
        <w:ind w:firstLine="640" w:firstLineChars="200"/>
        <w:jc w:val="both"/>
        <w:textAlignment w:val="auto"/>
        <w:rPr>
          <w:rFonts w:hint="default" w:ascii="仿宋_GB2312" w:hAnsi="仿宋_GB2312" w:eastAsia="仿宋_GB2312" w:cs="仿宋_GB2312"/>
          <w:sz w:val="32"/>
          <w:szCs w:val="32"/>
          <w:lang w:val="en-US" w:eastAsia="zh-CN"/>
        </w:rPr>
      </w:pPr>
    </w:p>
    <w:p w14:paraId="36AEC1B7">
      <w:pPr>
        <w:pStyle w:val="2"/>
        <w:rPr>
          <w:rFonts w:hint="default" w:ascii="仿宋_GB2312" w:hAnsi="仿宋_GB2312" w:eastAsia="仿宋_GB2312" w:cs="仿宋_GB2312"/>
          <w:sz w:val="32"/>
          <w:szCs w:val="32"/>
          <w:lang w:val="en-US" w:eastAsia="zh-CN"/>
        </w:rPr>
      </w:pPr>
    </w:p>
    <w:p w14:paraId="260FDEC9">
      <w:pPr>
        <w:pStyle w:val="2"/>
        <w:rPr>
          <w:rFonts w:hint="default" w:ascii="仿宋_GB2312" w:hAnsi="仿宋_GB2312" w:eastAsia="仿宋_GB2312" w:cs="仿宋_GB2312"/>
          <w:sz w:val="32"/>
          <w:szCs w:val="32"/>
          <w:lang w:val="en-US" w:eastAsia="zh-CN"/>
        </w:rPr>
      </w:pPr>
    </w:p>
    <w:p w14:paraId="316309FC">
      <w:pPr>
        <w:keepNext w:val="0"/>
        <w:keepLines w:val="0"/>
        <w:pageBreakBefore w:val="0"/>
        <w:widowControl w:val="0"/>
        <w:kinsoku/>
        <w:wordWrap/>
        <w:overflowPunct/>
        <w:topLinePunct w:val="0"/>
        <w:bidi w:val="0"/>
        <w:snapToGrid/>
        <w:spacing w:line="530" w:lineRule="exact"/>
        <w:jc w:val="both"/>
        <w:textAlignment w:val="auto"/>
        <w:rPr>
          <w:rFonts w:hint="eastAsia" w:ascii="仿宋_GB2312" w:hAnsi="仿宋_GB2312" w:eastAsia="仿宋_GB2312" w:cs="仿宋_GB2312"/>
          <w:sz w:val="32"/>
          <w:szCs w:val="32"/>
          <w:lang w:val="en-US" w:eastAsia="zh-CN"/>
        </w:rPr>
      </w:pPr>
    </w:p>
    <w:p w14:paraId="16C9A69F">
      <w:pPr>
        <w:keepNext w:val="0"/>
        <w:keepLines w:val="0"/>
        <w:pageBreakBefore w:val="0"/>
        <w:widowControl w:val="0"/>
        <w:kinsoku/>
        <w:wordWrap/>
        <w:overflowPunct/>
        <w:topLinePunct w:val="0"/>
        <w:bidi w:val="0"/>
        <w:snapToGrid/>
        <w:spacing w:line="530" w:lineRule="exact"/>
        <w:ind w:firstLine="640" w:firstLineChars="200"/>
        <w:jc w:val="both"/>
        <w:textAlignment w:val="auto"/>
        <w:rPr>
          <w:rFonts w:hint="eastAsia" w:ascii="仿宋_GB2312" w:hAnsi="仿宋_GB2312" w:eastAsia="仿宋_GB2312" w:cs="仿宋_GB2312"/>
          <w:sz w:val="32"/>
          <w:szCs w:val="32"/>
          <w:lang w:val="en-US" w:eastAsia="zh-CN"/>
        </w:rPr>
      </w:pPr>
    </w:p>
    <w:p w14:paraId="323FB276">
      <w:pPr>
        <w:keepNext w:val="0"/>
        <w:keepLines w:val="0"/>
        <w:pageBreakBefore w:val="0"/>
        <w:widowControl w:val="0"/>
        <w:kinsoku/>
        <w:wordWrap/>
        <w:overflowPunct/>
        <w:topLinePunct w:val="0"/>
        <w:bidi w:val="0"/>
        <w:snapToGrid/>
        <w:spacing w:line="530" w:lineRule="exact"/>
        <w:ind w:firstLine="640" w:firstLineChars="200"/>
        <w:jc w:val="both"/>
        <w:textAlignment w:val="auto"/>
        <w:rPr>
          <w:rFonts w:hint="eastAsia" w:ascii="仿宋_GB2312" w:hAnsi="仿宋_GB2312" w:eastAsia="仿宋_GB2312" w:cs="仿宋_GB2312"/>
          <w:sz w:val="32"/>
          <w:szCs w:val="32"/>
          <w:lang w:val="en-US" w:eastAsia="zh-CN"/>
        </w:rPr>
      </w:pPr>
    </w:p>
    <w:p w14:paraId="6F04B46B">
      <w:pPr>
        <w:keepNext w:val="0"/>
        <w:keepLines w:val="0"/>
        <w:pageBreakBefore w:val="0"/>
        <w:widowControl w:val="0"/>
        <w:kinsoku/>
        <w:wordWrap/>
        <w:overflowPunct/>
        <w:topLinePunct w:val="0"/>
        <w:bidi w:val="0"/>
        <w:snapToGrid/>
        <w:spacing w:line="530" w:lineRule="exact"/>
        <w:ind w:firstLine="640" w:firstLineChars="200"/>
        <w:jc w:val="both"/>
        <w:textAlignment w:val="auto"/>
        <w:rPr>
          <w:rFonts w:hint="eastAsia" w:ascii="仿宋_GB2312" w:hAnsi="仿宋_GB2312" w:eastAsia="仿宋_GB2312" w:cs="仿宋_GB2312"/>
          <w:sz w:val="32"/>
          <w:szCs w:val="32"/>
          <w:lang w:val="en-US" w:eastAsia="zh-CN"/>
        </w:rPr>
      </w:pPr>
    </w:p>
    <w:p w14:paraId="090ACE43">
      <w:pPr>
        <w:keepNext w:val="0"/>
        <w:keepLines w:val="0"/>
        <w:pageBreakBefore w:val="0"/>
        <w:widowControl w:val="0"/>
        <w:kinsoku/>
        <w:wordWrap/>
        <w:overflowPunct/>
        <w:topLinePunct w:val="0"/>
        <w:bidi w:val="0"/>
        <w:snapToGrid/>
        <w:spacing w:line="530" w:lineRule="exact"/>
        <w:ind w:firstLine="640" w:firstLineChars="200"/>
        <w:jc w:val="both"/>
        <w:textAlignment w:val="auto"/>
        <w:rPr>
          <w:rFonts w:hint="eastAsia" w:ascii="仿宋_GB2312" w:hAnsi="仿宋_GB2312" w:eastAsia="仿宋_GB2312" w:cs="仿宋_GB2312"/>
          <w:sz w:val="32"/>
          <w:szCs w:val="32"/>
          <w:lang w:val="en-US" w:eastAsia="zh-CN"/>
        </w:rPr>
      </w:pPr>
    </w:p>
    <w:p w14:paraId="6A6636C0"/>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ZhunYuan-M02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A40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5151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45151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0FA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D2BC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D2BC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81D9"/>
    <w:multiLevelType w:val="singleLevel"/>
    <w:tmpl w:val="A64381D9"/>
    <w:lvl w:ilvl="0" w:tentative="0">
      <w:start w:val="1"/>
      <w:numFmt w:val="decimal"/>
      <w:suff w:val="nothing"/>
      <w:lvlText w:val="（%1）"/>
      <w:lvlJc w:val="left"/>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abstractNum w:abstractNumId="2">
    <w:nsid w:val="41B94DCF"/>
    <w:multiLevelType w:val="singleLevel"/>
    <w:tmpl w:val="41B94DCF"/>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7185B"/>
    <w:rsid w:val="09B76A81"/>
    <w:rsid w:val="17342024"/>
    <w:rsid w:val="1747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FZZhunYuan-M02S" w:hAnsi="Calibri" w:eastAsia="FZZhunYuan-M02S" w:cs="FZZhunYuan-M02S"/>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uiPriority w:val="0"/>
    <w:pPr>
      <w:tabs>
        <w:tab w:val="center" w:pos="4153"/>
        <w:tab w:val="right" w:pos="8306"/>
      </w:tabs>
      <w:snapToGrid w:val="0"/>
      <w:jc w:val="left"/>
    </w:pPr>
    <w:rPr>
      <w:sz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3493</Words>
  <Characters>3705</Characters>
  <Lines>0</Lines>
  <Paragraphs>0</Paragraphs>
  <TotalTime>1</TotalTime>
  <ScaleCrop>false</ScaleCrop>
  <LinksUpToDate>false</LinksUpToDate>
  <CharactersWithSpaces>3740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2026-05-25T06:38:00Z</dcterms:created>
  <dc:creator>罗月</dc:creator>
  <cp:lastModifiedBy>罗月</cp:lastModifiedBy>
  <cp:lastPrinted>2026-05-25T09:36:05Z</cp:lastPrinted>
  <dcterms:modified xsi:type="dcterms:W3CDTF">2026-05-25T09:36:08Z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A2A546D49D2648FE969DC6EAB6365E27_11</vt:lpwstr>
  </property>
  <property fmtid="{D5CDD505-2E9C-101B-9397-08002B2CF9AE}" pid="4" name="KSOTemplateDocerSaveRecord">
    <vt:lpwstr>eyJoZGlkIjoiYTEyYTgxOGQ1ZjEyYzQwY2MzYmQ2Y2NkN2Q4NjcyOWIiLCJ1c2VySWQiOiIxNTY4MzY1NzgxIn0=</vt:lpwstr>
  </property>
</Properties>
</file>