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微软雅黑" w:hAnsi="微软雅黑" w:eastAsia="微软雅黑" w:cs="微软雅黑"/>
          <w:b/>
          <w:i w:val="0"/>
          <w:caps w:val="0"/>
          <w:color w:val="000000"/>
          <w:spacing w:val="0"/>
          <w:sz w:val="30"/>
          <w:szCs w:val="30"/>
          <w:shd w:val="clear" w:fill="FFFFFF"/>
          <w:lang w:eastAsia="zh-CN"/>
        </w:rPr>
      </w:pPr>
      <w:r>
        <w:rPr>
          <w:rFonts w:hint="eastAsia" w:ascii="微软雅黑" w:hAnsi="微软雅黑" w:eastAsia="微软雅黑" w:cs="微软雅黑"/>
          <w:b/>
          <w:i w:val="0"/>
          <w:caps w:val="0"/>
          <w:color w:val="000000"/>
          <w:spacing w:val="0"/>
          <w:sz w:val="32"/>
          <w:szCs w:val="32"/>
          <w:shd w:val="clear" w:fill="FFFFFF"/>
        </w:rPr>
        <w:t>资阳市第一人民医院采购安检门</w:t>
      </w:r>
      <w:r>
        <w:rPr>
          <w:rFonts w:hint="eastAsia" w:ascii="微软雅黑" w:hAnsi="微软雅黑" w:eastAsia="微软雅黑" w:cs="微软雅黑"/>
          <w:b/>
          <w:i w:val="0"/>
          <w:caps w:val="0"/>
          <w:color w:val="000000"/>
          <w:spacing w:val="0"/>
          <w:sz w:val="32"/>
          <w:szCs w:val="32"/>
          <w:shd w:val="clear" w:fill="FFFFFF"/>
          <w:lang w:eastAsia="zh-CN"/>
        </w:rPr>
        <w:t>等设备招标公告（第二次）</w:t>
      </w:r>
    </w:p>
    <w:p>
      <w:pPr>
        <w:rPr>
          <w:rFonts w:hint="eastAsia" w:ascii="微软雅黑" w:hAnsi="微软雅黑" w:eastAsia="微软雅黑" w:cs="微软雅黑"/>
          <w:b/>
          <w:i w:val="0"/>
          <w:caps w:val="0"/>
          <w:color w:val="000000"/>
          <w:spacing w:val="0"/>
          <w:sz w:val="30"/>
          <w:szCs w:val="30"/>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资阳市第一人民医院拟采用竞争性谈判的方式招标采购安检门等设备，特邀请符合本次采购要求的供应商投标。</w:t>
      </w:r>
      <w:r>
        <w:rPr>
          <w:rFonts w:hint="eastAsia" w:ascii="宋体" w:hAnsi="宋体" w:cs="宋体"/>
          <w:color w:val="000000"/>
          <w:kern w:val="0"/>
          <w:sz w:val="24"/>
          <w:lang w:val="en-US" w:eastAsia="zh-CN"/>
        </w:rPr>
        <w:br w:type="textWrapping"/>
      </w:r>
      <w:r>
        <w:rPr>
          <w:rFonts w:hint="eastAsia" w:ascii="宋体" w:hAnsi="宋体" w:cs="宋体"/>
          <w:b/>
          <w:bCs/>
          <w:color w:val="000000"/>
          <w:kern w:val="0"/>
          <w:sz w:val="24"/>
          <w:lang w:val="en-US" w:eastAsia="zh-CN"/>
        </w:rPr>
        <w:t>一、采购项目要求</w:t>
      </w:r>
      <w:r>
        <w:rPr>
          <w:rFonts w:hint="eastAsia" w:ascii="宋体" w:hAnsi="宋体" w:cs="宋体"/>
          <w:color w:val="000000"/>
          <w:kern w:val="0"/>
          <w:sz w:val="24"/>
          <w:lang w:val="en-US" w:eastAsia="zh-CN"/>
        </w:rPr>
        <w:t> </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招标品种：安全门（金属探测门）3道，手持金属探测器4个。</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投标金额上限：1.8万元，超过为废标。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2、交货要求：合同签订后10天内安装于我院指定位置。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3、付款，签订合同后供应商完成供货及安装、提供合法全额发票，医院验收合格后2个月内通过公对公账户支付合同总额。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4、要求：符合国家相关要求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●防水型，户外安装，安装场所无雨棚。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●外接电源：标准AC220V，50Hz，宽。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●工作环境：－25℃—＋50℃无凝结。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 xml:space="preserve">●显示面板: 采用超高亮LED显示。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 xml:space="preserve">●报警区域指示: 与人体等高的区位指示灯可直接显示报警区域，指示被检查物品位置，并具备声光同步报警。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●宽环境适应技术：可实现任意一台安检门的灵敏度在面板设置，预先设定金属物品重量、 体积、大小、部位、去除硬币、钥匙、首饰、皮带扣等误报警。杜绝左右门板探测不均匀造成进入和走出安检门探测不一致问题。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 xml:space="preserve">●抗干扰力强: 数字、模拟混合电路设计，防漏报，抗外界干扰能力强，误报率控制在1%以内。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 xml:space="preserve">●密码保护: 密码保护，只允许授权人员操作。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 xml:space="preserve">●计数统计功能: 能够统计人员通过量和报警次数。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 xml:space="preserve">●对人体无害: 对人体内的心脏起博器、孕妇、磁性软盘、磁带、录像带 等无害。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drawing>
          <wp:anchor distT="0" distB="0" distL="114300" distR="114300" simplePos="0" relativeHeight="251659264" behindDoc="0" locked="0" layoutInCell="1" allowOverlap="1">
            <wp:simplePos x="0" y="0"/>
            <wp:positionH relativeFrom="column">
              <wp:posOffset>2191385</wp:posOffset>
            </wp:positionH>
            <wp:positionV relativeFrom="paragraph">
              <wp:posOffset>127000</wp:posOffset>
            </wp:positionV>
            <wp:extent cx="1054735" cy="2418715"/>
            <wp:effectExtent l="0" t="0" r="12065" b="635"/>
            <wp:wrapSquare wrapText="bothSides"/>
            <wp:docPr id="3" name="图片 3" descr="防水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防水门"/>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054735" cy="2418715"/>
                    </a:xfrm>
                    <a:prstGeom prst="rect">
                      <a:avLst/>
                    </a:prstGeom>
                    <a:noFill/>
                  </pic:spPr>
                </pic:pic>
              </a:graphicData>
            </a:graphic>
          </wp:anchor>
        </w:drawing>
      </w:r>
    </w:p>
    <w:p>
      <w:pPr>
        <w:pStyle w:val="3"/>
        <w:rPr>
          <w:rFonts w:hint="eastAsia" w:ascii="宋体" w:hAnsi="宋体" w:cs="宋体"/>
          <w:color w:val="000000"/>
          <w:kern w:val="0"/>
          <w:sz w:val="24"/>
          <w:lang w:val="en-US" w:eastAsia="zh-CN"/>
        </w:rPr>
      </w:pPr>
    </w:p>
    <w:p>
      <w:pPr>
        <w:pStyle w:val="3"/>
        <w:rPr>
          <w:rFonts w:hint="eastAsia" w:ascii="宋体" w:hAnsi="宋体" w:cs="宋体"/>
          <w:color w:val="000000"/>
          <w:kern w:val="0"/>
          <w:sz w:val="24"/>
          <w:lang w:val="en-US" w:eastAsia="zh-CN"/>
        </w:rPr>
      </w:pPr>
    </w:p>
    <w:p>
      <w:pPr>
        <w:pStyle w:val="3"/>
        <w:rPr>
          <w:rFonts w:hint="eastAsia" w:ascii="宋体" w:hAnsi="宋体" w:cs="宋体"/>
          <w:color w:val="000000"/>
          <w:kern w:val="0"/>
          <w:sz w:val="24"/>
          <w:lang w:val="en-US" w:eastAsia="zh-CN"/>
        </w:rPr>
      </w:pPr>
      <w:r>
        <w:rPr>
          <w:rFonts w:hint="eastAsia" w:hAnsi="宋体" w:cs="宋体"/>
          <w:color w:val="000000"/>
          <w:kern w:val="0"/>
          <w:sz w:val="24"/>
          <w:lang w:val="en-US" w:eastAsia="zh-CN"/>
        </w:rPr>
        <w:t>示意图：（仅供参考）</w:t>
      </w:r>
    </w:p>
    <w:p>
      <w:pPr>
        <w:pStyle w:val="3"/>
        <w:rPr>
          <w:rFonts w:hint="eastAsia" w:ascii="宋体" w:hAnsi="宋体" w:cs="宋体"/>
          <w:color w:val="000000"/>
          <w:kern w:val="0"/>
          <w:sz w:val="24"/>
          <w:lang w:val="en-US" w:eastAsia="zh-CN"/>
        </w:rPr>
      </w:pPr>
    </w:p>
    <w:p>
      <w:pPr>
        <w:pStyle w:val="3"/>
        <w:rPr>
          <w:rFonts w:hint="eastAsia" w:ascii="宋体" w:hAnsi="宋体" w:cs="宋体"/>
          <w:color w:val="000000"/>
          <w:kern w:val="0"/>
          <w:sz w:val="24"/>
          <w:lang w:val="en-US" w:eastAsia="zh-CN"/>
        </w:rPr>
      </w:pPr>
    </w:p>
    <w:p>
      <w:pPr>
        <w:pStyle w:val="3"/>
        <w:rPr>
          <w:rFonts w:hint="eastAsia" w:ascii="宋体" w:hAnsi="宋体" w:cs="宋体"/>
          <w:color w:val="000000"/>
          <w:kern w:val="0"/>
          <w:sz w:val="24"/>
          <w:lang w:val="en-US" w:eastAsia="zh-CN"/>
        </w:rPr>
      </w:pPr>
    </w:p>
    <w:p>
      <w:pPr>
        <w:pStyle w:val="3"/>
        <w:rPr>
          <w:rFonts w:hint="eastAsia" w:ascii="宋体" w:hAnsi="宋体" w:cs="宋体"/>
          <w:color w:val="000000"/>
          <w:kern w:val="0"/>
          <w:sz w:val="24"/>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ab/>
      </w:r>
      <w:bookmarkStart w:id="4" w:name="_GoBack"/>
      <w:bookmarkEnd w:id="4"/>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both"/>
        <w:rPr>
          <w:rFonts w:hint="eastAsia" w:ascii="宋体" w:hAnsi="宋体" w:cs="宋体"/>
          <w:color w:val="000000"/>
          <w:kern w:val="0"/>
          <w:sz w:val="24"/>
          <w:lang w:val="en-US" w:eastAsia="zh-CN"/>
        </w:rPr>
      </w:pPr>
      <w:r>
        <w:rPr>
          <w:rFonts w:hint="eastAsia" w:ascii="宋体" w:hAnsi="宋体" w:cs="宋体"/>
          <w:b/>
          <w:bCs/>
          <w:color w:val="000000"/>
          <w:kern w:val="0"/>
          <w:sz w:val="24"/>
          <w:lang w:val="en-US" w:eastAsia="zh-CN"/>
        </w:rPr>
        <w:t>二、供应商参加本次采购活动应具备下列条件：</w:t>
      </w:r>
      <w:r>
        <w:rPr>
          <w:rFonts w:hint="eastAsia" w:ascii="宋体" w:hAnsi="宋体" w:cs="宋体"/>
          <w:b/>
          <w:bCs/>
          <w:color w:val="000000"/>
          <w:kern w:val="0"/>
          <w:sz w:val="24"/>
          <w:lang w:val="en-US" w:eastAsia="zh-CN"/>
        </w:rPr>
        <w:br w:type="textWrapping"/>
      </w:r>
      <w:r>
        <w:rPr>
          <w:rFonts w:hint="eastAsia" w:ascii="宋体" w:hAnsi="宋体" w:cs="宋体"/>
          <w:color w:val="000000"/>
          <w:kern w:val="0"/>
          <w:sz w:val="24"/>
          <w:lang w:val="en-US" w:eastAsia="zh-CN"/>
        </w:rPr>
        <w:t xml:space="preserve">    具有独立承担民事责任的能力的合法公司，营业执照含安全门生产或经销范围。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1" w:right="0" w:hanging="241" w:hangingChars="100"/>
        <w:jc w:val="both"/>
        <w:rPr>
          <w:rFonts w:hint="eastAsia" w:ascii="宋体" w:hAnsi="宋体" w:cs="宋体"/>
          <w:color w:val="000000"/>
          <w:kern w:val="0"/>
          <w:sz w:val="24"/>
          <w:lang w:val="en-US" w:eastAsia="zh-CN"/>
        </w:rPr>
      </w:pPr>
      <w:r>
        <w:rPr>
          <w:rFonts w:hint="eastAsia" w:ascii="宋体" w:hAnsi="宋体" w:cs="宋体"/>
          <w:b/>
          <w:bCs/>
          <w:color w:val="000000"/>
          <w:kern w:val="0"/>
          <w:sz w:val="24"/>
          <w:lang w:val="en-US" w:eastAsia="zh-CN"/>
        </w:rPr>
        <w:t>三、投标须知：</w:t>
      </w:r>
      <w:r>
        <w:rPr>
          <w:rFonts w:hint="eastAsia" w:ascii="宋体" w:hAnsi="宋体" w:cs="宋体"/>
          <w:b/>
          <w:bCs/>
          <w:color w:val="000000"/>
          <w:kern w:val="0"/>
          <w:sz w:val="24"/>
          <w:lang w:val="en-US" w:eastAsia="zh-CN"/>
        </w:rPr>
        <w:br w:type="textWrapping"/>
      </w:r>
      <w:r>
        <w:rPr>
          <w:rFonts w:hint="eastAsia" w:ascii="宋体" w:hAnsi="宋体" w:cs="宋体"/>
          <w:b/>
          <w:bCs/>
          <w:color w:val="000000"/>
          <w:kern w:val="0"/>
          <w:sz w:val="24"/>
          <w:lang w:val="en-US" w:eastAsia="zh-CN"/>
        </w:rPr>
        <w:t>1、</w:t>
      </w:r>
      <w:r>
        <w:rPr>
          <w:rFonts w:hint="eastAsia" w:ascii="宋体" w:hAnsi="宋体" w:cs="宋体"/>
          <w:color w:val="000000"/>
          <w:kern w:val="0"/>
          <w:sz w:val="24"/>
          <w:lang w:val="en-US" w:eastAsia="zh-CN"/>
        </w:rPr>
        <w:t>询价邀请有效期：</w:t>
      </w:r>
      <w:r>
        <w:rPr>
          <w:rFonts w:hint="eastAsia"/>
          <w:sz w:val="20"/>
          <w:szCs w:val="20"/>
          <w:lang w:val="en-US" w:eastAsia="zh-CN"/>
        </w:rPr>
        <w:t>6368元</w:t>
      </w:r>
      <w:r>
        <w:rPr>
          <w:rFonts w:hint="eastAsia" w:ascii="宋体" w:hAnsi="宋体" w:cs="宋体"/>
          <w:color w:val="000000"/>
          <w:kern w:val="0"/>
          <w:sz w:val="24"/>
          <w:highlight w:val="none"/>
          <w:lang w:val="en-US"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240" w:firstLineChars="100"/>
        <w:jc w:val="both"/>
        <w:rPr>
          <w:rFonts w:hint="eastAsia" w:ascii="宋体" w:hAnsi="宋体" w:cs="宋体"/>
          <w:color w:val="000000"/>
          <w:kern w:val="0"/>
          <w:sz w:val="24"/>
          <w:highlight w:val="yellow"/>
          <w:lang w:val="en-US" w:eastAsia="zh-CN"/>
        </w:rPr>
      </w:pPr>
      <w:r>
        <w:rPr>
          <w:rFonts w:hint="eastAsia" w:ascii="宋体" w:hAnsi="宋体" w:cs="宋体"/>
          <w:color w:val="000000"/>
          <w:kern w:val="0"/>
          <w:sz w:val="24"/>
          <w:lang w:val="en-US" w:eastAsia="zh-CN"/>
        </w:rPr>
        <w:t>2、招标时间：</w:t>
      </w:r>
      <w:r>
        <w:rPr>
          <w:rFonts w:hint="eastAsia" w:ascii="宋体" w:hAnsi="宋体" w:cs="宋体"/>
          <w:b/>
          <w:bCs/>
          <w:color w:val="000000"/>
          <w:kern w:val="0"/>
          <w:sz w:val="24"/>
          <w:highlight w:val="none"/>
          <w:lang w:val="en-US" w:eastAsia="zh-CN"/>
        </w:rPr>
        <w:t>2021年3 月2日上午8:30。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招标地点：资阳市雁江区仁德西路66号，医院后勤保障部办公室。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240" w:firstLineChars="10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3、招标方式：院内询价。至少三家投标人参加。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240" w:firstLineChars="10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4、投标文件内容及要求：投标文件加盖公司鲜章，密封投递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w:t>
      </w:r>
      <w:r>
        <w:rPr>
          <w:rFonts w:hint="eastAsia" w:ascii="微软雅黑" w:hAnsi="微软雅黑" w:eastAsia="微软雅黑" w:cs="微软雅黑"/>
          <w:i w:val="0"/>
          <w:caps w:val="0"/>
          <w:color w:val="000000"/>
          <w:spacing w:val="0"/>
          <w:kern w:val="0"/>
          <w:sz w:val="24"/>
          <w:szCs w:val="24"/>
          <w:shd w:val="clear" w:fill="FFFFFF"/>
          <w:lang w:val="en-US" w:eastAsia="zh-CN" w:bidi="ar"/>
        </w:rPr>
        <w:t>资阳市第一人民医院安检门等设备报价单</w:t>
      </w:r>
      <w:r>
        <w:rPr>
          <w:rFonts w:hint="eastAsia" w:ascii="宋体" w:hAnsi="宋体" w:cs="宋体"/>
          <w:color w:val="000000"/>
          <w:kern w:val="0"/>
          <w:sz w:val="24"/>
          <w:lang w:val="en-US" w:eastAsia="zh-CN"/>
        </w:rPr>
        <w:t>》。</w:t>
      </w:r>
    </w:p>
    <w:tbl>
      <w:tblPr>
        <w:tblStyle w:val="5"/>
        <w:tblW w:w="9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825"/>
        <w:gridCol w:w="2175"/>
        <w:gridCol w:w="1410"/>
        <w:gridCol w:w="1275"/>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366" w:type="dxa"/>
            <w:gridSpan w:val="6"/>
            <w:vAlign w:val="center"/>
          </w:tcPr>
          <w:p>
            <w:pPr>
              <w:spacing w:line="360" w:lineRule="auto"/>
              <w:jc w:val="center"/>
              <w:rPr>
                <w:rFonts w:hint="eastAsia" w:ascii="宋体" w:hAnsi="宋体" w:cs="宋体"/>
                <w:b/>
                <w:bCs/>
                <w:color w:val="000000"/>
                <w:spacing w:val="-4"/>
                <w:sz w:val="24"/>
              </w:rPr>
            </w:pPr>
            <w:r>
              <w:rPr>
                <w:rFonts w:hint="eastAsia" w:ascii="微软雅黑" w:hAnsi="微软雅黑" w:eastAsia="微软雅黑" w:cs="微软雅黑"/>
                <w:i w:val="0"/>
                <w:caps w:val="0"/>
                <w:color w:val="000000"/>
                <w:spacing w:val="0"/>
                <w:kern w:val="0"/>
                <w:sz w:val="24"/>
                <w:szCs w:val="24"/>
                <w:shd w:val="clear" w:fill="FFFFFF"/>
                <w:lang w:val="en-US" w:eastAsia="zh-CN" w:bidi="ar"/>
              </w:rPr>
              <w:t>资阳市第一人民医院安全门等设备报价单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1" w:type="dxa"/>
            <w:vAlign w:val="center"/>
          </w:tcPr>
          <w:p>
            <w:pPr>
              <w:spacing w:line="360" w:lineRule="auto"/>
              <w:jc w:val="center"/>
              <w:rPr>
                <w:rFonts w:hint="eastAsia" w:ascii="宋体" w:hAnsi="宋体" w:cs="宋体" w:eastAsiaTheme="minorEastAsia"/>
                <w:b/>
                <w:bCs/>
                <w:color w:val="000000"/>
                <w:spacing w:val="-4"/>
                <w:kern w:val="2"/>
                <w:sz w:val="24"/>
                <w:szCs w:val="24"/>
                <w:lang w:val="en-US" w:eastAsia="zh-CN" w:bidi="ar-SA"/>
              </w:rPr>
            </w:pPr>
            <w:bookmarkStart w:id="0" w:name="_Toc37408669"/>
            <w:bookmarkStart w:id="1" w:name="_Toc480449325"/>
            <w:bookmarkStart w:id="2" w:name="_Toc23555_WPSOffice_Level2"/>
            <w:bookmarkStart w:id="3" w:name="_Toc31624_WPSOffice_Level2"/>
            <w:r>
              <w:rPr>
                <w:rFonts w:hint="eastAsia" w:ascii="宋体" w:hAnsi="宋体" w:cs="宋体"/>
                <w:b/>
                <w:bCs/>
                <w:color w:val="000000"/>
                <w:spacing w:val="-4"/>
                <w:sz w:val="24"/>
                <w:lang w:eastAsia="zh-CN"/>
              </w:rPr>
              <w:t>产品</w:t>
            </w:r>
          </w:p>
        </w:tc>
        <w:tc>
          <w:tcPr>
            <w:tcW w:w="825" w:type="dxa"/>
            <w:vAlign w:val="center"/>
          </w:tcPr>
          <w:p>
            <w:pPr>
              <w:spacing w:line="360" w:lineRule="auto"/>
              <w:jc w:val="center"/>
              <w:rPr>
                <w:rFonts w:hint="eastAsia" w:ascii="宋体" w:hAnsi="宋体" w:cs="宋体" w:eastAsiaTheme="minorEastAsia"/>
                <w:b/>
                <w:bCs/>
                <w:color w:val="000000"/>
                <w:spacing w:val="-4"/>
                <w:sz w:val="24"/>
                <w:lang w:eastAsia="zh-CN"/>
              </w:rPr>
            </w:pPr>
            <w:r>
              <w:rPr>
                <w:rFonts w:hint="eastAsia" w:ascii="宋体" w:hAnsi="宋体" w:cs="宋体"/>
                <w:b/>
                <w:bCs/>
                <w:color w:val="000000"/>
                <w:spacing w:val="-4"/>
                <w:sz w:val="24"/>
                <w:lang w:eastAsia="zh-CN"/>
              </w:rPr>
              <w:t>数量</w:t>
            </w:r>
          </w:p>
        </w:tc>
        <w:tc>
          <w:tcPr>
            <w:tcW w:w="2175" w:type="dxa"/>
            <w:vAlign w:val="center"/>
          </w:tcPr>
          <w:p>
            <w:pPr>
              <w:tabs>
                <w:tab w:val="left" w:pos="597"/>
              </w:tabs>
              <w:spacing w:line="360" w:lineRule="auto"/>
              <w:jc w:val="left"/>
              <w:rPr>
                <w:rFonts w:hint="eastAsia" w:ascii="宋体" w:hAnsi="宋体" w:cs="宋体"/>
                <w:b/>
                <w:bCs/>
                <w:color w:val="000000"/>
                <w:spacing w:val="-4"/>
                <w:sz w:val="24"/>
                <w:lang w:eastAsia="zh-CN"/>
              </w:rPr>
            </w:pPr>
            <w:r>
              <w:rPr>
                <w:rFonts w:hint="eastAsia" w:ascii="仿宋_GB2312" w:hAnsi="仿宋_GB2312" w:eastAsia="仿宋_GB2312" w:cs="仿宋_GB2312"/>
                <w:b/>
                <w:bCs/>
                <w:color w:val="000000"/>
                <w:spacing w:val="-4"/>
                <w:sz w:val="24"/>
                <w:lang w:eastAsia="zh-CN"/>
              </w:rPr>
              <w:t>★</w:t>
            </w:r>
            <w:r>
              <w:rPr>
                <w:rFonts w:hint="eastAsia" w:ascii="宋体" w:hAnsi="宋体" w:cs="宋体"/>
                <w:b/>
                <w:bCs/>
                <w:color w:val="000000"/>
                <w:spacing w:val="-4"/>
                <w:sz w:val="24"/>
                <w:lang w:eastAsia="zh-CN"/>
              </w:rPr>
              <w:t>投标品牌及参数</w:t>
            </w:r>
          </w:p>
        </w:tc>
        <w:tc>
          <w:tcPr>
            <w:tcW w:w="1410" w:type="dxa"/>
            <w:vAlign w:val="center"/>
          </w:tcPr>
          <w:p>
            <w:pPr>
              <w:spacing w:line="360" w:lineRule="auto"/>
              <w:jc w:val="center"/>
              <w:rPr>
                <w:rFonts w:hint="eastAsia" w:ascii="宋体" w:hAnsi="宋体" w:cs="宋体" w:eastAsiaTheme="minorEastAsia"/>
                <w:b/>
                <w:bCs/>
                <w:color w:val="000000"/>
                <w:spacing w:val="-4"/>
                <w:sz w:val="24"/>
                <w:lang w:eastAsia="zh-CN"/>
              </w:rPr>
            </w:pPr>
            <w:r>
              <w:rPr>
                <w:rFonts w:hint="eastAsia" w:ascii="仿宋_GB2312" w:hAnsi="仿宋_GB2312" w:eastAsia="仿宋_GB2312" w:cs="仿宋_GB2312"/>
                <w:b/>
                <w:bCs/>
                <w:color w:val="000000"/>
                <w:spacing w:val="-4"/>
                <w:sz w:val="24"/>
                <w:lang w:eastAsia="zh-CN"/>
              </w:rPr>
              <w:t>★</w:t>
            </w:r>
            <w:r>
              <w:rPr>
                <w:rFonts w:hint="eastAsia" w:ascii="宋体" w:hAnsi="宋体" w:cs="宋体"/>
                <w:b/>
                <w:bCs/>
                <w:color w:val="000000"/>
                <w:spacing w:val="-4"/>
                <w:sz w:val="24"/>
                <w:lang w:eastAsia="zh-CN"/>
              </w:rPr>
              <w:t>投标单价</w:t>
            </w:r>
          </w:p>
        </w:tc>
        <w:tc>
          <w:tcPr>
            <w:tcW w:w="1275" w:type="dxa"/>
            <w:vAlign w:val="center"/>
          </w:tcPr>
          <w:p>
            <w:pPr>
              <w:spacing w:line="360" w:lineRule="auto"/>
              <w:jc w:val="center"/>
              <w:rPr>
                <w:rFonts w:hint="eastAsia" w:ascii="宋体" w:hAnsi="宋体" w:cs="宋体" w:eastAsiaTheme="minorEastAsia"/>
                <w:b/>
                <w:bCs/>
                <w:color w:val="000000"/>
                <w:spacing w:val="-4"/>
                <w:sz w:val="24"/>
                <w:lang w:eastAsia="zh-CN"/>
              </w:rPr>
            </w:pPr>
            <w:r>
              <w:rPr>
                <w:rFonts w:hint="eastAsia" w:ascii="仿宋_GB2312" w:hAnsi="仿宋_GB2312" w:eastAsia="仿宋_GB2312" w:cs="仿宋_GB2312"/>
                <w:b/>
                <w:bCs/>
                <w:color w:val="000000"/>
                <w:spacing w:val="-4"/>
                <w:sz w:val="24"/>
                <w:lang w:eastAsia="zh-CN"/>
              </w:rPr>
              <w:t>★</w:t>
            </w:r>
            <w:r>
              <w:rPr>
                <w:rFonts w:hint="eastAsia" w:ascii="宋体" w:hAnsi="宋体" w:cs="宋体"/>
                <w:b/>
                <w:bCs/>
                <w:color w:val="000000"/>
                <w:spacing w:val="-4"/>
                <w:sz w:val="24"/>
                <w:lang w:eastAsia="zh-CN"/>
              </w:rPr>
              <w:t>金额</w:t>
            </w:r>
          </w:p>
        </w:tc>
        <w:tc>
          <w:tcPr>
            <w:tcW w:w="2190" w:type="dxa"/>
            <w:vAlign w:val="center"/>
          </w:tcPr>
          <w:p>
            <w:pPr>
              <w:spacing w:line="360" w:lineRule="auto"/>
              <w:jc w:val="center"/>
              <w:rPr>
                <w:rFonts w:hint="eastAsia" w:ascii="宋体" w:hAnsi="宋体" w:cs="宋体"/>
                <w:b/>
                <w:bCs/>
                <w:color w:val="000000"/>
                <w:spacing w:val="-4"/>
                <w:sz w:val="24"/>
              </w:rPr>
            </w:pPr>
            <w:r>
              <w:rPr>
                <w:rFonts w:hint="eastAsia" w:ascii="宋体" w:hAnsi="宋体" w:cs="宋体"/>
                <w:b/>
                <w:bCs/>
                <w:color w:val="000000"/>
                <w:spacing w:val="-4"/>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491" w:type="dxa"/>
            <w:vAlign w:val="center"/>
          </w:tcPr>
          <w:p>
            <w:pPr>
              <w:widowControl/>
              <w:spacing w:line="360" w:lineRule="auto"/>
              <w:jc w:val="center"/>
              <w:textAlignment w:val="center"/>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kern w:val="0"/>
                <w:sz w:val="24"/>
                <w:lang w:val="en-US" w:eastAsia="zh-CN"/>
              </w:rPr>
              <w:t>安全门（金属探测门）</w:t>
            </w:r>
          </w:p>
        </w:tc>
        <w:tc>
          <w:tcPr>
            <w:tcW w:w="825" w:type="dxa"/>
            <w:vAlign w:val="center"/>
          </w:tcPr>
          <w:p>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val="en-US" w:eastAsia="zh-CN"/>
              </w:rPr>
              <w:t>3个</w:t>
            </w:r>
          </w:p>
        </w:tc>
        <w:tc>
          <w:tcPr>
            <w:tcW w:w="2175" w:type="dxa"/>
            <w:vAlign w:val="center"/>
          </w:tcPr>
          <w:p>
            <w:pPr>
              <w:widowControl/>
              <w:spacing w:line="360" w:lineRule="auto"/>
              <w:jc w:val="center"/>
              <w:textAlignment w:val="center"/>
              <w:rPr>
                <w:rFonts w:hint="eastAsia" w:ascii="宋体" w:hAnsi="宋体" w:cs="宋体"/>
                <w:color w:val="000000"/>
                <w:kern w:val="0"/>
                <w:sz w:val="24"/>
                <w:lang w:val="en-US" w:eastAsia="zh-CN"/>
              </w:rPr>
            </w:pPr>
          </w:p>
        </w:tc>
        <w:tc>
          <w:tcPr>
            <w:tcW w:w="1410" w:type="dxa"/>
            <w:vAlign w:val="center"/>
          </w:tcPr>
          <w:p>
            <w:pPr>
              <w:widowControl/>
              <w:spacing w:line="360" w:lineRule="auto"/>
              <w:jc w:val="center"/>
              <w:textAlignment w:val="center"/>
              <w:rPr>
                <w:rFonts w:hint="eastAsia" w:ascii="宋体" w:hAnsi="宋体" w:eastAsia="宋体" w:cs="宋体"/>
                <w:color w:val="000000"/>
                <w:kern w:val="0"/>
                <w:sz w:val="24"/>
                <w:lang w:val="en-US" w:eastAsia="zh-CN"/>
              </w:rPr>
            </w:pPr>
          </w:p>
        </w:tc>
        <w:tc>
          <w:tcPr>
            <w:tcW w:w="1275" w:type="dxa"/>
            <w:vAlign w:val="center"/>
          </w:tcPr>
          <w:p>
            <w:pPr>
              <w:widowControl/>
              <w:spacing w:line="360" w:lineRule="auto"/>
              <w:jc w:val="center"/>
              <w:textAlignment w:val="center"/>
              <w:rPr>
                <w:rFonts w:hint="eastAsia" w:ascii="宋体" w:hAnsi="宋体" w:eastAsia="宋体" w:cs="宋体"/>
                <w:color w:val="000000"/>
                <w:kern w:val="0"/>
                <w:sz w:val="24"/>
                <w:lang w:val="en-US" w:eastAsia="zh-CN"/>
              </w:rPr>
            </w:pPr>
          </w:p>
        </w:tc>
        <w:tc>
          <w:tcPr>
            <w:tcW w:w="2190"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both"/>
              <w:rPr>
                <w:rFonts w:hint="eastAsia" w:ascii="宋体" w:hAnsi="宋体" w:cs="宋体" w:eastAsiaTheme="minorEastAsia"/>
                <w:color w:val="000000"/>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91" w:type="dxa"/>
            <w:vAlign w:val="center"/>
          </w:tcPr>
          <w:p>
            <w:pPr>
              <w:widowControl/>
              <w:spacing w:line="360" w:lineRule="auto"/>
              <w:jc w:val="center"/>
              <w:textAlignment w:val="center"/>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宋体" w:hAnsi="宋体" w:cs="宋体"/>
                <w:color w:val="000000"/>
                <w:kern w:val="0"/>
                <w:sz w:val="24"/>
                <w:lang w:val="en-US" w:eastAsia="zh-CN"/>
              </w:rPr>
              <w:t>手持金属探测器</w:t>
            </w:r>
          </w:p>
        </w:tc>
        <w:tc>
          <w:tcPr>
            <w:tcW w:w="825" w:type="dxa"/>
            <w:vAlign w:val="center"/>
          </w:tcPr>
          <w:p>
            <w:pPr>
              <w:widowControl/>
              <w:spacing w:line="360" w:lineRule="auto"/>
              <w:jc w:val="center"/>
              <w:textAlignment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4个</w:t>
            </w:r>
          </w:p>
        </w:tc>
        <w:tc>
          <w:tcPr>
            <w:tcW w:w="2175" w:type="dxa"/>
            <w:vAlign w:val="center"/>
          </w:tcPr>
          <w:p>
            <w:pPr>
              <w:widowControl/>
              <w:spacing w:line="360" w:lineRule="auto"/>
              <w:jc w:val="center"/>
              <w:textAlignment w:val="center"/>
              <w:rPr>
                <w:rFonts w:hint="eastAsia" w:ascii="宋体" w:hAnsi="宋体" w:cs="宋体"/>
                <w:color w:val="000000"/>
                <w:kern w:val="0"/>
                <w:sz w:val="24"/>
                <w:lang w:val="en-US" w:eastAsia="zh-CN"/>
              </w:rPr>
            </w:pPr>
          </w:p>
        </w:tc>
        <w:tc>
          <w:tcPr>
            <w:tcW w:w="1410" w:type="dxa"/>
            <w:vAlign w:val="center"/>
          </w:tcPr>
          <w:p>
            <w:pPr>
              <w:widowControl/>
              <w:spacing w:line="360" w:lineRule="auto"/>
              <w:jc w:val="center"/>
              <w:textAlignment w:val="center"/>
              <w:rPr>
                <w:rFonts w:hint="eastAsia" w:ascii="宋体" w:hAnsi="宋体" w:eastAsia="宋体" w:cs="宋体"/>
                <w:color w:val="000000"/>
                <w:kern w:val="0"/>
                <w:sz w:val="24"/>
                <w:lang w:val="en-US" w:eastAsia="zh-CN"/>
              </w:rPr>
            </w:pPr>
          </w:p>
        </w:tc>
        <w:tc>
          <w:tcPr>
            <w:tcW w:w="1275" w:type="dxa"/>
            <w:vAlign w:val="center"/>
          </w:tcPr>
          <w:p>
            <w:pPr>
              <w:widowControl/>
              <w:spacing w:line="360" w:lineRule="auto"/>
              <w:jc w:val="center"/>
              <w:textAlignment w:val="center"/>
              <w:rPr>
                <w:rFonts w:hint="eastAsia" w:ascii="宋体" w:hAnsi="宋体" w:eastAsia="宋体" w:cs="宋体"/>
                <w:color w:val="000000"/>
                <w:kern w:val="0"/>
                <w:sz w:val="24"/>
                <w:lang w:val="en-US" w:eastAsia="zh-CN"/>
              </w:rPr>
            </w:pPr>
          </w:p>
        </w:tc>
        <w:tc>
          <w:tcPr>
            <w:tcW w:w="2190"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both"/>
              <w:rPr>
                <w:rFonts w:hint="eastAsia" w:ascii="宋体" w:hAnsi="宋体" w:cs="宋体"/>
                <w:b/>
                <w:bCs/>
                <w:color w:val="000000"/>
                <w:spacing w:val="-4"/>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491" w:type="dxa"/>
            <w:vAlign w:val="center"/>
          </w:tcPr>
          <w:p>
            <w:pPr>
              <w:widowControl/>
              <w:spacing w:line="360" w:lineRule="auto"/>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合计</w:t>
            </w:r>
          </w:p>
        </w:tc>
        <w:tc>
          <w:tcPr>
            <w:tcW w:w="825" w:type="dxa"/>
            <w:vAlign w:val="center"/>
          </w:tcPr>
          <w:p>
            <w:pPr>
              <w:widowControl/>
              <w:spacing w:line="360" w:lineRule="auto"/>
              <w:jc w:val="center"/>
              <w:textAlignment w:val="center"/>
              <w:rPr>
                <w:rFonts w:hint="eastAsia" w:ascii="宋体" w:hAnsi="宋体" w:cs="宋体"/>
                <w:color w:val="000000"/>
                <w:kern w:val="0"/>
                <w:sz w:val="24"/>
                <w:lang w:val="en-US" w:eastAsia="zh-CN"/>
              </w:rPr>
            </w:pPr>
          </w:p>
        </w:tc>
        <w:tc>
          <w:tcPr>
            <w:tcW w:w="2175" w:type="dxa"/>
            <w:vAlign w:val="center"/>
          </w:tcPr>
          <w:p>
            <w:pPr>
              <w:widowControl/>
              <w:spacing w:line="360" w:lineRule="auto"/>
              <w:jc w:val="center"/>
              <w:textAlignment w:val="center"/>
              <w:rPr>
                <w:rFonts w:hint="eastAsia" w:ascii="宋体" w:hAnsi="宋体" w:cs="宋体"/>
                <w:color w:val="000000"/>
                <w:kern w:val="0"/>
                <w:sz w:val="24"/>
                <w:lang w:val="en-US" w:eastAsia="zh-CN"/>
              </w:rPr>
            </w:pPr>
          </w:p>
        </w:tc>
        <w:tc>
          <w:tcPr>
            <w:tcW w:w="1410" w:type="dxa"/>
            <w:vAlign w:val="center"/>
          </w:tcPr>
          <w:p>
            <w:pPr>
              <w:widowControl/>
              <w:spacing w:line="360" w:lineRule="auto"/>
              <w:jc w:val="center"/>
              <w:textAlignment w:val="center"/>
              <w:rPr>
                <w:rFonts w:hint="eastAsia" w:ascii="宋体" w:hAnsi="宋体" w:eastAsia="宋体" w:cs="宋体"/>
                <w:color w:val="000000"/>
                <w:kern w:val="0"/>
                <w:sz w:val="24"/>
                <w:lang w:val="en-US" w:eastAsia="zh-CN"/>
              </w:rPr>
            </w:pPr>
          </w:p>
        </w:tc>
        <w:tc>
          <w:tcPr>
            <w:tcW w:w="1275" w:type="dxa"/>
            <w:vAlign w:val="center"/>
          </w:tcPr>
          <w:p>
            <w:pPr>
              <w:widowControl/>
              <w:spacing w:line="360" w:lineRule="auto"/>
              <w:jc w:val="center"/>
              <w:textAlignment w:val="center"/>
              <w:rPr>
                <w:rFonts w:hint="eastAsia" w:ascii="宋体" w:hAnsi="宋体" w:eastAsia="宋体" w:cs="宋体"/>
                <w:color w:val="000000"/>
                <w:kern w:val="0"/>
                <w:sz w:val="24"/>
                <w:lang w:val="en-US" w:eastAsia="zh-CN"/>
              </w:rPr>
            </w:pPr>
          </w:p>
        </w:tc>
        <w:tc>
          <w:tcPr>
            <w:tcW w:w="2190"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both"/>
              <w:rPr>
                <w:rFonts w:hint="eastAsia" w:ascii="宋体" w:hAnsi="宋体" w:cs="宋体"/>
                <w:color w:val="000000"/>
                <w:kern w:val="0"/>
                <w:sz w:val="24"/>
                <w:lang w:eastAsia="zh-CN"/>
              </w:rPr>
            </w:pPr>
            <w:r>
              <w:rPr>
                <w:rFonts w:hint="eastAsia" w:ascii="仿宋_GB2312" w:hAnsi="仿宋_GB2312" w:eastAsia="仿宋_GB2312" w:cs="仿宋_GB2312"/>
                <w:b/>
                <w:bCs/>
                <w:color w:val="000000"/>
                <w:spacing w:val="-4"/>
                <w:sz w:val="24"/>
                <w:lang w:eastAsia="zh-CN"/>
              </w:rPr>
              <w:t>★号处为必填项</w:t>
            </w:r>
          </w:p>
        </w:tc>
      </w:tr>
      <w:bookmarkEnd w:id="0"/>
      <w:bookmarkEnd w:id="1"/>
      <w:bookmarkEnd w:id="2"/>
      <w:bookmarkEnd w:id="3"/>
    </w:tbl>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供应商营业执照副本复印件。</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投标产品合格证、参数的相关资料。</w:t>
      </w:r>
    </w:p>
    <w:p>
      <w:pPr>
        <w:pStyle w:val="2"/>
        <w:numPr>
          <w:ilvl w:val="0"/>
          <w:numId w:val="0"/>
        </w:numPr>
        <w:rPr>
          <w:rFonts w:hint="eastAsia" w:ascii="宋体" w:hAnsi="宋体" w:cs="宋体"/>
          <w:b/>
          <w:bCs/>
          <w:color w:val="000000"/>
          <w:kern w:val="0"/>
          <w:sz w:val="24"/>
          <w:lang w:val="en-US" w:eastAsia="zh-CN"/>
        </w:rPr>
      </w:pPr>
      <w:r>
        <w:rPr>
          <w:rFonts w:hint="eastAsia"/>
          <w:lang w:val="en-US" w:eastAsia="zh-CN"/>
        </w:rPr>
        <w:t xml:space="preserve"> </w:t>
      </w:r>
      <w:r>
        <w:rPr>
          <w:rFonts w:hint="eastAsia" w:ascii="宋体" w:hAnsi="宋体" w:cs="宋体"/>
          <w:b/>
          <w:bCs/>
          <w:color w:val="000000"/>
          <w:kern w:val="0"/>
          <w:sz w:val="24"/>
          <w:lang w:val="en-US" w:eastAsia="zh-CN"/>
        </w:rPr>
        <w:t xml:space="preserve"> 四、联系方式：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地址：资阳市雁江区仁德西路66号。资阳市第一人民医院后勤保障部。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联系人：孙老师，电话：028-26214412</w:t>
      </w:r>
    </w:p>
    <w:p>
      <w:pPr>
        <w:pStyle w:val="2"/>
        <w:rPr>
          <w:rFonts w:hint="eastAsia" w:ascii="宋体" w:hAnsi="宋体" w:cs="宋体"/>
          <w:color w:val="000000"/>
          <w:kern w:val="0"/>
          <w:sz w:val="24"/>
          <w:lang w:val="en-US" w:eastAsia="zh-CN"/>
        </w:rPr>
      </w:pPr>
    </w:p>
    <w:p>
      <w:pPr>
        <w:pStyle w:val="3"/>
        <w:rPr>
          <w:rFonts w:hint="eastAsia" w:hAnsi="宋体" w:cs="宋体"/>
          <w:color w:val="000000"/>
          <w:kern w:val="0"/>
          <w:sz w:val="24"/>
          <w:lang w:val="en-US" w:eastAsia="zh-CN"/>
        </w:rPr>
      </w:pPr>
    </w:p>
    <w:p>
      <w:pPr>
        <w:pStyle w:val="3"/>
        <w:jc w:val="both"/>
        <w:rPr>
          <w:rFonts w:hint="default" w:ascii="宋体" w:hAnsi="宋体" w:cs="宋体"/>
          <w:color w:val="000000"/>
          <w:kern w:val="0"/>
          <w:sz w:val="24"/>
          <w:lang w:val="en-US" w:eastAsia="zh-CN"/>
        </w:rPr>
      </w:pPr>
      <w:r>
        <w:rPr>
          <w:rFonts w:hint="eastAsia" w:hAnsi="宋体" w:cs="宋体"/>
          <w:color w:val="000000"/>
          <w:kern w:val="0"/>
          <w:sz w:val="24"/>
          <w:lang w:val="en-US" w:eastAsia="zh-CN"/>
        </w:rPr>
        <w:t xml:space="preserve">                                           2021年2月22日</w:t>
      </w:r>
    </w:p>
    <w:sectPr>
      <w:pgSz w:w="11906" w:h="16838"/>
      <w:pgMar w:top="144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A8C6E5"/>
    <w:multiLevelType w:val="singleLevel"/>
    <w:tmpl w:val="ABA8C6E5"/>
    <w:lvl w:ilvl="0" w:tentative="0">
      <w:start w:val="2"/>
      <w:numFmt w:val="decimal"/>
      <w:suff w:val="nothing"/>
      <w:lvlText w:val="%1）"/>
      <w:lvlJc w:val="left"/>
    </w:lvl>
  </w:abstractNum>
  <w:abstractNum w:abstractNumId="1">
    <w:nsid w:val="B694E3A4"/>
    <w:multiLevelType w:val="singleLevel"/>
    <w:tmpl w:val="B694E3A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267E6"/>
    <w:rsid w:val="00E01465"/>
    <w:rsid w:val="024B0747"/>
    <w:rsid w:val="02C652F9"/>
    <w:rsid w:val="02E5234B"/>
    <w:rsid w:val="02FB611A"/>
    <w:rsid w:val="031E4F2E"/>
    <w:rsid w:val="03DB663F"/>
    <w:rsid w:val="04A90D33"/>
    <w:rsid w:val="05B65563"/>
    <w:rsid w:val="05E96005"/>
    <w:rsid w:val="05F80951"/>
    <w:rsid w:val="064D2237"/>
    <w:rsid w:val="06556728"/>
    <w:rsid w:val="0657375E"/>
    <w:rsid w:val="06F448B4"/>
    <w:rsid w:val="07250002"/>
    <w:rsid w:val="07891BE3"/>
    <w:rsid w:val="0840664B"/>
    <w:rsid w:val="09907E0C"/>
    <w:rsid w:val="0E803A75"/>
    <w:rsid w:val="0EB47724"/>
    <w:rsid w:val="0ED13513"/>
    <w:rsid w:val="0FCA6472"/>
    <w:rsid w:val="11CB0F3E"/>
    <w:rsid w:val="124972B5"/>
    <w:rsid w:val="126D763F"/>
    <w:rsid w:val="12AE3170"/>
    <w:rsid w:val="14646D85"/>
    <w:rsid w:val="150C4BCC"/>
    <w:rsid w:val="15A87AA1"/>
    <w:rsid w:val="15C800C2"/>
    <w:rsid w:val="164819A2"/>
    <w:rsid w:val="16812E4A"/>
    <w:rsid w:val="16A21F3F"/>
    <w:rsid w:val="171D377A"/>
    <w:rsid w:val="17750ABD"/>
    <w:rsid w:val="177E5126"/>
    <w:rsid w:val="18991723"/>
    <w:rsid w:val="189972DB"/>
    <w:rsid w:val="19486931"/>
    <w:rsid w:val="19D02D33"/>
    <w:rsid w:val="1A04112B"/>
    <w:rsid w:val="1B00778E"/>
    <w:rsid w:val="1B5818E4"/>
    <w:rsid w:val="1C627DAD"/>
    <w:rsid w:val="1DEC3577"/>
    <w:rsid w:val="1E5F5DB4"/>
    <w:rsid w:val="1FF967A9"/>
    <w:rsid w:val="20001DC7"/>
    <w:rsid w:val="20BD5CCE"/>
    <w:rsid w:val="21055932"/>
    <w:rsid w:val="21325181"/>
    <w:rsid w:val="22D96DFA"/>
    <w:rsid w:val="22DF6432"/>
    <w:rsid w:val="23585834"/>
    <w:rsid w:val="258A6652"/>
    <w:rsid w:val="259B3080"/>
    <w:rsid w:val="26377348"/>
    <w:rsid w:val="26BE34FC"/>
    <w:rsid w:val="28D01677"/>
    <w:rsid w:val="28D20E33"/>
    <w:rsid w:val="291C12A9"/>
    <w:rsid w:val="299F17BD"/>
    <w:rsid w:val="2B823196"/>
    <w:rsid w:val="2D1B3E46"/>
    <w:rsid w:val="2FC950CC"/>
    <w:rsid w:val="309B129F"/>
    <w:rsid w:val="31940AFE"/>
    <w:rsid w:val="32074236"/>
    <w:rsid w:val="33C41911"/>
    <w:rsid w:val="34D55285"/>
    <w:rsid w:val="358E3059"/>
    <w:rsid w:val="35E91ADC"/>
    <w:rsid w:val="35FE7C3B"/>
    <w:rsid w:val="35FF4931"/>
    <w:rsid w:val="361C5106"/>
    <w:rsid w:val="369802A6"/>
    <w:rsid w:val="373F661C"/>
    <w:rsid w:val="38274889"/>
    <w:rsid w:val="38EE5081"/>
    <w:rsid w:val="3A577189"/>
    <w:rsid w:val="3B9E451E"/>
    <w:rsid w:val="3C0B2167"/>
    <w:rsid w:val="3D054980"/>
    <w:rsid w:val="3E107248"/>
    <w:rsid w:val="3E7506E7"/>
    <w:rsid w:val="3EFE1075"/>
    <w:rsid w:val="3F7B14D8"/>
    <w:rsid w:val="42B366E1"/>
    <w:rsid w:val="43104D00"/>
    <w:rsid w:val="43207396"/>
    <w:rsid w:val="436C54FA"/>
    <w:rsid w:val="43E14DF1"/>
    <w:rsid w:val="454E254F"/>
    <w:rsid w:val="45E578EB"/>
    <w:rsid w:val="46065674"/>
    <w:rsid w:val="468A306B"/>
    <w:rsid w:val="481C6FA2"/>
    <w:rsid w:val="48EA2054"/>
    <w:rsid w:val="49D85DE5"/>
    <w:rsid w:val="4A9B1964"/>
    <w:rsid w:val="4AE34A24"/>
    <w:rsid w:val="4AF54596"/>
    <w:rsid w:val="4D4D3DC4"/>
    <w:rsid w:val="4E51402C"/>
    <w:rsid w:val="4F555ECA"/>
    <w:rsid w:val="50833DEF"/>
    <w:rsid w:val="50B62700"/>
    <w:rsid w:val="515D71C8"/>
    <w:rsid w:val="51AE2323"/>
    <w:rsid w:val="51DD424F"/>
    <w:rsid w:val="53483A9E"/>
    <w:rsid w:val="5377504E"/>
    <w:rsid w:val="540E79D7"/>
    <w:rsid w:val="543B0CBE"/>
    <w:rsid w:val="55F4103E"/>
    <w:rsid w:val="56B51DD2"/>
    <w:rsid w:val="56B82EC6"/>
    <w:rsid w:val="57506EB2"/>
    <w:rsid w:val="575A14F6"/>
    <w:rsid w:val="575F36AC"/>
    <w:rsid w:val="57C42538"/>
    <w:rsid w:val="58A93670"/>
    <w:rsid w:val="58D41C53"/>
    <w:rsid w:val="59F54C14"/>
    <w:rsid w:val="5B810452"/>
    <w:rsid w:val="5BF1360A"/>
    <w:rsid w:val="5C7D2C0D"/>
    <w:rsid w:val="5CDA1B90"/>
    <w:rsid w:val="5D012D92"/>
    <w:rsid w:val="5D797D7C"/>
    <w:rsid w:val="5E973323"/>
    <w:rsid w:val="5F2B5A8C"/>
    <w:rsid w:val="62130B69"/>
    <w:rsid w:val="65672453"/>
    <w:rsid w:val="65837882"/>
    <w:rsid w:val="6696681F"/>
    <w:rsid w:val="66AE6431"/>
    <w:rsid w:val="66CC4B32"/>
    <w:rsid w:val="673A1F4E"/>
    <w:rsid w:val="67A066D2"/>
    <w:rsid w:val="683F0B96"/>
    <w:rsid w:val="686E45BB"/>
    <w:rsid w:val="6A0012AD"/>
    <w:rsid w:val="6AB53D33"/>
    <w:rsid w:val="6AB81F4C"/>
    <w:rsid w:val="6C5E28AD"/>
    <w:rsid w:val="6C5F1ADD"/>
    <w:rsid w:val="6DC26839"/>
    <w:rsid w:val="6E15728D"/>
    <w:rsid w:val="70BE0250"/>
    <w:rsid w:val="722417DA"/>
    <w:rsid w:val="731627FC"/>
    <w:rsid w:val="73777C9A"/>
    <w:rsid w:val="745358FD"/>
    <w:rsid w:val="74E070AF"/>
    <w:rsid w:val="74EB2A3C"/>
    <w:rsid w:val="788E5ADF"/>
    <w:rsid w:val="797A3F16"/>
    <w:rsid w:val="7A090AF9"/>
    <w:rsid w:val="7A2839B3"/>
    <w:rsid w:val="7A504A67"/>
    <w:rsid w:val="7ADD119B"/>
    <w:rsid w:val="7CB665A6"/>
    <w:rsid w:val="7CCA39F1"/>
    <w:rsid w:val="7D4B5C1D"/>
    <w:rsid w:val="7DD954F3"/>
    <w:rsid w:val="7F636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宋体"/>
      <w:kern w:val="0"/>
      <w:sz w:val="34"/>
      <w:szCs w:val="20"/>
    </w:rPr>
  </w:style>
  <w:style w:type="paragraph" w:styleId="3">
    <w:name w:val="Body Text First Indent"/>
    <w:basedOn w:val="2"/>
    <w:qFormat/>
    <w:uiPriority w:val="0"/>
    <w:pPr>
      <w:ind w:firstLine="420" w:firstLineChars="100"/>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Sun</cp:lastModifiedBy>
  <dcterms:modified xsi:type="dcterms:W3CDTF">2021-02-22T03:31:25Z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