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D25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小标宋简体" w:hAnsi="方正小标宋简体" w:eastAsia="方正小标宋简体" w:cs="方正小标宋简体"/>
          <w:b w:val="0"/>
          <w:bCs w:val="0"/>
          <w:i w:val="0"/>
          <w:iCs w:val="0"/>
          <w:color w:val="auto"/>
          <w:kern w:val="0"/>
          <w:sz w:val="36"/>
          <w:szCs w:val="36"/>
          <w:u w:val="none"/>
          <w:lang w:val="en-US" w:eastAsia="zh-CN" w:bidi="ar"/>
        </w:rPr>
      </w:pPr>
      <w:bookmarkStart w:id="0" w:name="OLE_LINK2"/>
      <w:r>
        <w:rPr>
          <w:rFonts w:hint="eastAsia" w:ascii="方正小标宋简体" w:hAnsi="方正小标宋简体" w:eastAsia="方正小标宋简体" w:cs="方正小标宋简体"/>
          <w:b w:val="0"/>
          <w:bCs w:val="0"/>
          <w:i w:val="0"/>
          <w:iCs w:val="0"/>
          <w:color w:val="auto"/>
          <w:kern w:val="0"/>
          <w:sz w:val="36"/>
          <w:szCs w:val="36"/>
          <w:u w:val="none"/>
          <w:lang w:val="en-US" w:eastAsia="zh-CN" w:bidi="ar"/>
        </w:rPr>
        <w:t>资阳市中心医院</w:t>
      </w:r>
      <w:r>
        <w:rPr>
          <w:rFonts w:hint="eastAsia" w:ascii="方正小标宋简体" w:hAnsi="方正小标宋简体" w:eastAsia="方正小标宋简体" w:cs="方正小标宋简体"/>
          <w:b w:val="0"/>
          <w:bCs w:val="0"/>
          <w:i w:val="0"/>
          <w:iCs w:val="0"/>
          <w:color w:val="auto"/>
          <w:kern w:val="0"/>
          <w:sz w:val="36"/>
          <w:szCs w:val="36"/>
          <w:u w:val="none"/>
          <w:lang w:val="en-US" w:eastAsia="zh-CN" w:bidi="ar"/>
        </w:rPr>
        <w:br w:type="textWrapping"/>
      </w:r>
      <w:r>
        <w:rPr>
          <w:rFonts w:hint="eastAsia" w:ascii="方正小标宋简体" w:hAnsi="方正小标宋简体" w:eastAsia="方正小标宋简体" w:cs="方正小标宋简体"/>
          <w:b w:val="0"/>
          <w:bCs w:val="0"/>
          <w:i w:val="0"/>
          <w:iCs w:val="0"/>
          <w:color w:val="auto"/>
          <w:kern w:val="0"/>
          <w:sz w:val="36"/>
          <w:szCs w:val="36"/>
          <w:u w:val="none"/>
          <w:lang w:val="en-US" w:eastAsia="zh-CN" w:bidi="ar"/>
        </w:rPr>
        <w:t>部分系统承接服务项目调研公告（第二次）</w:t>
      </w:r>
    </w:p>
    <w:p w14:paraId="1E929F61">
      <w:pPr>
        <w:pStyle w:val="5"/>
        <w:keepNext w:val="0"/>
        <w:keepLines w:val="0"/>
        <w:pageBreakBefore w:val="0"/>
        <w:kinsoku/>
        <w:wordWrap/>
        <w:overflowPunct/>
        <w:topLinePunct w:val="0"/>
        <w:autoSpaceDE/>
        <w:autoSpaceDN/>
        <w:bidi w:val="0"/>
        <w:adjustRightInd/>
        <w:snapToGrid/>
        <w:spacing w:line="400" w:lineRule="exact"/>
        <w:ind w:firstLine="560" w:firstLineChars="200"/>
        <w:rPr>
          <w:rFonts w:hint="eastAsia" w:ascii="仿宋" w:hAnsi="仿宋" w:eastAsia="仿宋" w:cs="仿宋"/>
          <w:i w:val="0"/>
          <w:iCs w:val="0"/>
          <w:color w:val="auto"/>
          <w:sz w:val="28"/>
          <w:szCs w:val="28"/>
          <w:u w:val="none"/>
          <w:lang w:val="en-US" w:eastAsia="zh-CN"/>
        </w:rPr>
      </w:pPr>
    </w:p>
    <w:p w14:paraId="09E78C9C">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因医院业务</w:t>
      </w:r>
      <w:r>
        <w:rPr>
          <w:rFonts w:hint="eastAsia" w:ascii="仿宋" w:hAnsi="仿宋" w:cs="仿宋"/>
          <w:i w:val="0"/>
          <w:iCs w:val="0"/>
          <w:color w:val="auto"/>
          <w:sz w:val="28"/>
          <w:szCs w:val="28"/>
          <w:u w:val="none"/>
          <w:lang w:val="en-US" w:eastAsia="zh-CN"/>
        </w:rPr>
        <w:t>发展</w:t>
      </w:r>
      <w:r>
        <w:rPr>
          <w:rFonts w:hint="eastAsia" w:ascii="仿宋" w:hAnsi="仿宋" w:eastAsia="仿宋" w:cs="仿宋"/>
          <w:i w:val="0"/>
          <w:iCs w:val="0"/>
          <w:color w:val="auto"/>
          <w:sz w:val="28"/>
          <w:szCs w:val="28"/>
          <w:u w:val="none"/>
          <w:lang w:val="en-US" w:eastAsia="zh-CN"/>
        </w:rPr>
        <w:t>需要，</w:t>
      </w:r>
      <w:r>
        <w:rPr>
          <w:rFonts w:hint="eastAsia" w:ascii="仿宋" w:hAnsi="仿宋" w:cs="仿宋"/>
          <w:i w:val="0"/>
          <w:iCs w:val="0"/>
          <w:color w:val="auto"/>
          <w:sz w:val="28"/>
          <w:szCs w:val="28"/>
          <w:u w:val="none"/>
          <w:lang w:val="en-US" w:eastAsia="zh-CN"/>
        </w:rPr>
        <w:t>对部分系统承接</w:t>
      </w:r>
      <w:r>
        <w:rPr>
          <w:rFonts w:hint="eastAsia" w:ascii="仿宋" w:hAnsi="仿宋" w:eastAsia="仿宋" w:cs="仿宋"/>
          <w:i w:val="0"/>
          <w:iCs w:val="0"/>
          <w:color w:val="auto"/>
          <w:sz w:val="28"/>
          <w:szCs w:val="28"/>
          <w:u w:val="none"/>
          <w:lang w:val="en-US" w:eastAsia="zh-CN"/>
        </w:rPr>
        <w:t>服务</w:t>
      </w:r>
      <w:r>
        <w:rPr>
          <w:rFonts w:hint="eastAsia" w:ascii="仿宋" w:hAnsi="仿宋" w:cs="仿宋"/>
          <w:i w:val="0"/>
          <w:iCs w:val="0"/>
          <w:color w:val="auto"/>
          <w:sz w:val="28"/>
          <w:szCs w:val="28"/>
          <w:u w:val="none"/>
          <w:lang w:val="en-US" w:eastAsia="zh-CN"/>
        </w:rPr>
        <w:t>项目</w:t>
      </w:r>
      <w:r>
        <w:rPr>
          <w:rFonts w:hint="eastAsia" w:ascii="仿宋" w:hAnsi="仿宋" w:eastAsia="仿宋" w:cs="仿宋"/>
          <w:i w:val="0"/>
          <w:iCs w:val="0"/>
          <w:color w:val="auto"/>
          <w:sz w:val="28"/>
          <w:szCs w:val="28"/>
          <w:u w:val="none"/>
          <w:lang w:val="en-US" w:eastAsia="zh-CN"/>
        </w:rPr>
        <w:t>进行市场调研</w:t>
      </w:r>
      <w:r>
        <w:rPr>
          <w:rFonts w:ascii="仿宋" w:hAnsi="仿宋" w:eastAsia="仿宋" w:cs="仿宋"/>
          <w:i w:val="0"/>
          <w:iCs w:val="0"/>
          <w:caps w:val="0"/>
          <w:color w:val="auto"/>
          <w:spacing w:val="0"/>
          <w:sz w:val="28"/>
          <w:szCs w:val="28"/>
          <w:shd w:val="clear" w:fill="FFFFFF"/>
        </w:rPr>
        <w:t>，</w:t>
      </w:r>
      <w:r>
        <w:rPr>
          <w:rFonts w:ascii="仿宋" w:hAnsi="仿宋" w:eastAsia="仿宋" w:cs="仿宋"/>
          <w:i w:val="0"/>
          <w:iCs w:val="0"/>
          <w:caps w:val="0"/>
          <w:color w:val="000000"/>
          <w:spacing w:val="0"/>
          <w:sz w:val="28"/>
          <w:szCs w:val="28"/>
          <w:shd w:val="clear" w:fill="FFFFFF"/>
        </w:rPr>
        <w:t>因第一次挂网调研报名公司不足三家，现</w:t>
      </w:r>
      <w:r>
        <w:rPr>
          <w:rFonts w:hint="eastAsia" w:ascii="仿宋" w:hAnsi="仿宋" w:cs="仿宋"/>
          <w:i w:val="0"/>
          <w:iCs w:val="0"/>
          <w:caps w:val="0"/>
          <w:color w:val="000000"/>
          <w:spacing w:val="0"/>
          <w:sz w:val="28"/>
          <w:szCs w:val="28"/>
          <w:shd w:val="clear" w:fill="FFFFFF"/>
          <w:lang w:val="en-US" w:eastAsia="zh-CN"/>
        </w:rPr>
        <w:t>发布</w:t>
      </w:r>
      <w:r>
        <w:rPr>
          <w:rFonts w:ascii="仿宋" w:hAnsi="仿宋" w:eastAsia="仿宋" w:cs="仿宋"/>
          <w:i w:val="0"/>
          <w:iCs w:val="0"/>
          <w:caps w:val="0"/>
          <w:color w:val="000000"/>
          <w:spacing w:val="0"/>
          <w:sz w:val="28"/>
          <w:szCs w:val="28"/>
          <w:shd w:val="clear" w:fill="FFFFFF"/>
        </w:rPr>
        <w:t>第二次调研公告，诚邀</w:t>
      </w:r>
      <w:r>
        <w:rPr>
          <w:rFonts w:hint="eastAsia" w:ascii="仿宋" w:hAnsi="仿宋" w:cs="仿宋"/>
          <w:i w:val="0"/>
          <w:iCs w:val="0"/>
          <w:caps w:val="0"/>
          <w:color w:val="000000"/>
          <w:spacing w:val="0"/>
          <w:sz w:val="28"/>
          <w:szCs w:val="28"/>
          <w:shd w:val="clear" w:fill="FFFFFF"/>
          <w:lang w:val="en-US" w:eastAsia="zh-CN"/>
        </w:rPr>
        <w:t>各</w:t>
      </w:r>
      <w:r>
        <w:rPr>
          <w:rFonts w:ascii="仿宋" w:hAnsi="仿宋" w:eastAsia="仿宋" w:cs="仿宋"/>
          <w:i w:val="0"/>
          <w:iCs w:val="0"/>
          <w:caps w:val="0"/>
          <w:color w:val="000000"/>
          <w:spacing w:val="0"/>
          <w:sz w:val="28"/>
          <w:szCs w:val="28"/>
          <w:shd w:val="clear" w:fill="FFFFFF"/>
        </w:rPr>
        <w:t>潜在供应商报名，已参加此项目调研报名的供应商可不用再二次提供报名资料</w:t>
      </w:r>
      <w:r>
        <w:rPr>
          <w:rFonts w:ascii="仿宋" w:hAnsi="仿宋" w:eastAsia="仿宋" w:cs="仿宋"/>
          <w:i w:val="0"/>
          <w:iCs w:val="0"/>
          <w:caps w:val="0"/>
          <w:color w:val="auto"/>
          <w:spacing w:val="0"/>
          <w:sz w:val="28"/>
          <w:szCs w:val="28"/>
          <w:shd w:val="clear" w:fill="FFFFFF"/>
        </w:rPr>
        <w:t>。现将有关事宜公告如下：</w:t>
      </w:r>
    </w:p>
    <w:p w14:paraId="3BC16C1A">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560" w:firstLineChars="200"/>
        <w:rPr>
          <w:rFonts w:hint="eastAsia" w:ascii="方正黑体简体" w:hAnsi="方正黑体简体" w:eastAsia="方正黑体简体" w:cs="方正黑体简体"/>
          <w:i w:val="0"/>
          <w:iCs w:val="0"/>
          <w:color w:val="auto"/>
          <w:kern w:val="0"/>
          <w:sz w:val="28"/>
          <w:szCs w:val="28"/>
          <w:u w:val="none"/>
          <w:lang w:val="en-US" w:eastAsia="zh-CN" w:bidi="ar"/>
        </w:rPr>
      </w:pPr>
      <w:r>
        <w:rPr>
          <w:rFonts w:hint="eastAsia" w:ascii="方正黑体简体" w:hAnsi="方正黑体简体" w:eastAsia="方正黑体简体" w:cs="方正黑体简体"/>
          <w:i w:val="0"/>
          <w:iCs w:val="0"/>
          <w:color w:val="auto"/>
          <w:kern w:val="0"/>
          <w:sz w:val="28"/>
          <w:szCs w:val="28"/>
          <w:u w:val="none"/>
          <w:lang w:val="en-US" w:eastAsia="zh-CN" w:bidi="ar"/>
        </w:rPr>
        <w:t>一、项目概述</w:t>
      </w:r>
    </w:p>
    <w:p w14:paraId="768337D3">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560" w:firstLineChars="200"/>
        <w:textAlignment w:val="auto"/>
        <w:rPr>
          <w:rFonts w:hint="default" w:ascii="仿宋" w:hAnsi="仿宋" w:eastAsia="仿宋" w:cs="仿宋"/>
          <w:i w:val="0"/>
          <w:iCs w:val="0"/>
          <w:color w:val="auto"/>
          <w:kern w:val="2"/>
          <w:sz w:val="28"/>
          <w:szCs w:val="28"/>
          <w:u w:val="none"/>
          <w:lang w:val="en-US" w:eastAsia="zh-CN" w:bidi="zh-CN"/>
        </w:rPr>
      </w:pPr>
      <w:r>
        <w:rPr>
          <w:rFonts w:hint="eastAsia" w:ascii="仿宋" w:hAnsi="仿宋" w:eastAsia="仿宋" w:cs="仿宋"/>
          <w:i w:val="0"/>
          <w:iCs w:val="0"/>
          <w:color w:val="auto"/>
          <w:kern w:val="2"/>
          <w:sz w:val="28"/>
          <w:szCs w:val="28"/>
          <w:u w:val="none"/>
          <w:lang w:val="en-US" w:eastAsia="zh-CN" w:bidi="zh-CN"/>
        </w:rPr>
        <w:t>本次服务所涉及的系统为银医合作共建系统，医院将启动承接工作，承接享有本项目软件系统的永久使用权；所有用户资料、业务数据、诊疗数据、管理数据、统计数据等全部数据资产，均归医院独有，受相关规定保护。(具体需求详见附件)</w:t>
      </w:r>
    </w:p>
    <w:p w14:paraId="5681129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eastAsia" w:ascii="黑体" w:hAnsi="黑体" w:eastAsia="黑体" w:cs="黑体"/>
          <w:i w:val="0"/>
          <w:iCs w:val="0"/>
          <w:color w:val="auto"/>
          <w:kern w:val="0"/>
          <w:sz w:val="28"/>
          <w:szCs w:val="28"/>
          <w:u w:val="none"/>
          <w:lang w:val="en-US" w:eastAsia="zh-CN" w:bidi="ar"/>
        </w:rPr>
      </w:pPr>
      <w:r>
        <w:rPr>
          <w:rFonts w:hint="eastAsia" w:ascii="黑体" w:hAnsi="黑体" w:eastAsia="黑体" w:cs="黑体"/>
          <w:i w:val="0"/>
          <w:iCs w:val="0"/>
          <w:color w:val="auto"/>
          <w:kern w:val="0"/>
          <w:sz w:val="28"/>
          <w:szCs w:val="28"/>
          <w:u w:val="none"/>
          <w:lang w:val="en-US" w:eastAsia="zh-CN" w:bidi="ar"/>
        </w:rPr>
        <w:t>二、报名时间、方式</w:t>
      </w:r>
    </w:p>
    <w:p w14:paraId="463FB069">
      <w:pPr>
        <w:keepNext w:val="0"/>
        <w:keepLines w:val="0"/>
        <w:pageBreakBefore w:val="0"/>
        <w:widowControl/>
        <w:numPr>
          <w:numId w:val="0"/>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auto"/>
          <w:sz w:val="28"/>
          <w:szCs w:val="28"/>
          <w:u w:val="none"/>
          <w:lang w:val="en-US" w:eastAsia="zh-CN"/>
        </w:rPr>
      </w:pPr>
      <w:bookmarkStart w:id="34" w:name="_GoBack"/>
      <w:r>
        <w:rPr>
          <w:rFonts w:hint="eastAsia" w:ascii="仿宋" w:hAnsi="仿宋" w:eastAsia="仿宋" w:cs="仿宋"/>
          <w:i w:val="0"/>
          <w:iCs w:val="0"/>
          <w:color w:val="auto"/>
          <w:sz w:val="28"/>
          <w:szCs w:val="28"/>
          <w:u w:val="none"/>
          <w:lang w:val="en-US" w:eastAsia="zh-CN"/>
        </w:rPr>
        <w:t>（一）报名时间：本公告自挂网公告日起，截止时间为自发布公告起第5个工作日（包含发布当天），公告截止日期后递交的报名资料无效。</w:t>
      </w:r>
    </w:p>
    <w:p w14:paraId="3896E834">
      <w:pPr>
        <w:keepNext w:val="0"/>
        <w:keepLines w:val="0"/>
        <w:pageBreakBefore w:val="0"/>
        <w:widowControl/>
        <w:numPr>
          <w:numId w:val="0"/>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（二）报名方式:本次市场调研活动采用邮箱报名，不接受现场报名。</w:t>
      </w:r>
    </w:p>
    <w:p w14:paraId="45D1EBEA">
      <w:pPr>
        <w:keepNext w:val="0"/>
        <w:keepLines w:val="0"/>
        <w:pageBreakBefore w:val="0"/>
        <w:widowControl/>
        <w:numPr>
          <w:numId w:val="0"/>
        </w:numPr>
        <w:suppressLineNumbers w:val="0"/>
        <w:kinsoku/>
        <w:wordWrap/>
        <w:overflowPunct/>
        <w:topLinePunct w:val="0"/>
        <w:autoSpaceDE/>
        <w:autoSpaceDN/>
        <w:bidi w:val="0"/>
        <w:adjustRightInd/>
        <w:snapToGrid/>
        <w:spacing w:line="360" w:lineRule="exact"/>
        <w:ind w:firstLine="560" w:firstLineChars="200"/>
        <w:jc w:val="left"/>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（三）1.报名资料按附件《报名须知》要求，将电子文档（盖章扫描件和可编辑版本）发送至</w:t>
      </w:r>
      <w:r>
        <w:rPr>
          <w:rFonts w:hint="eastAsia" w:ascii="仿宋" w:hAnsi="仿宋" w:eastAsia="仿宋" w:cs="仿宋"/>
          <w:b w:val="0"/>
          <w:bCs w:val="0"/>
          <w:color w:val="auto"/>
          <w:sz w:val="30"/>
          <w:szCs w:val="30"/>
          <w:lang w:val="en-US" w:eastAsia="zh-CN"/>
        </w:rPr>
        <w:t>zyszxyyxxb@163.com，</w:t>
      </w:r>
      <w:r>
        <w:rPr>
          <w:rFonts w:hint="eastAsia" w:ascii="仿宋" w:hAnsi="仿宋" w:eastAsia="仿宋" w:cs="仿宋"/>
          <w:i w:val="0"/>
          <w:iCs w:val="0"/>
          <w:color w:val="auto"/>
          <w:sz w:val="28"/>
          <w:szCs w:val="28"/>
          <w:u w:val="none"/>
          <w:lang w:val="en-US" w:eastAsia="zh-CN"/>
        </w:rPr>
        <w:t>并抄送至</w:t>
      </w:r>
      <w:r>
        <w:rPr>
          <w:rFonts w:hint="eastAsia" w:ascii="仿宋" w:hAnsi="仿宋" w:eastAsia="仿宋" w:cs="仿宋"/>
          <w:b w:val="0"/>
          <w:bCs w:val="0"/>
          <w:color w:val="auto"/>
          <w:sz w:val="30"/>
          <w:szCs w:val="30"/>
          <w:lang w:val="en-US" w:eastAsia="zh-CN"/>
        </w:rPr>
        <w:t>zyszxyyxxb001@163.com</w:t>
      </w:r>
      <w:r>
        <w:rPr>
          <w:rFonts w:hint="eastAsia" w:ascii="仿宋" w:hAnsi="仿宋" w:eastAsia="仿宋" w:cs="仿宋"/>
          <w:i w:val="0"/>
          <w:iCs w:val="0"/>
          <w:color w:val="auto"/>
          <w:sz w:val="28"/>
          <w:szCs w:val="28"/>
          <w:u w:val="none"/>
          <w:lang w:val="en-US" w:eastAsia="zh-CN"/>
        </w:rPr>
        <w:t>。邮件名称：“XXXX项目名称+公司名称+联系人+联系电话）”报名资料目录见附件。</w:t>
      </w:r>
    </w:p>
    <w:p w14:paraId="509EDDF0">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auto"/>
          <w:sz w:val="28"/>
          <w:szCs w:val="28"/>
          <w:u w:val="none"/>
          <w:lang w:val="en-US" w:eastAsia="zh-CN"/>
        </w:rPr>
      </w:pPr>
      <w:r>
        <w:rPr>
          <w:rFonts w:hint="eastAsia" w:ascii="仿宋" w:hAnsi="仿宋" w:cs="仿宋"/>
          <w:i w:val="0"/>
          <w:iCs w:val="0"/>
          <w:color w:val="auto"/>
          <w:sz w:val="28"/>
          <w:szCs w:val="28"/>
          <w:u w:val="none"/>
          <w:lang w:val="en-US" w:eastAsia="zh-CN"/>
        </w:rPr>
        <w:t>2</w:t>
      </w:r>
      <w:r>
        <w:rPr>
          <w:rFonts w:hint="eastAsia" w:ascii="仿宋" w:hAnsi="仿宋" w:eastAsia="仿宋" w:cs="仿宋"/>
          <w:i w:val="0"/>
          <w:iCs w:val="0"/>
          <w:color w:val="auto"/>
          <w:sz w:val="28"/>
          <w:szCs w:val="28"/>
          <w:u w:val="none"/>
          <w:lang w:val="en-US" w:eastAsia="zh-CN"/>
        </w:rPr>
        <w:t>.联系人：</w:t>
      </w:r>
      <w:r>
        <w:rPr>
          <w:rFonts w:hint="eastAsia" w:ascii="仿宋" w:hAnsi="仿宋" w:cs="仿宋"/>
          <w:i w:val="0"/>
          <w:iCs w:val="0"/>
          <w:color w:val="auto"/>
          <w:sz w:val="28"/>
          <w:szCs w:val="28"/>
          <w:u w:val="none"/>
          <w:lang w:val="en-US" w:eastAsia="zh-CN"/>
        </w:rPr>
        <w:t>曾老师、罗老师、肖老师，</w:t>
      </w:r>
      <w:r>
        <w:rPr>
          <w:rFonts w:hint="eastAsia" w:ascii="仿宋" w:hAnsi="仿宋" w:eastAsia="仿宋" w:cs="仿宋"/>
          <w:i w:val="0"/>
          <w:iCs w:val="0"/>
          <w:color w:val="auto"/>
          <w:sz w:val="28"/>
          <w:szCs w:val="28"/>
          <w:u w:val="none"/>
          <w:lang w:val="en-US" w:eastAsia="zh-CN"/>
        </w:rPr>
        <w:t>报名资询：028-26219526</w:t>
      </w:r>
    </w:p>
    <w:p w14:paraId="0B359B7B">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auto"/>
          <w:sz w:val="28"/>
          <w:szCs w:val="28"/>
          <w:u w:val="none"/>
          <w:lang w:val="en-US" w:eastAsia="zh-CN"/>
        </w:rPr>
      </w:pPr>
      <w:r>
        <w:rPr>
          <w:rFonts w:hint="eastAsia" w:ascii="仿宋" w:hAnsi="仿宋" w:cs="仿宋"/>
          <w:i w:val="0"/>
          <w:iCs w:val="0"/>
          <w:color w:val="auto"/>
          <w:sz w:val="28"/>
          <w:szCs w:val="28"/>
          <w:u w:val="none"/>
          <w:lang w:val="en-US" w:eastAsia="zh-CN"/>
        </w:rPr>
        <w:t>3.</w:t>
      </w:r>
      <w:r>
        <w:rPr>
          <w:rFonts w:hint="eastAsia" w:ascii="仿宋" w:hAnsi="仿宋" w:eastAsia="仿宋" w:cs="仿宋"/>
          <w:i w:val="0"/>
          <w:iCs w:val="0"/>
          <w:color w:val="auto"/>
          <w:sz w:val="28"/>
          <w:szCs w:val="28"/>
          <w:u w:val="none"/>
          <w:lang w:val="en-US" w:eastAsia="zh-CN"/>
        </w:rPr>
        <w:t>线上或线下集中调研需求论证时间及地点，另行通知</w:t>
      </w:r>
      <w:r>
        <w:rPr>
          <w:rFonts w:hint="eastAsia" w:ascii="仿宋" w:hAnsi="仿宋" w:cs="仿宋"/>
          <w:i w:val="0"/>
          <w:iCs w:val="0"/>
          <w:color w:val="auto"/>
          <w:sz w:val="28"/>
          <w:szCs w:val="28"/>
          <w:u w:val="none"/>
          <w:lang w:val="en-US" w:eastAsia="zh-CN"/>
        </w:rPr>
        <w:t>，</w:t>
      </w:r>
      <w:r>
        <w:rPr>
          <w:rFonts w:hint="eastAsia" w:ascii="仿宋" w:hAnsi="仿宋" w:eastAsia="仿宋" w:cs="仿宋"/>
          <w:i w:val="0"/>
          <w:iCs w:val="0"/>
          <w:color w:val="auto"/>
          <w:sz w:val="28"/>
          <w:szCs w:val="28"/>
          <w:u w:val="none"/>
          <w:lang w:val="en-US" w:eastAsia="zh-CN"/>
        </w:rPr>
        <w:t>请参加调研会的</w:t>
      </w:r>
      <w:r>
        <w:rPr>
          <w:rFonts w:hint="eastAsia" w:ascii="仿宋" w:hAnsi="仿宋" w:cs="仿宋"/>
          <w:i w:val="0"/>
          <w:iCs w:val="0"/>
          <w:color w:val="auto"/>
          <w:sz w:val="28"/>
          <w:szCs w:val="28"/>
          <w:u w:val="none"/>
          <w:lang w:val="en-US" w:eastAsia="zh-CN"/>
        </w:rPr>
        <w:t>各潜在供应商</w:t>
      </w:r>
      <w:r>
        <w:rPr>
          <w:rFonts w:hint="eastAsia" w:ascii="仿宋" w:hAnsi="仿宋" w:eastAsia="仿宋" w:cs="仿宋"/>
          <w:i w:val="0"/>
          <w:iCs w:val="0"/>
          <w:color w:val="auto"/>
          <w:sz w:val="28"/>
          <w:szCs w:val="28"/>
          <w:u w:val="none"/>
          <w:lang w:val="en-US" w:eastAsia="zh-CN"/>
        </w:rPr>
        <w:t>准备相应的纸质版</w:t>
      </w:r>
      <w:r>
        <w:rPr>
          <w:rFonts w:hint="eastAsia" w:ascii="仿宋" w:hAnsi="仿宋" w:cs="仿宋"/>
          <w:i w:val="0"/>
          <w:iCs w:val="0"/>
          <w:color w:val="auto"/>
          <w:sz w:val="28"/>
          <w:szCs w:val="28"/>
          <w:u w:val="none"/>
          <w:lang w:val="en-US" w:eastAsia="zh-CN"/>
        </w:rPr>
        <w:t>报价表</w:t>
      </w:r>
      <w:r>
        <w:rPr>
          <w:rFonts w:hint="eastAsia" w:ascii="仿宋" w:hAnsi="仿宋" w:eastAsia="仿宋" w:cs="仿宋"/>
          <w:i w:val="0"/>
          <w:iCs w:val="0"/>
          <w:color w:val="auto"/>
          <w:sz w:val="28"/>
          <w:szCs w:val="28"/>
          <w:u w:val="none"/>
          <w:lang w:val="en-US" w:eastAsia="zh-CN"/>
        </w:rPr>
        <w:t>及汇报PPT等。</w:t>
      </w:r>
    </w:p>
    <w:bookmarkEnd w:id="34"/>
    <w:p w14:paraId="74F72DE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default" w:ascii="黑体" w:hAnsi="黑体" w:eastAsia="黑体" w:cs="黑体"/>
          <w:i w:val="0"/>
          <w:iCs w:val="0"/>
          <w:color w:val="auto"/>
          <w:kern w:val="0"/>
          <w:sz w:val="28"/>
          <w:szCs w:val="28"/>
          <w:u w:val="none"/>
          <w:lang w:val="en-US" w:eastAsia="zh-CN" w:bidi="ar"/>
        </w:rPr>
      </w:pPr>
      <w:r>
        <w:rPr>
          <w:rFonts w:hint="eastAsia" w:ascii="黑体" w:hAnsi="黑体" w:eastAsia="黑体" w:cs="黑体"/>
          <w:i w:val="0"/>
          <w:iCs w:val="0"/>
          <w:color w:val="auto"/>
          <w:kern w:val="0"/>
          <w:sz w:val="28"/>
          <w:szCs w:val="28"/>
          <w:u w:val="none"/>
          <w:lang w:val="en-US" w:eastAsia="zh-CN" w:bidi="ar"/>
        </w:rPr>
        <w:t>三、其他说明</w:t>
      </w:r>
    </w:p>
    <w:p w14:paraId="5CCB385B">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auto"/>
          <w:sz w:val="28"/>
          <w:szCs w:val="28"/>
          <w:u w:val="none"/>
          <w:lang w:val="en-US" w:eastAsia="zh-CN"/>
        </w:rPr>
      </w:pPr>
      <w:r>
        <w:rPr>
          <w:rFonts w:hint="eastAsia" w:ascii="仿宋" w:hAnsi="仿宋" w:cs="仿宋"/>
          <w:i w:val="0"/>
          <w:iCs w:val="0"/>
          <w:color w:val="auto"/>
          <w:sz w:val="28"/>
          <w:szCs w:val="28"/>
          <w:u w:val="none"/>
          <w:lang w:val="en-US" w:eastAsia="zh-CN"/>
        </w:rPr>
        <w:t>1.本次公开市场调研内容因市场了解的局限性，仅作为医院市场调研参考使用，我院有权使用所征集技术指标中的相关内容，不作为正式采购依据，无任何针对性，如有不全之处，敬请理解，并请供应商详实介绍推荐产品，本项目最终配置和技术参数以采购时为准。对未公告配置及技术性能的，请供应商自行提供。</w:t>
      </w:r>
    </w:p>
    <w:p w14:paraId="3BB0CD0B">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auto"/>
          <w:sz w:val="28"/>
          <w:szCs w:val="28"/>
          <w:u w:val="none"/>
          <w:lang w:val="en-US" w:eastAsia="zh-CN"/>
        </w:rPr>
      </w:pPr>
      <w:r>
        <w:rPr>
          <w:rFonts w:hint="eastAsia" w:ascii="仿宋" w:hAnsi="仿宋" w:cs="仿宋"/>
          <w:i w:val="0"/>
          <w:iCs w:val="0"/>
          <w:color w:val="auto"/>
          <w:sz w:val="28"/>
          <w:szCs w:val="28"/>
          <w:u w:val="none"/>
          <w:lang w:val="en-US" w:eastAsia="zh-CN"/>
        </w:rPr>
        <w:t>2.本次市场调研需提供项目参考价格和配置清单，配置清单范围包括但不限于本公告所提供的配置需求内容，各供应商可依据本公司提供的具体方案对配置清单进行合理调整。所谓参考价格是指按照与我院项目相似或体量相当的建设方案计算的参考价格，如果项目中集成有硬件，请在配置清单中罗列，硬件配置的参考报价仅用于医院后期采购参考，并不一定集成在本项目之中。</w:t>
      </w:r>
    </w:p>
    <w:p w14:paraId="24AB5332">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auto"/>
          <w:sz w:val="28"/>
          <w:szCs w:val="28"/>
          <w:u w:val="none"/>
          <w:lang w:val="en-US" w:eastAsia="zh-CN"/>
        </w:rPr>
      </w:pPr>
      <w:r>
        <w:rPr>
          <w:rFonts w:hint="eastAsia" w:ascii="仿宋" w:hAnsi="仿宋" w:cs="仿宋"/>
          <w:i w:val="0"/>
          <w:iCs w:val="0"/>
          <w:color w:val="auto"/>
          <w:sz w:val="28"/>
          <w:szCs w:val="28"/>
          <w:u w:val="none"/>
          <w:lang w:val="en-US" w:eastAsia="zh-CN"/>
        </w:rPr>
        <w:t>3.参加供应商保证拟推荐货物应为合法、全新、未使用过的原装正品，配置应为出厂标准配置，如有选配件需单独注明；如需使用单一来源的耗材也需单独注明。</w:t>
      </w:r>
    </w:p>
    <w:p w14:paraId="42390850">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auto"/>
          <w:sz w:val="28"/>
          <w:szCs w:val="28"/>
          <w:u w:val="none"/>
          <w:lang w:val="en-US" w:eastAsia="zh-CN"/>
        </w:rPr>
      </w:pPr>
      <w:r>
        <w:rPr>
          <w:rFonts w:hint="eastAsia" w:ascii="仿宋" w:hAnsi="仿宋" w:cs="仿宋"/>
          <w:i w:val="0"/>
          <w:iCs w:val="0"/>
          <w:color w:val="auto"/>
          <w:sz w:val="28"/>
          <w:szCs w:val="28"/>
          <w:u w:val="none"/>
          <w:lang w:val="en-US" w:eastAsia="zh-CN"/>
        </w:rPr>
        <w:t>4.参与本次市场调研活动的供应商，我院不作任何承诺。因参与市场调研所产生的一切费用由报名供应商自行承担，我院不支付任何相关费用。本次市场调研的后续工作及结果，我院不做任何解释。本次市场调研的解释权归院方。</w:t>
      </w:r>
    </w:p>
    <w:p w14:paraId="4364A259">
      <w:pPr>
        <w:rPr>
          <w:rFonts w:hint="eastAsia"/>
          <w:color w:val="auto"/>
          <w:lang w:val="en-US" w:eastAsia="zh-CN"/>
        </w:rPr>
      </w:pPr>
    </w:p>
    <w:p w14:paraId="3F529A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i w:val="0"/>
          <w:iCs w:val="0"/>
          <w:color w:val="auto"/>
          <w:kern w:val="2"/>
          <w:sz w:val="28"/>
          <w:szCs w:val="28"/>
          <w:u w:val="none"/>
          <w:lang w:val="en-US" w:eastAsia="zh-CN" w:bidi="zh-CN"/>
        </w:rPr>
      </w:pPr>
    </w:p>
    <w:p w14:paraId="1EFB4563">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auto"/>
          <w:kern w:val="2"/>
          <w:sz w:val="28"/>
          <w:szCs w:val="28"/>
          <w:u w:val="none"/>
          <w:lang w:val="en-US" w:eastAsia="zh-CN" w:bidi="zh-CN"/>
        </w:rPr>
      </w:pPr>
    </w:p>
    <w:p w14:paraId="0FA17DCF">
      <w:pPr>
        <w:pStyle w:val="14"/>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报名注意事项</w:t>
      </w:r>
    </w:p>
    <w:p w14:paraId="324D4D0D">
      <w:pPr>
        <w:numPr>
          <w:ilvl w:val="0"/>
          <w:numId w:val="0"/>
        </w:numPr>
        <w:spacing w:line="500" w:lineRule="exact"/>
        <w:textAlignment w:val="baseline"/>
        <w:outlineLvl w:val="1"/>
        <w:rPr>
          <w:rFonts w:hint="eastAsia" w:ascii="仿宋" w:hAnsi="仿宋" w:eastAsia="仿宋" w:cs="仿宋"/>
          <w:b w:val="0"/>
          <w:bCs w:val="0"/>
          <w:color w:val="auto"/>
          <w:sz w:val="30"/>
          <w:szCs w:val="30"/>
          <w:lang w:val="en-US" w:eastAsia="zh-CN"/>
        </w:rPr>
      </w:pPr>
    </w:p>
    <w:p w14:paraId="59BBC968">
      <w:pPr>
        <w:pStyle w:val="14"/>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1.请参与报名的各潜在供应商在准备报名资料时，按照报名资料目录顺序和模板提交，若其中某项资料不需提供，请勿删除页面，自动跳过当前页即可。</w:t>
      </w:r>
    </w:p>
    <w:p w14:paraId="2310D6F0">
      <w:pPr>
        <w:pStyle w:val="14"/>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2.可根据项目方案内容通过PPT重点介绍产品功能、亮点及落地案例，15分钟。</w:t>
      </w:r>
    </w:p>
    <w:p w14:paraId="22BC656B">
      <w:pPr>
        <w:pStyle w:val="14"/>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3.报名资料电子文档（盖章扫描件和可编辑版本）发送至zyszxyyxxb@163.com。邮件名称：“XXXX项目名称（公司名称+联系人+联系电话）”</w:t>
      </w:r>
    </w:p>
    <w:p w14:paraId="2AA7B7F7">
      <w:pPr>
        <w:pStyle w:val="14"/>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4.收到您的邮件即报名成功。特殊情况，我们会通过电话与您联系，请注意保持电话畅通。感谢您的积极参与！</w:t>
      </w:r>
    </w:p>
    <w:bookmarkEnd w:id="0"/>
    <w:p w14:paraId="45BFCED6">
      <w:pPr>
        <w:pStyle w:val="14"/>
        <w:rPr>
          <w:color w:val="auto"/>
        </w:rPr>
      </w:pPr>
    </w:p>
    <w:p w14:paraId="78D9AAD4">
      <w:pPr>
        <w:pStyle w:val="14"/>
        <w:rPr>
          <w:color w:val="auto"/>
        </w:rPr>
      </w:pPr>
    </w:p>
    <w:p w14:paraId="2B94488A">
      <w:pPr>
        <w:pStyle w:val="14"/>
        <w:rPr>
          <w:color w:val="auto"/>
        </w:rPr>
      </w:pPr>
    </w:p>
    <w:p w14:paraId="32CA48A2">
      <w:pPr>
        <w:pStyle w:val="14"/>
        <w:rPr>
          <w:color w:val="auto"/>
        </w:rPr>
      </w:pPr>
    </w:p>
    <w:p w14:paraId="7E386F57">
      <w:pPr>
        <w:pStyle w:val="14"/>
        <w:rPr>
          <w:color w:val="auto"/>
        </w:rPr>
      </w:pPr>
    </w:p>
    <w:p w14:paraId="6B028BDF">
      <w:pPr>
        <w:pStyle w:val="14"/>
        <w:rPr>
          <w:color w:val="auto"/>
        </w:rPr>
      </w:pPr>
    </w:p>
    <w:sdt>
      <w:sdtPr>
        <w:rPr>
          <w:rFonts w:ascii="宋体" w:hAnsi="宋体" w:eastAsia="宋体" w:cstheme="minorBidi"/>
          <w:color w:val="auto"/>
          <w:kern w:val="2"/>
          <w:sz w:val="28"/>
          <w:szCs w:val="36"/>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color w:val="auto"/>
          <w:kern w:val="2"/>
          <w:sz w:val="21"/>
          <w:szCs w:val="24"/>
          <w:lang w:val="en-US" w:eastAsia="zh-CN" w:bidi="ar-SA"/>
        </w:rPr>
      </w:sdtEndPr>
      <w:sdtContent>
        <w:p w14:paraId="12D91C66">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color w:val="auto"/>
              <w:sz w:val="40"/>
              <w:szCs w:val="40"/>
            </w:rPr>
          </w:pPr>
          <w:r>
            <w:rPr>
              <w:rFonts w:hint="eastAsia" w:asciiTheme="minorEastAsia" w:hAnsiTheme="minorEastAsia" w:eastAsiaTheme="minorEastAsia" w:cstheme="minorEastAsia"/>
              <w:b/>
              <w:bCs/>
              <w:color w:val="auto"/>
              <w:kern w:val="2"/>
              <w:sz w:val="40"/>
              <w:szCs w:val="40"/>
              <w:lang w:val="en-US" w:eastAsia="zh-CN" w:bidi="ar-SA"/>
            </w:rPr>
            <w:t>调研报名</w:t>
          </w:r>
          <w:r>
            <w:rPr>
              <w:rFonts w:hint="eastAsia" w:asciiTheme="minorEastAsia" w:hAnsiTheme="minorEastAsia" w:eastAsiaTheme="minorEastAsia" w:cstheme="minorEastAsia"/>
              <w:b/>
              <w:bCs/>
              <w:color w:val="auto"/>
              <w:sz w:val="40"/>
              <w:szCs w:val="40"/>
            </w:rPr>
            <w:t>目录</w:t>
          </w:r>
        </w:p>
        <w:p w14:paraId="54AEFE61">
          <w:pPr>
            <w:spacing w:before="0" w:beforeLines="0" w:after="0" w:afterLines="0" w:line="240" w:lineRule="auto"/>
            <w:ind w:left="0" w:leftChars="0" w:right="0" w:rightChars="0" w:firstLine="0" w:firstLineChars="0"/>
            <w:jc w:val="center"/>
            <w:rPr>
              <w:color w:val="auto"/>
            </w:rPr>
          </w:pPr>
        </w:p>
        <w:p w14:paraId="7F0FCA1E">
          <w:pPr>
            <w:pStyle w:val="7"/>
            <w:tabs>
              <w:tab w:val="right" w:leader="dot" w:pos="8306"/>
            </w:tabs>
            <w:rPr>
              <w:color w:val="auto"/>
            </w:rPr>
          </w:pPr>
          <w:r>
            <w:rPr>
              <w:color w:val="auto"/>
            </w:rPr>
            <w:fldChar w:fldCharType="begin"/>
          </w:r>
          <w:r>
            <w:rPr>
              <w:color w:val="auto"/>
            </w:rPr>
            <w:instrText xml:space="preserve">TOC \o "1-3" \h \u </w:instrText>
          </w:r>
          <w:r>
            <w:rPr>
              <w:color w:val="auto"/>
            </w:rPr>
            <w:fldChar w:fldCharType="separate"/>
          </w:r>
          <w:r>
            <w:rPr>
              <w:color w:val="auto"/>
            </w:rPr>
            <w:fldChar w:fldCharType="begin"/>
          </w:r>
          <w:r>
            <w:rPr>
              <w:color w:val="auto"/>
            </w:rPr>
            <w:instrText xml:space="preserve"> HYPERLINK \l _Toc25232 </w:instrText>
          </w:r>
          <w:r>
            <w:rPr>
              <w:color w:val="auto"/>
            </w:rPr>
            <w:fldChar w:fldCharType="separate"/>
          </w:r>
          <w:r>
            <w:rPr>
              <w:rFonts w:hint="eastAsia"/>
              <w:color w:val="auto"/>
            </w:rPr>
            <w:t>一、 报名</w:t>
          </w:r>
          <w:r>
            <w:rPr>
              <w:rFonts w:hint="eastAsia"/>
              <w:color w:val="auto"/>
              <w:lang w:eastAsia="zh-CN"/>
            </w:rPr>
            <w:t>登记</w:t>
          </w:r>
          <w:r>
            <w:rPr>
              <w:rFonts w:hint="eastAsia"/>
              <w:color w:val="auto"/>
            </w:rPr>
            <w:t>表</w:t>
          </w:r>
          <w:r>
            <w:rPr>
              <w:color w:val="auto"/>
            </w:rPr>
            <w:tab/>
          </w:r>
          <w:r>
            <w:rPr>
              <w:color w:val="auto"/>
            </w:rPr>
            <w:fldChar w:fldCharType="begin"/>
          </w:r>
          <w:r>
            <w:rPr>
              <w:color w:val="auto"/>
            </w:rPr>
            <w:instrText xml:space="preserve"> PAGEREF _Toc25232 \h </w:instrText>
          </w:r>
          <w:r>
            <w:rPr>
              <w:color w:val="auto"/>
            </w:rPr>
            <w:fldChar w:fldCharType="separate"/>
          </w:r>
          <w:r>
            <w:rPr>
              <w:color w:val="auto"/>
            </w:rPr>
            <w:t>4</w:t>
          </w:r>
          <w:r>
            <w:rPr>
              <w:color w:val="auto"/>
            </w:rPr>
            <w:fldChar w:fldCharType="end"/>
          </w:r>
          <w:r>
            <w:rPr>
              <w:color w:val="auto"/>
            </w:rPr>
            <w:fldChar w:fldCharType="end"/>
          </w:r>
        </w:p>
        <w:p w14:paraId="68D3AE78">
          <w:pPr>
            <w:pStyle w:val="7"/>
            <w:tabs>
              <w:tab w:val="right" w:leader="dot" w:pos="8306"/>
            </w:tabs>
            <w:rPr>
              <w:color w:val="auto"/>
            </w:rPr>
          </w:pPr>
          <w:r>
            <w:rPr>
              <w:color w:val="auto"/>
            </w:rPr>
            <w:fldChar w:fldCharType="begin"/>
          </w:r>
          <w:r>
            <w:rPr>
              <w:color w:val="auto"/>
            </w:rPr>
            <w:instrText xml:space="preserve"> HYPERLINK \l _Toc2616 </w:instrText>
          </w:r>
          <w:r>
            <w:rPr>
              <w:color w:val="auto"/>
            </w:rPr>
            <w:fldChar w:fldCharType="separate"/>
          </w:r>
          <w:r>
            <w:rPr>
              <w:rFonts w:hint="eastAsia"/>
              <w:color w:val="auto"/>
              <w:lang w:val="en-US" w:eastAsia="zh-CN"/>
            </w:rPr>
            <w:t>二、资质：</w:t>
          </w:r>
          <w:r>
            <w:rPr>
              <w:color w:val="auto"/>
            </w:rPr>
            <w:tab/>
          </w:r>
          <w:r>
            <w:rPr>
              <w:color w:val="auto"/>
            </w:rPr>
            <w:fldChar w:fldCharType="begin"/>
          </w:r>
          <w:r>
            <w:rPr>
              <w:color w:val="auto"/>
            </w:rPr>
            <w:instrText xml:space="preserve"> PAGEREF _Toc2616 \h </w:instrText>
          </w:r>
          <w:r>
            <w:rPr>
              <w:color w:val="auto"/>
            </w:rPr>
            <w:fldChar w:fldCharType="separate"/>
          </w:r>
          <w:r>
            <w:rPr>
              <w:color w:val="auto"/>
            </w:rPr>
            <w:t>4</w:t>
          </w:r>
          <w:r>
            <w:rPr>
              <w:color w:val="auto"/>
            </w:rPr>
            <w:fldChar w:fldCharType="end"/>
          </w:r>
          <w:r>
            <w:rPr>
              <w:color w:val="auto"/>
            </w:rPr>
            <w:fldChar w:fldCharType="end"/>
          </w:r>
        </w:p>
        <w:p w14:paraId="13E67527">
          <w:pPr>
            <w:pStyle w:val="8"/>
            <w:tabs>
              <w:tab w:val="right" w:leader="dot" w:pos="8306"/>
            </w:tabs>
            <w:rPr>
              <w:color w:val="auto"/>
            </w:rPr>
          </w:pPr>
          <w:r>
            <w:rPr>
              <w:color w:val="auto"/>
            </w:rPr>
            <w:fldChar w:fldCharType="begin"/>
          </w:r>
          <w:r>
            <w:rPr>
              <w:color w:val="auto"/>
            </w:rPr>
            <w:instrText xml:space="preserve"> HYPERLINK \l _Toc21365 </w:instrText>
          </w:r>
          <w:r>
            <w:rPr>
              <w:color w:val="auto"/>
            </w:rPr>
            <w:fldChar w:fldCharType="separate"/>
          </w:r>
          <w:r>
            <w:rPr>
              <w:rFonts w:hint="eastAsia"/>
              <w:color w:val="auto"/>
              <w:lang w:val="en-US" w:eastAsia="zh-CN"/>
            </w:rPr>
            <w:t>1.1</w:t>
          </w:r>
          <w:r>
            <w:rPr>
              <w:rFonts w:hint="eastAsia"/>
              <w:color w:val="auto"/>
            </w:rPr>
            <w:t>营业执照</w:t>
          </w:r>
          <w:r>
            <w:rPr>
              <w:color w:val="auto"/>
            </w:rPr>
            <w:tab/>
          </w:r>
          <w:r>
            <w:rPr>
              <w:color w:val="auto"/>
            </w:rPr>
            <w:fldChar w:fldCharType="begin"/>
          </w:r>
          <w:r>
            <w:rPr>
              <w:color w:val="auto"/>
            </w:rPr>
            <w:instrText xml:space="preserve"> PAGEREF _Toc21365 \h </w:instrText>
          </w:r>
          <w:r>
            <w:rPr>
              <w:color w:val="auto"/>
            </w:rPr>
            <w:fldChar w:fldCharType="separate"/>
          </w:r>
          <w:r>
            <w:rPr>
              <w:color w:val="auto"/>
            </w:rPr>
            <w:t>4</w:t>
          </w:r>
          <w:r>
            <w:rPr>
              <w:color w:val="auto"/>
            </w:rPr>
            <w:fldChar w:fldCharType="end"/>
          </w:r>
          <w:r>
            <w:rPr>
              <w:color w:val="auto"/>
            </w:rPr>
            <w:fldChar w:fldCharType="end"/>
          </w:r>
        </w:p>
        <w:p w14:paraId="463BF1FA">
          <w:pPr>
            <w:pStyle w:val="8"/>
            <w:tabs>
              <w:tab w:val="right" w:leader="dot" w:pos="8306"/>
            </w:tabs>
            <w:rPr>
              <w:color w:val="auto"/>
            </w:rPr>
          </w:pPr>
          <w:r>
            <w:rPr>
              <w:color w:val="auto"/>
            </w:rPr>
            <w:fldChar w:fldCharType="begin"/>
          </w:r>
          <w:r>
            <w:rPr>
              <w:color w:val="auto"/>
            </w:rPr>
            <w:instrText xml:space="preserve"> HYPERLINK \l _Toc15889 </w:instrText>
          </w:r>
          <w:r>
            <w:rPr>
              <w:color w:val="auto"/>
            </w:rPr>
            <w:fldChar w:fldCharType="separate"/>
          </w:r>
          <w:r>
            <w:rPr>
              <w:rFonts w:hint="eastAsia"/>
              <w:color w:val="auto"/>
              <w:lang w:val="en-US" w:eastAsia="zh-CN"/>
            </w:rPr>
            <w:t>1.1</w:t>
          </w:r>
          <w:r>
            <w:rPr>
              <w:rFonts w:hint="eastAsia"/>
              <w:color w:val="auto"/>
              <w:lang w:eastAsia="zh-CN"/>
            </w:rPr>
            <w:t>法定代表人授权书</w:t>
          </w:r>
          <w:r>
            <w:rPr>
              <w:color w:val="auto"/>
            </w:rPr>
            <w:tab/>
          </w:r>
          <w:r>
            <w:rPr>
              <w:color w:val="auto"/>
            </w:rPr>
            <w:fldChar w:fldCharType="begin"/>
          </w:r>
          <w:r>
            <w:rPr>
              <w:color w:val="auto"/>
            </w:rPr>
            <w:instrText xml:space="preserve"> PAGEREF _Toc15889 \h </w:instrText>
          </w:r>
          <w:r>
            <w:rPr>
              <w:color w:val="auto"/>
            </w:rPr>
            <w:fldChar w:fldCharType="separate"/>
          </w:r>
          <w:r>
            <w:rPr>
              <w:color w:val="auto"/>
            </w:rPr>
            <w:t>4</w:t>
          </w:r>
          <w:r>
            <w:rPr>
              <w:color w:val="auto"/>
            </w:rPr>
            <w:fldChar w:fldCharType="end"/>
          </w:r>
          <w:r>
            <w:rPr>
              <w:color w:val="auto"/>
            </w:rPr>
            <w:fldChar w:fldCharType="end"/>
          </w:r>
        </w:p>
        <w:p w14:paraId="0D9DD14E">
          <w:pPr>
            <w:pStyle w:val="8"/>
            <w:tabs>
              <w:tab w:val="right" w:leader="dot" w:pos="8306"/>
            </w:tabs>
            <w:rPr>
              <w:color w:val="auto"/>
            </w:rPr>
          </w:pPr>
          <w:r>
            <w:rPr>
              <w:color w:val="auto"/>
            </w:rPr>
            <w:fldChar w:fldCharType="begin"/>
          </w:r>
          <w:r>
            <w:rPr>
              <w:color w:val="auto"/>
            </w:rPr>
            <w:instrText xml:space="preserve"> HYPERLINK \l _Toc22138 </w:instrText>
          </w:r>
          <w:r>
            <w:rPr>
              <w:color w:val="auto"/>
            </w:rPr>
            <w:fldChar w:fldCharType="separate"/>
          </w:r>
          <w:r>
            <w:rPr>
              <w:rFonts w:hint="eastAsia"/>
              <w:color w:val="auto"/>
              <w:lang w:val="en-US" w:eastAsia="zh-CN"/>
            </w:rPr>
            <w:t>1.3</w:t>
          </w:r>
          <w:r>
            <w:rPr>
              <w:rFonts w:hint="eastAsia"/>
              <w:color w:val="auto"/>
              <w:lang w:eastAsia="zh-CN"/>
            </w:rPr>
            <w:t>法人及被授权人身份证</w:t>
          </w:r>
          <w:r>
            <w:rPr>
              <w:color w:val="auto"/>
            </w:rPr>
            <w:tab/>
          </w:r>
          <w:r>
            <w:rPr>
              <w:color w:val="auto"/>
            </w:rPr>
            <w:fldChar w:fldCharType="begin"/>
          </w:r>
          <w:r>
            <w:rPr>
              <w:color w:val="auto"/>
            </w:rPr>
            <w:instrText xml:space="preserve"> PAGEREF _Toc22138 \h </w:instrText>
          </w:r>
          <w:r>
            <w:rPr>
              <w:color w:val="auto"/>
            </w:rPr>
            <w:fldChar w:fldCharType="separate"/>
          </w:r>
          <w:r>
            <w:rPr>
              <w:color w:val="auto"/>
            </w:rPr>
            <w:t>4</w:t>
          </w:r>
          <w:r>
            <w:rPr>
              <w:color w:val="auto"/>
            </w:rPr>
            <w:fldChar w:fldCharType="end"/>
          </w:r>
          <w:r>
            <w:rPr>
              <w:color w:val="auto"/>
            </w:rPr>
            <w:fldChar w:fldCharType="end"/>
          </w:r>
        </w:p>
        <w:p w14:paraId="0D66A70C">
          <w:pPr>
            <w:pStyle w:val="8"/>
            <w:tabs>
              <w:tab w:val="right" w:leader="dot" w:pos="8306"/>
            </w:tabs>
            <w:rPr>
              <w:color w:val="auto"/>
            </w:rPr>
          </w:pPr>
          <w:r>
            <w:rPr>
              <w:color w:val="auto"/>
            </w:rPr>
            <w:fldChar w:fldCharType="begin"/>
          </w:r>
          <w:r>
            <w:rPr>
              <w:color w:val="auto"/>
            </w:rPr>
            <w:instrText xml:space="preserve"> HYPERLINK \l _Toc17143 </w:instrText>
          </w:r>
          <w:r>
            <w:rPr>
              <w:color w:val="auto"/>
            </w:rPr>
            <w:fldChar w:fldCharType="separate"/>
          </w:r>
          <w:r>
            <w:rPr>
              <w:rFonts w:hint="eastAsia"/>
              <w:color w:val="auto"/>
              <w:lang w:val="en-US" w:eastAsia="zh-CN"/>
            </w:rPr>
            <w:t>1.4</w:t>
          </w:r>
          <w:r>
            <w:rPr>
              <w:rFonts w:hint="eastAsia"/>
              <w:color w:val="auto"/>
              <w:lang w:eastAsia="zh-CN"/>
            </w:rPr>
            <w:t>公司资质</w:t>
          </w:r>
          <w:r>
            <w:rPr>
              <w:color w:val="auto"/>
            </w:rPr>
            <w:tab/>
          </w:r>
          <w:r>
            <w:rPr>
              <w:color w:val="auto"/>
            </w:rPr>
            <w:fldChar w:fldCharType="begin"/>
          </w:r>
          <w:r>
            <w:rPr>
              <w:color w:val="auto"/>
            </w:rPr>
            <w:instrText xml:space="preserve"> PAGEREF _Toc17143 \h </w:instrText>
          </w:r>
          <w:r>
            <w:rPr>
              <w:color w:val="auto"/>
            </w:rPr>
            <w:fldChar w:fldCharType="separate"/>
          </w:r>
          <w:r>
            <w:rPr>
              <w:color w:val="auto"/>
            </w:rPr>
            <w:t>4</w:t>
          </w:r>
          <w:r>
            <w:rPr>
              <w:color w:val="auto"/>
            </w:rPr>
            <w:fldChar w:fldCharType="end"/>
          </w:r>
          <w:r>
            <w:rPr>
              <w:color w:val="auto"/>
            </w:rPr>
            <w:fldChar w:fldCharType="end"/>
          </w:r>
        </w:p>
        <w:p w14:paraId="12E95791">
          <w:pPr>
            <w:pStyle w:val="8"/>
            <w:tabs>
              <w:tab w:val="right" w:leader="dot" w:pos="8306"/>
            </w:tabs>
            <w:rPr>
              <w:color w:val="auto"/>
            </w:rPr>
          </w:pPr>
          <w:r>
            <w:rPr>
              <w:color w:val="auto"/>
            </w:rPr>
            <w:fldChar w:fldCharType="begin"/>
          </w:r>
          <w:r>
            <w:rPr>
              <w:color w:val="auto"/>
            </w:rPr>
            <w:instrText xml:space="preserve"> HYPERLINK \l _Toc24835 </w:instrText>
          </w:r>
          <w:r>
            <w:rPr>
              <w:color w:val="auto"/>
            </w:rPr>
            <w:fldChar w:fldCharType="separate"/>
          </w:r>
          <w:r>
            <w:rPr>
              <w:rFonts w:hint="eastAsia"/>
              <w:color w:val="auto"/>
              <w:lang w:val="en-US" w:eastAsia="zh-CN"/>
            </w:rPr>
            <w:t>1.5软件资质</w:t>
          </w:r>
          <w:r>
            <w:rPr>
              <w:color w:val="auto"/>
            </w:rPr>
            <w:tab/>
          </w:r>
          <w:r>
            <w:rPr>
              <w:color w:val="auto"/>
            </w:rPr>
            <w:fldChar w:fldCharType="begin"/>
          </w:r>
          <w:r>
            <w:rPr>
              <w:color w:val="auto"/>
            </w:rPr>
            <w:instrText xml:space="preserve"> PAGEREF _Toc24835 \h </w:instrText>
          </w:r>
          <w:r>
            <w:rPr>
              <w:color w:val="auto"/>
            </w:rPr>
            <w:fldChar w:fldCharType="separate"/>
          </w:r>
          <w:r>
            <w:rPr>
              <w:color w:val="auto"/>
            </w:rPr>
            <w:t>4</w:t>
          </w:r>
          <w:r>
            <w:rPr>
              <w:color w:val="auto"/>
            </w:rPr>
            <w:fldChar w:fldCharType="end"/>
          </w:r>
          <w:r>
            <w:rPr>
              <w:color w:val="auto"/>
            </w:rPr>
            <w:fldChar w:fldCharType="end"/>
          </w:r>
        </w:p>
        <w:p w14:paraId="126F140D">
          <w:pPr>
            <w:pStyle w:val="8"/>
            <w:tabs>
              <w:tab w:val="right" w:leader="dot" w:pos="8306"/>
            </w:tabs>
            <w:rPr>
              <w:color w:val="auto"/>
            </w:rPr>
          </w:pPr>
          <w:r>
            <w:rPr>
              <w:color w:val="auto"/>
            </w:rPr>
            <w:fldChar w:fldCharType="begin"/>
          </w:r>
          <w:r>
            <w:rPr>
              <w:color w:val="auto"/>
            </w:rPr>
            <w:instrText xml:space="preserve"> HYPERLINK \l _Toc3652 </w:instrText>
          </w:r>
          <w:r>
            <w:rPr>
              <w:color w:val="auto"/>
            </w:rPr>
            <w:fldChar w:fldCharType="separate"/>
          </w:r>
          <w:r>
            <w:rPr>
              <w:rFonts w:hint="eastAsia"/>
              <w:color w:val="auto"/>
              <w:lang w:val="en-US" w:eastAsia="zh-CN"/>
            </w:rPr>
            <w:t>1.6本项目涉及</w:t>
          </w:r>
          <w:r>
            <w:rPr>
              <w:rFonts w:hint="eastAsia"/>
              <w:color w:val="auto"/>
              <w:lang w:eastAsia="zh-CN"/>
            </w:rPr>
            <w:t>资质</w:t>
          </w:r>
          <w:r>
            <w:rPr>
              <w:color w:val="auto"/>
            </w:rPr>
            <w:tab/>
          </w:r>
          <w:r>
            <w:rPr>
              <w:color w:val="auto"/>
            </w:rPr>
            <w:fldChar w:fldCharType="begin"/>
          </w:r>
          <w:r>
            <w:rPr>
              <w:color w:val="auto"/>
            </w:rPr>
            <w:instrText xml:space="preserve"> PAGEREF _Toc3652 \h </w:instrText>
          </w:r>
          <w:r>
            <w:rPr>
              <w:color w:val="auto"/>
            </w:rPr>
            <w:fldChar w:fldCharType="separate"/>
          </w:r>
          <w:r>
            <w:rPr>
              <w:color w:val="auto"/>
            </w:rPr>
            <w:t>4</w:t>
          </w:r>
          <w:r>
            <w:rPr>
              <w:color w:val="auto"/>
            </w:rPr>
            <w:fldChar w:fldCharType="end"/>
          </w:r>
          <w:r>
            <w:rPr>
              <w:color w:val="auto"/>
            </w:rPr>
            <w:fldChar w:fldCharType="end"/>
          </w:r>
        </w:p>
        <w:p w14:paraId="7A915B24">
          <w:pPr>
            <w:pStyle w:val="8"/>
            <w:tabs>
              <w:tab w:val="right" w:leader="dot" w:pos="8306"/>
            </w:tabs>
            <w:rPr>
              <w:color w:val="auto"/>
            </w:rPr>
          </w:pPr>
          <w:r>
            <w:rPr>
              <w:color w:val="auto"/>
            </w:rPr>
            <w:fldChar w:fldCharType="begin"/>
          </w:r>
          <w:r>
            <w:rPr>
              <w:color w:val="auto"/>
            </w:rPr>
            <w:instrText xml:space="preserve"> HYPERLINK \l _Toc6788 </w:instrText>
          </w:r>
          <w:r>
            <w:rPr>
              <w:color w:val="auto"/>
            </w:rPr>
            <w:fldChar w:fldCharType="separate"/>
          </w:r>
          <w:r>
            <w:rPr>
              <w:rFonts w:hint="eastAsia"/>
              <w:color w:val="auto"/>
              <w:lang w:val="en-US" w:eastAsia="zh-CN"/>
            </w:rPr>
            <w:t>1.7开发商委托销售授权函</w:t>
          </w:r>
          <w:r>
            <w:rPr>
              <w:color w:val="auto"/>
            </w:rPr>
            <w:tab/>
          </w:r>
          <w:r>
            <w:rPr>
              <w:color w:val="auto"/>
            </w:rPr>
            <w:fldChar w:fldCharType="begin"/>
          </w:r>
          <w:r>
            <w:rPr>
              <w:color w:val="auto"/>
            </w:rPr>
            <w:instrText xml:space="preserve"> PAGEREF _Toc6788 \h </w:instrText>
          </w:r>
          <w:r>
            <w:rPr>
              <w:color w:val="auto"/>
            </w:rPr>
            <w:fldChar w:fldCharType="separate"/>
          </w:r>
          <w:r>
            <w:rPr>
              <w:color w:val="auto"/>
            </w:rPr>
            <w:t>4</w:t>
          </w:r>
          <w:r>
            <w:rPr>
              <w:color w:val="auto"/>
            </w:rPr>
            <w:fldChar w:fldCharType="end"/>
          </w:r>
          <w:r>
            <w:rPr>
              <w:color w:val="auto"/>
            </w:rPr>
            <w:fldChar w:fldCharType="end"/>
          </w:r>
        </w:p>
        <w:p w14:paraId="35457391">
          <w:pPr>
            <w:pStyle w:val="7"/>
            <w:tabs>
              <w:tab w:val="right" w:leader="dot" w:pos="8306"/>
            </w:tabs>
            <w:rPr>
              <w:color w:val="auto"/>
            </w:rPr>
          </w:pPr>
          <w:r>
            <w:rPr>
              <w:color w:val="auto"/>
            </w:rPr>
            <w:fldChar w:fldCharType="begin"/>
          </w:r>
          <w:r>
            <w:rPr>
              <w:color w:val="auto"/>
            </w:rPr>
            <w:instrText xml:space="preserve"> HYPERLINK \l _Toc20019 </w:instrText>
          </w:r>
          <w:r>
            <w:rPr>
              <w:color w:val="auto"/>
            </w:rPr>
            <w:fldChar w:fldCharType="separate"/>
          </w:r>
          <w:r>
            <w:rPr>
              <w:rFonts w:hint="eastAsia"/>
              <w:color w:val="auto"/>
              <w:lang w:val="en-US" w:eastAsia="zh-CN"/>
            </w:rPr>
            <w:t>三、单一来源说明及佐证材料</w:t>
          </w:r>
          <w:r>
            <w:rPr>
              <w:color w:val="auto"/>
            </w:rPr>
            <w:tab/>
          </w:r>
          <w:r>
            <w:rPr>
              <w:color w:val="auto"/>
            </w:rPr>
            <w:fldChar w:fldCharType="begin"/>
          </w:r>
          <w:r>
            <w:rPr>
              <w:color w:val="auto"/>
            </w:rPr>
            <w:instrText xml:space="preserve"> PAGEREF _Toc20019 \h </w:instrText>
          </w:r>
          <w:r>
            <w:rPr>
              <w:color w:val="auto"/>
            </w:rPr>
            <w:fldChar w:fldCharType="separate"/>
          </w:r>
          <w:r>
            <w:rPr>
              <w:color w:val="auto"/>
            </w:rPr>
            <w:t>4</w:t>
          </w:r>
          <w:r>
            <w:rPr>
              <w:color w:val="auto"/>
            </w:rPr>
            <w:fldChar w:fldCharType="end"/>
          </w:r>
          <w:r>
            <w:rPr>
              <w:color w:val="auto"/>
            </w:rPr>
            <w:fldChar w:fldCharType="end"/>
          </w:r>
        </w:p>
        <w:p w14:paraId="5DFF25C1">
          <w:pPr>
            <w:pStyle w:val="7"/>
            <w:tabs>
              <w:tab w:val="right" w:leader="dot" w:pos="8306"/>
            </w:tabs>
            <w:rPr>
              <w:color w:val="auto"/>
            </w:rPr>
          </w:pPr>
          <w:r>
            <w:rPr>
              <w:color w:val="auto"/>
            </w:rPr>
            <w:fldChar w:fldCharType="begin"/>
          </w:r>
          <w:r>
            <w:rPr>
              <w:color w:val="auto"/>
            </w:rPr>
            <w:instrText xml:space="preserve"> HYPERLINK \l _Toc31535 </w:instrText>
          </w:r>
          <w:r>
            <w:rPr>
              <w:color w:val="auto"/>
            </w:rPr>
            <w:fldChar w:fldCharType="separate"/>
          </w:r>
          <w:r>
            <w:rPr>
              <w:rFonts w:hint="eastAsia"/>
              <w:color w:val="auto"/>
              <w:lang w:val="en-US" w:eastAsia="zh-CN"/>
            </w:rPr>
            <w:t>四、项目调研情况一览汇总表</w:t>
          </w:r>
          <w:r>
            <w:rPr>
              <w:color w:val="auto"/>
            </w:rPr>
            <w:tab/>
          </w:r>
          <w:r>
            <w:rPr>
              <w:color w:val="auto"/>
            </w:rPr>
            <w:fldChar w:fldCharType="begin"/>
          </w:r>
          <w:r>
            <w:rPr>
              <w:color w:val="auto"/>
            </w:rPr>
            <w:instrText xml:space="preserve"> PAGEREF _Toc31535 \h </w:instrText>
          </w:r>
          <w:r>
            <w:rPr>
              <w:color w:val="auto"/>
            </w:rPr>
            <w:fldChar w:fldCharType="separate"/>
          </w:r>
          <w:r>
            <w:rPr>
              <w:color w:val="auto"/>
            </w:rPr>
            <w:t>5</w:t>
          </w:r>
          <w:r>
            <w:rPr>
              <w:color w:val="auto"/>
            </w:rPr>
            <w:fldChar w:fldCharType="end"/>
          </w:r>
          <w:r>
            <w:rPr>
              <w:color w:val="auto"/>
            </w:rPr>
            <w:fldChar w:fldCharType="end"/>
          </w:r>
        </w:p>
        <w:p w14:paraId="656650C0">
          <w:pPr>
            <w:pStyle w:val="7"/>
            <w:tabs>
              <w:tab w:val="right" w:leader="dot" w:pos="8306"/>
            </w:tabs>
            <w:rPr>
              <w:color w:val="auto"/>
            </w:rPr>
          </w:pPr>
          <w:r>
            <w:rPr>
              <w:color w:val="auto"/>
            </w:rPr>
            <w:fldChar w:fldCharType="begin"/>
          </w:r>
          <w:r>
            <w:rPr>
              <w:color w:val="auto"/>
            </w:rPr>
            <w:instrText xml:space="preserve"> HYPERLINK \l _Toc17565 </w:instrText>
          </w:r>
          <w:r>
            <w:rPr>
              <w:color w:val="auto"/>
            </w:rPr>
            <w:fldChar w:fldCharType="separate"/>
          </w:r>
          <w:r>
            <w:rPr>
              <w:rFonts w:hint="eastAsia"/>
              <w:color w:val="auto"/>
              <w:lang w:val="en-US" w:eastAsia="zh-CN"/>
            </w:rPr>
            <w:t>五、三甲综合医院同类项目案例</w:t>
          </w:r>
          <w:r>
            <w:rPr>
              <w:color w:val="auto"/>
            </w:rPr>
            <w:tab/>
          </w:r>
          <w:r>
            <w:rPr>
              <w:color w:val="auto"/>
            </w:rPr>
            <w:fldChar w:fldCharType="begin"/>
          </w:r>
          <w:r>
            <w:rPr>
              <w:color w:val="auto"/>
            </w:rPr>
            <w:instrText xml:space="preserve"> PAGEREF _Toc17565 \h </w:instrText>
          </w:r>
          <w:r>
            <w:rPr>
              <w:color w:val="auto"/>
            </w:rPr>
            <w:fldChar w:fldCharType="separate"/>
          </w:r>
          <w:r>
            <w:rPr>
              <w:color w:val="auto"/>
            </w:rPr>
            <w:t>13</w:t>
          </w:r>
          <w:r>
            <w:rPr>
              <w:color w:val="auto"/>
            </w:rPr>
            <w:fldChar w:fldCharType="end"/>
          </w:r>
          <w:r>
            <w:rPr>
              <w:color w:val="auto"/>
            </w:rPr>
            <w:fldChar w:fldCharType="end"/>
          </w:r>
        </w:p>
        <w:p w14:paraId="4CE2DCED">
          <w:pPr>
            <w:pStyle w:val="8"/>
            <w:tabs>
              <w:tab w:val="right" w:leader="dot" w:pos="8306"/>
            </w:tabs>
            <w:rPr>
              <w:color w:val="auto"/>
            </w:rPr>
          </w:pPr>
          <w:r>
            <w:rPr>
              <w:color w:val="auto"/>
            </w:rPr>
            <w:fldChar w:fldCharType="begin"/>
          </w:r>
          <w:r>
            <w:rPr>
              <w:color w:val="auto"/>
            </w:rPr>
            <w:instrText xml:space="preserve"> HYPERLINK \l _Toc29430 </w:instrText>
          </w:r>
          <w:r>
            <w:rPr>
              <w:color w:val="auto"/>
            </w:rPr>
            <w:fldChar w:fldCharType="separate"/>
          </w:r>
          <w:r>
            <w:rPr>
              <w:rFonts w:hint="eastAsia"/>
              <w:color w:val="auto"/>
              <w:lang w:val="en-US" w:eastAsia="zh-CN"/>
            </w:rPr>
            <w:t>4.1四川省内（）家</w:t>
          </w:r>
          <w:r>
            <w:rPr>
              <w:color w:val="auto"/>
            </w:rPr>
            <w:tab/>
          </w:r>
          <w:r>
            <w:rPr>
              <w:color w:val="auto"/>
            </w:rPr>
            <w:fldChar w:fldCharType="begin"/>
          </w:r>
          <w:r>
            <w:rPr>
              <w:color w:val="auto"/>
            </w:rPr>
            <w:instrText xml:space="preserve"> PAGEREF _Toc29430 \h </w:instrText>
          </w:r>
          <w:r>
            <w:rPr>
              <w:color w:val="auto"/>
            </w:rPr>
            <w:fldChar w:fldCharType="separate"/>
          </w:r>
          <w:r>
            <w:rPr>
              <w:color w:val="auto"/>
            </w:rPr>
            <w:t>13</w:t>
          </w:r>
          <w:r>
            <w:rPr>
              <w:color w:val="auto"/>
            </w:rPr>
            <w:fldChar w:fldCharType="end"/>
          </w:r>
          <w:r>
            <w:rPr>
              <w:color w:val="auto"/>
            </w:rPr>
            <w:fldChar w:fldCharType="end"/>
          </w:r>
        </w:p>
        <w:p w14:paraId="4D3E0FFA">
          <w:pPr>
            <w:pStyle w:val="8"/>
            <w:tabs>
              <w:tab w:val="right" w:leader="dot" w:pos="8306"/>
            </w:tabs>
            <w:rPr>
              <w:color w:val="auto"/>
            </w:rPr>
          </w:pPr>
          <w:r>
            <w:rPr>
              <w:color w:val="auto"/>
            </w:rPr>
            <w:fldChar w:fldCharType="begin"/>
          </w:r>
          <w:r>
            <w:rPr>
              <w:color w:val="auto"/>
            </w:rPr>
            <w:instrText xml:space="preserve"> HYPERLINK \l _Toc8493 </w:instrText>
          </w:r>
          <w:r>
            <w:rPr>
              <w:color w:val="auto"/>
            </w:rPr>
            <w:fldChar w:fldCharType="separate"/>
          </w:r>
          <w:r>
            <w:rPr>
              <w:rFonts w:hint="eastAsia"/>
              <w:color w:val="auto"/>
              <w:lang w:val="en-US" w:eastAsia="zh-CN"/>
            </w:rPr>
            <w:t>4.1四川省外（）家</w:t>
          </w:r>
          <w:r>
            <w:rPr>
              <w:color w:val="auto"/>
            </w:rPr>
            <w:tab/>
          </w:r>
          <w:r>
            <w:rPr>
              <w:color w:val="auto"/>
            </w:rPr>
            <w:fldChar w:fldCharType="begin"/>
          </w:r>
          <w:r>
            <w:rPr>
              <w:color w:val="auto"/>
            </w:rPr>
            <w:instrText xml:space="preserve"> PAGEREF _Toc8493 \h </w:instrText>
          </w:r>
          <w:r>
            <w:rPr>
              <w:color w:val="auto"/>
            </w:rPr>
            <w:fldChar w:fldCharType="separate"/>
          </w:r>
          <w:r>
            <w:rPr>
              <w:color w:val="auto"/>
            </w:rPr>
            <w:t>13</w:t>
          </w:r>
          <w:r>
            <w:rPr>
              <w:color w:val="auto"/>
            </w:rPr>
            <w:fldChar w:fldCharType="end"/>
          </w:r>
          <w:r>
            <w:rPr>
              <w:color w:val="auto"/>
            </w:rPr>
            <w:fldChar w:fldCharType="end"/>
          </w:r>
        </w:p>
        <w:p w14:paraId="16B5F3C0">
          <w:pPr>
            <w:pStyle w:val="8"/>
            <w:tabs>
              <w:tab w:val="right" w:leader="dot" w:pos="8306"/>
            </w:tabs>
            <w:rPr>
              <w:color w:val="auto"/>
            </w:rPr>
          </w:pPr>
          <w:r>
            <w:rPr>
              <w:color w:val="auto"/>
            </w:rPr>
            <w:fldChar w:fldCharType="begin"/>
          </w:r>
          <w:r>
            <w:rPr>
              <w:color w:val="auto"/>
            </w:rPr>
            <w:instrText xml:space="preserve"> HYPERLINK \l _Toc7986 </w:instrText>
          </w:r>
          <w:r>
            <w:rPr>
              <w:color w:val="auto"/>
            </w:rPr>
            <w:fldChar w:fldCharType="separate"/>
          </w:r>
          <w:r>
            <w:rPr>
              <w:rFonts w:hint="eastAsia"/>
              <w:color w:val="auto"/>
              <w:lang w:val="en-US" w:eastAsia="zh-CN"/>
            </w:rPr>
            <w:t>4.3三甲综合医院同类项目案例合同及验收佐证</w:t>
          </w:r>
          <w:r>
            <w:rPr>
              <w:color w:val="auto"/>
            </w:rPr>
            <w:tab/>
          </w:r>
          <w:r>
            <w:rPr>
              <w:color w:val="auto"/>
            </w:rPr>
            <w:fldChar w:fldCharType="begin"/>
          </w:r>
          <w:r>
            <w:rPr>
              <w:color w:val="auto"/>
            </w:rPr>
            <w:instrText xml:space="preserve"> PAGEREF _Toc7986 \h </w:instrText>
          </w:r>
          <w:r>
            <w:rPr>
              <w:color w:val="auto"/>
            </w:rPr>
            <w:fldChar w:fldCharType="separate"/>
          </w:r>
          <w:r>
            <w:rPr>
              <w:color w:val="auto"/>
            </w:rPr>
            <w:t>13</w:t>
          </w:r>
          <w:r>
            <w:rPr>
              <w:color w:val="auto"/>
            </w:rPr>
            <w:fldChar w:fldCharType="end"/>
          </w:r>
          <w:r>
            <w:rPr>
              <w:color w:val="auto"/>
            </w:rPr>
            <w:fldChar w:fldCharType="end"/>
          </w:r>
        </w:p>
        <w:p w14:paraId="79F2F0E6">
          <w:pPr>
            <w:pStyle w:val="7"/>
            <w:tabs>
              <w:tab w:val="right" w:leader="dot" w:pos="8306"/>
            </w:tabs>
            <w:rPr>
              <w:color w:val="auto"/>
            </w:rPr>
          </w:pPr>
          <w:r>
            <w:rPr>
              <w:color w:val="auto"/>
            </w:rPr>
            <w:fldChar w:fldCharType="begin"/>
          </w:r>
          <w:r>
            <w:rPr>
              <w:color w:val="auto"/>
            </w:rPr>
            <w:instrText xml:space="preserve"> HYPERLINK \l _Toc11734 </w:instrText>
          </w:r>
          <w:r>
            <w:rPr>
              <w:color w:val="auto"/>
            </w:rPr>
            <w:fldChar w:fldCharType="separate"/>
          </w:r>
          <w:r>
            <w:rPr>
              <w:rFonts w:hint="eastAsia"/>
              <w:color w:val="auto"/>
              <w:lang w:val="en-US" w:eastAsia="zh-CN"/>
            </w:rPr>
            <w:t>六、服务方案</w:t>
          </w:r>
          <w:r>
            <w:rPr>
              <w:color w:val="auto"/>
            </w:rPr>
            <w:tab/>
          </w:r>
          <w:r>
            <w:rPr>
              <w:color w:val="auto"/>
            </w:rPr>
            <w:fldChar w:fldCharType="begin"/>
          </w:r>
          <w:r>
            <w:rPr>
              <w:color w:val="auto"/>
            </w:rPr>
            <w:instrText xml:space="preserve"> PAGEREF _Toc11734 \h </w:instrText>
          </w:r>
          <w:r>
            <w:rPr>
              <w:color w:val="auto"/>
            </w:rPr>
            <w:fldChar w:fldCharType="separate"/>
          </w:r>
          <w:r>
            <w:rPr>
              <w:color w:val="auto"/>
            </w:rPr>
            <w:t>13</w:t>
          </w:r>
          <w:r>
            <w:rPr>
              <w:color w:val="auto"/>
            </w:rPr>
            <w:fldChar w:fldCharType="end"/>
          </w:r>
          <w:r>
            <w:rPr>
              <w:color w:val="auto"/>
            </w:rPr>
            <w:fldChar w:fldCharType="end"/>
          </w:r>
        </w:p>
        <w:p w14:paraId="38BE21BE">
          <w:pPr>
            <w:rPr>
              <w:color w:val="auto"/>
            </w:rPr>
          </w:pPr>
          <w:r>
            <w:rPr>
              <w:color w:val="auto"/>
            </w:rPr>
            <w:fldChar w:fldCharType="end"/>
          </w:r>
        </w:p>
      </w:sdtContent>
    </w:sdt>
    <w:p w14:paraId="2E5D1581">
      <w:pPr>
        <w:rPr>
          <w:color w:val="auto"/>
        </w:rPr>
      </w:pPr>
    </w:p>
    <w:p w14:paraId="6938E4CD">
      <w:pPr>
        <w:rPr>
          <w:color w:val="auto"/>
        </w:rPr>
      </w:pPr>
    </w:p>
    <w:p w14:paraId="3E7DB8D0">
      <w:pPr>
        <w:rPr>
          <w:color w:val="auto"/>
        </w:rPr>
      </w:pPr>
    </w:p>
    <w:p w14:paraId="220B98ED">
      <w:pPr>
        <w:rPr>
          <w:color w:val="auto"/>
        </w:rPr>
      </w:pPr>
    </w:p>
    <w:p w14:paraId="1EE74401">
      <w:pPr>
        <w:rPr>
          <w:color w:val="auto"/>
        </w:rPr>
      </w:pPr>
    </w:p>
    <w:p w14:paraId="6F4D08CE">
      <w:pPr>
        <w:rPr>
          <w:color w:val="auto"/>
        </w:rPr>
      </w:pPr>
    </w:p>
    <w:p w14:paraId="7CFEB6C7">
      <w:pPr>
        <w:rPr>
          <w:color w:val="auto"/>
        </w:rPr>
      </w:pPr>
    </w:p>
    <w:p w14:paraId="0D767778">
      <w:pPr>
        <w:rPr>
          <w:color w:val="auto"/>
        </w:rPr>
      </w:pPr>
    </w:p>
    <w:p w14:paraId="07BCC5F4">
      <w:pPr>
        <w:rPr>
          <w:color w:val="auto"/>
        </w:rPr>
      </w:pPr>
    </w:p>
    <w:p w14:paraId="1182D410">
      <w:pPr>
        <w:rPr>
          <w:color w:val="auto"/>
        </w:rPr>
      </w:pPr>
    </w:p>
    <w:p w14:paraId="3C415913">
      <w:pPr>
        <w:rPr>
          <w:color w:val="auto"/>
        </w:rPr>
        <w:sectPr>
          <w:pgSz w:w="11906" w:h="16838"/>
          <w:pgMar w:top="2098" w:right="1474" w:bottom="1984" w:left="1587" w:header="851" w:footer="992" w:gutter="0"/>
          <w:cols w:space="425" w:num="1"/>
          <w:docGrid w:type="lines" w:linePitch="312" w:charSpace="0"/>
        </w:sectPr>
      </w:pPr>
    </w:p>
    <w:p w14:paraId="4FF2292F">
      <w:pPr>
        <w:pStyle w:val="2"/>
        <w:keepNext/>
        <w:keepLines/>
        <w:pageBreakBefore w:val="0"/>
        <w:widowControl w:val="0"/>
        <w:numPr>
          <w:ilvl w:val="0"/>
          <w:numId w:val="1"/>
        </w:numPr>
        <w:kinsoku/>
        <w:wordWrap/>
        <w:overflowPunct/>
        <w:topLinePunct w:val="0"/>
        <w:autoSpaceDE/>
        <w:autoSpaceDN/>
        <w:bidi w:val="0"/>
        <w:adjustRightInd/>
        <w:snapToGrid/>
        <w:spacing w:before="100" w:after="100"/>
        <w:jc w:val="both"/>
        <w:textAlignment w:val="auto"/>
        <w:rPr>
          <w:rFonts w:hint="eastAsia"/>
          <w:color w:val="auto"/>
        </w:rPr>
      </w:pPr>
      <w:bookmarkStart w:id="1" w:name="_Toc25232"/>
      <w:bookmarkStart w:id="2" w:name="_Toc152045808"/>
      <w:bookmarkStart w:id="3" w:name="_Toc427002393"/>
      <w:bookmarkStart w:id="4" w:name="_Toc7415"/>
      <w:bookmarkStart w:id="5" w:name="_Toc10065"/>
      <w:bookmarkStart w:id="6" w:name="_Toc152042597"/>
      <w:bookmarkStart w:id="7" w:name="_Toc144974876"/>
      <w:bookmarkStart w:id="8" w:name="_Toc247527848"/>
      <w:bookmarkStart w:id="9" w:name="_Toc247514300"/>
      <w:r>
        <w:rPr>
          <w:rFonts w:hint="eastAsia"/>
          <w:color w:val="auto"/>
        </w:rPr>
        <w:t>报名</w:t>
      </w:r>
      <w:r>
        <w:rPr>
          <w:rFonts w:hint="eastAsia"/>
          <w:color w:val="auto"/>
          <w:lang w:eastAsia="zh-CN"/>
        </w:rPr>
        <w:t>登记</w:t>
      </w:r>
      <w:r>
        <w:rPr>
          <w:rFonts w:hint="eastAsia"/>
          <w:color w:val="auto"/>
        </w:rPr>
        <w:t>表</w:t>
      </w:r>
      <w:bookmarkEnd w:id="1"/>
      <w:bookmarkEnd w:id="2"/>
      <w:bookmarkEnd w:id="3"/>
      <w:bookmarkEnd w:id="4"/>
      <w:bookmarkEnd w:id="5"/>
      <w:bookmarkEnd w:id="6"/>
      <w:bookmarkEnd w:id="7"/>
      <w:bookmarkEnd w:id="8"/>
      <w:bookmarkEnd w:id="9"/>
    </w:p>
    <w:tbl>
      <w:tblPr>
        <w:tblStyle w:val="10"/>
        <w:tblW w:w="54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1511"/>
        <w:gridCol w:w="1026"/>
        <w:gridCol w:w="1282"/>
        <w:gridCol w:w="2254"/>
        <w:gridCol w:w="1108"/>
        <w:gridCol w:w="1568"/>
      </w:tblGrid>
      <w:tr w14:paraId="12EFC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00" w:type="pct"/>
            <w:tcBorders>
              <w:top w:val="single" w:color="000000" w:sz="8" w:space="0"/>
              <w:left w:val="single" w:color="000000" w:sz="8" w:space="0"/>
              <w:bottom w:val="single" w:color="000000" w:sz="4" w:space="0"/>
              <w:right w:val="single" w:color="000000" w:sz="4" w:space="0"/>
            </w:tcBorders>
            <w:shd w:val="clear" w:color="auto" w:fill="auto"/>
            <w:vAlign w:val="center"/>
          </w:tcPr>
          <w:p w14:paraId="0A5DAE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81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4B641D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各潜在供应商名称</w:t>
            </w:r>
          </w:p>
        </w:tc>
        <w:tc>
          <w:tcPr>
            <w:tcW w:w="55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2C227A2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联系人</w:t>
            </w:r>
          </w:p>
        </w:tc>
        <w:tc>
          <w:tcPr>
            <w:tcW w:w="688" w:type="pct"/>
            <w:tcBorders>
              <w:top w:val="single" w:color="000000" w:sz="8" w:space="0"/>
              <w:left w:val="single" w:color="000000" w:sz="4" w:space="0"/>
              <w:bottom w:val="single" w:color="000000" w:sz="4" w:space="0"/>
              <w:right w:val="single" w:color="000000" w:sz="4" w:space="0"/>
            </w:tcBorders>
            <w:shd w:val="clear" w:color="auto" w:fill="auto"/>
            <w:vAlign w:val="center"/>
          </w:tcPr>
          <w:p w14:paraId="1F66339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联系电话</w:t>
            </w:r>
          </w:p>
        </w:tc>
        <w:tc>
          <w:tcPr>
            <w:tcW w:w="1210"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837672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联系邮箱</w:t>
            </w:r>
          </w:p>
          <w:p w14:paraId="5808F8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（与报名邮箱一致）</w:t>
            </w:r>
          </w:p>
        </w:tc>
        <w:tc>
          <w:tcPr>
            <w:tcW w:w="595" w:type="pct"/>
            <w:tcBorders>
              <w:top w:val="single" w:color="000000" w:sz="8" w:space="0"/>
              <w:left w:val="single" w:color="000000" w:sz="4" w:space="0"/>
              <w:bottom w:val="single" w:color="000000" w:sz="4" w:space="0"/>
              <w:right w:val="single" w:color="000000" w:sz="8" w:space="0"/>
            </w:tcBorders>
            <w:shd w:val="clear" w:color="auto" w:fill="auto"/>
            <w:vAlign w:val="center"/>
          </w:tcPr>
          <w:p w14:paraId="7E8A6167">
            <w:pPr>
              <w:jc w:val="center"/>
              <w:rPr>
                <w:rFonts w:hint="eastAsia"/>
                <w:color w:val="auto"/>
              </w:rPr>
            </w:pPr>
            <w:r>
              <w:rPr>
                <w:rFonts w:hint="eastAsia" w:ascii="宋体" w:hAnsi="宋体" w:eastAsia="宋体" w:cs="宋体"/>
                <w:i w:val="0"/>
                <w:iCs w:val="0"/>
                <w:color w:val="auto"/>
                <w:kern w:val="0"/>
                <w:sz w:val="24"/>
                <w:szCs w:val="24"/>
                <w:u w:val="none"/>
                <w:lang w:val="en-US" w:eastAsia="zh-CN" w:bidi="ar"/>
              </w:rPr>
              <w:t>是否为中小企业</w:t>
            </w:r>
          </w:p>
        </w:tc>
        <w:tc>
          <w:tcPr>
            <w:tcW w:w="842" w:type="pct"/>
            <w:tcBorders>
              <w:top w:val="single" w:color="000000" w:sz="8" w:space="0"/>
              <w:left w:val="single" w:color="000000" w:sz="4" w:space="0"/>
              <w:bottom w:val="single" w:color="000000" w:sz="4" w:space="0"/>
              <w:right w:val="single" w:color="000000" w:sz="8" w:space="0"/>
            </w:tcBorders>
            <w:shd w:val="clear" w:color="auto" w:fill="auto"/>
            <w:vAlign w:val="center"/>
          </w:tcPr>
          <w:p w14:paraId="62E5DDF6">
            <w:pPr>
              <w:jc w:val="center"/>
              <w:rPr>
                <w:rFonts w:hint="default"/>
                <w:color w:val="auto"/>
                <w:lang w:val="en-US" w:eastAsia="zh-CN"/>
              </w:rPr>
            </w:pPr>
            <w:r>
              <w:rPr>
                <w:rFonts w:hint="eastAsia" w:ascii="宋体" w:hAnsi="宋体" w:eastAsia="宋体" w:cs="宋体"/>
                <w:i w:val="0"/>
                <w:iCs w:val="0"/>
                <w:color w:val="auto"/>
                <w:kern w:val="0"/>
                <w:sz w:val="24"/>
                <w:szCs w:val="24"/>
                <w:u w:val="none"/>
                <w:lang w:val="en-US" w:eastAsia="zh-CN" w:bidi="ar"/>
              </w:rPr>
              <w:t>备注</w:t>
            </w:r>
          </w:p>
        </w:tc>
      </w:tr>
      <w:tr w14:paraId="3EA31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00" w:type="pct"/>
            <w:tcBorders>
              <w:top w:val="single" w:color="000000" w:sz="4" w:space="0"/>
              <w:left w:val="single" w:color="000000" w:sz="8" w:space="0"/>
              <w:bottom w:val="single" w:color="000000" w:sz="8" w:space="0"/>
              <w:right w:val="single" w:color="000000" w:sz="4" w:space="0"/>
            </w:tcBorders>
            <w:shd w:val="clear" w:color="auto" w:fill="auto"/>
            <w:vAlign w:val="center"/>
          </w:tcPr>
          <w:p w14:paraId="72FCE37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1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65EAFBC">
            <w:pPr>
              <w:jc w:val="center"/>
              <w:rPr>
                <w:rFonts w:hint="eastAsia" w:ascii="宋体" w:hAnsi="宋体" w:eastAsia="宋体" w:cs="宋体"/>
                <w:i w:val="0"/>
                <w:iCs w:val="0"/>
                <w:color w:val="auto"/>
                <w:sz w:val="24"/>
                <w:szCs w:val="24"/>
                <w:u w:val="none"/>
              </w:rPr>
            </w:pPr>
          </w:p>
        </w:tc>
        <w:tc>
          <w:tcPr>
            <w:tcW w:w="55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5DA0612">
            <w:pPr>
              <w:jc w:val="center"/>
              <w:rPr>
                <w:rFonts w:hint="eastAsia" w:ascii="宋体" w:hAnsi="宋体" w:eastAsia="宋体" w:cs="宋体"/>
                <w:i w:val="0"/>
                <w:iCs w:val="0"/>
                <w:color w:val="auto"/>
                <w:sz w:val="24"/>
                <w:szCs w:val="24"/>
                <w:u w:val="none"/>
              </w:rPr>
            </w:pPr>
          </w:p>
        </w:tc>
        <w:tc>
          <w:tcPr>
            <w:tcW w:w="688" w:type="pct"/>
            <w:tcBorders>
              <w:top w:val="single" w:color="000000" w:sz="4" w:space="0"/>
              <w:left w:val="single" w:color="000000" w:sz="4" w:space="0"/>
              <w:bottom w:val="single" w:color="000000" w:sz="8" w:space="0"/>
              <w:right w:val="single" w:color="000000" w:sz="4" w:space="0"/>
            </w:tcBorders>
            <w:shd w:val="clear" w:color="auto" w:fill="auto"/>
            <w:vAlign w:val="center"/>
          </w:tcPr>
          <w:p w14:paraId="1820933A">
            <w:pPr>
              <w:jc w:val="center"/>
              <w:rPr>
                <w:rFonts w:hint="eastAsia" w:ascii="宋体" w:hAnsi="宋体" w:eastAsia="宋体" w:cs="宋体"/>
                <w:i w:val="0"/>
                <w:iCs w:val="0"/>
                <w:color w:val="auto"/>
                <w:sz w:val="24"/>
                <w:szCs w:val="24"/>
                <w:u w:val="none"/>
              </w:rPr>
            </w:pPr>
          </w:p>
        </w:tc>
        <w:tc>
          <w:tcPr>
            <w:tcW w:w="1210"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6B782C9">
            <w:pPr>
              <w:jc w:val="center"/>
              <w:rPr>
                <w:rFonts w:hint="eastAsia" w:ascii="宋体" w:hAnsi="宋体" w:eastAsia="宋体" w:cs="宋体"/>
                <w:i w:val="0"/>
                <w:iCs w:val="0"/>
                <w:color w:val="auto"/>
                <w:sz w:val="24"/>
                <w:szCs w:val="24"/>
                <w:u w:val="none"/>
              </w:rPr>
            </w:pPr>
          </w:p>
        </w:tc>
        <w:tc>
          <w:tcPr>
            <w:tcW w:w="595"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685406CE">
            <w:pPr>
              <w:jc w:val="center"/>
              <w:rPr>
                <w:rFonts w:hint="eastAsia" w:ascii="宋体" w:hAnsi="宋体" w:eastAsia="宋体" w:cs="宋体"/>
                <w:i w:val="0"/>
                <w:iCs w:val="0"/>
                <w:color w:val="auto"/>
                <w:sz w:val="24"/>
                <w:szCs w:val="24"/>
                <w:u w:val="none"/>
              </w:rPr>
            </w:pPr>
          </w:p>
        </w:tc>
        <w:tc>
          <w:tcPr>
            <w:tcW w:w="84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591B3249">
            <w:pPr>
              <w:jc w:val="center"/>
              <w:rPr>
                <w:rFonts w:hint="eastAsia" w:ascii="宋体" w:hAnsi="宋体" w:eastAsia="宋体" w:cs="宋体"/>
                <w:i w:val="0"/>
                <w:iCs w:val="0"/>
                <w:color w:val="auto"/>
                <w:sz w:val="24"/>
                <w:szCs w:val="24"/>
                <w:u w:val="none"/>
              </w:rPr>
            </w:pPr>
          </w:p>
        </w:tc>
      </w:tr>
    </w:tbl>
    <w:p w14:paraId="156D1238">
      <w:pPr>
        <w:numPr>
          <w:ilvl w:val="0"/>
          <w:numId w:val="0"/>
        </w:numPr>
        <w:rPr>
          <w:rFonts w:hint="eastAsia"/>
          <w:color w:val="auto"/>
        </w:rPr>
      </w:pPr>
    </w:p>
    <w:p w14:paraId="6243BC17">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color w:val="auto"/>
          <w:lang w:val="en-US" w:eastAsia="zh-CN"/>
        </w:rPr>
      </w:pPr>
      <w:bookmarkStart w:id="10" w:name="_Toc2616"/>
      <w:bookmarkStart w:id="11" w:name="_Toc2669"/>
      <w:r>
        <w:rPr>
          <w:rFonts w:hint="eastAsia"/>
          <w:color w:val="auto"/>
          <w:lang w:val="en-US" w:eastAsia="zh-CN"/>
        </w:rPr>
        <w:t>二、资质：</w:t>
      </w:r>
      <w:bookmarkEnd w:id="10"/>
    </w:p>
    <w:p w14:paraId="00A9358C">
      <w:pPr>
        <w:pStyle w:val="3"/>
        <w:bidi w:val="0"/>
        <w:rPr>
          <w:rFonts w:hint="eastAsia"/>
          <w:color w:val="auto"/>
        </w:rPr>
      </w:pPr>
      <w:bookmarkStart w:id="12" w:name="_Toc21365"/>
      <w:r>
        <w:rPr>
          <w:rFonts w:hint="eastAsia"/>
          <w:color w:val="auto"/>
          <w:lang w:val="en-US" w:eastAsia="zh-CN"/>
        </w:rPr>
        <w:t>1.1</w:t>
      </w:r>
      <w:r>
        <w:rPr>
          <w:rFonts w:hint="eastAsia"/>
          <w:color w:val="auto"/>
        </w:rPr>
        <w:t>营业执照</w:t>
      </w:r>
      <w:bookmarkEnd w:id="11"/>
      <w:bookmarkEnd w:id="12"/>
      <w:bookmarkStart w:id="13" w:name="_Toc3036"/>
    </w:p>
    <w:p w14:paraId="24C0CCC9">
      <w:pPr>
        <w:pStyle w:val="3"/>
        <w:bidi w:val="0"/>
        <w:rPr>
          <w:rFonts w:hint="eastAsia"/>
          <w:color w:val="auto"/>
          <w:lang w:val="en-US" w:eastAsia="zh-CN"/>
        </w:rPr>
      </w:pPr>
      <w:bookmarkStart w:id="14" w:name="_Toc15889"/>
      <w:r>
        <w:rPr>
          <w:rFonts w:hint="eastAsia"/>
          <w:color w:val="auto"/>
          <w:lang w:val="en-US" w:eastAsia="zh-CN"/>
        </w:rPr>
        <w:t>1.1</w:t>
      </w:r>
      <w:r>
        <w:rPr>
          <w:rFonts w:hint="eastAsia"/>
          <w:color w:val="auto"/>
          <w:lang w:eastAsia="zh-CN"/>
        </w:rPr>
        <w:t>法定代表人授权书</w:t>
      </w:r>
      <w:bookmarkEnd w:id="13"/>
      <w:bookmarkEnd w:id="14"/>
    </w:p>
    <w:p w14:paraId="0B774947">
      <w:pPr>
        <w:pStyle w:val="3"/>
        <w:bidi w:val="0"/>
        <w:rPr>
          <w:rFonts w:hint="eastAsia"/>
          <w:color w:val="auto"/>
          <w:lang w:eastAsia="zh-CN"/>
        </w:rPr>
      </w:pPr>
      <w:bookmarkStart w:id="15" w:name="_Toc5131"/>
      <w:bookmarkStart w:id="16" w:name="_Toc22138"/>
      <w:r>
        <w:rPr>
          <w:rFonts w:hint="eastAsia"/>
          <w:color w:val="auto"/>
          <w:lang w:val="en-US" w:eastAsia="zh-CN"/>
        </w:rPr>
        <w:t>1.3</w:t>
      </w:r>
      <w:r>
        <w:rPr>
          <w:rFonts w:hint="eastAsia"/>
          <w:color w:val="auto"/>
          <w:lang w:eastAsia="zh-CN"/>
        </w:rPr>
        <w:t>法人及被授权人身份证</w:t>
      </w:r>
      <w:bookmarkEnd w:id="15"/>
      <w:bookmarkEnd w:id="16"/>
    </w:p>
    <w:p w14:paraId="0EE4FDF7">
      <w:pPr>
        <w:pStyle w:val="3"/>
        <w:bidi w:val="0"/>
        <w:rPr>
          <w:rFonts w:hint="eastAsia"/>
          <w:color w:val="auto"/>
          <w:lang w:eastAsia="zh-CN"/>
        </w:rPr>
      </w:pPr>
      <w:bookmarkStart w:id="17" w:name="_Toc22588"/>
      <w:bookmarkStart w:id="18" w:name="_Toc17143"/>
      <w:r>
        <w:rPr>
          <w:rFonts w:hint="eastAsia"/>
          <w:color w:val="auto"/>
          <w:lang w:val="en-US" w:eastAsia="zh-CN"/>
        </w:rPr>
        <w:t>1.4</w:t>
      </w:r>
      <w:r>
        <w:rPr>
          <w:rFonts w:hint="eastAsia"/>
          <w:color w:val="auto"/>
          <w:lang w:eastAsia="zh-CN"/>
        </w:rPr>
        <w:t>公司资质</w:t>
      </w:r>
      <w:bookmarkEnd w:id="17"/>
      <w:bookmarkEnd w:id="18"/>
    </w:p>
    <w:p w14:paraId="11524558">
      <w:pPr>
        <w:pStyle w:val="3"/>
        <w:bidi w:val="0"/>
        <w:rPr>
          <w:rFonts w:hint="default"/>
          <w:color w:val="auto"/>
          <w:lang w:val="en-US" w:eastAsia="zh-CN"/>
        </w:rPr>
      </w:pPr>
      <w:bookmarkStart w:id="19" w:name="_Toc24835"/>
      <w:r>
        <w:rPr>
          <w:rFonts w:hint="eastAsia"/>
          <w:color w:val="auto"/>
          <w:lang w:val="en-US" w:eastAsia="zh-CN"/>
        </w:rPr>
        <w:t>1.5软件资质</w:t>
      </w:r>
      <w:bookmarkEnd w:id="19"/>
    </w:p>
    <w:p w14:paraId="14205E1B">
      <w:pPr>
        <w:pStyle w:val="3"/>
        <w:bidi w:val="0"/>
        <w:rPr>
          <w:rFonts w:hint="eastAsia"/>
          <w:color w:val="auto"/>
          <w:lang w:eastAsia="zh-CN"/>
        </w:rPr>
      </w:pPr>
      <w:bookmarkStart w:id="20" w:name="_Toc11995"/>
      <w:bookmarkStart w:id="21" w:name="_Toc3652"/>
      <w:r>
        <w:rPr>
          <w:rFonts w:hint="eastAsia"/>
          <w:color w:val="auto"/>
          <w:lang w:val="en-US" w:eastAsia="zh-CN"/>
        </w:rPr>
        <w:t>1.6本项目涉及</w:t>
      </w:r>
      <w:r>
        <w:rPr>
          <w:rFonts w:hint="eastAsia"/>
          <w:color w:val="auto"/>
          <w:lang w:eastAsia="zh-CN"/>
        </w:rPr>
        <w:t>资质</w:t>
      </w:r>
      <w:bookmarkEnd w:id="20"/>
      <w:bookmarkEnd w:id="21"/>
    </w:p>
    <w:p w14:paraId="7465D186">
      <w:pPr>
        <w:pStyle w:val="3"/>
        <w:bidi w:val="0"/>
        <w:rPr>
          <w:rFonts w:hint="eastAsia" w:ascii="宋体" w:hAnsi="宋体" w:eastAsia="宋体" w:cs="宋体"/>
          <w:color w:val="auto"/>
          <w:sz w:val="24"/>
          <w:szCs w:val="24"/>
        </w:rPr>
      </w:pPr>
      <w:bookmarkStart w:id="22" w:name="_Toc6788"/>
      <w:bookmarkStart w:id="23" w:name="_Toc21787"/>
      <w:r>
        <w:rPr>
          <w:rFonts w:hint="eastAsia"/>
          <w:b/>
          <w:color w:val="auto"/>
          <w:lang w:val="en-US" w:eastAsia="zh-CN"/>
        </w:rPr>
        <w:t>1.7开发商委托销售授权函</w:t>
      </w:r>
      <w:bookmarkEnd w:id="22"/>
      <w:bookmarkEnd w:id="23"/>
    </w:p>
    <w:p w14:paraId="4AB46103">
      <w:pPr>
        <w:pStyle w:val="2"/>
        <w:keepNext/>
        <w:keepLines/>
        <w:pageBreakBefore w:val="0"/>
        <w:widowControl w:val="0"/>
        <w:numPr>
          <w:ilvl w:val="0"/>
          <w:numId w:val="0"/>
        </w:numPr>
        <w:kinsoku/>
        <w:wordWrap/>
        <w:overflowPunct/>
        <w:topLinePunct w:val="0"/>
        <w:autoSpaceDE/>
        <w:autoSpaceDN/>
        <w:bidi w:val="0"/>
        <w:adjustRightInd/>
        <w:snapToGrid/>
        <w:spacing w:before="100" w:after="100"/>
        <w:jc w:val="both"/>
        <w:textAlignment w:val="auto"/>
        <w:rPr>
          <w:rFonts w:hint="default"/>
          <w:color w:val="auto"/>
          <w:lang w:val="en-US" w:eastAsia="zh-CN"/>
        </w:rPr>
      </w:pPr>
      <w:bookmarkStart w:id="24" w:name="_Toc20019"/>
      <w:r>
        <w:rPr>
          <w:rFonts w:hint="eastAsia"/>
          <w:color w:val="auto"/>
          <w:lang w:val="en-US" w:eastAsia="zh-CN"/>
        </w:rPr>
        <w:t>三、单一来源说明及佐证材料</w:t>
      </w:r>
      <w:bookmarkEnd w:id="24"/>
    </w:p>
    <w:p w14:paraId="24E5603C">
      <w:pPr>
        <w:pStyle w:val="14"/>
        <w:rPr>
          <w:rFonts w:hint="eastAsia" w:ascii="宋体" w:hAnsi="宋体" w:eastAsia="宋体" w:cs="宋体"/>
          <w:color w:val="auto"/>
          <w:sz w:val="24"/>
          <w:szCs w:val="24"/>
        </w:rPr>
      </w:pPr>
    </w:p>
    <w:p w14:paraId="02A67424">
      <w:pPr>
        <w:pStyle w:val="14"/>
        <w:rPr>
          <w:rFonts w:hint="eastAsia" w:ascii="宋体" w:hAnsi="宋体" w:eastAsia="宋体" w:cs="宋体"/>
          <w:color w:val="auto"/>
          <w:sz w:val="24"/>
          <w:szCs w:val="24"/>
        </w:rPr>
      </w:pPr>
    </w:p>
    <w:p w14:paraId="15524A86">
      <w:pPr>
        <w:pStyle w:val="14"/>
        <w:rPr>
          <w:rFonts w:hint="eastAsia" w:ascii="宋体" w:hAnsi="宋体" w:eastAsia="宋体" w:cs="宋体"/>
          <w:color w:val="auto"/>
          <w:sz w:val="24"/>
          <w:szCs w:val="24"/>
        </w:rPr>
      </w:pPr>
    </w:p>
    <w:p w14:paraId="78A5D3B8">
      <w:pPr>
        <w:pStyle w:val="14"/>
        <w:rPr>
          <w:rFonts w:hint="eastAsia" w:ascii="宋体" w:hAnsi="宋体" w:eastAsia="宋体" w:cs="宋体"/>
          <w:color w:val="auto"/>
          <w:sz w:val="24"/>
          <w:szCs w:val="24"/>
        </w:rPr>
      </w:pPr>
    </w:p>
    <w:p w14:paraId="1FB906DD">
      <w:pPr>
        <w:pStyle w:val="14"/>
        <w:rPr>
          <w:rFonts w:hint="eastAsia" w:ascii="宋体" w:hAnsi="宋体" w:eastAsia="宋体" w:cs="宋体"/>
          <w:color w:val="auto"/>
          <w:sz w:val="24"/>
          <w:szCs w:val="24"/>
        </w:rPr>
      </w:pPr>
    </w:p>
    <w:p w14:paraId="6A6FCF73">
      <w:pPr>
        <w:pStyle w:val="14"/>
        <w:rPr>
          <w:rFonts w:hint="eastAsia" w:ascii="宋体" w:hAnsi="宋体" w:eastAsia="宋体" w:cs="宋体"/>
          <w:color w:val="auto"/>
          <w:sz w:val="24"/>
          <w:szCs w:val="24"/>
        </w:rPr>
      </w:pPr>
    </w:p>
    <w:p w14:paraId="193DC50C">
      <w:pPr>
        <w:rPr>
          <w:rFonts w:hint="eastAsia"/>
          <w:color w:val="auto"/>
          <w:lang w:val="en-US" w:eastAsia="zh-CN"/>
        </w:rPr>
        <w:sectPr>
          <w:pgSz w:w="11906" w:h="16838"/>
          <w:pgMar w:top="1440" w:right="1800" w:bottom="1440" w:left="1800" w:header="851" w:footer="992" w:gutter="0"/>
          <w:cols w:space="425" w:num="1"/>
          <w:docGrid w:type="lines" w:linePitch="312" w:charSpace="0"/>
        </w:sectPr>
      </w:pPr>
    </w:p>
    <w:p w14:paraId="386B4170">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color w:val="auto"/>
          <w:lang w:val="en-US" w:eastAsia="zh-CN"/>
        </w:rPr>
      </w:pPr>
      <w:bookmarkStart w:id="25" w:name="_Toc31535"/>
      <w:r>
        <w:rPr>
          <w:rFonts w:hint="eastAsia"/>
          <w:color w:val="auto"/>
          <w:lang w:val="en-US" w:eastAsia="zh-CN"/>
        </w:rPr>
        <w:t>四、项目调研情况一览汇总表</w:t>
      </w:r>
      <w:bookmarkEnd w:id="25"/>
    </w:p>
    <w:p w14:paraId="08955908">
      <w:pPr>
        <w:pStyle w:val="5"/>
        <w:spacing w:line="360" w:lineRule="auto"/>
        <w:ind w:firstLine="720" w:firstLineChars="300"/>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项目名称：</w:t>
      </w:r>
      <w:r>
        <w:rPr>
          <w:rFonts w:hint="eastAsia" w:ascii="仿宋" w:hAnsi="仿宋" w:cs="仿宋"/>
          <w:i w:val="0"/>
          <w:iCs w:val="0"/>
          <w:color w:val="auto"/>
          <w:kern w:val="0"/>
          <w:sz w:val="24"/>
          <w:szCs w:val="24"/>
          <w:u w:val="none"/>
          <w:lang w:val="en-US" w:eastAsia="zh-CN" w:bidi="ar"/>
        </w:rPr>
        <w:t xml:space="preserve">                                                  </w:t>
      </w:r>
      <w:r>
        <w:rPr>
          <w:rFonts w:hint="eastAsia" w:ascii="仿宋" w:hAnsi="仿宋" w:eastAsia="仿宋" w:cs="仿宋"/>
          <w:i w:val="0"/>
          <w:iCs w:val="0"/>
          <w:color w:val="auto"/>
          <w:kern w:val="0"/>
          <w:sz w:val="24"/>
          <w:szCs w:val="24"/>
          <w:u w:val="none"/>
          <w:lang w:val="en-US" w:eastAsia="zh-CN" w:bidi="ar"/>
        </w:rPr>
        <w:t>采购品目分类名称：</w:t>
      </w:r>
    </w:p>
    <w:p w14:paraId="67AC9044">
      <w:pPr>
        <w:pStyle w:val="5"/>
        <w:spacing w:line="360" w:lineRule="auto"/>
        <w:ind w:firstLine="720" w:firstLineChars="300"/>
        <w:rPr>
          <w:rFonts w:hint="eastAsia" w:ascii="仿宋" w:hAnsi="仿宋" w:eastAsia="仿宋" w:cs="仿宋"/>
          <w:i w:val="0"/>
          <w:iCs w:val="0"/>
          <w:color w:val="auto"/>
          <w:kern w:val="0"/>
          <w:sz w:val="24"/>
          <w:szCs w:val="24"/>
          <w:u w:val="none"/>
          <w:lang w:val="en-US" w:eastAsia="zh-CN" w:bidi="ar"/>
        </w:rPr>
      </w:pPr>
      <w:r>
        <w:rPr>
          <w:rFonts w:hint="eastAsia" w:ascii="仿宋" w:hAnsi="仿宋" w:cs="仿宋"/>
          <w:i w:val="0"/>
          <w:iCs w:val="0"/>
          <w:color w:val="auto"/>
          <w:kern w:val="0"/>
          <w:sz w:val="24"/>
          <w:szCs w:val="24"/>
          <w:u w:val="none"/>
          <w:lang w:val="en-US" w:eastAsia="zh-CN" w:bidi="ar"/>
        </w:rPr>
        <w:t>各潜在供应商</w:t>
      </w:r>
      <w:r>
        <w:rPr>
          <w:rFonts w:hint="eastAsia" w:ascii="仿宋" w:hAnsi="仿宋" w:eastAsia="仿宋" w:cs="仿宋"/>
          <w:i w:val="0"/>
          <w:iCs w:val="0"/>
          <w:color w:val="auto"/>
          <w:kern w:val="0"/>
          <w:sz w:val="24"/>
          <w:szCs w:val="24"/>
          <w:u w:val="none"/>
          <w:lang w:val="en-US" w:eastAsia="zh-CN" w:bidi="ar"/>
        </w:rPr>
        <w:t>名称：</w:t>
      </w:r>
      <w:r>
        <w:rPr>
          <w:rFonts w:hint="eastAsia" w:ascii="仿宋" w:hAnsi="仿宋" w:cs="仿宋"/>
          <w:i w:val="0"/>
          <w:iCs w:val="0"/>
          <w:color w:val="auto"/>
          <w:kern w:val="0"/>
          <w:sz w:val="24"/>
          <w:szCs w:val="24"/>
          <w:u w:val="none"/>
          <w:lang w:val="en-US" w:eastAsia="zh-CN" w:bidi="ar"/>
        </w:rPr>
        <w:t xml:space="preserve">                                           </w:t>
      </w:r>
      <w:r>
        <w:rPr>
          <w:rFonts w:hint="eastAsia" w:ascii="仿宋" w:hAnsi="仿宋" w:eastAsia="仿宋" w:cs="仿宋"/>
          <w:i w:val="0"/>
          <w:iCs w:val="0"/>
          <w:color w:val="auto"/>
          <w:kern w:val="0"/>
          <w:sz w:val="24"/>
          <w:szCs w:val="24"/>
          <w:u w:val="none"/>
          <w:lang w:val="en-US" w:eastAsia="zh-CN" w:bidi="ar"/>
        </w:rPr>
        <w:t>联系人及联系电话：</w:t>
      </w:r>
    </w:p>
    <w:p w14:paraId="0FCA5C30">
      <w:pPr>
        <w:rPr>
          <w:rFonts w:hint="default"/>
          <w:b/>
          <w:bCs/>
          <w:color w:val="auto"/>
          <w:sz w:val="28"/>
          <w:szCs w:val="28"/>
          <w:lang w:val="en-US" w:eastAsia="zh-CN"/>
        </w:rPr>
      </w:pPr>
      <w:r>
        <w:rPr>
          <w:rFonts w:hint="eastAsia" w:ascii="仿宋" w:hAnsi="仿宋" w:eastAsia="仿宋" w:cs="仿宋"/>
          <w:b/>
          <w:bCs/>
          <w:i w:val="0"/>
          <w:iCs w:val="0"/>
          <w:color w:val="auto"/>
          <w:kern w:val="0"/>
          <w:sz w:val="28"/>
          <w:szCs w:val="28"/>
          <w:u w:val="none"/>
          <w:lang w:val="en-US" w:eastAsia="zh-CN" w:bidi="ar"/>
        </w:rPr>
        <w:t>（一）服务清单（</w:t>
      </w:r>
      <w:r>
        <w:rPr>
          <w:rFonts w:hint="eastAsia" w:ascii="仿宋" w:hAnsi="仿宋" w:eastAsia="仿宋" w:cs="仿宋"/>
          <w:b/>
          <w:bCs/>
          <w:i w:val="0"/>
          <w:iCs w:val="0"/>
          <w:color w:val="FF0000"/>
          <w:kern w:val="0"/>
          <w:sz w:val="28"/>
          <w:szCs w:val="28"/>
          <w:u w:val="none"/>
          <w:lang w:val="en-US" w:eastAsia="zh-CN" w:bidi="ar"/>
        </w:rPr>
        <w:t>可单项目报价或整体报价，整体报价要求提供不少于1人的驻场服务</w:t>
      </w:r>
      <w:r>
        <w:rPr>
          <w:rFonts w:hint="eastAsia" w:ascii="仿宋" w:hAnsi="仿宋" w:eastAsia="仿宋" w:cs="仿宋"/>
          <w:b/>
          <w:bCs/>
          <w:i w:val="0"/>
          <w:iCs w:val="0"/>
          <w:color w:val="auto"/>
          <w:kern w:val="0"/>
          <w:sz w:val="28"/>
          <w:szCs w:val="28"/>
          <w:u w:val="none"/>
          <w:lang w:val="en-US" w:eastAsia="zh-CN" w:bidi="ar"/>
        </w:rPr>
        <w:t>）</w:t>
      </w:r>
    </w:p>
    <w:tbl>
      <w:tblPr>
        <w:tblStyle w:val="10"/>
        <w:tblW w:w="499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1217"/>
        <w:gridCol w:w="1223"/>
        <w:gridCol w:w="2579"/>
        <w:gridCol w:w="804"/>
        <w:gridCol w:w="753"/>
        <w:gridCol w:w="1719"/>
        <w:gridCol w:w="1849"/>
        <w:gridCol w:w="3927"/>
      </w:tblGrid>
      <w:tr w14:paraId="0CC12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375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序号</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32B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项目名称</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4B2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服务类型</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357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服务内容</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513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数量</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C11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计量</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单位</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E0F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预算单价（万元）</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FEC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预算金额（万元）</w:t>
            </w: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013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备注</w:t>
            </w:r>
          </w:p>
        </w:tc>
      </w:tr>
      <w:tr w14:paraId="56FFA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087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D7E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排队叫号系统承接服务</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183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运维服务</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1E91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排队叫号系统运维服务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1B3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4C0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年</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A09CD">
            <w:pPr>
              <w:jc w:val="center"/>
              <w:rPr>
                <w:rFonts w:hint="eastAsia" w:asciiTheme="minorEastAsia" w:hAnsiTheme="minorEastAsia" w:eastAsiaTheme="minorEastAsia" w:cstheme="minorEastAsia"/>
                <w:i w:val="0"/>
                <w:iCs w:val="0"/>
                <w:color w:val="auto"/>
                <w:sz w:val="21"/>
                <w:szCs w:val="21"/>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CDE37">
            <w:pPr>
              <w:jc w:val="center"/>
              <w:rPr>
                <w:rFonts w:hint="eastAsia" w:asciiTheme="minorEastAsia" w:hAnsiTheme="minorEastAsia" w:eastAsiaTheme="minorEastAsia" w:cstheme="minorEastAsia"/>
                <w:i w:val="0"/>
                <w:iCs w:val="0"/>
                <w:color w:val="auto"/>
                <w:sz w:val="21"/>
                <w:szCs w:val="21"/>
                <w:u w:val="none"/>
              </w:rPr>
            </w:pP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77E1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按实际服务期限据实结算</w:t>
            </w:r>
          </w:p>
        </w:tc>
      </w:tr>
      <w:tr w14:paraId="2F54D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0A83C">
            <w:pPr>
              <w:jc w:val="center"/>
              <w:rPr>
                <w:rFonts w:hint="eastAsia" w:asciiTheme="minorEastAsia" w:hAnsiTheme="minorEastAsia" w:eastAsiaTheme="minorEastAsia" w:cstheme="minorEastAsia"/>
                <w:i w:val="0"/>
                <w:iCs w:val="0"/>
                <w:color w:val="auto"/>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94727">
            <w:pPr>
              <w:jc w:val="center"/>
              <w:rPr>
                <w:rFonts w:hint="eastAsia" w:asciiTheme="minorEastAsia" w:hAnsiTheme="minorEastAsia" w:eastAsiaTheme="minorEastAsia" w:cstheme="minorEastAsia"/>
                <w:i w:val="0"/>
                <w:iCs w:val="0"/>
                <w:color w:val="auto"/>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3E1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运维服务</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1D1B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排队叫号系统配套硬件运维服务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DE3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012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年</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71D9A">
            <w:pPr>
              <w:jc w:val="center"/>
              <w:rPr>
                <w:rFonts w:hint="eastAsia" w:asciiTheme="minorEastAsia" w:hAnsiTheme="minorEastAsia" w:eastAsiaTheme="minorEastAsia" w:cstheme="minorEastAsia"/>
                <w:i w:val="0"/>
                <w:iCs w:val="0"/>
                <w:color w:val="auto"/>
                <w:sz w:val="21"/>
                <w:szCs w:val="21"/>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AE8CB">
            <w:pPr>
              <w:jc w:val="center"/>
              <w:rPr>
                <w:rFonts w:hint="eastAsia" w:asciiTheme="minorEastAsia" w:hAnsiTheme="minorEastAsia" w:eastAsiaTheme="minorEastAsia" w:cstheme="minorEastAsia"/>
                <w:i w:val="0"/>
                <w:iCs w:val="0"/>
                <w:color w:val="auto"/>
                <w:sz w:val="21"/>
                <w:szCs w:val="21"/>
                <w:u w:val="none"/>
              </w:rPr>
            </w:pP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B39E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按实际服务期限据实结算</w:t>
            </w:r>
          </w:p>
        </w:tc>
      </w:tr>
      <w:tr w14:paraId="0AD45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C9F08">
            <w:pPr>
              <w:jc w:val="center"/>
              <w:rPr>
                <w:rFonts w:hint="eastAsia" w:asciiTheme="minorEastAsia" w:hAnsiTheme="minorEastAsia" w:eastAsiaTheme="minorEastAsia" w:cstheme="minorEastAsia"/>
                <w:i w:val="0"/>
                <w:iCs w:val="0"/>
                <w:color w:val="auto"/>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A89E1">
            <w:pPr>
              <w:jc w:val="center"/>
              <w:rPr>
                <w:rFonts w:hint="eastAsia" w:asciiTheme="minorEastAsia" w:hAnsiTheme="minorEastAsia" w:eastAsiaTheme="minorEastAsia" w:cstheme="minorEastAsia"/>
                <w:i w:val="0"/>
                <w:iCs w:val="0"/>
                <w:color w:val="auto"/>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EF3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升级服务</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7C07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排队叫号系统升级服务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926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FE7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项</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91133">
            <w:pPr>
              <w:jc w:val="center"/>
              <w:rPr>
                <w:rFonts w:hint="eastAsia" w:asciiTheme="minorEastAsia" w:hAnsiTheme="minorEastAsia" w:eastAsiaTheme="minorEastAsia" w:cstheme="minorEastAsia"/>
                <w:i w:val="0"/>
                <w:iCs w:val="0"/>
                <w:color w:val="auto"/>
                <w:sz w:val="21"/>
                <w:szCs w:val="21"/>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E95D4">
            <w:pPr>
              <w:jc w:val="center"/>
              <w:rPr>
                <w:rFonts w:hint="eastAsia" w:asciiTheme="minorEastAsia" w:hAnsiTheme="minorEastAsia" w:eastAsiaTheme="minorEastAsia" w:cstheme="minorEastAsia"/>
                <w:i w:val="0"/>
                <w:iCs w:val="0"/>
                <w:color w:val="auto"/>
                <w:sz w:val="21"/>
                <w:szCs w:val="21"/>
                <w:u w:val="none"/>
              </w:rPr>
            </w:pP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1F18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合同签订之日起1年内完成投入正常使用、功能核对与业务验证，并配合</w:t>
            </w:r>
            <w:r>
              <w:rPr>
                <w:rFonts w:hint="eastAsia" w:asciiTheme="minorEastAsia" w:hAnsiTheme="minorEastAsia" w:cstheme="minorEastAsia"/>
                <w:i w:val="0"/>
                <w:iCs w:val="0"/>
                <w:color w:val="auto"/>
                <w:kern w:val="0"/>
                <w:sz w:val="21"/>
                <w:szCs w:val="21"/>
                <w:u w:val="none"/>
                <w:lang w:val="en-US" w:eastAsia="zh-CN" w:bidi="ar"/>
              </w:rPr>
              <w:t>医院</w:t>
            </w:r>
            <w:r>
              <w:rPr>
                <w:rFonts w:hint="eastAsia" w:asciiTheme="minorEastAsia" w:hAnsiTheme="minorEastAsia" w:eastAsiaTheme="minorEastAsia" w:cstheme="minorEastAsia"/>
                <w:i w:val="0"/>
                <w:iCs w:val="0"/>
                <w:color w:val="auto"/>
                <w:kern w:val="0"/>
                <w:sz w:val="21"/>
                <w:szCs w:val="21"/>
                <w:u w:val="none"/>
                <w:lang w:val="en-US" w:eastAsia="zh-CN" w:bidi="ar"/>
              </w:rPr>
              <w:t>组织项目分项验收。</w:t>
            </w:r>
          </w:p>
        </w:tc>
      </w:tr>
      <w:tr w14:paraId="3726D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110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BD3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电子票据</w:t>
            </w:r>
            <w:r>
              <w:rPr>
                <w:rFonts w:hint="eastAsia" w:asciiTheme="minorEastAsia" w:hAnsiTheme="minorEastAsia" w:cstheme="minorEastAsia"/>
                <w:i w:val="0"/>
                <w:iCs w:val="0"/>
                <w:color w:val="auto"/>
                <w:kern w:val="0"/>
                <w:sz w:val="21"/>
                <w:szCs w:val="21"/>
                <w:u w:val="none"/>
                <w:lang w:val="en-US" w:eastAsia="zh-CN" w:bidi="ar"/>
              </w:rPr>
              <w:t>系统</w:t>
            </w:r>
            <w:r>
              <w:rPr>
                <w:rFonts w:hint="eastAsia" w:asciiTheme="minorEastAsia" w:hAnsiTheme="minorEastAsia" w:eastAsiaTheme="minorEastAsia" w:cstheme="minorEastAsia"/>
                <w:i w:val="0"/>
                <w:iCs w:val="0"/>
                <w:color w:val="auto"/>
                <w:kern w:val="0"/>
                <w:sz w:val="21"/>
                <w:szCs w:val="21"/>
                <w:u w:val="none"/>
                <w:lang w:val="en-US" w:eastAsia="zh-CN" w:bidi="ar"/>
              </w:rPr>
              <w:t>承接服务</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9AF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运维服务</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5974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电子票据系统运维服务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B51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39E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年</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84782">
            <w:pPr>
              <w:jc w:val="center"/>
              <w:rPr>
                <w:rFonts w:hint="eastAsia" w:asciiTheme="minorEastAsia" w:hAnsiTheme="minorEastAsia" w:eastAsiaTheme="minorEastAsia" w:cstheme="minorEastAsia"/>
                <w:i w:val="0"/>
                <w:iCs w:val="0"/>
                <w:color w:val="auto"/>
                <w:sz w:val="21"/>
                <w:szCs w:val="21"/>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FD8EF">
            <w:pPr>
              <w:jc w:val="center"/>
              <w:rPr>
                <w:rFonts w:hint="eastAsia" w:asciiTheme="minorEastAsia" w:hAnsiTheme="minorEastAsia" w:eastAsiaTheme="minorEastAsia" w:cstheme="minorEastAsia"/>
                <w:i w:val="0"/>
                <w:iCs w:val="0"/>
                <w:color w:val="auto"/>
                <w:sz w:val="21"/>
                <w:szCs w:val="21"/>
                <w:u w:val="none"/>
              </w:rPr>
            </w:pP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7050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按实际服务期限据实结算</w:t>
            </w:r>
          </w:p>
        </w:tc>
      </w:tr>
      <w:tr w14:paraId="531BD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B53BD">
            <w:pPr>
              <w:jc w:val="center"/>
              <w:rPr>
                <w:rFonts w:hint="eastAsia" w:asciiTheme="minorEastAsia" w:hAnsiTheme="minorEastAsia" w:eastAsiaTheme="minorEastAsia" w:cstheme="minorEastAsia"/>
                <w:i w:val="0"/>
                <w:iCs w:val="0"/>
                <w:color w:val="auto"/>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D39F4">
            <w:pPr>
              <w:jc w:val="center"/>
              <w:rPr>
                <w:rFonts w:hint="eastAsia" w:asciiTheme="minorEastAsia" w:hAnsiTheme="minorEastAsia" w:eastAsiaTheme="minorEastAsia" w:cstheme="minorEastAsia"/>
                <w:i w:val="0"/>
                <w:iCs w:val="0"/>
                <w:color w:val="auto"/>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FA5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升级服务</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3C42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电子票据系统升级服务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6EE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F67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项</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41113">
            <w:pPr>
              <w:jc w:val="center"/>
              <w:rPr>
                <w:rFonts w:hint="eastAsia" w:asciiTheme="minorEastAsia" w:hAnsiTheme="minorEastAsia" w:eastAsiaTheme="minorEastAsia" w:cstheme="minorEastAsia"/>
                <w:i w:val="0"/>
                <w:iCs w:val="0"/>
                <w:color w:val="auto"/>
                <w:sz w:val="21"/>
                <w:szCs w:val="21"/>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3D8DB">
            <w:pPr>
              <w:jc w:val="center"/>
              <w:rPr>
                <w:rFonts w:hint="eastAsia" w:asciiTheme="minorEastAsia" w:hAnsiTheme="minorEastAsia" w:eastAsiaTheme="minorEastAsia" w:cstheme="minorEastAsia"/>
                <w:i w:val="0"/>
                <w:iCs w:val="0"/>
                <w:color w:val="auto"/>
                <w:sz w:val="21"/>
                <w:szCs w:val="21"/>
                <w:u w:val="none"/>
              </w:rPr>
            </w:pP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B49D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须严格按照国家、省、市政策规定时限完成开发、测试、对接与上线。并配合</w:t>
            </w:r>
            <w:r>
              <w:rPr>
                <w:rFonts w:hint="eastAsia" w:asciiTheme="minorEastAsia" w:hAnsiTheme="minorEastAsia" w:cstheme="minorEastAsia"/>
                <w:i w:val="0"/>
                <w:iCs w:val="0"/>
                <w:color w:val="auto"/>
                <w:kern w:val="0"/>
                <w:sz w:val="21"/>
                <w:szCs w:val="21"/>
                <w:u w:val="none"/>
                <w:lang w:val="en-US" w:eastAsia="zh-CN" w:bidi="ar"/>
              </w:rPr>
              <w:t>医院</w:t>
            </w:r>
            <w:r>
              <w:rPr>
                <w:rFonts w:hint="eastAsia" w:asciiTheme="minorEastAsia" w:hAnsiTheme="minorEastAsia" w:eastAsiaTheme="minorEastAsia" w:cstheme="minorEastAsia"/>
                <w:i w:val="0"/>
                <w:iCs w:val="0"/>
                <w:color w:val="auto"/>
                <w:kern w:val="0"/>
                <w:sz w:val="21"/>
                <w:szCs w:val="21"/>
                <w:u w:val="none"/>
                <w:lang w:val="en-US" w:eastAsia="zh-CN" w:bidi="ar"/>
              </w:rPr>
              <w:t>组织项目分项验收。资阳市财政局关于全面推行财政电子票据跨省报销工作的通知。</w:t>
            </w:r>
          </w:p>
        </w:tc>
      </w:tr>
      <w:tr w14:paraId="34F26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851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412" w:type="pct"/>
            <w:vMerge w:val="restart"/>
            <w:tcBorders>
              <w:top w:val="single" w:color="000000" w:sz="4" w:space="0"/>
              <w:left w:val="single" w:color="000000" w:sz="4" w:space="0"/>
              <w:bottom w:val="nil"/>
              <w:right w:val="single" w:color="000000" w:sz="4" w:space="0"/>
            </w:tcBorders>
            <w:shd w:val="clear" w:color="auto" w:fill="auto"/>
            <w:vAlign w:val="center"/>
          </w:tcPr>
          <w:p w14:paraId="7878D0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医院综合评价系统承接服务</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E3A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运维服务</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563A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医院综合评价系统运维服务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FA3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CA3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年</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B7083">
            <w:pPr>
              <w:jc w:val="center"/>
              <w:rPr>
                <w:rFonts w:hint="eastAsia" w:asciiTheme="minorEastAsia" w:hAnsiTheme="minorEastAsia" w:eastAsiaTheme="minorEastAsia" w:cstheme="minorEastAsia"/>
                <w:i w:val="0"/>
                <w:iCs w:val="0"/>
                <w:color w:val="auto"/>
                <w:sz w:val="21"/>
                <w:szCs w:val="21"/>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56B7C">
            <w:pPr>
              <w:jc w:val="center"/>
              <w:rPr>
                <w:rFonts w:hint="eastAsia" w:asciiTheme="minorEastAsia" w:hAnsiTheme="minorEastAsia" w:eastAsiaTheme="minorEastAsia" w:cstheme="minorEastAsia"/>
                <w:i w:val="0"/>
                <w:iCs w:val="0"/>
                <w:color w:val="auto"/>
                <w:sz w:val="21"/>
                <w:szCs w:val="21"/>
                <w:u w:val="none"/>
              </w:rPr>
            </w:pP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2C87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按实际服务期限据实结算</w:t>
            </w:r>
          </w:p>
        </w:tc>
      </w:tr>
      <w:tr w14:paraId="4FF2A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E5878">
            <w:pPr>
              <w:jc w:val="center"/>
              <w:rPr>
                <w:rFonts w:hint="eastAsia" w:asciiTheme="minorEastAsia" w:hAnsiTheme="minorEastAsia" w:eastAsiaTheme="minorEastAsia" w:cstheme="minorEastAsia"/>
                <w:i w:val="0"/>
                <w:iCs w:val="0"/>
                <w:color w:val="auto"/>
                <w:sz w:val="21"/>
                <w:szCs w:val="21"/>
                <w:u w:val="none"/>
              </w:rPr>
            </w:pPr>
          </w:p>
        </w:tc>
        <w:tc>
          <w:tcPr>
            <w:tcW w:w="412" w:type="pct"/>
            <w:vMerge w:val="continue"/>
            <w:tcBorders>
              <w:top w:val="single" w:color="000000" w:sz="4" w:space="0"/>
              <w:left w:val="single" w:color="000000" w:sz="4" w:space="0"/>
              <w:bottom w:val="nil"/>
              <w:right w:val="single" w:color="000000" w:sz="4" w:space="0"/>
            </w:tcBorders>
            <w:shd w:val="clear" w:color="auto" w:fill="auto"/>
            <w:vAlign w:val="center"/>
          </w:tcPr>
          <w:p w14:paraId="7B3F3FA7">
            <w:pPr>
              <w:jc w:val="center"/>
              <w:rPr>
                <w:rFonts w:hint="eastAsia" w:asciiTheme="minorEastAsia" w:hAnsiTheme="minorEastAsia" w:eastAsiaTheme="minorEastAsia" w:cstheme="minorEastAsia"/>
                <w:i w:val="0"/>
                <w:iCs w:val="0"/>
                <w:color w:val="auto"/>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75E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运维服务</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8EC1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医院综合评价系统预分组模块运维服务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37B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CD3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年</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55673">
            <w:pPr>
              <w:jc w:val="center"/>
              <w:rPr>
                <w:rFonts w:hint="eastAsia" w:asciiTheme="minorEastAsia" w:hAnsiTheme="minorEastAsia" w:eastAsiaTheme="minorEastAsia" w:cstheme="minorEastAsia"/>
                <w:i w:val="0"/>
                <w:iCs w:val="0"/>
                <w:color w:val="auto"/>
                <w:sz w:val="21"/>
                <w:szCs w:val="21"/>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ECD6C">
            <w:pPr>
              <w:jc w:val="center"/>
              <w:rPr>
                <w:rFonts w:hint="eastAsia" w:asciiTheme="minorEastAsia" w:hAnsiTheme="minorEastAsia" w:eastAsiaTheme="minorEastAsia" w:cstheme="minorEastAsia"/>
                <w:i w:val="0"/>
                <w:iCs w:val="0"/>
                <w:color w:val="auto"/>
                <w:sz w:val="21"/>
                <w:szCs w:val="21"/>
                <w:u w:val="none"/>
              </w:rPr>
            </w:pP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2406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按实际服务期限据实结算</w:t>
            </w:r>
          </w:p>
        </w:tc>
      </w:tr>
      <w:tr w14:paraId="0F84E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DC6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840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医保控费系统承接服务</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58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升级服务</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2658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医保控费系统升级服务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91A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3CA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项</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6ACCD">
            <w:pPr>
              <w:jc w:val="center"/>
              <w:rPr>
                <w:rFonts w:hint="eastAsia" w:asciiTheme="minorEastAsia" w:hAnsiTheme="minorEastAsia" w:eastAsiaTheme="minorEastAsia" w:cstheme="minorEastAsia"/>
                <w:i w:val="0"/>
                <w:iCs w:val="0"/>
                <w:color w:val="auto"/>
                <w:sz w:val="21"/>
                <w:szCs w:val="21"/>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7F49F">
            <w:pPr>
              <w:jc w:val="center"/>
              <w:rPr>
                <w:rFonts w:hint="eastAsia" w:asciiTheme="minorEastAsia" w:hAnsiTheme="minorEastAsia" w:eastAsiaTheme="minorEastAsia" w:cstheme="minorEastAsia"/>
                <w:i w:val="0"/>
                <w:iCs w:val="0"/>
                <w:color w:val="auto"/>
                <w:sz w:val="21"/>
                <w:szCs w:val="21"/>
                <w:u w:val="none"/>
              </w:rPr>
            </w:pP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B108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合同签订之日起1年内完成投入正常使用、功能核对与业务验证，并配合</w:t>
            </w:r>
            <w:r>
              <w:rPr>
                <w:rFonts w:hint="eastAsia" w:asciiTheme="minorEastAsia" w:hAnsiTheme="minorEastAsia" w:cstheme="minorEastAsia"/>
                <w:i w:val="0"/>
                <w:iCs w:val="0"/>
                <w:color w:val="auto"/>
                <w:kern w:val="0"/>
                <w:sz w:val="21"/>
                <w:szCs w:val="21"/>
                <w:u w:val="none"/>
                <w:lang w:val="en-US" w:eastAsia="zh-CN" w:bidi="ar"/>
              </w:rPr>
              <w:t>医院</w:t>
            </w:r>
            <w:r>
              <w:rPr>
                <w:rFonts w:hint="eastAsia" w:asciiTheme="minorEastAsia" w:hAnsiTheme="minorEastAsia" w:eastAsiaTheme="minorEastAsia" w:cstheme="minorEastAsia"/>
                <w:i w:val="0"/>
                <w:iCs w:val="0"/>
                <w:color w:val="auto"/>
                <w:kern w:val="0"/>
                <w:sz w:val="21"/>
                <w:szCs w:val="21"/>
                <w:u w:val="none"/>
                <w:lang w:val="en-US" w:eastAsia="zh-CN" w:bidi="ar"/>
              </w:rPr>
              <w:t>组织项目分项验收。</w:t>
            </w:r>
          </w:p>
        </w:tc>
      </w:tr>
      <w:tr w14:paraId="65F28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4BB54">
            <w:pPr>
              <w:jc w:val="center"/>
              <w:rPr>
                <w:rFonts w:hint="eastAsia" w:asciiTheme="minorEastAsia" w:hAnsiTheme="minorEastAsia" w:eastAsiaTheme="minorEastAsia" w:cstheme="minorEastAsia"/>
                <w:i w:val="0"/>
                <w:iCs w:val="0"/>
                <w:color w:val="auto"/>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1F56E">
            <w:pPr>
              <w:jc w:val="center"/>
              <w:rPr>
                <w:rFonts w:hint="eastAsia" w:asciiTheme="minorEastAsia" w:hAnsiTheme="minorEastAsia" w:eastAsiaTheme="minorEastAsia" w:cstheme="minorEastAsia"/>
                <w:i w:val="0"/>
                <w:iCs w:val="0"/>
                <w:color w:val="auto"/>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7A7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运维服务</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14FB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医保控费系统运维服务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98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771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年</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E5EDC">
            <w:pPr>
              <w:jc w:val="center"/>
              <w:rPr>
                <w:rFonts w:hint="eastAsia" w:asciiTheme="minorEastAsia" w:hAnsiTheme="minorEastAsia" w:eastAsiaTheme="minorEastAsia" w:cstheme="minorEastAsia"/>
                <w:i w:val="0"/>
                <w:iCs w:val="0"/>
                <w:color w:val="auto"/>
                <w:sz w:val="21"/>
                <w:szCs w:val="21"/>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A49F7">
            <w:pPr>
              <w:jc w:val="center"/>
              <w:rPr>
                <w:rFonts w:hint="eastAsia" w:asciiTheme="minorEastAsia" w:hAnsiTheme="minorEastAsia" w:eastAsiaTheme="minorEastAsia" w:cstheme="minorEastAsia"/>
                <w:i w:val="0"/>
                <w:iCs w:val="0"/>
                <w:color w:val="auto"/>
                <w:sz w:val="21"/>
                <w:szCs w:val="21"/>
                <w:u w:val="none"/>
              </w:rPr>
            </w:pP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2008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按实际服务期限据实结算</w:t>
            </w:r>
          </w:p>
        </w:tc>
      </w:tr>
      <w:tr w14:paraId="7DD38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1A2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826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自助设备打印承接服务</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16C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运维服务</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D776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自助设备打印承接服务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000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cstheme="minorEastAsia"/>
                <w:i w:val="0"/>
                <w:iCs w:val="0"/>
                <w:color w:val="auto"/>
                <w:kern w:val="0"/>
                <w:sz w:val="21"/>
                <w:szCs w:val="21"/>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BF2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cstheme="minorEastAsia"/>
                <w:i w:val="0"/>
                <w:iCs w:val="0"/>
                <w:color w:val="auto"/>
                <w:kern w:val="0"/>
                <w:sz w:val="21"/>
                <w:szCs w:val="21"/>
                <w:u w:val="none"/>
                <w:lang w:val="en-US" w:eastAsia="zh-CN" w:bidi="ar"/>
              </w:rPr>
              <w:t>项</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97217">
            <w:pPr>
              <w:jc w:val="center"/>
              <w:rPr>
                <w:rFonts w:hint="eastAsia" w:asciiTheme="minorEastAsia" w:hAnsiTheme="minorEastAsia" w:eastAsiaTheme="minorEastAsia" w:cstheme="minorEastAsia"/>
                <w:i w:val="0"/>
                <w:iCs w:val="0"/>
                <w:color w:val="auto"/>
                <w:sz w:val="21"/>
                <w:szCs w:val="21"/>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27D1B">
            <w:pPr>
              <w:jc w:val="center"/>
              <w:rPr>
                <w:rFonts w:hint="eastAsia" w:asciiTheme="minorEastAsia" w:hAnsiTheme="minorEastAsia" w:eastAsiaTheme="minorEastAsia" w:cstheme="minorEastAsia"/>
                <w:i w:val="0"/>
                <w:iCs w:val="0"/>
                <w:color w:val="auto"/>
                <w:sz w:val="21"/>
                <w:szCs w:val="21"/>
                <w:u w:val="none"/>
              </w:rPr>
            </w:pP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C2DE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该项服务从签订合同到2027年9月8日止</w:t>
            </w:r>
          </w:p>
        </w:tc>
      </w:tr>
      <w:tr w14:paraId="78C14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B94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FD5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互联网医院承接服务</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AB1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运维服务</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54C8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互联网医院平台运维服务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78A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25B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年</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90F46">
            <w:pPr>
              <w:jc w:val="center"/>
              <w:rPr>
                <w:rFonts w:hint="eastAsia" w:asciiTheme="minorEastAsia" w:hAnsiTheme="minorEastAsia" w:eastAsiaTheme="minorEastAsia" w:cstheme="minorEastAsia"/>
                <w:i w:val="0"/>
                <w:iCs w:val="0"/>
                <w:color w:val="auto"/>
                <w:sz w:val="21"/>
                <w:szCs w:val="21"/>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7A94A">
            <w:pPr>
              <w:jc w:val="center"/>
              <w:rPr>
                <w:rFonts w:hint="eastAsia" w:asciiTheme="minorEastAsia" w:hAnsiTheme="minorEastAsia" w:eastAsiaTheme="minorEastAsia" w:cstheme="minorEastAsia"/>
                <w:i w:val="0"/>
                <w:iCs w:val="0"/>
                <w:color w:val="auto"/>
                <w:sz w:val="21"/>
                <w:szCs w:val="21"/>
                <w:u w:val="none"/>
              </w:rPr>
            </w:pP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C447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按实际服务期限据实结算</w:t>
            </w:r>
          </w:p>
        </w:tc>
      </w:tr>
      <w:tr w14:paraId="72F85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820DE">
            <w:pPr>
              <w:jc w:val="center"/>
              <w:rPr>
                <w:rFonts w:hint="eastAsia" w:asciiTheme="minorEastAsia" w:hAnsiTheme="minorEastAsia" w:eastAsiaTheme="minorEastAsia" w:cstheme="minorEastAsia"/>
                <w:i w:val="0"/>
                <w:iCs w:val="0"/>
                <w:color w:val="auto"/>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68F92">
            <w:pPr>
              <w:jc w:val="center"/>
              <w:rPr>
                <w:rFonts w:hint="eastAsia" w:asciiTheme="minorEastAsia" w:hAnsiTheme="minorEastAsia" w:eastAsiaTheme="minorEastAsia" w:cstheme="minorEastAsia"/>
                <w:i w:val="0"/>
                <w:iCs w:val="0"/>
                <w:color w:val="auto"/>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773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升级服务</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8177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互联网医院实现医保移动支付升级服务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A87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9F1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项</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3E795">
            <w:pPr>
              <w:jc w:val="center"/>
              <w:rPr>
                <w:rFonts w:hint="eastAsia" w:asciiTheme="minorEastAsia" w:hAnsiTheme="minorEastAsia" w:eastAsiaTheme="minorEastAsia" w:cstheme="minorEastAsia"/>
                <w:i w:val="0"/>
                <w:iCs w:val="0"/>
                <w:color w:val="auto"/>
                <w:sz w:val="21"/>
                <w:szCs w:val="21"/>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11916">
            <w:pPr>
              <w:jc w:val="center"/>
              <w:rPr>
                <w:rFonts w:hint="eastAsia" w:asciiTheme="minorEastAsia" w:hAnsiTheme="minorEastAsia" w:eastAsiaTheme="minorEastAsia" w:cstheme="minorEastAsia"/>
                <w:i w:val="0"/>
                <w:iCs w:val="0"/>
                <w:color w:val="auto"/>
                <w:sz w:val="21"/>
                <w:szCs w:val="21"/>
                <w:u w:val="none"/>
              </w:rPr>
            </w:pP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C85E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合同签订之日起1年内完成投入正常使用、功能核对与业务验证，并配合</w:t>
            </w:r>
            <w:r>
              <w:rPr>
                <w:rFonts w:hint="eastAsia" w:asciiTheme="minorEastAsia" w:hAnsiTheme="minorEastAsia" w:cstheme="minorEastAsia"/>
                <w:i w:val="0"/>
                <w:iCs w:val="0"/>
                <w:color w:val="auto"/>
                <w:kern w:val="0"/>
                <w:sz w:val="21"/>
                <w:szCs w:val="21"/>
                <w:u w:val="none"/>
                <w:lang w:val="en-US" w:eastAsia="zh-CN" w:bidi="ar"/>
              </w:rPr>
              <w:t>医院</w:t>
            </w:r>
            <w:r>
              <w:rPr>
                <w:rFonts w:hint="eastAsia" w:asciiTheme="minorEastAsia" w:hAnsiTheme="minorEastAsia" w:eastAsiaTheme="minorEastAsia" w:cstheme="minorEastAsia"/>
                <w:i w:val="0"/>
                <w:iCs w:val="0"/>
                <w:color w:val="auto"/>
                <w:kern w:val="0"/>
                <w:sz w:val="21"/>
                <w:szCs w:val="21"/>
                <w:u w:val="none"/>
                <w:lang w:val="en-US" w:eastAsia="zh-CN" w:bidi="ar"/>
              </w:rPr>
              <w:t>组织项目分项验收。</w:t>
            </w:r>
          </w:p>
        </w:tc>
      </w:tr>
      <w:tr w14:paraId="1DAB0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18F36">
            <w:pPr>
              <w:jc w:val="center"/>
              <w:rPr>
                <w:rFonts w:hint="eastAsia" w:asciiTheme="minorEastAsia" w:hAnsiTheme="minorEastAsia" w:eastAsiaTheme="minorEastAsia" w:cstheme="minorEastAsia"/>
                <w:i w:val="0"/>
                <w:iCs w:val="0"/>
                <w:color w:val="auto"/>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00237">
            <w:pPr>
              <w:jc w:val="center"/>
              <w:rPr>
                <w:rFonts w:hint="eastAsia" w:asciiTheme="minorEastAsia" w:hAnsiTheme="minorEastAsia" w:eastAsiaTheme="minorEastAsia" w:cstheme="minorEastAsia"/>
                <w:i w:val="0"/>
                <w:iCs w:val="0"/>
                <w:color w:val="auto"/>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9A2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升级服务</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DD77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互联网医院对接医院集成平台升级服务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D48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6AC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项</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A9842">
            <w:pPr>
              <w:jc w:val="center"/>
              <w:rPr>
                <w:rFonts w:hint="eastAsia" w:asciiTheme="minorEastAsia" w:hAnsiTheme="minorEastAsia" w:eastAsiaTheme="minorEastAsia" w:cstheme="minorEastAsia"/>
                <w:i w:val="0"/>
                <w:iCs w:val="0"/>
                <w:color w:val="auto"/>
                <w:sz w:val="21"/>
                <w:szCs w:val="21"/>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842CF">
            <w:pPr>
              <w:jc w:val="center"/>
              <w:rPr>
                <w:rFonts w:hint="eastAsia" w:asciiTheme="minorEastAsia" w:hAnsiTheme="minorEastAsia" w:eastAsiaTheme="minorEastAsia" w:cstheme="minorEastAsia"/>
                <w:i w:val="0"/>
                <w:iCs w:val="0"/>
                <w:color w:val="auto"/>
                <w:sz w:val="21"/>
                <w:szCs w:val="21"/>
                <w:u w:val="none"/>
              </w:rPr>
            </w:pP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F8AF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合同签订之日起1年内完成投入正常使用、功能核对与业务验证，并配合</w:t>
            </w:r>
            <w:r>
              <w:rPr>
                <w:rFonts w:hint="eastAsia" w:asciiTheme="minorEastAsia" w:hAnsiTheme="minorEastAsia" w:cstheme="minorEastAsia"/>
                <w:i w:val="0"/>
                <w:iCs w:val="0"/>
                <w:color w:val="auto"/>
                <w:kern w:val="0"/>
                <w:sz w:val="21"/>
                <w:szCs w:val="21"/>
                <w:u w:val="none"/>
                <w:lang w:val="en-US" w:eastAsia="zh-CN" w:bidi="ar"/>
              </w:rPr>
              <w:t>医院</w:t>
            </w:r>
            <w:r>
              <w:rPr>
                <w:rFonts w:hint="eastAsia" w:asciiTheme="minorEastAsia" w:hAnsiTheme="minorEastAsia" w:eastAsiaTheme="minorEastAsia" w:cstheme="minorEastAsia"/>
                <w:i w:val="0"/>
                <w:iCs w:val="0"/>
                <w:color w:val="auto"/>
                <w:kern w:val="0"/>
                <w:sz w:val="21"/>
                <w:szCs w:val="21"/>
                <w:u w:val="none"/>
                <w:lang w:val="en-US" w:eastAsia="zh-CN" w:bidi="ar"/>
              </w:rPr>
              <w:t>组织项目分项验收。</w:t>
            </w:r>
          </w:p>
        </w:tc>
      </w:tr>
      <w:tr w14:paraId="54A47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2B875">
            <w:pPr>
              <w:jc w:val="center"/>
              <w:rPr>
                <w:rFonts w:hint="eastAsia" w:asciiTheme="minorEastAsia" w:hAnsiTheme="minorEastAsia" w:eastAsiaTheme="minorEastAsia" w:cstheme="minorEastAsia"/>
                <w:i w:val="0"/>
                <w:iCs w:val="0"/>
                <w:color w:val="auto"/>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746C7">
            <w:pPr>
              <w:jc w:val="center"/>
              <w:rPr>
                <w:rFonts w:hint="eastAsia" w:asciiTheme="minorEastAsia" w:hAnsiTheme="minorEastAsia" w:eastAsiaTheme="minorEastAsia" w:cstheme="minorEastAsia"/>
                <w:i w:val="0"/>
                <w:iCs w:val="0"/>
                <w:color w:val="auto"/>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8FC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升级服务</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6F8C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互联网医院实现院际互联网会诊升级服务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CC6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0B7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项</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DE6DE">
            <w:pPr>
              <w:jc w:val="center"/>
              <w:rPr>
                <w:rFonts w:hint="eastAsia" w:asciiTheme="minorEastAsia" w:hAnsiTheme="minorEastAsia" w:eastAsiaTheme="minorEastAsia" w:cstheme="minorEastAsia"/>
                <w:i w:val="0"/>
                <w:iCs w:val="0"/>
                <w:color w:val="auto"/>
                <w:sz w:val="21"/>
                <w:szCs w:val="21"/>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74CDD">
            <w:pPr>
              <w:jc w:val="center"/>
              <w:rPr>
                <w:rFonts w:hint="eastAsia" w:asciiTheme="minorEastAsia" w:hAnsiTheme="minorEastAsia" w:eastAsiaTheme="minorEastAsia" w:cstheme="minorEastAsia"/>
                <w:i w:val="0"/>
                <w:iCs w:val="0"/>
                <w:color w:val="auto"/>
                <w:sz w:val="21"/>
                <w:szCs w:val="21"/>
                <w:u w:val="none"/>
              </w:rPr>
            </w:pP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AF87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合同签订之日起1年内完成投入正常使用、功能核对与业务验证，并配合</w:t>
            </w:r>
            <w:r>
              <w:rPr>
                <w:rFonts w:hint="eastAsia" w:asciiTheme="minorEastAsia" w:hAnsiTheme="minorEastAsia" w:cstheme="minorEastAsia"/>
                <w:i w:val="0"/>
                <w:iCs w:val="0"/>
                <w:color w:val="auto"/>
                <w:kern w:val="0"/>
                <w:sz w:val="21"/>
                <w:szCs w:val="21"/>
                <w:u w:val="none"/>
                <w:lang w:val="en-US" w:eastAsia="zh-CN" w:bidi="ar"/>
              </w:rPr>
              <w:t>医院</w:t>
            </w:r>
            <w:r>
              <w:rPr>
                <w:rFonts w:hint="eastAsia" w:asciiTheme="minorEastAsia" w:hAnsiTheme="minorEastAsia" w:eastAsiaTheme="minorEastAsia" w:cstheme="minorEastAsia"/>
                <w:i w:val="0"/>
                <w:iCs w:val="0"/>
                <w:color w:val="auto"/>
                <w:kern w:val="0"/>
                <w:sz w:val="21"/>
                <w:szCs w:val="21"/>
                <w:u w:val="none"/>
                <w:lang w:val="en-US" w:eastAsia="zh-CN" w:bidi="ar"/>
              </w:rPr>
              <w:t>组织项目分项验收。</w:t>
            </w:r>
          </w:p>
        </w:tc>
      </w:tr>
      <w:tr w14:paraId="1BAC4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523F4">
            <w:pPr>
              <w:jc w:val="center"/>
              <w:rPr>
                <w:rFonts w:hint="eastAsia" w:asciiTheme="minorEastAsia" w:hAnsiTheme="minorEastAsia" w:eastAsiaTheme="minorEastAsia" w:cstheme="minorEastAsia"/>
                <w:i w:val="0"/>
                <w:iCs w:val="0"/>
                <w:color w:val="auto"/>
                <w:sz w:val="21"/>
                <w:szCs w:val="21"/>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D66EC">
            <w:pPr>
              <w:jc w:val="center"/>
              <w:rPr>
                <w:rFonts w:hint="eastAsia" w:asciiTheme="minorEastAsia" w:hAnsiTheme="minorEastAsia" w:eastAsiaTheme="minorEastAsia" w:cstheme="minorEastAsia"/>
                <w:i w:val="0"/>
                <w:iCs w:val="0"/>
                <w:color w:val="auto"/>
                <w:sz w:val="21"/>
                <w:szCs w:val="21"/>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200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升级服务</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1AB7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互联网医院对接四川省互联网医院监管接口升级服务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85C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12F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项</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763EE">
            <w:pPr>
              <w:jc w:val="center"/>
              <w:rPr>
                <w:rFonts w:hint="eastAsia" w:asciiTheme="minorEastAsia" w:hAnsiTheme="minorEastAsia" w:eastAsiaTheme="minorEastAsia" w:cstheme="minorEastAsia"/>
                <w:i w:val="0"/>
                <w:iCs w:val="0"/>
                <w:color w:val="auto"/>
                <w:sz w:val="21"/>
                <w:szCs w:val="21"/>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3B9FB">
            <w:pPr>
              <w:jc w:val="center"/>
              <w:rPr>
                <w:rFonts w:hint="eastAsia" w:asciiTheme="minorEastAsia" w:hAnsiTheme="minorEastAsia" w:eastAsiaTheme="minorEastAsia" w:cstheme="minorEastAsia"/>
                <w:i w:val="0"/>
                <w:iCs w:val="0"/>
                <w:color w:val="auto"/>
                <w:sz w:val="21"/>
                <w:szCs w:val="21"/>
                <w:u w:val="none"/>
              </w:rPr>
            </w:pP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1543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须严格按照国家、省、市政策规定时限完成开发、测试、对接与上线。四川省互联网医院监管接口规范V2.0</w:t>
            </w:r>
          </w:p>
        </w:tc>
      </w:tr>
    </w:tbl>
    <w:p w14:paraId="579850F1">
      <w:pPr>
        <w:pStyle w:val="14"/>
        <w:numPr>
          <w:ilvl w:val="0"/>
          <w:numId w:val="0"/>
        </w:numPr>
        <w:rPr>
          <w:rFonts w:hint="eastAsia"/>
          <w:color w:val="auto"/>
          <w:lang w:val="en-US" w:eastAsia="zh-CN"/>
        </w:rPr>
      </w:pPr>
    </w:p>
    <w:p w14:paraId="14E15435">
      <w:pPr>
        <w:numPr>
          <w:ilvl w:val="0"/>
          <w:numId w:val="2"/>
        </w:numPr>
        <w:ind w:left="0" w:leftChars="0" w:firstLine="219" w:firstLineChars="78"/>
        <w:rPr>
          <w:rFonts w:hint="default" w:ascii="仿宋" w:hAnsi="仿宋" w:eastAsia="仿宋" w:cs="仿宋"/>
          <w:b/>
          <w:bCs/>
          <w:i w:val="0"/>
          <w:iCs w:val="0"/>
          <w:color w:val="auto"/>
          <w:kern w:val="0"/>
          <w:sz w:val="28"/>
          <w:szCs w:val="28"/>
          <w:u w:val="none"/>
          <w:lang w:val="en-US" w:eastAsia="zh-CN" w:bidi="ar"/>
        </w:rPr>
      </w:pPr>
      <w:r>
        <w:rPr>
          <w:rFonts w:hint="eastAsia" w:ascii="仿宋" w:hAnsi="仿宋" w:eastAsia="仿宋" w:cs="仿宋"/>
          <w:b/>
          <w:bCs/>
          <w:i w:val="0"/>
          <w:iCs w:val="0"/>
          <w:color w:val="auto"/>
          <w:kern w:val="0"/>
          <w:sz w:val="28"/>
          <w:szCs w:val="28"/>
          <w:u w:val="none"/>
          <w:lang w:val="en-US" w:eastAsia="zh-CN" w:bidi="ar"/>
        </w:rPr>
        <w:t>技术服务要求</w:t>
      </w:r>
    </w:p>
    <w:tbl>
      <w:tblPr>
        <w:tblStyle w:val="10"/>
        <w:tblW w:w="0" w:type="auto"/>
        <w:tblInd w:w="-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8"/>
        <w:gridCol w:w="1139"/>
        <w:gridCol w:w="1578"/>
        <w:gridCol w:w="10695"/>
        <w:gridCol w:w="665"/>
      </w:tblGrid>
      <w:tr w14:paraId="7871E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62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序号</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11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lang w:val="en-US"/>
              </w:rPr>
            </w:pPr>
            <w:r>
              <w:rPr>
                <w:rFonts w:hint="eastAsia" w:asciiTheme="minorEastAsia" w:hAnsiTheme="minorEastAsia" w:eastAsiaTheme="minorEastAsia" w:cstheme="minorEastAsia"/>
                <w:i w:val="0"/>
                <w:iCs w:val="0"/>
                <w:color w:val="auto"/>
                <w:kern w:val="0"/>
                <w:sz w:val="21"/>
                <w:szCs w:val="21"/>
                <w:u w:val="none"/>
                <w:lang w:val="en-US" w:eastAsia="zh-CN" w:bidi="ar"/>
              </w:rPr>
              <w:t>项目名称</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B2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服务内容</w:t>
            </w:r>
          </w:p>
        </w:tc>
        <w:tc>
          <w:tcPr>
            <w:tcW w:w="10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3A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lang w:val="en-US"/>
              </w:rPr>
            </w:pPr>
            <w:r>
              <w:rPr>
                <w:rFonts w:hint="eastAsia" w:asciiTheme="minorEastAsia" w:hAnsiTheme="minorEastAsia" w:eastAsiaTheme="minorEastAsia" w:cstheme="minorEastAsia"/>
                <w:i w:val="0"/>
                <w:iCs w:val="0"/>
                <w:color w:val="auto"/>
                <w:kern w:val="0"/>
                <w:sz w:val="21"/>
                <w:szCs w:val="21"/>
                <w:u w:val="none"/>
                <w:lang w:val="en-US" w:eastAsia="zh-CN" w:bidi="ar"/>
              </w:rPr>
              <w:t>服务要求</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AE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备注</w:t>
            </w:r>
          </w:p>
        </w:tc>
      </w:tr>
      <w:tr w14:paraId="00F9E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6F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EA0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承接</w:t>
            </w:r>
            <w:r>
              <w:rPr>
                <w:rFonts w:hint="eastAsia" w:asciiTheme="minorEastAsia" w:hAnsiTheme="minorEastAsia" w:cstheme="minorEastAsia"/>
                <w:i w:val="0"/>
                <w:iCs w:val="0"/>
                <w:color w:val="auto"/>
                <w:kern w:val="0"/>
                <w:sz w:val="21"/>
                <w:szCs w:val="21"/>
                <w:u w:val="none"/>
                <w:lang w:val="en-US" w:eastAsia="zh-CN" w:bidi="ar"/>
              </w:rPr>
              <w:t>系统</w:t>
            </w:r>
            <w:r>
              <w:rPr>
                <w:rFonts w:hint="eastAsia" w:asciiTheme="minorEastAsia" w:hAnsiTheme="minorEastAsia" w:eastAsiaTheme="minorEastAsia" w:cstheme="minorEastAsia"/>
                <w:i w:val="0"/>
                <w:iCs w:val="0"/>
                <w:color w:val="auto"/>
                <w:kern w:val="0"/>
                <w:sz w:val="21"/>
                <w:szCs w:val="21"/>
                <w:u w:val="none"/>
                <w:lang w:val="en-US" w:eastAsia="zh-CN" w:bidi="ar"/>
              </w:rPr>
              <w:t>运维服务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3117">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总体要求</w:t>
            </w:r>
          </w:p>
        </w:tc>
        <w:tc>
          <w:tcPr>
            <w:tcW w:w="10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EE5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w:t>
            </w:r>
            <w:r>
              <w:rPr>
                <w:rFonts w:hint="eastAsia" w:asciiTheme="minorEastAsia" w:hAnsiTheme="minorEastAsia" w:cstheme="minorEastAsia"/>
                <w:i w:val="0"/>
                <w:iCs w:val="0"/>
                <w:color w:val="auto"/>
                <w:kern w:val="0"/>
                <w:sz w:val="21"/>
                <w:szCs w:val="21"/>
                <w:u w:val="none"/>
                <w:lang w:val="en-US" w:eastAsia="zh-CN" w:bidi="ar"/>
              </w:rPr>
              <w:t>完成本项目系统现有功能</w:t>
            </w:r>
            <w:r>
              <w:rPr>
                <w:rFonts w:hint="eastAsia" w:asciiTheme="minorEastAsia" w:hAnsiTheme="minorEastAsia" w:eastAsiaTheme="minorEastAsia" w:cstheme="minorEastAsia"/>
                <w:i w:val="0"/>
                <w:iCs w:val="0"/>
                <w:color w:val="auto"/>
                <w:kern w:val="0"/>
                <w:sz w:val="21"/>
                <w:szCs w:val="21"/>
                <w:u w:val="none"/>
                <w:lang w:val="en-US" w:eastAsia="zh-CN" w:bidi="ar"/>
              </w:rPr>
              <w:t>承接</w:t>
            </w:r>
            <w:r>
              <w:rPr>
                <w:rFonts w:hint="eastAsia" w:asciiTheme="minorEastAsia" w:hAnsiTheme="minorEastAsia" w:cstheme="minorEastAsia"/>
                <w:i w:val="0"/>
                <w:iCs w:val="0"/>
                <w:color w:val="auto"/>
                <w:kern w:val="0"/>
                <w:sz w:val="21"/>
                <w:szCs w:val="21"/>
                <w:u w:val="none"/>
                <w:lang w:val="en-US" w:eastAsia="zh-CN" w:bidi="ar"/>
              </w:rPr>
              <w:t>工作，并提供运维服务，</w:t>
            </w:r>
            <w:r>
              <w:rPr>
                <w:rFonts w:hint="eastAsia" w:asciiTheme="minorEastAsia" w:hAnsiTheme="minorEastAsia" w:eastAsiaTheme="minorEastAsia" w:cstheme="minorEastAsia"/>
                <w:i w:val="0"/>
                <w:iCs w:val="0"/>
                <w:color w:val="auto"/>
                <w:kern w:val="0"/>
                <w:sz w:val="21"/>
                <w:szCs w:val="21"/>
                <w:u w:val="none"/>
                <w:lang w:val="en-US" w:eastAsia="zh-CN" w:bidi="ar"/>
              </w:rPr>
              <w:t>在服务期间，为保障系统持续稳定运行，须严格履行以下核心保障义务：一是确保现有系统全部存量内容（含文字、图片、数据等）完整留存，无丢失、篡改风险；二是保障现有系统相关数据存储、接口服务等核心业务模块不间断延续运行，各项功能正常可用。</w:t>
            </w:r>
          </w:p>
          <w:p w14:paraId="0446E57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服务包括但不限于：提供系统维护、更新、升级、改版服务；需求优化、升级或改造；性能及功能故障排查、处理和维护；软件的功能增强性维护等应用软件系统扩充升级；系统日常问题故障处理、改正性维护、完善性维护、预防性维护、适应政策性修改、制作各类统计报表。提供因包含政策、医院规划等原因要求的系统及数据迁移；配合进行信创、密评相关改造等，费用均包含于项目总价中，不得再收取院方或第三方公司任何接口费。</w:t>
            </w:r>
          </w:p>
          <w:p w14:paraId="0F795D9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每季度提供一次软件维保服务项目工作报告，内容包括但不限于：培训、指导、商讨、修改、升级、更新、建议、要求、流程再造、设备接入、业务扩展（专指院内）等，以及医院提出的其他要求和落实情况等。</w:t>
            </w:r>
          </w:p>
          <w:p w14:paraId="266EEA2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4.须指派专人负责与医院联系售后服务事宜：提供人员姓名、职务、联系电话（含座机、手机等）。</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5.在进行软件升级、整改、发布等操作时，必须提前以书面形式告之甲方。包括但不仅限于：操作人员、操作时间、操作内容、后续影响等内容。征得甲方同意后方可进行操作。</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6.做好业务数据的日常备份，若监测到备份有问题，需及时修复。在系统运行过程中，因操作、系统Bug因素或者其他不可控的原因造成数据不正常，在医院确认后进行数据修复，在修复过程中要求采用必要的技术及管理流程以确保数据安全，并将整个修复过程记录备案。</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7.在医院目前运行系统的版本基础上，根据医院的业务需求不断完善其功能，提升其可操作性和用户体验，从而提升业务办理过程中的效率。</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8.因卫健、医保、人社、药监、疾控、财政、审计等各级行政管理部门的政策性要求，导致现有软件模块功能不能满足要求，需进行相应软件模块功能的修改、完善。</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9.根据医院的要求协助医院接受检查、审计或其他重大工作中给予技术支持服务，包含数据提取、核对等工作。应积极配合完成因院方接受检查、巡察、评审、复审而提出的信息化相关要求。</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 xml:space="preserve">10.重大技术问题处理:对重大的技术问题，应协调组织技术专家小组进行会诊解决，以确保系统的正常运行。 </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11.对医院信息部技术人员进行培训指导，熟悉系统内部设计逻辑、表名、字段等，以及系统运维过程中需要重点关注的事项，确保相关系统管理员能够独立处理问题。</w:t>
            </w:r>
          </w:p>
          <w:p w14:paraId="393FA3F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B7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37FD4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6" w:hRule="atLeast"/>
        </w:trPr>
        <w:tc>
          <w:tcPr>
            <w:tcW w:w="718" w:type="dxa"/>
            <w:vMerge w:val="restart"/>
            <w:tcBorders>
              <w:top w:val="single" w:color="000000" w:sz="4" w:space="0"/>
              <w:left w:val="single" w:color="000000" w:sz="4" w:space="0"/>
              <w:right w:val="single" w:color="000000" w:sz="4" w:space="0"/>
            </w:tcBorders>
            <w:shd w:val="clear" w:color="auto" w:fill="auto"/>
            <w:vAlign w:val="center"/>
          </w:tcPr>
          <w:p w14:paraId="5AE117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139" w:type="dxa"/>
            <w:vMerge w:val="restart"/>
            <w:tcBorders>
              <w:top w:val="single" w:color="000000" w:sz="4" w:space="0"/>
              <w:left w:val="single" w:color="000000" w:sz="4" w:space="0"/>
              <w:right w:val="single" w:color="000000" w:sz="4" w:space="0"/>
            </w:tcBorders>
            <w:shd w:val="clear" w:color="auto" w:fill="auto"/>
            <w:vAlign w:val="center"/>
          </w:tcPr>
          <w:p w14:paraId="6A53FC8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排队叫号系统承接服务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694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排队叫号系统配套硬件运维服务</w:t>
            </w:r>
          </w:p>
        </w:tc>
        <w:tc>
          <w:tcPr>
            <w:tcW w:w="10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7CD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为确保系统稳定运行，需对全院叫号系统配套硬件</w:t>
            </w:r>
            <w:r>
              <w:rPr>
                <w:rFonts w:hint="eastAsia" w:asciiTheme="minorEastAsia" w:hAnsiTheme="minorEastAsia" w:cstheme="minorEastAsia"/>
                <w:i w:val="0"/>
                <w:iCs w:val="0"/>
                <w:color w:val="auto"/>
                <w:kern w:val="0"/>
                <w:sz w:val="21"/>
                <w:szCs w:val="21"/>
                <w:u w:val="none"/>
                <w:lang w:val="en-US" w:eastAsia="zh-CN" w:bidi="ar"/>
              </w:rPr>
              <w:t>：</w:t>
            </w:r>
            <w:r>
              <w:rPr>
                <w:rFonts w:hint="eastAsia" w:asciiTheme="minorEastAsia" w:hAnsiTheme="minorEastAsia" w:eastAsiaTheme="minorEastAsia" w:cstheme="minorEastAsia"/>
                <w:i w:val="0"/>
                <w:iCs w:val="0"/>
                <w:color w:val="auto"/>
                <w:kern w:val="0"/>
                <w:sz w:val="21"/>
                <w:szCs w:val="21"/>
                <w:u w:val="none"/>
                <w:lang w:val="en-US" w:eastAsia="zh-CN" w:bidi="ar"/>
              </w:rPr>
              <w:t>叫号屏、服务器、存储等相关硬件进行运维保障工作，包含不限于以下设备及相关配套设备设施的维修和更换（含配件、耗材）：</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1.</w:t>
            </w:r>
            <w:r>
              <w:rPr>
                <w:rFonts w:hint="eastAsia" w:asciiTheme="minorEastAsia" w:hAnsiTheme="minorEastAsia" w:cstheme="minorEastAsia"/>
                <w:i w:val="0"/>
                <w:iCs w:val="0"/>
                <w:color w:val="auto"/>
                <w:kern w:val="0"/>
                <w:sz w:val="21"/>
                <w:szCs w:val="21"/>
                <w:u w:val="none"/>
                <w:lang w:val="en-US" w:eastAsia="zh-CN" w:bidi="ar"/>
              </w:rPr>
              <w:t>叫号屏：</w:t>
            </w:r>
            <w:r>
              <w:rPr>
                <w:rFonts w:hint="eastAsia" w:asciiTheme="minorEastAsia" w:hAnsiTheme="minorEastAsia" w:eastAsiaTheme="minorEastAsia" w:cstheme="minorEastAsia"/>
                <w:i w:val="0"/>
                <w:iCs w:val="0"/>
                <w:color w:val="auto"/>
                <w:kern w:val="0"/>
                <w:sz w:val="21"/>
                <w:szCs w:val="21"/>
                <w:u w:val="none"/>
                <w:lang w:val="en-US" w:eastAsia="zh-CN" w:bidi="ar"/>
              </w:rPr>
              <w:t>19寸约138台；55寸约28台；32寸约66台；</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cstheme="minorEastAsia"/>
                <w:i w:val="0"/>
                <w:iCs w:val="0"/>
                <w:color w:val="auto"/>
                <w:kern w:val="0"/>
                <w:sz w:val="21"/>
                <w:szCs w:val="21"/>
                <w:u w:val="none"/>
                <w:lang w:val="en-US" w:eastAsia="zh-CN" w:bidi="ar"/>
              </w:rPr>
              <w:t>2</w:t>
            </w:r>
            <w:r>
              <w:rPr>
                <w:rFonts w:hint="eastAsia" w:asciiTheme="minorEastAsia" w:hAnsiTheme="minorEastAsia" w:eastAsiaTheme="minorEastAsia" w:cstheme="minorEastAsia"/>
                <w:i w:val="0"/>
                <w:iCs w:val="0"/>
                <w:color w:val="auto"/>
                <w:kern w:val="0"/>
                <w:sz w:val="21"/>
                <w:szCs w:val="21"/>
                <w:u w:val="none"/>
                <w:lang w:val="en-US" w:eastAsia="zh-CN" w:bidi="ar"/>
              </w:rPr>
              <w:t>.55寸落地显示屏约5台；</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cstheme="minorEastAsia"/>
                <w:i w:val="0"/>
                <w:iCs w:val="0"/>
                <w:color w:val="auto"/>
                <w:kern w:val="0"/>
                <w:sz w:val="21"/>
                <w:szCs w:val="21"/>
                <w:u w:val="none"/>
                <w:lang w:val="en-US" w:eastAsia="zh-CN" w:bidi="ar"/>
              </w:rPr>
              <w:t>3</w:t>
            </w:r>
            <w:r>
              <w:rPr>
                <w:rFonts w:hint="eastAsia" w:asciiTheme="minorEastAsia" w:hAnsiTheme="minorEastAsia" w:eastAsiaTheme="minorEastAsia" w:cstheme="minorEastAsia"/>
                <w:i w:val="0"/>
                <w:iCs w:val="0"/>
                <w:color w:val="auto"/>
                <w:kern w:val="0"/>
                <w:sz w:val="21"/>
                <w:szCs w:val="21"/>
                <w:u w:val="none"/>
                <w:lang w:val="en-US" w:eastAsia="zh-CN" w:bidi="ar"/>
              </w:rPr>
              <w:t>.服务器约2台；</w:t>
            </w:r>
          </w:p>
          <w:p w14:paraId="6E45DEC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cstheme="minorEastAsia"/>
                <w:i w:val="0"/>
                <w:iCs w:val="0"/>
                <w:color w:val="auto"/>
                <w:kern w:val="0"/>
                <w:sz w:val="21"/>
                <w:szCs w:val="21"/>
                <w:u w:val="none"/>
                <w:lang w:val="en-US" w:eastAsia="zh-CN" w:bidi="ar"/>
              </w:rPr>
              <w:t>4.普通PC机1台。</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cstheme="minorEastAsia"/>
                <w:i w:val="0"/>
                <w:iCs w:val="0"/>
                <w:color w:val="auto"/>
                <w:kern w:val="0"/>
                <w:sz w:val="21"/>
                <w:szCs w:val="21"/>
                <w:u w:val="none"/>
                <w:lang w:val="en-US" w:eastAsia="zh-CN" w:bidi="ar"/>
              </w:rPr>
              <w:t>5</w:t>
            </w:r>
            <w:r>
              <w:rPr>
                <w:rFonts w:hint="eastAsia" w:asciiTheme="minorEastAsia" w:hAnsiTheme="minorEastAsia" w:eastAsiaTheme="minorEastAsia" w:cstheme="minorEastAsia"/>
                <w:i w:val="0"/>
                <w:iCs w:val="0"/>
                <w:color w:val="auto"/>
                <w:kern w:val="0"/>
                <w:sz w:val="21"/>
                <w:szCs w:val="21"/>
                <w:u w:val="none"/>
                <w:lang w:val="en-US" w:eastAsia="zh-CN" w:bidi="ar"/>
              </w:rPr>
              <w:t>.其他设备：功放约13个；喇叭约30个；其他配件耗材等。</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44FC">
            <w:pPr>
              <w:jc w:val="center"/>
              <w:rPr>
                <w:rFonts w:hint="eastAsia" w:asciiTheme="minorEastAsia" w:hAnsiTheme="minorEastAsia" w:eastAsiaTheme="minorEastAsia" w:cstheme="minorEastAsia"/>
                <w:i w:val="0"/>
                <w:iCs w:val="0"/>
                <w:color w:val="auto"/>
                <w:sz w:val="21"/>
                <w:szCs w:val="21"/>
                <w:u w:val="none"/>
              </w:rPr>
            </w:pPr>
          </w:p>
        </w:tc>
      </w:tr>
      <w:tr w14:paraId="3EA6B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9" w:hRule="atLeast"/>
        </w:trPr>
        <w:tc>
          <w:tcPr>
            <w:tcW w:w="718" w:type="dxa"/>
            <w:vMerge w:val="continue"/>
            <w:tcBorders>
              <w:left w:val="single" w:color="000000" w:sz="4" w:space="0"/>
              <w:right w:val="single" w:color="000000" w:sz="4" w:space="0"/>
            </w:tcBorders>
            <w:shd w:val="clear" w:color="auto" w:fill="auto"/>
            <w:vAlign w:val="center"/>
          </w:tcPr>
          <w:p w14:paraId="28BFD3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39" w:type="dxa"/>
            <w:vMerge w:val="continue"/>
            <w:tcBorders>
              <w:left w:val="single" w:color="000000" w:sz="4" w:space="0"/>
              <w:right w:val="single" w:color="000000" w:sz="4" w:space="0"/>
            </w:tcBorders>
            <w:shd w:val="clear" w:color="auto" w:fill="auto"/>
            <w:vAlign w:val="center"/>
          </w:tcPr>
          <w:p w14:paraId="6116406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C06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排队叫号系统升级服务</w:t>
            </w:r>
          </w:p>
        </w:tc>
        <w:tc>
          <w:tcPr>
            <w:tcW w:w="10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727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在现有功能基础上，新增以下功能：</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1.需要新增自助签到机15台，签到能够后打印指引单：门诊二楼2台、三楼2台、四楼2台、五楼2台，感染科门诊1台，口腔科1台，老区2台，共计11台）；新增门诊区域，计划3台自助签到机。</w:t>
            </w:r>
          </w:p>
          <w:p w14:paraId="41E867E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2.增加大、小叫号屏、功放等配套设施，用于新增门诊区域的诊室。结合目前临床科室需求，预计将增加至少37个诊室。具体需求根据新增门诊区域实际情况而定。</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3.支持患者通过扫码签到。（患者在门诊区域，通过扫描各候诊区的二维码即可完成签到）。</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4.支持查询及导出功能等功能：查询既往就诊患者签到时间，导出门诊医师首次叫号时间、门诊患者平均等候时间、一号管三天相关数据。工作人员登录分诊系统后，可查见患者年龄及性别，帮助识别高龄人群、献血金奖等特殊人群，必要时对特殊人群进行自动优先。</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5.联接HIS，识别预约、非预约，查询预约患者平均等候时间（三级公立医院绩效考核填报指标）。</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6.便利患者：①增加显示功能：已挂号人员，已签到人员。②供患者查询等候情况。</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7.自动识别过号患者，并按设置规则为患者排序。</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8.支持双向语音沟通，方便医生与导诊人员直接语音沟通。</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9.支持联接现有自助服务机，联接后自助服务机可实现报到、回诊。</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10.支持各门诊科室个性化定制排队叫号规则。</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11.调整小叫号屏（悬挂于诊室门口）显示布局，包括但不限于诊室号、门诊名称、医生信息、叫号情况、签到（患者可通过显示屏签到）。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34AA">
            <w:pPr>
              <w:jc w:val="center"/>
              <w:rPr>
                <w:rFonts w:hint="eastAsia" w:asciiTheme="minorEastAsia" w:hAnsiTheme="minorEastAsia" w:eastAsiaTheme="minorEastAsia" w:cstheme="minorEastAsia"/>
                <w:i w:val="0"/>
                <w:iCs w:val="0"/>
                <w:color w:val="auto"/>
                <w:sz w:val="21"/>
                <w:szCs w:val="21"/>
                <w:u w:val="none"/>
              </w:rPr>
            </w:pPr>
          </w:p>
        </w:tc>
      </w:tr>
      <w:tr w14:paraId="41919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3"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D1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B23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电子票据系统承接服务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201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电子票据系统升级服务</w:t>
            </w:r>
          </w:p>
        </w:tc>
        <w:tc>
          <w:tcPr>
            <w:tcW w:w="10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9F6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color w:val="auto"/>
                <w:sz w:val="21"/>
                <w:szCs w:val="21"/>
                <w:lang w:val="en-US" w:eastAsia="zh-CN"/>
              </w:rPr>
              <w:t>须严格按照国家、省、市政策规定时限完成开发、测试、对接与上线，重点对医疗电子票据开具接口（涵盖门诊、住院、挂号、体检等）进行升级，通过优化医疗单位开票管理流程，实现开票单位电子票据系统的数据规范全面升级，确保票据编码规则与数据标准符合全国统一要求，满足全国范围内财政电子票据互认及跨省报销业务的各项需求。</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4A8D">
            <w:pPr>
              <w:jc w:val="left"/>
              <w:rPr>
                <w:rFonts w:hint="eastAsia" w:asciiTheme="minorEastAsia" w:hAnsiTheme="minorEastAsia" w:eastAsiaTheme="minorEastAsia" w:cstheme="minorEastAsia"/>
                <w:i w:val="0"/>
                <w:iCs w:val="0"/>
                <w:color w:val="auto"/>
                <w:sz w:val="21"/>
                <w:szCs w:val="21"/>
                <w:u w:val="none"/>
              </w:rPr>
            </w:pPr>
          </w:p>
        </w:tc>
      </w:tr>
      <w:tr w14:paraId="7EEDA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E2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B98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医保控费系统承接服务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E9BF">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医保控费系统升级服务</w:t>
            </w:r>
          </w:p>
        </w:tc>
        <w:tc>
          <w:tcPr>
            <w:tcW w:w="10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3C0D">
            <w:pPr>
              <w:keepNext w:val="0"/>
              <w:keepLines w:val="0"/>
              <w:widowControl/>
              <w:numPr>
                <w:ilvl w:val="0"/>
                <w:numId w:val="3"/>
              </w:numPr>
              <w:suppressLineNumbers w:val="0"/>
              <w:jc w:val="left"/>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能够</w:t>
            </w:r>
            <w:r>
              <w:rPr>
                <w:rFonts w:hint="eastAsia" w:asciiTheme="minorEastAsia" w:hAnsiTheme="minorEastAsia" w:eastAsiaTheme="minorEastAsia" w:cstheme="minorEastAsia"/>
                <w:color w:val="auto"/>
                <w:sz w:val="21"/>
                <w:szCs w:val="21"/>
                <w:lang w:val="en-US" w:eastAsia="zh-CN"/>
              </w:rPr>
              <w:t>连接3101和3103等接口</w:t>
            </w:r>
            <w:r>
              <w:rPr>
                <w:rFonts w:hint="eastAsia" w:asciiTheme="minorEastAsia" w:hAnsiTheme="minorEastAsia" w:cstheme="minorEastAsia"/>
                <w:color w:val="auto"/>
                <w:sz w:val="21"/>
                <w:szCs w:val="21"/>
                <w:lang w:val="en-US" w:eastAsia="zh-CN"/>
              </w:rPr>
              <w:t>。</w:t>
            </w:r>
          </w:p>
          <w:p w14:paraId="35356D8C">
            <w:pPr>
              <w:keepNext w:val="0"/>
              <w:keepLines w:val="0"/>
              <w:widowControl/>
              <w:numPr>
                <w:ilvl w:val="0"/>
                <w:numId w:val="3"/>
              </w:numPr>
              <w:suppressLineNumbers w:val="0"/>
              <w:jc w:val="left"/>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根据最新国家、省、市医保报销政策，</w:t>
            </w:r>
            <w:r>
              <w:rPr>
                <w:rFonts w:hint="eastAsia" w:asciiTheme="minorEastAsia" w:hAnsiTheme="minorEastAsia" w:cstheme="minorEastAsia"/>
                <w:color w:val="auto"/>
                <w:sz w:val="21"/>
                <w:szCs w:val="21"/>
                <w:lang w:val="en-US" w:eastAsia="zh-CN"/>
              </w:rPr>
              <w:t>如</w:t>
            </w:r>
            <w:r>
              <w:rPr>
                <w:rFonts w:hint="eastAsia" w:asciiTheme="minorEastAsia" w:hAnsiTheme="minorEastAsia" w:eastAsiaTheme="minorEastAsia" w:cstheme="minorEastAsia"/>
                <w:color w:val="auto"/>
                <w:sz w:val="21"/>
                <w:szCs w:val="21"/>
                <w:lang w:val="en-US" w:eastAsia="zh-CN"/>
              </w:rPr>
              <w:t>医保局发布的“两库”医保基金监管规则，完善院内审核规则</w:t>
            </w:r>
            <w:r>
              <w:rPr>
                <w:rFonts w:hint="eastAsia" w:asciiTheme="minorEastAsia" w:hAnsiTheme="minorEastAsia" w:cstheme="minorEastAsia"/>
                <w:color w:val="auto"/>
                <w:sz w:val="21"/>
                <w:szCs w:val="21"/>
                <w:lang w:val="en-US" w:eastAsia="zh-CN"/>
              </w:rPr>
              <w:t>，及时</w:t>
            </w:r>
            <w:r>
              <w:rPr>
                <w:rFonts w:hint="eastAsia" w:asciiTheme="minorEastAsia" w:hAnsiTheme="minorEastAsia" w:eastAsiaTheme="minorEastAsia" w:cstheme="minorEastAsia"/>
                <w:color w:val="auto"/>
                <w:sz w:val="21"/>
                <w:szCs w:val="21"/>
                <w:lang w:val="en-US" w:eastAsia="zh-CN"/>
              </w:rPr>
              <w:t>进行调整和更新</w:t>
            </w:r>
            <w:r>
              <w:rPr>
                <w:rFonts w:hint="eastAsia" w:asciiTheme="minorEastAsia" w:hAnsiTheme="minorEastAsia" w:cstheme="minorEastAsia"/>
                <w:color w:val="auto"/>
                <w:sz w:val="21"/>
                <w:szCs w:val="21"/>
                <w:lang w:val="en-US" w:eastAsia="zh-CN"/>
              </w:rPr>
              <w:t>规则知识库</w:t>
            </w:r>
            <w:r>
              <w:rPr>
                <w:rFonts w:hint="eastAsia" w:asciiTheme="minorEastAsia" w:hAnsiTheme="minorEastAsia" w:eastAsiaTheme="minorEastAsia" w:cstheme="minorEastAsia"/>
                <w:color w:val="auto"/>
                <w:sz w:val="21"/>
                <w:szCs w:val="21"/>
                <w:lang w:val="en-US" w:eastAsia="zh-CN"/>
              </w:rPr>
              <w:t>。</w:t>
            </w:r>
          </w:p>
          <w:p w14:paraId="39FE4C8E">
            <w:pPr>
              <w:keepNext w:val="0"/>
              <w:keepLines w:val="0"/>
              <w:widowControl/>
              <w:numPr>
                <w:ilvl w:val="0"/>
                <w:numId w:val="3"/>
              </w:numPr>
              <w:suppressLineNumbers w:val="0"/>
              <w:jc w:val="left"/>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能根据医院实际监管需求，自定义监管规则</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5AC0">
            <w:pPr>
              <w:jc w:val="left"/>
              <w:rPr>
                <w:rFonts w:hint="eastAsia" w:asciiTheme="minorEastAsia" w:hAnsiTheme="minorEastAsia" w:eastAsiaTheme="minorEastAsia" w:cstheme="minorEastAsia"/>
                <w:i w:val="0"/>
                <w:iCs w:val="0"/>
                <w:color w:val="auto"/>
                <w:sz w:val="21"/>
                <w:szCs w:val="21"/>
                <w:u w:val="none"/>
              </w:rPr>
            </w:pPr>
          </w:p>
        </w:tc>
      </w:tr>
      <w:tr w14:paraId="3CB64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3"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DD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FCB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自助设备打印承接服务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F69F">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自助设备打印承接服务</w:t>
            </w:r>
          </w:p>
        </w:tc>
        <w:tc>
          <w:tcPr>
            <w:tcW w:w="10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8AEB">
            <w:pPr>
              <w:keepNext w:val="0"/>
              <w:keepLines w:val="0"/>
              <w:widowControl/>
              <w:numPr>
                <w:ilvl w:val="0"/>
                <w:numId w:val="4"/>
              </w:numPr>
              <w:suppressLineNumbers w:val="0"/>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本服务覆盖医院门诊大厅、各住院楼层等全部自助打印终端，全程保障设备7×24小时打印功能稳定正常，满足患者挂号凭条、缴费票据、检查检验报告等各类就医凭证常态化打印需求。</w:t>
            </w:r>
          </w:p>
          <w:p w14:paraId="366BBC45">
            <w:pPr>
              <w:keepNext w:val="0"/>
              <w:keepLines w:val="0"/>
              <w:widowControl/>
              <w:numPr>
                <w:ilvl w:val="0"/>
                <w:numId w:val="4"/>
              </w:numPr>
              <w:suppressLineNumbers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需全程负责所有自助机打印耗材的品质管控、精准配送、现场拆装更换及调试运维全流程工作，配备专属固定对接人员，熟悉门诊诊疗作息与设备情况。</w:t>
            </w:r>
          </w:p>
          <w:p w14:paraId="53A24E35">
            <w:pPr>
              <w:keepNext w:val="0"/>
              <w:keepLines w:val="0"/>
              <w:widowControl/>
              <w:numPr>
                <w:ilvl w:val="0"/>
                <w:numId w:val="4"/>
              </w:numPr>
              <w:suppressLineNumbers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所有打印耗材均需匹配设备规格，品质达标、字迹清晰留存持久，适配医保报销及档案存档要求。</w:t>
            </w:r>
          </w:p>
          <w:p w14:paraId="1C5273F4">
            <w:pPr>
              <w:keepNext w:val="0"/>
              <w:keepLines w:val="0"/>
              <w:widowControl/>
              <w:numPr>
                <w:ilvl w:val="0"/>
                <w:numId w:val="4"/>
              </w:numPr>
              <w:suppressLineNumbers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落实常态化巡检，提前排查耗材余量、设备卡纸及打印异常问题，提前预警补给。</w:t>
            </w:r>
          </w:p>
          <w:p w14:paraId="6D9D71FB">
            <w:pPr>
              <w:keepNext w:val="0"/>
              <w:keepLines w:val="0"/>
              <w:widowControl/>
              <w:numPr>
                <w:ilvl w:val="0"/>
                <w:numId w:val="4"/>
              </w:numPr>
              <w:suppressLineNumbers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接到补货通知后，需10分钟内响应、30分钟内到场配送到位，所有耗材拆装、旧料清理、调试均由服务商专人实操，更换后多次测试确保打印正常。同时需规范建立配送、更换台账。</w:t>
            </w:r>
          </w:p>
          <w:p w14:paraId="5588093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cstheme="minorEastAsia"/>
                <w:color w:val="auto"/>
                <w:sz w:val="21"/>
                <w:szCs w:val="21"/>
                <w:lang w:val="en-US" w:eastAsia="zh-CN"/>
              </w:rPr>
              <w:t>本服务包含服务期全部硒鼓、热敏纸等耗材，</w:t>
            </w:r>
            <w:r>
              <w:rPr>
                <w:rFonts w:hint="eastAsia" w:asciiTheme="minorEastAsia" w:hAnsiTheme="minorEastAsia" w:eastAsiaTheme="minorEastAsia" w:cstheme="minorEastAsia"/>
                <w:color w:val="auto"/>
                <w:sz w:val="21"/>
                <w:szCs w:val="21"/>
                <w:lang w:val="en-US" w:eastAsia="zh-CN"/>
              </w:rPr>
              <w:t>现有自助设备约91台，配置打印机</w:t>
            </w:r>
            <w:r>
              <w:rPr>
                <w:rFonts w:hint="eastAsia" w:asciiTheme="minorEastAsia" w:hAnsiTheme="minorEastAsia" w:cstheme="minorEastAsia"/>
                <w:color w:val="auto"/>
                <w:sz w:val="21"/>
                <w:szCs w:val="21"/>
                <w:lang w:val="en-US" w:eastAsia="zh-CN"/>
              </w:rPr>
              <w:t>耗材型号</w:t>
            </w:r>
            <w:r>
              <w:rPr>
                <w:rFonts w:hint="eastAsia" w:asciiTheme="minorEastAsia" w:hAnsiTheme="minorEastAsia" w:eastAsiaTheme="minorEastAsia" w:cstheme="minorEastAsia"/>
                <w:color w:val="auto"/>
                <w:sz w:val="21"/>
                <w:szCs w:val="21"/>
                <w:lang w:val="en-US" w:eastAsia="zh-CN"/>
              </w:rPr>
              <w:t>：HP403</w:t>
            </w:r>
            <w:r>
              <w:rPr>
                <w:rFonts w:hint="eastAsia" w:asciiTheme="minorEastAsia" w:hAnsiTheme="minorEastAsia" w:cstheme="minorEastAsia"/>
                <w:color w:val="auto"/>
                <w:sz w:val="21"/>
                <w:szCs w:val="21"/>
                <w:lang w:val="en-US" w:eastAsia="zh-CN"/>
              </w:rPr>
              <w:t>硒鼓</w:t>
            </w:r>
            <w:r>
              <w:rPr>
                <w:rFonts w:hint="eastAsia" w:asciiTheme="minorEastAsia" w:hAnsiTheme="minorEastAsia" w:eastAsiaTheme="minorEastAsia" w:cstheme="minorEastAsia"/>
                <w:color w:val="auto"/>
                <w:sz w:val="21"/>
                <w:szCs w:val="21"/>
                <w:lang w:val="en-US" w:eastAsia="zh-CN"/>
              </w:rPr>
              <w:t>、80*80热敏打印</w:t>
            </w:r>
            <w:r>
              <w:rPr>
                <w:rFonts w:hint="eastAsia" w:asciiTheme="minorEastAsia" w:hAnsiTheme="minorEastAsia" w:cstheme="minorEastAsia"/>
                <w:color w:val="auto"/>
                <w:sz w:val="21"/>
                <w:szCs w:val="21"/>
                <w:lang w:val="en-US" w:eastAsia="zh-CN"/>
              </w:rPr>
              <w:t>纸</w:t>
            </w:r>
            <w:r>
              <w:rPr>
                <w:rFonts w:hint="eastAsia" w:asciiTheme="minorEastAsia" w:hAnsiTheme="minorEastAsia" w:eastAsiaTheme="minorEastAsia" w:cstheme="minorEastAsia"/>
                <w:color w:val="auto"/>
                <w:sz w:val="21"/>
                <w:szCs w:val="21"/>
                <w:lang w:val="en-US" w:eastAsia="zh-CN"/>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1D13">
            <w:pPr>
              <w:jc w:val="left"/>
              <w:rPr>
                <w:rFonts w:hint="eastAsia" w:asciiTheme="minorEastAsia" w:hAnsiTheme="minorEastAsia" w:eastAsiaTheme="minorEastAsia" w:cstheme="minorEastAsia"/>
                <w:i w:val="0"/>
                <w:iCs w:val="0"/>
                <w:color w:val="auto"/>
                <w:sz w:val="21"/>
                <w:szCs w:val="21"/>
                <w:u w:val="none"/>
              </w:rPr>
            </w:pPr>
          </w:p>
        </w:tc>
      </w:tr>
      <w:tr w14:paraId="0A554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718" w:type="dxa"/>
            <w:vMerge w:val="restart"/>
            <w:tcBorders>
              <w:top w:val="single" w:color="000000" w:sz="4" w:space="0"/>
              <w:left w:val="single" w:color="000000" w:sz="4" w:space="0"/>
              <w:right w:val="single" w:color="000000" w:sz="4" w:space="0"/>
            </w:tcBorders>
            <w:shd w:val="clear" w:color="auto" w:fill="auto"/>
            <w:vAlign w:val="center"/>
          </w:tcPr>
          <w:p w14:paraId="7606143D">
            <w:pPr>
              <w:keepNext w:val="0"/>
              <w:keepLines w:val="0"/>
              <w:widowControl/>
              <w:suppressLineNumbers w:val="0"/>
              <w:tabs>
                <w:tab w:val="left" w:pos="237"/>
              </w:tabs>
              <w:jc w:val="left"/>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cstheme="minorEastAsia"/>
                <w:i w:val="0"/>
                <w:iCs w:val="0"/>
                <w:color w:val="auto"/>
                <w:kern w:val="0"/>
                <w:sz w:val="21"/>
                <w:szCs w:val="21"/>
                <w:u w:val="none"/>
                <w:lang w:val="en-US" w:eastAsia="zh-CN" w:bidi="ar"/>
              </w:rPr>
              <w:tab/>
            </w:r>
            <w:r>
              <w:rPr>
                <w:rFonts w:hint="eastAsia" w:asciiTheme="minorEastAsia" w:hAnsiTheme="minorEastAsia" w:cstheme="minorEastAsia"/>
                <w:i w:val="0"/>
                <w:iCs w:val="0"/>
                <w:color w:val="auto"/>
                <w:kern w:val="0"/>
                <w:sz w:val="21"/>
                <w:szCs w:val="21"/>
                <w:u w:val="none"/>
                <w:lang w:val="en-US" w:eastAsia="zh-CN" w:bidi="ar"/>
              </w:rPr>
              <w:t>6</w:t>
            </w:r>
          </w:p>
        </w:tc>
        <w:tc>
          <w:tcPr>
            <w:tcW w:w="1139" w:type="dxa"/>
            <w:vMerge w:val="restart"/>
            <w:tcBorders>
              <w:top w:val="single" w:color="000000" w:sz="4" w:space="0"/>
              <w:left w:val="single" w:color="000000" w:sz="4" w:space="0"/>
              <w:right w:val="single" w:color="000000" w:sz="4" w:space="0"/>
            </w:tcBorders>
            <w:shd w:val="clear" w:color="auto" w:fill="auto"/>
            <w:vAlign w:val="center"/>
          </w:tcPr>
          <w:p w14:paraId="3EF96CE3">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互联网医院承接服务</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8BDE">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互联网医院平台运维服务</w:t>
            </w:r>
          </w:p>
        </w:tc>
        <w:tc>
          <w:tcPr>
            <w:tcW w:w="10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1476">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确保现有系统各项功能正常可用，现有系统相关数据存储、接口服务等核心业务模块不间断延续运行。包含不限于以下：</w:t>
            </w:r>
          </w:p>
          <w:p w14:paraId="0369E2B2">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1.智慧就医</w:t>
            </w:r>
          </w:p>
          <w:p w14:paraId="5CD2BB7C">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（1）注册办卡（2）当日挂号/预约挂号（3）门诊缴费（4）住院预交金（5）院内导航（6）用户满意度调查（7）用户指南（8）</w:t>
            </w:r>
            <w:r>
              <w:rPr>
                <w:rFonts w:hint="default" w:ascii="宋体" w:hAnsi="宋体" w:eastAsia="宋体" w:cs="宋体"/>
                <w:i w:val="0"/>
                <w:iCs w:val="0"/>
                <w:color w:val="auto"/>
                <w:kern w:val="0"/>
                <w:sz w:val="21"/>
                <w:szCs w:val="21"/>
                <w:u w:val="none"/>
                <w:lang w:val="en-US" w:eastAsia="zh-CN" w:bidi="ar"/>
              </w:rPr>
              <w:t>医院信息</w:t>
            </w:r>
            <w:r>
              <w:rPr>
                <w:rFonts w:hint="eastAsia" w:ascii="宋体" w:hAnsi="宋体" w:eastAsia="宋体" w:cs="宋体"/>
                <w:i w:val="0"/>
                <w:iCs w:val="0"/>
                <w:color w:val="auto"/>
                <w:kern w:val="0"/>
                <w:sz w:val="21"/>
                <w:szCs w:val="21"/>
                <w:u w:val="none"/>
                <w:lang w:val="en-US" w:eastAsia="zh-CN" w:bidi="ar"/>
              </w:rPr>
              <w:t>（9）电子报告</w:t>
            </w:r>
          </w:p>
          <w:p w14:paraId="251548A5">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2.互联网诊疗</w:t>
            </w:r>
          </w:p>
          <w:p w14:paraId="6A3159CE">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（1）在线问诊（2）医嘱（检验、检查、药品）开具（3）入院证开具（4）音视频通讯（5）费用支付（6）问诊评价（7）药品配送（8）门特续方（9）在线审方（10）医生执业管理（11）医师及药师CA签章</w:t>
            </w:r>
          </w:p>
          <w:p w14:paraId="4FFEED08">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3.远程分中心：远程会诊中心端账号配置（不含下级医院端建设）。</w:t>
            </w:r>
          </w:p>
          <w:p w14:paraId="614EBBE7">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4.接口：互联网医院平台和HIS等系统接口。</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1A55">
            <w:pPr>
              <w:jc w:val="left"/>
              <w:rPr>
                <w:rFonts w:hint="eastAsia" w:asciiTheme="minorEastAsia" w:hAnsiTheme="minorEastAsia" w:eastAsiaTheme="minorEastAsia" w:cstheme="minorEastAsia"/>
                <w:i w:val="0"/>
                <w:iCs w:val="0"/>
                <w:color w:val="auto"/>
                <w:sz w:val="21"/>
                <w:szCs w:val="21"/>
                <w:u w:val="none"/>
              </w:rPr>
            </w:pPr>
          </w:p>
        </w:tc>
      </w:tr>
      <w:tr w14:paraId="7D301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718" w:type="dxa"/>
            <w:vMerge w:val="continue"/>
            <w:tcBorders>
              <w:left w:val="single" w:color="000000" w:sz="4" w:space="0"/>
              <w:right w:val="single" w:color="000000" w:sz="4" w:space="0"/>
            </w:tcBorders>
            <w:shd w:val="clear" w:color="auto" w:fill="auto"/>
            <w:vAlign w:val="center"/>
          </w:tcPr>
          <w:p w14:paraId="498CBA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39" w:type="dxa"/>
            <w:vMerge w:val="continue"/>
            <w:tcBorders>
              <w:left w:val="single" w:color="000000" w:sz="4" w:space="0"/>
              <w:right w:val="single" w:color="000000" w:sz="4" w:space="0"/>
            </w:tcBorders>
            <w:shd w:val="clear" w:color="auto" w:fill="auto"/>
            <w:vAlign w:val="center"/>
          </w:tcPr>
          <w:p w14:paraId="53FCA47D">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val="en-US" w:eastAsia="zh-CN"/>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4D3A">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宋体" w:hAnsi="宋体" w:eastAsia="宋体" w:cs="宋体"/>
                <w:color w:val="auto"/>
                <w:szCs w:val="21"/>
                <w:lang w:val="en-US" w:eastAsia="zh-CN"/>
              </w:rPr>
              <w:t>互联网医院实现医保移动支付升级服务</w:t>
            </w:r>
          </w:p>
        </w:tc>
        <w:tc>
          <w:tcPr>
            <w:tcW w:w="10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CD89">
            <w:pPr>
              <w:jc w:val="left"/>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在现有功能基础上，新增实现互联网医院医保移动支付功能：</w:t>
            </w:r>
          </w:p>
          <w:p w14:paraId="5578B110">
            <w:pPr>
              <w:keepNext w:val="0"/>
              <w:keepLines w:val="0"/>
              <w:widowControl/>
              <w:numPr>
                <w:ilvl w:val="0"/>
                <w:numId w:val="0"/>
              </w:numPr>
              <w:suppressLineNumbers w:val="0"/>
              <w:ind w:left="0" w:leftChars="0" w:firstLine="0" w:firstLineChars="0"/>
              <w:jc w:val="left"/>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（1）实现线上医保码申领服务（2）线上医保结算功能（3）实现互联网医院慢特病医保结算 （4）医保订单查询（5）退款服务（6）单边账处置</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8E1B">
            <w:pPr>
              <w:jc w:val="left"/>
              <w:rPr>
                <w:rFonts w:hint="eastAsia" w:asciiTheme="minorEastAsia" w:hAnsiTheme="minorEastAsia" w:eastAsiaTheme="minorEastAsia" w:cstheme="minorEastAsia"/>
                <w:i w:val="0"/>
                <w:iCs w:val="0"/>
                <w:color w:val="auto"/>
                <w:sz w:val="21"/>
                <w:szCs w:val="21"/>
                <w:u w:val="none"/>
              </w:rPr>
            </w:pPr>
          </w:p>
        </w:tc>
      </w:tr>
      <w:tr w14:paraId="48804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718" w:type="dxa"/>
            <w:vMerge w:val="continue"/>
            <w:tcBorders>
              <w:left w:val="single" w:color="000000" w:sz="4" w:space="0"/>
              <w:right w:val="single" w:color="000000" w:sz="4" w:space="0"/>
            </w:tcBorders>
            <w:shd w:val="clear" w:color="auto" w:fill="auto"/>
            <w:vAlign w:val="center"/>
          </w:tcPr>
          <w:p w14:paraId="4F7BAD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39" w:type="dxa"/>
            <w:vMerge w:val="continue"/>
            <w:tcBorders>
              <w:left w:val="single" w:color="000000" w:sz="4" w:space="0"/>
              <w:right w:val="single" w:color="000000" w:sz="4" w:space="0"/>
            </w:tcBorders>
            <w:shd w:val="clear" w:color="auto" w:fill="auto"/>
            <w:vAlign w:val="center"/>
          </w:tcPr>
          <w:p w14:paraId="66D8C2A6">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val="en-US" w:eastAsia="zh-CN"/>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6432">
            <w:pPr>
              <w:jc w:val="center"/>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color w:val="auto"/>
                <w:szCs w:val="21"/>
                <w:lang w:val="en-US" w:eastAsia="zh-CN"/>
              </w:rPr>
              <w:t>互联网医院对接医院集成平台升级服务</w:t>
            </w:r>
          </w:p>
        </w:tc>
        <w:tc>
          <w:tcPr>
            <w:tcW w:w="10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9DBE">
            <w:pPr>
              <w:jc w:val="left"/>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在现有功能基础上，新增实现互联网医院对接医院集成平台。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AAD2">
            <w:pPr>
              <w:jc w:val="left"/>
              <w:rPr>
                <w:rFonts w:hint="eastAsia" w:asciiTheme="minorEastAsia" w:hAnsiTheme="minorEastAsia" w:eastAsiaTheme="minorEastAsia" w:cstheme="minorEastAsia"/>
                <w:i w:val="0"/>
                <w:iCs w:val="0"/>
                <w:color w:val="auto"/>
                <w:sz w:val="21"/>
                <w:szCs w:val="21"/>
                <w:u w:val="none"/>
              </w:rPr>
            </w:pPr>
          </w:p>
        </w:tc>
      </w:tr>
      <w:tr w14:paraId="77E51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718" w:type="dxa"/>
            <w:vMerge w:val="continue"/>
            <w:tcBorders>
              <w:left w:val="single" w:color="000000" w:sz="4" w:space="0"/>
              <w:right w:val="single" w:color="000000" w:sz="4" w:space="0"/>
            </w:tcBorders>
            <w:shd w:val="clear" w:color="auto" w:fill="auto"/>
            <w:vAlign w:val="center"/>
          </w:tcPr>
          <w:p w14:paraId="233C17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39" w:type="dxa"/>
            <w:vMerge w:val="continue"/>
            <w:tcBorders>
              <w:left w:val="single" w:color="000000" w:sz="4" w:space="0"/>
              <w:right w:val="single" w:color="000000" w:sz="4" w:space="0"/>
            </w:tcBorders>
            <w:shd w:val="clear" w:color="auto" w:fill="auto"/>
            <w:vAlign w:val="center"/>
          </w:tcPr>
          <w:p w14:paraId="3315DFCD">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val="en-US" w:eastAsia="zh-CN"/>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18CD">
            <w:pPr>
              <w:jc w:val="center"/>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color w:val="auto"/>
                <w:szCs w:val="21"/>
                <w:lang w:val="en-US" w:eastAsia="zh-CN"/>
              </w:rPr>
              <w:t>互联网医院实现院际互联网会诊升级服务</w:t>
            </w:r>
          </w:p>
        </w:tc>
        <w:tc>
          <w:tcPr>
            <w:tcW w:w="10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E6D7">
            <w:pPr>
              <w:jc w:val="left"/>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在现有功能基础上，新增实现互联网医院实现院际互联网会诊升级功能，实现领办医院提交与华西互联网医院平台系统对接方案，实现院际互联网会诊功能。</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9EC7">
            <w:pPr>
              <w:jc w:val="left"/>
              <w:rPr>
                <w:rFonts w:hint="eastAsia" w:asciiTheme="minorEastAsia" w:hAnsiTheme="minorEastAsia" w:eastAsiaTheme="minorEastAsia" w:cstheme="minorEastAsia"/>
                <w:i w:val="0"/>
                <w:iCs w:val="0"/>
                <w:color w:val="auto"/>
                <w:sz w:val="21"/>
                <w:szCs w:val="21"/>
                <w:u w:val="none"/>
              </w:rPr>
            </w:pPr>
          </w:p>
        </w:tc>
      </w:tr>
      <w:tr w14:paraId="42CD9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718" w:type="dxa"/>
            <w:vMerge w:val="continue"/>
            <w:tcBorders>
              <w:left w:val="single" w:color="000000" w:sz="4" w:space="0"/>
              <w:bottom w:val="single" w:color="000000" w:sz="4" w:space="0"/>
              <w:right w:val="single" w:color="000000" w:sz="4" w:space="0"/>
            </w:tcBorders>
            <w:shd w:val="clear" w:color="auto" w:fill="auto"/>
            <w:vAlign w:val="center"/>
          </w:tcPr>
          <w:p w14:paraId="4A5CD0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139" w:type="dxa"/>
            <w:vMerge w:val="continue"/>
            <w:tcBorders>
              <w:left w:val="single" w:color="000000" w:sz="4" w:space="0"/>
              <w:bottom w:val="single" w:color="000000" w:sz="4" w:space="0"/>
              <w:right w:val="single" w:color="000000" w:sz="4" w:space="0"/>
            </w:tcBorders>
            <w:shd w:val="clear" w:color="auto" w:fill="auto"/>
            <w:vAlign w:val="center"/>
          </w:tcPr>
          <w:p w14:paraId="484E9A6B">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val="en-US" w:eastAsia="zh-CN"/>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BA5F">
            <w:pPr>
              <w:jc w:val="center"/>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color w:val="auto"/>
                <w:szCs w:val="21"/>
                <w:lang w:val="en-US" w:eastAsia="zh-CN"/>
              </w:rPr>
              <w:t>互联网医院对接四川省互联网医院监管接口升级服务</w:t>
            </w:r>
          </w:p>
        </w:tc>
        <w:tc>
          <w:tcPr>
            <w:tcW w:w="10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48E7">
            <w:pPr>
              <w:jc w:val="left"/>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在现有功能基础上，新增实现互联网医院对接四川省互联网医院监管接口改造服务，按照国家、省、市政策发布的四川省互联网医院监管接口规范v2.0，按时限完成开发、测试、对接与上线。</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940D">
            <w:pPr>
              <w:jc w:val="left"/>
              <w:rPr>
                <w:rFonts w:hint="eastAsia" w:asciiTheme="minorEastAsia" w:hAnsiTheme="minorEastAsia" w:eastAsiaTheme="minorEastAsia" w:cstheme="minorEastAsia"/>
                <w:i w:val="0"/>
                <w:iCs w:val="0"/>
                <w:color w:val="auto"/>
                <w:sz w:val="21"/>
                <w:szCs w:val="21"/>
                <w:u w:val="none"/>
              </w:rPr>
            </w:pPr>
          </w:p>
        </w:tc>
      </w:tr>
    </w:tbl>
    <w:p w14:paraId="75F3249C">
      <w:pPr>
        <w:rPr>
          <w:rFonts w:hint="eastAsia"/>
          <w:color w:val="auto"/>
          <w:lang w:val="en-US" w:eastAsia="zh-CN"/>
        </w:rPr>
      </w:pPr>
    </w:p>
    <w:p w14:paraId="76488CAE">
      <w:pPr>
        <w:rPr>
          <w:rFonts w:hint="eastAsia"/>
          <w:color w:val="auto"/>
          <w:lang w:val="en-US" w:eastAsia="zh-CN"/>
        </w:rPr>
      </w:pPr>
    </w:p>
    <w:p w14:paraId="6F605664">
      <w:pPr>
        <w:rPr>
          <w:b/>
          <w:bCs/>
          <w:color w:val="auto"/>
          <w:sz w:val="28"/>
          <w:szCs w:val="28"/>
        </w:rPr>
      </w:pPr>
      <w:r>
        <w:rPr>
          <w:rFonts w:hint="eastAsia"/>
          <w:b/>
          <w:bCs/>
          <w:color w:val="auto"/>
          <w:sz w:val="28"/>
          <w:szCs w:val="28"/>
          <w:lang w:eastAsia="zh-CN"/>
        </w:rPr>
        <w:t>（</w:t>
      </w:r>
      <w:r>
        <w:rPr>
          <w:rFonts w:hint="eastAsia"/>
          <w:b/>
          <w:bCs/>
          <w:color w:val="auto"/>
          <w:sz w:val="28"/>
          <w:szCs w:val="28"/>
          <w:lang w:val="en-US" w:eastAsia="zh-CN"/>
        </w:rPr>
        <w:t>三</w:t>
      </w:r>
      <w:r>
        <w:rPr>
          <w:rFonts w:hint="eastAsia"/>
          <w:b/>
          <w:bCs/>
          <w:color w:val="auto"/>
          <w:sz w:val="28"/>
          <w:szCs w:val="28"/>
          <w:lang w:eastAsia="zh-CN"/>
        </w:rPr>
        <w:t>）</w:t>
      </w:r>
      <w:r>
        <w:rPr>
          <w:rFonts w:hint="eastAsia"/>
          <w:b/>
          <w:bCs/>
          <w:color w:val="auto"/>
          <w:sz w:val="28"/>
          <w:szCs w:val="28"/>
        </w:rPr>
        <w:t>总体服务要求</w:t>
      </w:r>
    </w:p>
    <w:p w14:paraId="2695D583">
      <w:pPr>
        <w:numPr>
          <w:ilvl w:val="0"/>
          <w:numId w:val="5"/>
        </w:numPr>
        <w:ind w:firstLine="420" w:firstLineChars="200"/>
        <w:rPr>
          <w:strike w:val="0"/>
          <w:dstrike w:val="0"/>
          <w:color w:val="auto"/>
        </w:rPr>
      </w:pPr>
      <w:r>
        <w:rPr>
          <w:rFonts w:hint="eastAsia"/>
          <w:b w:val="0"/>
          <w:bCs w:val="0"/>
          <w:strike w:val="0"/>
          <w:dstrike w:val="0"/>
          <w:color w:val="auto"/>
          <w:lang w:val="en-US" w:eastAsia="zh-CN"/>
        </w:rPr>
        <w:t>项目交付要求。</w:t>
      </w:r>
      <w:r>
        <w:rPr>
          <w:rFonts w:hint="eastAsia"/>
          <w:strike w:val="0"/>
          <w:dstrike w:val="0"/>
          <w:color w:val="auto"/>
        </w:rPr>
        <w:t>本项目为交钥匙</w:t>
      </w:r>
      <w:r>
        <w:rPr>
          <w:rFonts w:hint="eastAsia"/>
          <w:strike w:val="0"/>
          <w:dstrike w:val="0"/>
          <w:color w:val="auto"/>
          <w:lang w:val="en-US" w:eastAsia="zh-CN"/>
        </w:rPr>
        <w:t>工程</w:t>
      </w:r>
      <w:r>
        <w:rPr>
          <w:rFonts w:hint="eastAsia"/>
          <w:strike w:val="0"/>
          <w:dstrike w:val="0"/>
          <w:color w:val="auto"/>
        </w:rPr>
        <w:t>，</w:t>
      </w:r>
      <w:r>
        <w:rPr>
          <w:rFonts w:hint="eastAsia"/>
          <w:strike w:val="0"/>
          <w:dstrike w:val="0"/>
          <w:color w:val="auto"/>
          <w:lang w:eastAsia="zh-CN"/>
        </w:rPr>
        <w:t>供应商</w:t>
      </w:r>
      <w:r>
        <w:rPr>
          <w:rFonts w:hint="eastAsia"/>
          <w:strike w:val="0"/>
          <w:dstrike w:val="0"/>
          <w:color w:val="auto"/>
        </w:rPr>
        <w:t>作为责任主体，</w:t>
      </w:r>
      <w:r>
        <w:rPr>
          <w:strike w:val="0"/>
          <w:dstrike w:val="0"/>
          <w:color w:val="auto"/>
        </w:rPr>
        <w:t>需完成软硬件部署、系统调试、数据适配、用户培训、上线验证全链条交付</w:t>
      </w:r>
      <w:r>
        <w:rPr>
          <w:rFonts w:hint="eastAsia"/>
          <w:strike w:val="0"/>
          <w:dstrike w:val="0"/>
          <w:color w:val="auto"/>
        </w:rPr>
        <w:t>。</w:t>
      </w:r>
    </w:p>
    <w:p w14:paraId="68D48454">
      <w:pPr>
        <w:numPr>
          <w:ilvl w:val="0"/>
          <w:numId w:val="5"/>
        </w:numPr>
        <w:ind w:firstLine="420" w:firstLineChars="200"/>
        <w:rPr>
          <w:rFonts w:hint="eastAsia"/>
          <w:color w:val="auto"/>
        </w:rPr>
      </w:pPr>
      <w:r>
        <w:rPr>
          <w:rFonts w:hint="eastAsia"/>
          <w:b w:val="0"/>
          <w:bCs w:val="0"/>
          <w:color w:val="auto"/>
          <w:lang w:val="en-US" w:eastAsia="zh-CN"/>
        </w:rPr>
        <w:t>评审配合要求。</w:t>
      </w:r>
      <w:r>
        <w:rPr>
          <w:rFonts w:hint="eastAsia"/>
          <w:color w:val="auto"/>
          <w:lang w:val="en-US" w:eastAsia="zh-CN"/>
        </w:rPr>
        <w:t>供应商须长期无条件配合、协助医院，确保全部通过以下评审及测评中涉及本项目系统的相关联条款要求：国家卫生健康委员会电子病历系统应用水平分级评价5级（若后期国家正式公布更新标准替代本标准，须按最新标准对应同级达标，如智慧医疗分级评价5级）、国家卫生健康委员会医疗健康信息互联互通成熟度四级甲等测评、《四川省智慧医院评价标准》五星评审要求，以及公立医院绩效考核、三级医院评审标准中的相关关联条款。供应商提供的配合服务至少涵盖：评审政策咨询及宣讲培训、对标评级标准的差距梳理与分析、针对性系统改造建设、评审文审资料编制整理、现场查验全程技术支持，以及相关报审、质证、实证等资料的筹备与制作等全流程工作。同时，所有涉及系统优化改造、接口调整的相关费用，均已包含在投标总价中，供应商不得以任何形式向医院或第三方收取额外费用。</w:t>
      </w:r>
    </w:p>
    <w:p w14:paraId="1F3B5B61">
      <w:pPr>
        <w:numPr>
          <w:ilvl w:val="0"/>
          <w:numId w:val="5"/>
        </w:numPr>
        <w:ind w:firstLine="420" w:firstLineChars="200"/>
        <w:rPr>
          <w:rFonts w:hint="eastAsia"/>
          <w:color w:val="auto"/>
          <w:lang w:val="en-US" w:eastAsia="zh-CN"/>
        </w:rPr>
      </w:pPr>
      <w:r>
        <w:rPr>
          <w:rFonts w:hint="eastAsia"/>
          <w:b w:val="0"/>
          <w:bCs w:val="0"/>
          <w:color w:val="auto"/>
          <w:lang w:val="en-US" w:eastAsia="zh-CN"/>
        </w:rPr>
        <w:t>迁移、灾备要求。</w:t>
      </w:r>
      <w:r>
        <w:rPr>
          <w:rFonts w:hint="eastAsia"/>
          <w:color w:val="auto"/>
          <w:lang w:val="en-US" w:eastAsia="zh-CN"/>
        </w:rPr>
        <w:t>项目服务期内，若因国家政策调整、医院业务需求变化，需对本项目系统进行服务调整、数据迁移，或需按医院要求将业务系统及数据灾备部署至其他云环境、本地环境、异地环境的，供应商须无条件承接并实施相关工作。实施过程中须严格控制业务中断时长，确保业务中断时间≤24小时，保障医院业务连续稳定开展。</w:t>
      </w:r>
      <w:r>
        <w:rPr>
          <w:rFonts w:hint="eastAsia"/>
          <w:color w:val="auto"/>
        </w:rPr>
        <w:t>投标产品须满足</w:t>
      </w:r>
      <w:r>
        <w:rPr>
          <w:rFonts w:hint="eastAsia"/>
          <w:color w:val="auto"/>
          <w:lang w:eastAsia="zh-CN"/>
        </w:rPr>
        <w:t>医院</w:t>
      </w:r>
      <w:r>
        <w:rPr>
          <w:rFonts w:hint="eastAsia"/>
          <w:color w:val="auto"/>
        </w:rPr>
        <w:t>统一灾备适配需求，自带灾备机制，且兼容</w:t>
      </w:r>
      <w:r>
        <w:rPr>
          <w:rFonts w:hint="eastAsia"/>
          <w:color w:val="auto"/>
          <w:lang w:eastAsia="zh-CN"/>
        </w:rPr>
        <w:t>医院</w:t>
      </w:r>
      <w:r>
        <w:rPr>
          <w:rFonts w:hint="eastAsia"/>
          <w:color w:val="auto"/>
        </w:rPr>
        <w:t>现有及未来可能采用的灾备策略（如多云灾备、灾备一体机接入等），确保系统运行的连续性与高可用性。所有涉及的数据接口均须采用加密方式传输，保障数据传输安全。</w:t>
      </w:r>
      <w:r>
        <w:rPr>
          <w:rFonts w:hint="eastAsia"/>
          <w:color w:val="auto"/>
          <w:lang w:val="en-US" w:eastAsia="zh-CN"/>
        </w:rPr>
        <w:t>所有数据迁移、系统改造、配合实施、应急响应及灾备部署相关工作，供应商不得向医院或第三方收取任何费用，相关费用已包含在投标总价中。</w:t>
      </w:r>
    </w:p>
    <w:p w14:paraId="7D7BA174">
      <w:pPr>
        <w:numPr>
          <w:ilvl w:val="0"/>
          <w:numId w:val="5"/>
        </w:numPr>
        <w:ind w:firstLine="420" w:firstLineChars="200"/>
        <w:rPr>
          <w:rFonts w:hint="eastAsia"/>
          <w:color w:val="auto"/>
        </w:rPr>
      </w:pPr>
      <w:r>
        <w:rPr>
          <w:rFonts w:hint="eastAsia"/>
          <w:b w:val="0"/>
          <w:bCs w:val="0"/>
          <w:color w:val="auto"/>
        </w:rPr>
        <w:t>环境及信创要求</w:t>
      </w:r>
      <w:r>
        <w:rPr>
          <w:rFonts w:hint="eastAsia"/>
          <w:b w:val="0"/>
          <w:bCs w:val="0"/>
          <w:color w:val="auto"/>
          <w:lang w:eastAsia="zh-CN"/>
        </w:rPr>
        <w:t>。</w:t>
      </w:r>
      <w:r>
        <w:rPr>
          <w:rFonts w:hint="eastAsia"/>
          <w:color w:val="auto"/>
        </w:rPr>
        <w:t>按</w:t>
      </w:r>
      <w:r>
        <w:rPr>
          <w:rFonts w:hint="eastAsia"/>
          <w:color w:val="auto"/>
          <w:lang w:eastAsia="zh-CN"/>
        </w:rPr>
        <w:t>医院</w:t>
      </w:r>
      <w:r>
        <w:rPr>
          <w:rFonts w:hint="eastAsia"/>
          <w:color w:val="auto"/>
        </w:rPr>
        <w:t>要求，若系统部署于政务云，由</w:t>
      </w:r>
      <w:r>
        <w:rPr>
          <w:rFonts w:hint="eastAsia"/>
          <w:color w:val="auto"/>
          <w:lang w:eastAsia="zh-CN"/>
        </w:rPr>
        <w:t>医院</w:t>
      </w:r>
      <w:r>
        <w:rPr>
          <w:rFonts w:hint="eastAsia"/>
          <w:color w:val="auto"/>
        </w:rPr>
        <w:t>统一申请计算资源。软件服务器端须至少兼容CentOS7.1～7.9、openEuler20.03、openEuler22.03、Ubuntu22.04、欧拉2.0操作系统中的一种，支持断电恢复后服务自动启动；若因政策要求需迁移至资阳信创云，</w:t>
      </w:r>
      <w:r>
        <w:rPr>
          <w:rFonts w:hint="eastAsia"/>
          <w:color w:val="auto"/>
          <w:lang w:eastAsia="zh-CN"/>
        </w:rPr>
        <w:t>供应商</w:t>
      </w:r>
      <w:r>
        <w:rPr>
          <w:rFonts w:hint="eastAsia"/>
          <w:color w:val="auto"/>
        </w:rPr>
        <w:t>须无条件配合完成信创迁移及相关信创改造工作，所有相关费用已包含在投标总价中。</w:t>
      </w:r>
    </w:p>
    <w:p w14:paraId="4604629F">
      <w:pPr>
        <w:numPr>
          <w:ilvl w:val="0"/>
          <w:numId w:val="5"/>
        </w:numPr>
        <w:ind w:firstLine="420" w:firstLineChars="200"/>
        <w:rPr>
          <w:rFonts w:hint="eastAsia"/>
          <w:color w:val="auto"/>
        </w:rPr>
      </w:pPr>
      <w:r>
        <w:rPr>
          <w:rFonts w:hint="eastAsia"/>
          <w:b w:val="0"/>
          <w:bCs w:val="0"/>
          <w:color w:val="auto"/>
        </w:rPr>
        <w:t>标准架构要求</w:t>
      </w:r>
      <w:r>
        <w:rPr>
          <w:rFonts w:hint="eastAsia"/>
          <w:b w:val="0"/>
          <w:bCs w:val="0"/>
          <w:color w:val="auto"/>
          <w:lang w:eastAsia="zh-CN"/>
        </w:rPr>
        <w:t>。</w:t>
      </w:r>
      <w:r>
        <w:rPr>
          <w:rFonts w:hint="eastAsia"/>
          <w:color w:val="auto"/>
        </w:rPr>
        <w:t>系统须支持国际、国内相关医疗标准，包括HL7、XML、DICOM3等；符合《信息安全技术网络安全等级保护基本要求》（GB/T22239-2019）三级等保2.0标准。系统采用浏览器/服务器（B/S）架构，兼容Chromium内核主流版本浏览器，数据传输采用HTTPS加密方式保障安全。</w:t>
      </w:r>
      <w:r>
        <w:rPr>
          <w:rFonts w:hint="eastAsia"/>
          <w:color w:val="auto"/>
          <w:lang w:eastAsia="zh-CN"/>
        </w:rPr>
        <w:t>供应商</w:t>
      </w:r>
      <w:r>
        <w:rPr>
          <w:rFonts w:hint="eastAsia"/>
          <w:color w:val="auto"/>
        </w:rPr>
        <w:t>提供的系统不受授权使用限制，即</w:t>
      </w:r>
      <w:r>
        <w:rPr>
          <w:rFonts w:hint="eastAsia"/>
          <w:color w:val="auto"/>
          <w:lang w:eastAsia="zh-CN"/>
        </w:rPr>
        <w:t>服务期</w:t>
      </w:r>
      <w:r>
        <w:rPr>
          <w:rFonts w:hint="eastAsia"/>
          <w:color w:val="auto"/>
        </w:rPr>
        <w:t>到期后仍可正常运行使用。</w:t>
      </w:r>
    </w:p>
    <w:p w14:paraId="487591E8">
      <w:pPr>
        <w:numPr>
          <w:ilvl w:val="0"/>
          <w:numId w:val="5"/>
        </w:numPr>
        <w:ind w:firstLine="420" w:firstLineChars="200"/>
        <w:rPr>
          <w:rFonts w:hint="eastAsia"/>
          <w:color w:val="auto"/>
        </w:rPr>
      </w:pPr>
      <w:r>
        <w:rPr>
          <w:rFonts w:hint="eastAsia"/>
          <w:b w:val="0"/>
          <w:bCs w:val="0"/>
          <w:color w:val="auto"/>
        </w:rPr>
        <w:t>软件兼容性要求</w:t>
      </w:r>
      <w:r>
        <w:rPr>
          <w:rFonts w:hint="eastAsia"/>
          <w:b w:val="0"/>
          <w:bCs w:val="0"/>
          <w:color w:val="auto"/>
          <w:lang w:eastAsia="zh-CN"/>
        </w:rPr>
        <w:t>。</w:t>
      </w:r>
      <w:r>
        <w:rPr>
          <w:rFonts w:hint="eastAsia"/>
          <w:color w:val="auto"/>
          <w:lang w:eastAsia="zh-CN"/>
        </w:rPr>
        <w:t>供应商</w:t>
      </w:r>
      <w:r>
        <w:rPr>
          <w:rFonts w:hint="eastAsia"/>
          <w:color w:val="auto"/>
        </w:rPr>
        <w:t>提供的软件产品须具备良好兼容性，保障</w:t>
      </w:r>
      <w:r>
        <w:rPr>
          <w:rFonts w:hint="eastAsia"/>
          <w:color w:val="auto"/>
          <w:lang w:eastAsia="zh-CN"/>
        </w:rPr>
        <w:t>医院</w:t>
      </w:r>
      <w:r>
        <w:rPr>
          <w:rFonts w:hint="eastAsia"/>
          <w:color w:val="auto"/>
        </w:rPr>
        <w:t>可长期正常使用。若因</w:t>
      </w:r>
      <w:r>
        <w:rPr>
          <w:rFonts w:hint="eastAsia"/>
          <w:color w:val="auto"/>
          <w:lang w:eastAsia="zh-CN"/>
        </w:rPr>
        <w:t>医院</w:t>
      </w:r>
      <w:r>
        <w:rPr>
          <w:rFonts w:hint="eastAsia"/>
          <w:color w:val="auto"/>
        </w:rPr>
        <w:t>服务器或终端设备操作系统升级，导致本项目软件无法兼容运行，无论是否在</w:t>
      </w:r>
      <w:r>
        <w:rPr>
          <w:rFonts w:hint="eastAsia"/>
          <w:color w:val="auto"/>
          <w:lang w:eastAsia="zh-CN"/>
        </w:rPr>
        <w:t>服务期</w:t>
      </w:r>
      <w:r>
        <w:rPr>
          <w:rFonts w:hint="eastAsia"/>
          <w:color w:val="auto"/>
        </w:rPr>
        <w:t>内，</w:t>
      </w:r>
      <w:r>
        <w:rPr>
          <w:rFonts w:hint="eastAsia"/>
          <w:color w:val="auto"/>
          <w:lang w:eastAsia="zh-CN"/>
        </w:rPr>
        <w:t>供应商</w:t>
      </w:r>
      <w:r>
        <w:rPr>
          <w:rFonts w:hint="eastAsia"/>
          <w:color w:val="auto"/>
        </w:rPr>
        <w:t>均须无条件向</w:t>
      </w:r>
      <w:r>
        <w:rPr>
          <w:rFonts w:hint="eastAsia"/>
          <w:color w:val="auto"/>
          <w:lang w:eastAsia="zh-CN"/>
        </w:rPr>
        <w:t>医院</w:t>
      </w:r>
      <w:r>
        <w:rPr>
          <w:rFonts w:hint="eastAsia"/>
          <w:color w:val="auto"/>
        </w:rPr>
        <w:t>提供可兼容运行的软件升级版本，且不得收取任何升级费用。</w:t>
      </w:r>
    </w:p>
    <w:p w14:paraId="1D10CBDF">
      <w:pPr>
        <w:numPr>
          <w:ilvl w:val="0"/>
          <w:numId w:val="5"/>
        </w:numPr>
        <w:ind w:firstLine="420" w:firstLineChars="200"/>
        <w:rPr>
          <w:rFonts w:hint="eastAsia"/>
          <w:color w:val="auto"/>
        </w:rPr>
      </w:pPr>
      <w:r>
        <w:rPr>
          <w:rFonts w:hint="eastAsia"/>
          <w:b w:val="0"/>
          <w:bCs w:val="0"/>
          <w:color w:val="auto"/>
          <w:lang w:val="en-US" w:eastAsia="zh-CN"/>
        </w:rPr>
        <w:t>互联互通及接口开放要求。</w:t>
      </w:r>
      <w:r>
        <w:rPr>
          <w:rFonts w:hint="eastAsia"/>
          <w:color w:val="auto"/>
          <w:lang w:val="en-US" w:eastAsia="zh-CN"/>
        </w:rPr>
        <w:t>本项目系统须具备数据互联互通能力，并提供永久开放的接口服务。在项目服务期间，</w:t>
      </w:r>
      <w:r>
        <w:rPr>
          <w:rFonts w:hint="eastAsia"/>
          <w:color w:val="auto"/>
        </w:rPr>
        <w:t>免费提供以下接口开发及对接服务：第三方系统对接、政策性接口对接、检验/检查/治疗等设备接入接口开发、领办单位及医联体/医共体等医疗机构数据对接</w:t>
      </w:r>
      <w:r>
        <w:rPr>
          <w:rFonts w:hint="eastAsia"/>
          <w:color w:val="auto"/>
          <w:lang w:val="en-US" w:eastAsia="zh-CN"/>
        </w:rPr>
        <w:t>，所有涉及接口开发、系统改造费用（含双方接口的开发与改造成本），均包含在投标总价中，供应商不得额外收取任何费用。</w:t>
      </w:r>
      <w:r>
        <w:rPr>
          <w:rFonts w:hint="eastAsia"/>
          <w:color w:val="auto"/>
        </w:rPr>
        <w:t>若院内其他关联系统发生更换、升级，</w:t>
      </w:r>
      <w:r>
        <w:rPr>
          <w:rFonts w:hint="eastAsia"/>
          <w:color w:val="auto"/>
          <w:lang w:eastAsia="zh-CN"/>
        </w:rPr>
        <w:t>供应商</w:t>
      </w:r>
      <w:r>
        <w:rPr>
          <w:rFonts w:hint="eastAsia"/>
          <w:color w:val="auto"/>
        </w:rPr>
        <w:t>须无条件开放、开发相关接口，全程配合对接调试，保障系统稳定运行，不得向</w:t>
      </w:r>
      <w:r>
        <w:rPr>
          <w:rFonts w:hint="eastAsia"/>
          <w:color w:val="auto"/>
          <w:lang w:eastAsia="zh-CN"/>
        </w:rPr>
        <w:t>医院</w:t>
      </w:r>
      <w:r>
        <w:rPr>
          <w:rFonts w:hint="eastAsia"/>
          <w:color w:val="auto"/>
        </w:rPr>
        <w:t>或第三方收取任何接口费用，相关成本已包含在投标总价中。</w:t>
      </w:r>
    </w:p>
    <w:tbl>
      <w:tblPr>
        <w:tblStyle w:val="11"/>
        <w:tblpPr w:leftFromText="180" w:rightFromText="180" w:vertAnchor="text" w:horzAnchor="page" w:tblpX="1296" w:tblpY="174"/>
        <w:tblOverlap w:val="never"/>
        <w:tblW w:w="143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6562"/>
        <w:gridCol w:w="7080"/>
      </w:tblGrid>
      <w:tr w14:paraId="377C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23" w:type="dxa"/>
            <w:vAlign w:val="center"/>
          </w:tcPr>
          <w:p w14:paraId="1B242B76">
            <w:pPr>
              <w:numPr>
                <w:ilvl w:val="0"/>
                <w:numId w:val="0"/>
              </w:numPr>
              <w:jc w:val="center"/>
              <w:rPr>
                <w:rFonts w:hint="eastAsia" w:eastAsiaTheme="minorEastAsia"/>
                <w:color w:val="auto"/>
                <w:vertAlign w:val="baseline"/>
                <w:lang w:val="en-US" w:eastAsia="zh-CN"/>
              </w:rPr>
            </w:pPr>
            <w:r>
              <w:rPr>
                <w:rFonts w:hint="eastAsia"/>
                <w:color w:val="auto"/>
                <w:vertAlign w:val="baseline"/>
                <w:lang w:val="en-US" w:eastAsia="zh-CN"/>
              </w:rPr>
              <w:t>序号</w:t>
            </w:r>
          </w:p>
        </w:tc>
        <w:tc>
          <w:tcPr>
            <w:tcW w:w="6562" w:type="dxa"/>
            <w:vAlign w:val="center"/>
          </w:tcPr>
          <w:p w14:paraId="5D95E64D">
            <w:pPr>
              <w:numPr>
                <w:ilvl w:val="0"/>
                <w:numId w:val="0"/>
              </w:numPr>
              <w:jc w:val="center"/>
              <w:rPr>
                <w:rFonts w:hint="default" w:eastAsiaTheme="minorEastAsia"/>
                <w:color w:val="auto"/>
                <w:vertAlign w:val="baseline"/>
                <w:lang w:val="en-US" w:eastAsia="zh-CN"/>
              </w:rPr>
            </w:pPr>
            <w:r>
              <w:rPr>
                <w:rFonts w:hint="eastAsia"/>
                <w:color w:val="auto"/>
                <w:vertAlign w:val="baseline"/>
                <w:lang w:val="en-US" w:eastAsia="zh-CN"/>
              </w:rPr>
              <w:t>在用系统名称</w:t>
            </w:r>
          </w:p>
        </w:tc>
        <w:tc>
          <w:tcPr>
            <w:tcW w:w="7080" w:type="dxa"/>
            <w:vAlign w:val="center"/>
          </w:tcPr>
          <w:p w14:paraId="12CE795C">
            <w:pPr>
              <w:numPr>
                <w:ilvl w:val="0"/>
                <w:numId w:val="0"/>
              </w:numPr>
              <w:jc w:val="center"/>
              <w:rPr>
                <w:rFonts w:hint="default"/>
                <w:color w:val="auto"/>
                <w:vertAlign w:val="baseline"/>
                <w:lang w:val="en-US" w:eastAsia="zh-CN"/>
              </w:rPr>
            </w:pPr>
            <w:r>
              <w:rPr>
                <w:rFonts w:hint="eastAsia"/>
                <w:color w:val="auto"/>
                <w:vertAlign w:val="baseline"/>
                <w:lang w:val="en-US" w:eastAsia="zh-CN"/>
              </w:rPr>
              <w:t>产品公司名称</w:t>
            </w:r>
          </w:p>
        </w:tc>
      </w:tr>
      <w:tr w14:paraId="2D97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23" w:type="dxa"/>
            <w:vAlign w:val="center"/>
          </w:tcPr>
          <w:p w14:paraId="52D263AF">
            <w:pPr>
              <w:numPr>
                <w:ilvl w:val="0"/>
                <w:numId w:val="0"/>
              </w:numPr>
              <w:jc w:val="center"/>
              <w:rPr>
                <w:rFonts w:hint="eastAsia" w:eastAsiaTheme="minorEastAsia"/>
                <w:color w:val="auto"/>
                <w:vertAlign w:val="baseline"/>
                <w:lang w:val="en-US" w:eastAsia="zh-CN"/>
              </w:rPr>
            </w:pPr>
            <w:r>
              <w:rPr>
                <w:rFonts w:hint="eastAsia"/>
                <w:color w:val="auto"/>
                <w:vertAlign w:val="baseline"/>
                <w:lang w:val="en-US" w:eastAsia="zh-CN"/>
              </w:rPr>
              <w:t>1</w:t>
            </w:r>
          </w:p>
        </w:tc>
        <w:tc>
          <w:tcPr>
            <w:tcW w:w="6562" w:type="dxa"/>
            <w:vAlign w:val="center"/>
          </w:tcPr>
          <w:p w14:paraId="38054F14">
            <w:pPr>
              <w:numPr>
                <w:ilvl w:val="0"/>
                <w:numId w:val="0"/>
              </w:numPr>
              <w:jc w:val="both"/>
              <w:rPr>
                <w:rFonts w:hint="default" w:eastAsiaTheme="minorEastAsia"/>
                <w:color w:val="auto"/>
                <w:vertAlign w:val="baseline"/>
                <w:lang w:val="en-US" w:eastAsia="zh-CN"/>
              </w:rPr>
            </w:pPr>
            <w:r>
              <w:rPr>
                <w:rFonts w:hint="eastAsia"/>
                <w:color w:val="auto"/>
                <w:vertAlign w:val="baseline"/>
                <w:lang w:val="en-US" w:eastAsia="zh-CN"/>
              </w:rPr>
              <w:t>HIS、LIS、PACS、手麻系统、输血系统、大数据中心</w:t>
            </w:r>
          </w:p>
        </w:tc>
        <w:tc>
          <w:tcPr>
            <w:tcW w:w="7080" w:type="dxa"/>
            <w:vAlign w:val="center"/>
          </w:tcPr>
          <w:p w14:paraId="712943AE">
            <w:pPr>
              <w:numPr>
                <w:ilvl w:val="0"/>
                <w:numId w:val="0"/>
              </w:numPr>
              <w:jc w:val="center"/>
              <w:rPr>
                <w:color w:val="auto"/>
                <w:vertAlign w:val="baseline"/>
              </w:rPr>
            </w:pPr>
            <w:r>
              <w:rPr>
                <w:rFonts w:hint="eastAsia"/>
                <w:color w:val="auto"/>
              </w:rPr>
              <w:t>成都信通网易医疗科技发展有限公司</w:t>
            </w:r>
          </w:p>
        </w:tc>
      </w:tr>
      <w:tr w14:paraId="7AFE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23" w:type="dxa"/>
            <w:vAlign w:val="center"/>
          </w:tcPr>
          <w:p w14:paraId="27C2DA3A">
            <w:pPr>
              <w:numPr>
                <w:ilvl w:val="0"/>
                <w:numId w:val="0"/>
              </w:numPr>
              <w:jc w:val="center"/>
              <w:rPr>
                <w:rFonts w:hint="eastAsia" w:eastAsiaTheme="minorEastAsia"/>
                <w:color w:val="auto"/>
                <w:vertAlign w:val="baseline"/>
                <w:lang w:val="en-US" w:eastAsia="zh-CN"/>
              </w:rPr>
            </w:pPr>
            <w:r>
              <w:rPr>
                <w:rFonts w:hint="eastAsia"/>
                <w:color w:val="auto"/>
                <w:vertAlign w:val="baseline"/>
                <w:lang w:val="en-US" w:eastAsia="zh-CN"/>
              </w:rPr>
              <w:t>2</w:t>
            </w:r>
          </w:p>
        </w:tc>
        <w:tc>
          <w:tcPr>
            <w:tcW w:w="6562" w:type="dxa"/>
            <w:vAlign w:val="center"/>
          </w:tcPr>
          <w:p w14:paraId="68985D81">
            <w:pPr>
              <w:numPr>
                <w:ilvl w:val="0"/>
                <w:numId w:val="0"/>
              </w:numPr>
              <w:jc w:val="both"/>
              <w:rPr>
                <w:rFonts w:hint="eastAsia" w:eastAsiaTheme="minorEastAsia"/>
                <w:color w:val="auto"/>
                <w:vertAlign w:val="baseline"/>
                <w:lang w:val="en-US" w:eastAsia="zh-CN"/>
              </w:rPr>
            </w:pPr>
            <w:r>
              <w:rPr>
                <w:rFonts w:hint="eastAsia"/>
                <w:color w:val="auto"/>
              </w:rPr>
              <w:t>集成平台、EMR</w:t>
            </w:r>
            <w:r>
              <w:rPr>
                <w:rFonts w:hint="eastAsia"/>
                <w:color w:val="auto"/>
                <w:lang w:val="en-US" w:eastAsia="zh-CN"/>
              </w:rPr>
              <w:t>系统</w:t>
            </w:r>
            <w:r>
              <w:rPr>
                <w:rFonts w:hint="eastAsia"/>
                <w:color w:val="auto"/>
              </w:rPr>
              <w:t>、单病种、VTE</w:t>
            </w:r>
            <w:r>
              <w:rPr>
                <w:rFonts w:hint="eastAsia"/>
                <w:color w:val="auto"/>
                <w:lang w:val="en-US" w:eastAsia="zh-CN"/>
              </w:rPr>
              <w:t>系统</w:t>
            </w:r>
          </w:p>
        </w:tc>
        <w:tc>
          <w:tcPr>
            <w:tcW w:w="7080" w:type="dxa"/>
            <w:vAlign w:val="center"/>
          </w:tcPr>
          <w:p w14:paraId="7D3AB179">
            <w:pPr>
              <w:numPr>
                <w:ilvl w:val="0"/>
                <w:numId w:val="0"/>
              </w:numPr>
              <w:jc w:val="center"/>
              <w:rPr>
                <w:rFonts w:hint="eastAsia"/>
                <w:color w:val="auto"/>
              </w:rPr>
            </w:pPr>
            <w:r>
              <w:rPr>
                <w:rFonts w:hint="eastAsia"/>
                <w:color w:val="auto"/>
              </w:rPr>
              <w:t>北京嘉和美康信息技术有限公司</w:t>
            </w:r>
          </w:p>
        </w:tc>
      </w:tr>
    </w:tbl>
    <w:p w14:paraId="3F87ACCC">
      <w:pPr>
        <w:numPr>
          <w:ilvl w:val="0"/>
          <w:numId w:val="0"/>
        </w:numPr>
        <w:ind w:leftChars="200"/>
        <w:jc w:val="left"/>
        <w:rPr>
          <w:rFonts w:hint="eastAsia"/>
          <w:color w:val="auto"/>
        </w:rPr>
      </w:pPr>
    </w:p>
    <w:p w14:paraId="03B1CF0E">
      <w:pPr>
        <w:numPr>
          <w:ilvl w:val="0"/>
          <w:numId w:val="5"/>
        </w:numPr>
        <w:ind w:firstLine="420" w:firstLineChars="200"/>
        <w:rPr>
          <w:color w:val="auto"/>
        </w:rPr>
      </w:pPr>
      <w:bookmarkStart w:id="26" w:name="_Hlk217680737"/>
      <w:r>
        <w:rPr>
          <w:rFonts w:hint="eastAsia"/>
          <w:b w:val="0"/>
          <w:bCs w:val="0"/>
          <w:color w:val="auto"/>
        </w:rPr>
        <w:t>接口管理要求</w:t>
      </w:r>
      <w:r>
        <w:rPr>
          <w:rFonts w:hint="eastAsia"/>
          <w:b w:val="0"/>
          <w:bCs w:val="0"/>
          <w:color w:val="auto"/>
          <w:lang w:eastAsia="zh-CN"/>
        </w:rPr>
        <w:t>。</w:t>
      </w:r>
      <w:r>
        <w:rPr>
          <w:rFonts w:hint="eastAsia"/>
          <w:b w:val="0"/>
          <w:bCs w:val="0"/>
          <w:color w:val="auto"/>
        </w:rPr>
        <w:t>本项目系统通过集成平台实现交互，数据推送及接收的通信标准以</w:t>
      </w:r>
      <w:r>
        <w:rPr>
          <w:rFonts w:hint="eastAsia"/>
          <w:b w:val="0"/>
          <w:bCs w:val="0"/>
          <w:color w:val="auto"/>
          <w:lang w:eastAsia="zh-CN"/>
        </w:rPr>
        <w:t>医院</w:t>
      </w:r>
      <w:r>
        <w:rPr>
          <w:rFonts w:hint="eastAsia"/>
          <w:b w:val="0"/>
          <w:bCs w:val="0"/>
          <w:color w:val="auto"/>
        </w:rPr>
        <w:t>要求为准。若存在2种及以上接口方式，</w:t>
      </w:r>
      <w:r>
        <w:rPr>
          <w:rFonts w:hint="eastAsia"/>
          <w:b w:val="0"/>
          <w:bCs w:val="0"/>
          <w:color w:val="auto"/>
          <w:lang w:eastAsia="zh-CN"/>
        </w:rPr>
        <w:t>供应商</w:t>
      </w:r>
      <w:r>
        <w:rPr>
          <w:rFonts w:hint="eastAsia"/>
          <w:b w:val="0"/>
          <w:bCs w:val="0"/>
          <w:color w:val="auto"/>
        </w:rPr>
        <w:t>可提供建议方案，最终对接方式由</w:t>
      </w:r>
      <w:r>
        <w:rPr>
          <w:rFonts w:hint="eastAsia"/>
          <w:b w:val="0"/>
          <w:bCs w:val="0"/>
          <w:color w:val="auto"/>
          <w:lang w:eastAsia="zh-CN"/>
        </w:rPr>
        <w:t>医院</w:t>
      </w:r>
      <w:r>
        <w:rPr>
          <w:rFonts w:hint="eastAsia"/>
          <w:b w:val="0"/>
          <w:bCs w:val="0"/>
          <w:color w:val="auto"/>
        </w:rPr>
        <w:t>确定。若</w:t>
      </w:r>
      <w:r>
        <w:rPr>
          <w:rFonts w:hint="eastAsia"/>
          <w:b w:val="0"/>
          <w:bCs w:val="0"/>
          <w:color w:val="auto"/>
          <w:lang w:eastAsia="zh-CN"/>
        </w:rPr>
        <w:t>医院</w:t>
      </w:r>
      <w:r>
        <w:rPr>
          <w:rFonts w:hint="eastAsia"/>
          <w:b w:val="0"/>
          <w:bCs w:val="0"/>
          <w:color w:val="auto"/>
        </w:rPr>
        <w:t>后续新建系统需与本项目系统进行接口交互，</w:t>
      </w:r>
      <w:r>
        <w:rPr>
          <w:rFonts w:hint="eastAsia"/>
          <w:b w:val="0"/>
          <w:bCs w:val="0"/>
          <w:color w:val="auto"/>
          <w:lang w:eastAsia="zh-CN"/>
        </w:rPr>
        <w:t>供应商</w:t>
      </w:r>
      <w:r>
        <w:rPr>
          <w:rFonts w:hint="eastAsia"/>
          <w:b w:val="0"/>
          <w:bCs w:val="0"/>
          <w:color w:val="auto"/>
        </w:rPr>
        <w:t>须协助配合完成相关改造，且不收取任何接口费用。</w:t>
      </w:r>
    </w:p>
    <w:bookmarkEnd w:id="26"/>
    <w:p w14:paraId="11043216">
      <w:pPr>
        <w:numPr>
          <w:ilvl w:val="0"/>
          <w:numId w:val="5"/>
        </w:numPr>
        <w:ind w:firstLine="420" w:firstLineChars="200"/>
        <w:rPr>
          <w:rFonts w:hint="eastAsia"/>
          <w:color w:val="auto"/>
          <w:lang w:val="en-US" w:eastAsia="zh-CN"/>
        </w:rPr>
      </w:pPr>
      <w:r>
        <w:rPr>
          <w:rFonts w:hint="eastAsia"/>
          <w:color w:val="auto"/>
          <w:lang w:val="en-US" w:eastAsia="zh-CN"/>
        </w:rPr>
        <w:t>数据管理要求。</w:t>
      </w:r>
      <w:r>
        <w:rPr>
          <w:rFonts w:hint="eastAsia"/>
          <w:color w:val="auto"/>
        </w:rPr>
        <w:t>项目</w:t>
      </w:r>
      <w:r>
        <w:rPr>
          <w:rFonts w:hint="eastAsia"/>
          <w:color w:val="auto"/>
          <w:lang w:eastAsia="zh-CN"/>
        </w:rPr>
        <w:t>服务期</w:t>
      </w:r>
      <w:r>
        <w:rPr>
          <w:rFonts w:hint="eastAsia"/>
          <w:color w:val="auto"/>
        </w:rPr>
        <w:t>内</w:t>
      </w:r>
      <w:r>
        <w:rPr>
          <w:rFonts w:hint="eastAsia"/>
          <w:color w:val="auto"/>
          <w:lang w:val="en-US" w:eastAsia="zh-CN"/>
        </w:rPr>
        <w:t>，供应商须无条件配合完成本项目系统与医院大数据中心的数据对接，实现全量数据按需获取（支持实时或异步数据传输模式）。为保障数据对接的精准性、一致性与可持续性，供应商须提供完整清晰的数据表结构说明；针对业务指标统计，须以书面形式明确统计口径、计算公式、数据来源字段，并详细阐述过滤条件、去重规则等具体处理逻辑。涉及接口层面的，须负责开放现有接口、开发所需接口，全程配合对接调试，保障系统稳定运行，且不得以任何形式收取额外接口费用，相关费用包含在投标总价中。此外，若供应商系统的数据结构、接口规范或指标定义发生变更，须提前书面通知医院，同步更新所有相关技术文档，并积极配合大数据中心完成调整，确保数据对接连续性及数据服务可靠性。</w:t>
      </w:r>
    </w:p>
    <w:p w14:paraId="18535C0E">
      <w:pPr>
        <w:numPr>
          <w:ilvl w:val="0"/>
          <w:numId w:val="5"/>
        </w:numPr>
        <w:ind w:firstLine="420" w:firstLineChars="200"/>
        <w:rPr>
          <w:rFonts w:hint="eastAsia"/>
          <w:color w:val="auto"/>
        </w:rPr>
      </w:pPr>
      <w:r>
        <w:rPr>
          <w:rFonts w:hint="eastAsia"/>
          <w:color w:val="auto"/>
          <w:lang w:val="en-US" w:eastAsia="zh-CN"/>
        </w:rPr>
        <w:t>著作权要求</w:t>
      </w:r>
      <w:r>
        <w:rPr>
          <w:rFonts w:hint="eastAsia"/>
          <w:b w:val="0"/>
          <w:bCs w:val="0"/>
          <w:color w:val="auto"/>
          <w:lang w:val="en-US" w:eastAsia="zh-CN"/>
        </w:rPr>
        <w:t>。</w:t>
      </w:r>
      <w:r>
        <w:rPr>
          <w:rFonts w:hint="eastAsia"/>
          <w:color w:val="auto"/>
        </w:rPr>
        <w:t>针对</w:t>
      </w:r>
      <w:r>
        <w:rPr>
          <w:rFonts w:hint="eastAsia"/>
          <w:color w:val="auto"/>
          <w:lang w:eastAsia="zh-CN"/>
        </w:rPr>
        <w:t>医院</w:t>
      </w:r>
      <w:r>
        <w:rPr>
          <w:rFonts w:hint="eastAsia"/>
          <w:color w:val="auto"/>
        </w:rPr>
        <w:t>重大需求进行二次开发形成的子产品或子系统（“重大需求”定义为单次开发工作量超过8人/天或涉及核心功能模块调整的需求），</w:t>
      </w:r>
      <w:r>
        <w:rPr>
          <w:rFonts w:hint="eastAsia"/>
          <w:color w:val="auto"/>
          <w:lang w:eastAsia="zh-CN"/>
        </w:rPr>
        <w:t>医院</w:t>
      </w:r>
      <w:r>
        <w:rPr>
          <w:rFonts w:hint="eastAsia"/>
          <w:color w:val="auto"/>
        </w:rPr>
        <w:t>与</w:t>
      </w:r>
      <w:r>
        <w:rPr>
          <w:rFonts w:hint="eastAsia"/>
          <w:color w:val="auto"/>
          <w:lang w:eastAsia="zh-CN"/>
        </w:rPr>
        <w:t>供应商</w:t>
      </w:r>
      <w:r>
        <w:rPr>
          <w:rFonts w:hint="eastAsia"/>
          <w:color w:val="auto"/>
        </w:rPr>
        <w:t>共同享有该产品/系统的软件著作权。</w:t>
      </w:r>
      <w:r>
        <w:rPr>
          <w:rFonts w:hint="eastAsia"/>
          <w:color w:val="auto"/>
          <w:lang w:eastAsia="zh-CN"/>
        </w:rPr>
        <w:t>供应商</w:t>
      </w:r>
      <w:r>
        <w:rPr>
          <w:rFonts w:hint="eastAsia"/>
          <w:color w:val="auto"/>
        </w:rPr>
        <w:t>有义务协助</w:t>
      </w:r>
      <w:r>
        <w:rPr>
          <w:rFonts w:hint="eastAsia"/>
          <w:color w:val="auto"/>
          <w:lang w:eastAsia="zh-CN"/>
        </w:rPr>
        <w:t>医院</w:t>
      </w:r>
      <w:r>
        <w:rPr>
          <w:rFonts w:hint="eastAsia"/>
          <w:color w:val="auto"/>
        </w:rPr>
        <w:t>办理相关软件著作权登记、科研项目申报等工作。</w:t>
      </w:r>
    </w:p>
    <w:p w14:paraId="37333E4B">
      <w:pPr>
        <w:numPr>
          <w:ilvl w:val="0"/>
          <w:numId w:val="5"/>
        </w:numPr>
        <w:ind w:firstLine="420" w:firstLineChars="200"/>
        <w:rPr>
          <w:color w:val="auto"/>
        </w:rPr>
      </w:pPr>
      <w:r>
        <w:rPr>
          <w:rFonts w:hint="eastAsia"/>
          <w:color w:val="auto"/>
          <w:lang w:val="en-US" w:eastAsia="zh-CN"/>
        </w:rPr>
        <w:t>正版化要求。</w:t>
      </w:r>
      <w:r>
        <w:rPr>
          <w:rFonts w:hint="eastAsia"/>
          <w:color w:val="auto"/>
        </w:rPr>
        <w:t>系统须同时支持Windows平台与国产化平台，配合后期国产化适配改造工作。产品运行所需的操作系统、浏览器、数据库、中间件、容器等软件，均须为正版软件，中标后须提供授权给</w:t>
      </w:r>
      <w:r>
        <w:rPr>
          <w:rFonts w:hint="eastAsia"/>
          <w:color w:val="auto"/>
          <w:lang w:eastAsia="zh-CN"/>
        </w:rPr>
        <w:t>医院</w:t>
      </w:r>
      <w:r>
        <w:rPr>
          <w:rFonts w:hint="eastAsia"/>
          <w:color w:val="auto"/>
        </w:rPr>
        <w:t>的佐证资料，</w:t>
      </w:r>
      <w:r>
        <w:rPr>
          <w:rFonts w:hint="eastAsia"/>
          <w:color w:val="auto"/>
          <w:lang w:eastAsia="zh-CN"/>
        </w:rPr>
        <w:t>医院</w:t>
      </w:r>
      <w:r>
        <w:rPr>
          <w:rFonts w:hint="eastAsia"/>
          <w:color w:val="auto"/>
        </w:rPr>
        <w:t>有权核查，若发现虚假授权，将纳入违约条款处理。</w:t>
      </w:r>
      <w:r>
        <w:rPr>
          <w:rFonts w:hint="eastAsia"/>
          <w:color w:val="auto"/>
          <w:lang w:eastAsia="zh-CN"/>
        </w:rPr>
        <w:t>供应商</w:t>
      </w:r>
      <w:r>
        <w:rPr>
          <w:rFonts w:hint="eastAsia"/>
          <w:color w:val="auto"/>
        </w:rPr>
        <w:t>负责正版软件的升级、更换、调试及安装工作。所投产品须支持国产软硬件（含服务器、办公电脑、移动终端、国产操作系统、国产数据库），并可按</w:t>
      </w:r>
      <w:r>
        <w:rPr>
          <w:rFonts w:hint="eastAsia"/>
          <w:color w:val="auto"/>
          <w:lang w:eastAsia="zh-CN"/>
        </w:rPr>
        <w:t>医院</w:t>
      </w:r>
      <w:r>
        <w:rPr>
          <w:rFonts w:hint="eastAsia"/>
          <w:color w:val="auto"/>
        </w:rPr>
        <w:t>要求迁移至国产化硬件、操作系统及数据库中，所有相关费用包含在投标总价中。</w:t>
      </w:r>
    </w:p>
    <w:p w14:paraId="3AB59780">
      <w:pPr>
        <w:numPr>
          <w:ilvl w:val="0"/>
          <w:numId w:val="5"/>
        </w:numPr>
        <w:ind w:left="0" w:leftChars="0" w:firstLine="420" w:firstLineChars="200"/>
        <w:rPr>
          <w:rFonts w:hint="eastAsia"/>
          <w:color w:val="auto"/>
          <w:lang w:eastAsia="zh-CN"/>
        </w:rPr>
      </w:pPr>
      <w:r>
        <w:rPr>
          <w:rFonts w:hint="eastAsia"/>
          <w:color w:val="auto"/>
          <w:lang w:val="en-US" w:eastAsia="zh-CN"/>
        </w:rPr>
        <w:t>安全保障要求。</w:t>
      </w:r>
      <w:r>
        <w:rPr>
          <w:rFonts w:hint="eastAsia"/>
          <w:color w:val="auto"/>
        </w:rPr>
        <w:t>项目</w:t>
      </w:r>
      <w:r>
        <w:rPr>
          <w:rFonts w:hint="eastAsia"/>
          <w:color w:val="auto"/>
          <w:lang w:eastAsia="zh-CN"/>
        </w:rPr>
        <w:t>服务期</w:t>
      </w:r>
      <w:r>
        <w:rPr>
          <w:rFonts w:hint="eastAsia"/>
          <w:color w:val="auto"/>
        </w:rPr>
        <w:t>及</w:t>
      </w:r>
      <w:r>
        <w:rPr>
          <w:rFonts w:hint="eastAsia"/>
          <w:color w:val="auto"/>
          <w:lang w:eastAsia="zh-CN"/>
        </w:rPr>
        <w:t>服务期</w:t>
      </w:r>
      <w:r>
        <w:rPr>
          <w:rFonts w:hint="eastAsia"/>
          <w:color w:val="auto"/>
        </w:rPr>
        <w:t>满后，</w:t>
      </w:r>
      <w:r>
        <w:rPr>
          <w:rFonts w:hint="eastAsia"/>
          <w:color w:val="auto"/>
          <w:lang w:eastAsia="zh-CN"/>
        </w:rPr>
        <w:t>供应商</w:t>
      </w:r>
      <w:r>
        <w:rPr>
          <w:rFonts w:hint="eastAsia"/>
          <w:color w:val="auto"/>
        </w:rPr>
        <w:t>须严格按照国家、四川省、资阳市网络安全标准及政策要求，支持密码应用防护，完成本项目密码应用对接及密评相关工作，满足</w:t>
      </w:r>
      <w:r>
        <w:rPr>
          <w:rFonts w:hint="eastAsia"/>
          <w:color w:val="auto"/>
          <w:lang w:eastAsia="zh-CN"/>
        </w:rPr>
        <w:t>医院</w:t>
      </w:r>
      <w:r>
        <w:rPr>
          <w:rFonts w:hint="eastAsia"/>
          <w:color w:val="auto"/>
        </w:rPr>
        <w:t>自行或委托第三方开展的三级网络安全等级保护测评、商用密码应用安全性评估相关要求。对测评及上级部门、</w:t>
      </w:r>
      <w:r>
        <w:rPr>
          <w:rFonts w:hint="eastAsia"/>
          <w:color w:val="auto"/>
          <w:lang w:eastAsia="zh-CN"/>
        </w:rPr>
        <w:t>医院</w:t>
      </w:r>
      <w:r>
        <w:rPr>
          <w:rFonts w:hint="eastAsia"/>
          <w:color w:val="auto"/>
        </w:rPr>
        <w:t>检查发现的软硬件安全漏洞，须在规定期限内无条件修复、改造，并按要求提供第三方测评机构出具的功能、性能、安全等专项测评报告，所有相关费用均包含在投标总价中。系统上线后须持续符合国家、省、市信息系统安全相关要求，在各类安全检测中发现的安全隐患须无条件完成整改，</w:t>
      </w:r>
      <w:r>
        <w:rPr>
          <w:rFonts w:hint="eastAsia"/>
          <w:color w:val="auto"/>
          <w:lang w:val="en-US" w:eastAsia="zh-CN"/>
        </w:rPr>
        <w:t>所有整改及相关费用均包含在投标总价中，供应商不得额外收取任何费用。</w:t>
      </w:r>
    </w:p>
    <w:p w14:paraId="09AC173E">
      <w:pPr>
        <w:numPr>
          <w:ilvl w:val="0"/>
          <w:numId w:val="5"/>
        </w:numPr>
        <w:ind w:left="0" w:leftChars="0" w:firstLine="420" w:firstLineChars="200"/>
        <w:rPr>
          <w:rFonts w:hint="eastAsia"/>
          <w:color w:val="auto"/>
          <w:lang w:eastAsia="zh-CN"/>
        </w:rPr>
      </w:pPr>
      <w:r>
        <w:rPr>
          <w:rFonts w:hint="eastAsia"/>
          <w:color w:val="auto"/>
          <w:lang w:val="en-US" w:eastAsia="zh-CN"/>
        </w:rPr>
        <w:t>强弱电要求。本项目中涉及强电、弱电的所有施工耗材（含线缆、接线端子、接线盒、保护管、防火封堵材料、固定支架、线槽桥架等）及设施设备（含机柜、配电箱、配电开关、网络交换机、光模块、配线架、防雷接地装置等），均由供应商全额提供且确保为合格产品，确保产品符合国家质量标准；所有强电、弱电施工及运维行为须严格执行医院《强电井管理制度》《弱电井管理制度》，同时须遵循国家及行业现行最新标准；施工期间严禁使用插线板等存在安全隐患的临时取电设备，施工用电需自行统筹解决并符合医院电安全规范，强弱电线路分开敷设、保持安全间距，布线整齐规范，设备安装牢固、接地可靠，所有设施设备及线路均须粘贴清晰标识（含设备名称、用途、对端设备名称、维护商及联系人电话等信息），施工后须彻底清理强弱电井，做到工完清场，确保井内环境整洁有序、标识清晰、安全通道畅通，穿墙打洞等施工部位需按要求完成防火封堵；供应商需配合医院及相关管理部门开展定期安全巡检，对巡检发现的安全隐患、线路杂乱、标识不清、设备故障等问题，须在医院规定时限内制定整改方案并完成整改；所有涉及强弱电的产品采购、施工安装、调试检测、后期维护、隐患整改及合规性检测等相关费用，所有整改及相关费用均包含在投标总价中，不另计费用。</w:t>
      </w:r>
    </w:p>
    <w:p w14:paraId="4BF8D82E">
      <w:pPr>
        <w:numPr>
          <w:ilvl w:val="0"/>
          <w:numId w:val="5"/>
        </w:numPr>
        <w:ind w:left="0" w:leftChars="0" w:firstLine="420" w:firstLineChars="200"/>
        <w:rPr>
          <w:rFonts w:hint="eastAsia"/>
          <w:color w:val="auto"/>
          <w:lang w:val="en-US" w:eastAsia="zh-CN"/>
        </w:rPr>
      </w:pPr>
      <w:r>
        <w:rPr>
          <w:rFonts w:hint="eastAsia"/>
          <w:color w:val="auto"/>
          <w:lang w:val="en-US" w:eastAsia="zh-CN"/>
        </w:rPr>
        <w:t>软件供应链与安全管理要求。供应商须严格遵守国家、四川省及资阳市关于软件供应链安全、网络安全、数据安全、密码应用等相关规定，全面落实软件供应链安全源头管控、安全审计、漏洞修复、源代码管理等要求，确保所提供产品与服务安全可控。供应商须配合医院无条件接受上级主管部门组织的软件供应链安全专项评估、源代码安全审计等各类安全检查工作。供应商应具备良好的安全开发能力与漏洞应急响应能力，近3年内无重大网络安全事件、无严重失信记录。须提供7×24小时漏洞修复响应服务：一般漏洞24小时内响应、7 个工作日内完成修复；高危漏洞4小时内响应、3 个工作日内完成修复。因供应商原因造成整改不力、逾期未整改或存在重大安全隐患的，医院有权拒绝验收、拒绝支付款项、追究违约责任，并上报行业主管部门。所有整改及相关费用均包含在投标总价中，供应商不得额外收取任何费用。</w:t>
      </w:r>
    </w:p>
    <w:p w14:paraId="730E20FC">
      <w:pPr>
        <w:numPr>
          <w:ilvl w:val="0"/>
          <w:numId w:val="5"/>
        </w:numPr>
        <w:ind w:left="0" w:leftChars="0" w:firstLine="420" w:firstLineChars="200"/>
        <w:rPr>
          <w:rFonts w:hint="default"/>
          <w:color w:val="auto"/>
          <w:lang w:val="en-US" w:eastAsia="zh-CN"/>
        </w:rPr>
      </w:pPr>
      <w:r>
        <w:rPr>
          <w:rFonts w:hint="default"/>
          <w:color w:val="auto"/>
          <w:lang w:val="en-US" w:eastAsia="zh-CN"/>
        </w:rPr>
        <w:t xml:space="preserve"> 弱口令安全管理要求</w:t>
      </w:r>
      <w:r>
        <w:rPr>
          <w:rFonts w:hint="eastAsia"/>
          <w:color w:val="auto"/>
          <w:lang w:val="en-US" w:eastAsia="zh-CN"/>
        </w:rPr>
        <w:t>。供应商须依据网络安全相关政策，对本项目系统开展全面排查，重点核查登录认证方式、口令复杂度策略、更新机制、弱口令校验、防暴力破解、口令加密传输存储及跨境登录管控等内容，建立台账并实施闭环整改。系统须落实多因子认证，不得采用单一认证方式；须严格执行口令复杂度与定期更新策略，具备弱口令自动校验及防暴力破解能力；口令传输、存储须全程加密，严禁跨境登录。对排查发现的风险隐患，供应商须无条件完成技术改造与整改，从源头消除弱口令风险。因弱口令问题导致安全事件、通报批评或测评不通过的，由供应商承担全部责任及费用，医院有权拒绝验收、拒付合同款项并追究违约责任。所有整改及相关费用均包含在投标总价中，供应商不得额外收取任何费用。</w:t>
      </w:r>
    </w:p>
    <w:p w14:paraId="6E85C71B">
      <w:pPr>
        <w:numPr>
          <w:ilvl w:val="0"/>
          <w:numId w:val="5"/>
        </w:numPr>
        <w:ind w:left="0" w:leftChars="0" w:firstLine="420" w:firstLineChars="200"/>
        <w:rPr>
          <w:rFonts w:hint="default"/>
          <w:color w:val="auto"/>
          <w:lang w:val="en-US" w:eastAsia="zh-CN"/>
        </w:rPr>
      </w:pPr>
      <w:r>
        <w:rPr>
          <w:rFonts w:hint="default"/>
          <w:color w:val="auto"/>
          <w:lang w:val="en-US" w:eastAsia="zh-CN"/>
        </w:rPr>
        <w:t>交付成果与权限移交要求</w:t>
      </w:r>
      <w:r>
        <w:rPr>
          <w:rFonts w:hint="eastAsia"/>
          <w:color w:val="auto"/>
          <w:lang w:val="en-US" w:eastAsia="zh-CN"/>
        </w:rPr>
        <w:t>。</w:t>
      </w:r>
      <w:r>
        <w:rPr>
          <w:rFonts w:hint="eastAsia"/>
          <w:b/>
          <w:bCs/>
          <w:color w:val="auto"/>
          <w:lang w:val="en-US" w:eastAsia="zh-CN"/>
        </w:rPr>
        <w:t>供应商</w:t>
      </w:r>
      <w:r>
        <w:rPr>
          <w:rFonts w:hint="default"/>
          <w:b/>
          <w:bCs/>
          <w:color w:val="auto"/>
          <w:lang w:val="en-US" w:eastAsia="zh-CN"/>
        </w:rPr>
        <w:t>须在项目服务终止、退出</w:t>
      </w:r>
      <w:r>
        <w:rPr>
          <w:rFonts w:hint="eastAsia"/>
          <w:b/>
          <w:bCs/>
          <w:color w:val="auto"/>
          <w:lang w:val="en-US" w:eastAsia="zh-CN"/>
        </w:rPr>
        <w:t>等情形</w:t>
      </w:r>
      <w:r>
        <w:rPr>
          <w:rFonts w:hint="default"/>
          <w:b/>
          <w:bCs/>
          <w:color w:val="auto"/>
          <w:lang w:val="en-US" w:eastAsia="zh-CN"/>
        </w:rPr>
        <w:t>，</w:t>
      </w:r>
      <w:r>
        <w:rPr>
          <w:rFonts w:hint="default"/>
          <w:color w:val="auto"/>
          <w:lang w:val="en-US" w:eastAsia="zh-CN"/>
        </w:rPr>
        <w:t>向</w:t>
      </w:r>
      <w:r>
        <w:rPr>
          <w:rFonts w:hint="eastAsia"/>
          <w:color w:val="auto"/>
          <w:lang w:val="en-US" w:eastAsia="zh-CN"/>
        </w:rPr>
        <w:t>医院</w:t>
      </w:r>
      <w:r>
        <w:rPr>
          <w:rFonts w:hint="default"/>
          <w:color w:val="auto"/>
          <w:lang w:val="en-US" w:eastAsia="zh-CN"/>
        </w:rPr>
        <w:t>完整交付本项目全部成果及相关技术资料，包括但不限于：系统完整可执行程序、前后端部署包、数据库脚本、存储过程、定时任务脚本、开源组件清单及对应授权说明；技术文档（含系统架构设计、数据库设计、部署架构、服务器及网络拓扑配置、第三方依赖及中间件配置、接口规范、数据交互说明等）；运维支撑材料，并同步移交系统后台、数据库、服务器及相关第三方对接平台的管理员权限与账号密码。</w:t>
      </w:r>
      <w:r>
        <w:rPr>
          <w:rFonts w:hint="eastAsia"/>
          <w:color w:val="auto"/>
          <w:lang w:val="en-US" w:eastAsia="zh-CN"/>
        </w:rPr>
        <w:t>医院</w:t>
      </w:r>
      <w:r>
        <w:rPr>
          <w:rFonts w:hint="default"/>
          <w:color w:val="auto"/>
          <w:lang w:val="en-US" w:eastAsia="zh-CN"/>
        </w:rPr>
        <w:t>对上述交付成果、技术资料及系统数据享有使用权、复制权、修改权及处置权，可自行或委托第三方开展系统运维、升级改造、功能适配及数据迁移等工作，</w:t>
      </w:r>
      <w:r>
        <w:rPr>
          <w:rFonts w:hint="eastAsia"/>
          <w:color w:val="auto"/>
          <w:lang w:val="en-US" w:eastAsia="zh-CN"/>
        </w:rPr>
        <w:t>供应商</w:t>
      </w:r>
      <w:r>
        <w:rPr>
          <w:rFonts w:hint="default"/>
          <w:color w:val="auto"/>
          <w:lang w:val="en-US" w:eastAsia="zh-CN"/>
        </w:rPr>
        <w:t>不得设置任何技术限制或附加约束条件。</w:t>
      </w:r>
      <w:r>
        <w:rPr>
          <w:rFonts w:hint="eastAsia"/>
          <w:color w:val="auto"/>
          <w:lang w:val="en-US" w:eastAsia="zh-CN"/>
        </w:rPr>
        <w:t>供应商</w:t>
      </w:r>
      <w:r>
        <w:rPr>
          <w:rFonts w:hint="default"/>
          <w:color w:val="auto"/>
          <w:lang w:val="en-US" w:eastAsia="zh-CN"/>
        </w:rPr>
        <w:t>保证所提供成果不存在知识产权瑕疵，不侵犯任何第三方合法权益。 如</w:t>
      </w:r>
      <w:r>
        <w:rPr>
          <w:rFonts w:hint="eastAsia"/>
          <w:color w:val="auto"/>
          <w:lang w:val="en-US" w:eastAsia="zh-CN"/>
        </w:rPr>
        <w:t>供应商</w:t>
      </w:r>
      <w:r>
        <w:rPr>
          <w:rFonts w:hint="default"/>
          <w:color w:val="auto"/>
          <w:lang w:val="en-US" w:eastAsia="zh-CN"/>
        </w:rPr>
        <w:t>未按约定完整交付成果、存在权属瑕疵或拒绝配合移交工作，</w:t>
      </w:r>
      <w:r>
        <w:rPr>
          <w:rFonts w:hint="eastAsia"/>
          <w:color w:val="auto"/>
          <w:lang w:val="en-US" w:eastAsia="zh-CN"/>
        </w:rPr>
        <w:t>医院</w:t>
      </w:r>
      <w:r>
        <w:rPr>
          <w:rFonts w:hint="default"/>
          <w:color w:val="auto"/>
          <w:lang w:val="en-US" w:eastAsia="zh-CN"/>
        </w:rPr>
        <w:t>有权暂缓验收、暂停支付款项。</w:t>
      </w:r>
    </w:p>
    <w:p w14:paraId="7C3C386B">
      <w:pPr>
        <w:rPr>
          <w:rFonts w:hint="eastAsia"/>
          <w:color w:val="auto"/>
          <w:lang w:val="en-US" w:eastAsia="zh-CN"/>
        </w:rPr>
        <w:sectPr>
          <w:pgSz w:w="16838" w:h="11906" w:orient="landscape"/>
          <w:pgMar w:top="1134" w:right="1134" w:bottom="567" w:left="1134" w:header="851" w:footer="992" w:gutter="0"/>
          <w:cols w:space="425" w:num="1"/>
          <w:docGrid w:type="lines" w:linePitch="312" w:charSpace="0"/>
        </w:sectPr>
      </w:pPr>
    </w:p>
    <w:p w14:paraId="5D587B4B">
      <w:pPr>
        <w:pStyle w:val="14"/>
        <w:rPr>
          <w:rFonts w:hint="eastAsia"/>
          <w:color w:val="auto"/>
          <w:lang w:val="en-US" w:eastAsia="zh-CN"/>
        </w:rPr>
      </w:pPr>
    </w:p>
    <w:p w14:paraId="6017D881">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color w:val="auto"/>
          <w:lang w:val="en-US" w:eastAsia="zh-CN"/>
        </w:rPr>
      </w:pPr>
      <w:bookmarkStart w:id="27" w:name="_Toc17565"/>
      <w:r>
        <w:rPr>
          <w:rFonts w:hint="eastAsia"/>
          <w:color w:val="auto"/>
          <w:lang w:val="en-US" w:eastAsia="zh-CN"/>
        </w:rPr>
        <w:t>五、三甲综合医院同类项目案例</w:t>
      </w:r>
      <w:bookmarkEnd w:id="27"/>
    </w:p>
    <w:p w14:paraId="075950E2">
      <w:pPr>
        <w:pStyle w:val="3"/>
        <w:bidi w:val="0"/>
        <w:ind w:firstLine="482" w:firstLineChars="200"/>
        <w:rPr>
          <w:rFonts w:hint="eastAsia"/>
          <w:color w:val="auto"/>
          <w:lang w:val="en-US" w:eastAsia="zh-CN"/>
        </w:rPr>
      </w:pPr>
      <w:bookmarkStart w:id="28" w:name="_Toc29430"/>
      <w:r>
        <w:rPr>
          <w:rFonts w:hint="eastAsia"/>
          <w:color w:val="auto"/>
          <w:lang w:val="en-US" w:eastAsia="zh-CN"/>
        </w:rPr>
        <w:t>4.1四川省内（）家</w:t>
      </w:r>
      <w:bookmarkEnd w:id="28"/>
    </w:p>
    <w:tbl>
      <w:tblPr>
        <w:tblStyle w:val="10"/>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14:paraId="014E7BA4">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14:paraId="200167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14:paraId="5A397C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14:paraId="4564CB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14:paraId="519617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14:paraId="7D3313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14:paraId="1A4366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验收时间</w:t>
            </w:r>
          </w:p>
        </w:tc>
      </w:tr>
      <w:tr w14:paraId="18858F15">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3EF57D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70CD13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573942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C9E73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5C32F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35DE5D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r>
      <w:tr w14:paraId="0E78D98F">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68F777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AE11A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397F69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FA6A9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8FE9E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5ED539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r>
      <w:tr w14:paraId="3876902C">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23CAF7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3086A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19EE58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373EE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91A81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308854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r>
      <w:tr w14:paraId="190D4FAB">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0AB0FA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5CA16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7CB0CA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429E3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9CA8A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708377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r>
    </w:tbl>
    <w:p w14:paraId="02C7985D">
      <w:pPr>
        <w:pStyle w:val="22"/>
        <w:ind w:firstLine="0" w:firstLineChars="0"/>
        <w:rPr>
          <w:rFonts w:hint="eastAsia" w:ascii="仿宋" w:hAnsi="仿宋" w:eastAsia="仿宋" w:cs="仿宋"/>
          <w:color w:val="auto"/>
          <w:sz w:val="30"/>
          <w:szCs w:val="30"/>
        </w:rPr>
      </w:pPr>
    </w:p>
    <w:p w14:paraId="62CB2C95">
      <w:pPr>
        <w:pStyle w:val="14"/>
        <w:rPr>
          <w:rFonts w:hint="eastAsia" w:ascii="仿宋" w:hAnsi="仿宋" w:eastAsia="仿宋" w:cs="仿宋"/>
          <w:color w:val="auto"/>
          <w:kern w:val="2"/>
          <w:sz w:val="30"/>
          <w:szCs w:val="30"/>
        </w:rPr>
      </w:pPr>
    </w:p>
    <w:p w14:paraId="6FFD4938">
      <w:pPr>
        <w:pStyle w:val="14"/>
        <w:rPr>
          <w:rFonts w:hint="eastAsia" w:ascii="仿宋" w:hAnsi="仿宋" w:eastAsia="仿宋" w:cs="仿宋"/>
          <w:color w:val="auto"/>
          <w:kern w:val="2"/>
          <w:sz w:val="30"/>
          <w:szCs w:val="30"/>
        </w:rPr>
      </w:pPr>
    </w:p>
    <w:p w14:paraId="54849A12">
      <w:pPr>
        <w:pStyle w:val="14"/>
        <w:rPr>
          <w:rFonts w:hint="eastAsia" w:ascii="仿宋" w:hAnsi="仿宋" w:eastAsia="仿宋" w:cs="仿宋"/>
          <w:color w:val="auto"/>
          <w:kern w:val="2"/>
          <w:sz w:val="30"/>
          <w:szCs w:val="30"/>
        </w:rPr>
      </w:pPr>
    </w:p>
    <w:p w14:paraId="73DB42E5">
      <w:pPr>
        <w:pStyle w:val="14"/>
        <w:rPr>
          <w:rFonts w:hint="eastAsia" w:ascii="仿宋" w:hAnsi="仿宋" w:eastAsia="仿宋" w:cs="仿宋"/>
          <w:color w:val="auto"/>
          <w:kern w:val="2"/>
          <w:sz w:val="30"/>
          <w:szCs w:val="30"/>
        </w:rPr>
      </w:pPr>
    </w:p>
    <w:p w14:paraId="3B4BCB70">
      <w:pPr>
        <w:pStyle w:val="14"/>
        <w:rPr>
          <w:rFonts w:hint="eastAsia" w:ascii="仿宋" w:hAnsi="仿宋" w:eastAsia="仿宋" w:cs="仿宋"/>
          <w:color w:val="auto"/>
          <w:kern w:val="2"/>
          <w:sz w:val="30"/>
          <w:szCs w:val="30"/>
        </w:rPr>
      </w:pPr>
    </w:p>
    <w:p w14:paraId="681C6975">
      <w:pPr>
        <w:pStyle w:val="3"/>
        <w:bidi w:val="0"/>
        <w:ind w:firstLine="482" w:firstLineChars="200"/>
        <w:rPr>
          <w:rFonts w:hint="eastAsia"/>
          <w:color w:val="auto"/>
          <w:lang w:val="en-US" w:eastAsia="zh-CN"/>
        </w:rPr>
      </w:pPr>
      <w:bookmarkStart w:id="29" w:name="_Toc8493"/>
      <w:r>
        <w:rPr>
          <w:rFonts w:hint="eastAsia"/>
          <w:color w:val="auto"/>
          <w:lang w:val="en-US" w:eastAsia="zh-CN"/>
        </w:rPr>
        <w:t>4.1四川省外（）家</w:t>
      </w:r>
      <w:bookmarkEnd w:id="29"/>
    </w:p>
    <w:tbl>
      <w:tblPr>
        <w:tblStyle w:val="10"/>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14:paraId="2EE316A0">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14:paraId="007F04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14:paraId="0A1109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14:paraId="6C1860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14:paraId="05DFD5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14:paraId="729385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14:paraId="57B04E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验收时间</w:t>
            </w:r>
          </w:p>
        </w:tc>
      </w:tr>
      <w:tr w14:paraId="76F68CEB">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435818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F322B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2CF700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BDB54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A483C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5E39B2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r>
      <w:tr w14:paraId="285EB3B3">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72DFA2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4B6432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399DB4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593EA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E70F8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62B3AB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r>
      <w:tr w14:paraId="0D72AEFB">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50B9E7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764EB4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6B7C05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98F1F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10C82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3D907A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r>
      <w:tr w14:paraId="0D148704">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4239DB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4D1151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119F49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0803A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C7B0B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372EC1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auto"/>
                <w:kern w:val="2"/>
                <w:sz w:val="24"/>
                <w:szCs w:val="24"/>
                <w:lang w:val="en-US" w:eastAsia="zh-CN" w:bidi="ar-SA"/>
              </w:rPr>
            </w:pPr>
          </w:p>
        </w:tc>
      </w:tr>
    </w:tbl>
    <w:p w14:paraId="41FC0966">
      <w:pPr>
        <w:rPr>
          <w:rFonts w:hint="eastAsia"/>
          <w:color w:val="auto"/>
          <w:lang w:val="en-US" w:eastAsia="zh-CN"/>
        </w:rPr>
      </w:pPr>
    </w:p>
    <w:p w14:paraId="4C4D280D">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color w:val="auto"/>
          <w:lang w:val="en-US" w:eastAsia="zh-CN"/>
        </w:rPr>
      </w:pPr>
    </w:p>
    <w:p w14:paraId="2C8F9030">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color w:val="auto"/>
          <w:lang w:val="en-US" w:eastAsia="zh-CN"/>
        </w:rPr>
      </w:pPr>
    </w:p>
    <w:p w14:paraId="46B6685E">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color w:val="auto"/>
          <w:lang w:val="en-US" w:eastAsia="zh-CN"/>
        </w:rPr>
      </w:pPr>
    </w:p>
    <w:p w14:paraId="5782AF3C">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color w:val="auto"/>
          <w:lang w:val="en-US" w:eastAsia="zh-CN"/>
        </w:rPr>
      </w:pPr>
    </w:p>
    <w:p w14:paraId="16B3C9C9">
      <w:pPr>
        <w:pStyle w:val="3"/>
        <w:bidi w:val="0"/>
        <w:ind w:firstLine="482" w:firstLineChars="200"/>
        <w:rPr>
          <w:rFonts w:hint="eastAsia"/>
          <w:color w:val="auto"/>
          <w:lang w:val="en-US" w:eastAsia="zh-CN"/>
        </w:rPr>
      </w:pPr>
    </w:p>
    <w:p w14:paraId="389C42FC">
      <w:pPr>
        <w:pStyle w:val="3"/>
        <w:bidi w:val="0"/>
        <w:ind w:firstLine="482" w:firstLineChars="200"/>
        <w:rPr>
          <w:rFonts w:hint="eastAsia"/>
          <w:color w:val="auto"/>
          <w:lang w:val="en-US" w:eastAsia="zh-CN"/>
        </w:rPr>
      </w:pPr>
      <w:bookmarkStart w:id="30" w:name="_Toc7986"/>
      <w:bookmarkStart w:id="31" w:name="_Toc138151651"/>
      <w:r>
        <w:rPr>
          <w:rFonts w:hint="eastAsia"/>
          <w:color w:val="auto"/>
          <w:lang w:val="en-US" w:eastAsia="zh-CN"/>
        </w:rPr>
        <w:t>4.3三甲综合医院同类项目案例合同及验收佐证</w:t>
      </w:r>
      <w:bookmarkEnd w:id="30"/>
      <w:bookmarkEnd w:id="31"/>
    </w:p>
    <w:p w14:paraId="37ACC053">
      <w:pPr>
        <w:pStyle w:val="14"/>
        <w:spacing w:line="240" w:lineRule="auto"/>
        <w:rPr>
          <w:rFonts w:hint="eastAsia" w:ascii="仿宋" w:hAnsi="仿宋" w:eastAsia="仿宋" w:cs="仿宋"/>
          <w:b w:val="0"/>
          <w:color w:val="auto"/>
          <w:kern w:val="2"/>
          <w:sz w:val="24"/>
          <w:szCs w:val="24"/>
          <w:lang w:val="en-US" w:eastAsia="zh-CN" w:bidi="ar-SA"/>
        </w:rPr>
      </w:pPr>
    </w:p>
    <w:p w14:paraId="29A863C9">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default" w:ascii="仿宋" w:hAnsi="仿宋" w:eastAsia="仿宋" w:cs="仿宋"/>
          <w:b w:val="0"/>
          <w:color w:val="auto"/>
          <w:kern w:val="2"/>
          <w:sz w:val="24"/>
          <w:szCs w:val="24"/>
          <w:lang w:val="en-US" w:eastAsia="zh-CN" w:bidi="ar-SA"/>
        </w:rPr>
      </w:pPr>
      <w:bookmarkStart w:id="32" w:name="_Toc11734"/>
      <w:r>
        <w:rPr>
          <w:rFonts w:hint="eastAsia"/>
          <w:color w:val="auto"/>
          <w:lang w:val="en-US" w:eastAsia="zh-CN"/>
        </w:rPr>
        <w:t>六、服务方案</w:t>
      </w:r>
      <w:bookmarkEnd w:id="32"/>
    </w:p>
    <w:p w14:paraId="684FC671">
      <w:pPr>
        <w:bidi w:val="0"/>
        <w:rPr>
          <w:rFonts w:hint="eastAsia"/>
          <w:color w:val="auto"/>
          <w:lang w:val="en-US" w:eastAsia="zh-CN"/>
        </w:rPr>
      </w:pPr>
      <w:bookmarkStart w:id="33" w:name="_Toc138151653"/>
      <w:r>
        <w:rPr>
          <w:rFonts w:hint="eastAsia"/>
          <w:color w:val="auto"/>
          <w:lang w:val="en-US" w:eastAsia="zh-CN"/>
        </w:rPr>
        <w:t>（包含以上内容，其他内容自拟）</w:t>
      </w:r>
    </w:p>
    <w:bookmarkEnd w:id="33"/>
    <w:p w14:paraId="348B6540">
      <w:pPr>
        <w:rPr>
          <w:rFonts w:hint="eastAsia"/>
          <w:color w:val="auto"/>
          <w:lang w:val="en-US" w:eastAsia="zh-CN"/>
        </w:rPr>
      </w:pPr>
    </w:p>
    <w:p w14:paraId="27D2C93C">
      <w:pPr>
        <w:rPr>
          <w:rFonts w:hint="eastAsia"/>
          <w:color w:val="auto"/>
          <w:lang w:val="en-US" w:eastAsia="zh-CN"/>
        </w:rPr>
      </w:pPr>
    </w:p>
    <w:p w14:paraId="6D99AB6B">
      <w:pPr>
        <w:rPr>
          <w:rFonts w:hint="default"/>
          <w:color w:val="auto"/>
          <w:lang w:val="en-US" w:eastAsia="zh-CN"/>
        </w:rPr>
      </w:pPr>
    </w:p>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7CFA74-8B6F-412C-8EF4-4C0853470A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4249EB2-6905-44BC-ACED-9DEF09D6E2C3}"/>
  </w:font>
  <w:font w:name="仿宋">
    <w:panose1 w:val="02010609060101010101"/>
    <w:charset w:val="86"/>
    <w:family w:val="auto"/>
    <w:pitch w:val="default"/>
    <w:sig w:usb0="800002BF" w:usb1="38CF7CFA" w:usb2="00000016" w:usb3="00000000" w:csb0="00040001" w:csb1="00000000"/>
    <w:embedRegular r:id="rId3" w:fontKey="{1FA0D055-A13B-485C-A2D7-A76CCC610F98}"/>
  </w:font>
  <w:font w:name="方正小标宋简体">
    <w:panose1 w:val="03000509000000000000"/>
    <w:charset w:val="86"/>
    <w:family w:val="auto"/>
    <w:pitch w:val="default"/>
    <w:sig w:usb0="00000001" w:usb1="080E0000" w:usb2="00000000" w:usb3="00000000" w:csb0="00040000" w:csb1="00000000"/>
    <w:embedRegular r:id="rId4" w:fontKey="{76C5593F-74FC-43B5-AC82-FCFE230365E4}"/>
  </w:font>
  <w:font w:name="方正黑体简体">
    <w:panose1 w:val="03000509000000000000"/>
    <w:charset w:val="86"/>
    <w:family w:val="auto"/>
    <w:pitch w:val="default"/>
    <w:sig w:usb0="00000001" w:usb1="080E0000" w:usb2="00000000" w:usb3="00000000" w:csb0="00040000" w:csb1="00000000"/>
    <w:embedRegular r:id="rId5" w:fontKey="{A436F76A-3948-4602-87B8-A09D74EDC9F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9B2F1"/>
    <w:multiLevelType w:val="singleLevel"/>
    <w:tmpl w:val="A9D9B2F1"/>
    <w:lvl w:ilvl="0" w:tentative="0">
      <w:start w:val="1"/>
      <w:numFmt w:val="decimal"/>
      <w:suff w:val="nothing"/>
      <w:lvlText w:val="%1．"/>
      <w:lvlJc w:val="left"/>
      <w:pPr>
        <w:ind w:left="0" w:firstLine="400"/>
      </w:pPr>
      <w:rPr>
        <w:rFonts w:hint="default"/>
        <w:color w:val="7030A0"/>
      </w:rPr>
    </w:lvl>
  </w:abstractNum>
  <w:abstractNum w:abstractNumId="1">
    <w:nsid w:val="B4AC864C"/>
    <w:multiLevelType w:val="singleLevel"/>
    <w:tmpl w:val="B4AC864C"/>
    <w:lvl w:ilvl="0" w:tentative="0">
      <w:start w:val="2"/>
      <w:numFmt w:val="chineseCounting"/>
      <w:suff w:val="nothing"/>
      <w:lvlText w:val="（%1）"/>
      <w:lvlJc w:val="left"/>
      <w:rPr>
        <w:rFonts w:hint="eastAsia"/>
      </w:rPr>
    </w:lvl>
  </w:abstractNum>
  <w:abstractNum w:abstractNumId="2">
    <w:nsid w:val="E00CD2F9"/>
    <w:multiLevelType w:val="singleLevel"/>
    <w:tmpl w:val="E00CD2F9"/>
    <w:lvl w:ilvl="0" w:tentative="0">
      <w:start w:val="1"/>
      <w:numFmt w:val="decimal"/>
      <w:lvlText w:val="%1."/>
      <w:lvlJc w:val="left"/>
      <w:pPr>
        <w:tabs>
          <w:tab w:val="left" w:pos="312"/>
        </w:tabs>
      </w:pPr>
    </w:lvl>
  </w:abstractNum>
  <w:abstractNum w:abstractNumId="3">
    <w:nsid w:val="23DEF404"/>
    <w:multiLevelType w:val="singleLevel"/>
    <w:tmpl w:val="23DEF404"/>
    <w:lvl w:ilvl="0" w:tentative="0">
      <w:start w:val="1"/>
      <w:numFmt w:val="chineseCounting"/>
      <w:suff w:val="nothing"/>
      <w:lvlText w:val="%1、"/>
      <w:lvlJc w:val="left"/>
      <w:rPr>
        <w:rFonts w:hint="eastAsia"/>
      </w:rPr>
    </w:lvl>
  </w:abstractNum>
  <w:abstractNum w:abstractNumId="4">
    <w:nsid w:val="523AED94"/>
    <w:multiLevelType w:val="singleLevel"/>
    <w:tmpl w:val="523AED94"/>
    <w:lvl w:ilvl="0" w:tentative="0">
      <w:start w:val="1"/>
      <w:numFmt w:val="decimal"/>
      <w:lvlText w:val="%1."/>
      <w:lvlJc w:val="left"/>
      <w:pPr>
        <w:tabs>
          <w:tab w:val="left" w:pos="312"/>
        </w:tabs>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WZkZDMxMzg2MTBmMjU2YTlhNWI3ZmFjNDQ4MWUifQ=="/>
  </w:docVars>
  <w:rsids>
    <w:rsidRoot w:val="00000000"/>
    <w:rsid w:val="003675E8"/>
    <w:rsid w:val="01D52A58"/>
    <w:rsid w:val="0224038E"/>
    <w:rsid w:val="02CE7139"/>
    <w:rsid w:val="03157A96"/>
    <w:rsid w:val="03163E1D"/>
    <w:rsid w:val="03552A08"/>
    <w:rsid w:val="03D3104E"/>
    <w:rsid w:val="04275A22"/>
    <w:rsid w:val="04593878"/>
    <w:rsid w:val="052B1309"/>
    <w:rsid w:val="067C1B91"/>
    <w:rsid w:val="072D11D3"/>
    <w:rsid w:val="07C537D5"/>
    <w:rsid w:val="07E9598A"/>
    <w:rsid w:val="07F76D1E"/>
    <w:rsid w:val="09042474"/>
    <w:rsid w:val="0926542A"/>
    <w:rsid w:val="09572537"/>
    <w:rsid w:val="09EF4DDA"/>
    <w:rsid w:val="09F06B51"/>
    <w:rsid w:val="0A5A448A"/>
    <w:rsid w:val="0AED6E12"/>
    <w:rsid w:val="0C811C7B"/>
    <w:rsid w:val="0C8C3677"/>
    <w:rsid w:val="0CDC4161"/>
    <w:rsid w:val="0D293630"/>
    <w:rsid w:val="0D5422FE"/>
    <w:rsid w:val="0DD4413B"/>
    <w:rsid w:val="0E154AB8"/>
    <w:rsid w:val="0E266744"/>
    <w:rsid w:val="0EA93CA3"/>
    <w:rsid w:val="0F7C3008"/>
    <w:rsid w:val="0FE60171"/>
    <w:rsid w:val="10AE73EC"/>
    <w:rsid w:val="1118101A"/>
    <w:rsid w:val="11DA6532"/>
    <w:rsid w:val="121A3D4C"/>
    <w:rsid w:val="126B2BAF"/>
    <w:rsid w:val="134306AA"/>
    <w:rsid w:val="134A6465"/>
    <w:rsid w:val="135A02D0"/>
    <w:rsid w:val="13712447"/>
    <w:rsid w:val="139D7869"/>
    <w:rsid w:val="147A721A"/>
    <w:rsid w:val="14E013D0"/>
    <w:rsid w:val="14F31935"/>
    <w:rsid w:val="15B825AF"/>
    <w:rsid w:val="15CF1F26"/>
    <w:rsid w:val="16207B77"/>
    <w:rsid w:val="16B36D4D"/>
    <w:rsid w:val="183258F7"/>
    <w:rsid w:val="18342516"/>
    <w:rsid w:val="18552DB3"/>
    <w:rsid w:val="189E2676"/>
    <w:rsid w:val="18C17DE5"/>
    <w:rsid w:val="18D92EBD"/>
    <w:rsid w:val="1A44658D"/>
    <w:rsid w:val="1AAF2DD5"/>
    <w:rsid w:val="1AE31E7C"/>
    <w:rsid w:val="1B46204F"/>
    <w:rsid w:val="1B99074F"/>
    <w:rsid w:val="1BB8428A"/>
    <w:rsid w:val="1BBC5511"/>
    <w:rsid w:val="1CFC6AF6"/>
    <w:rsid w:val="1DBE13B8"/>
    <w:rsid w:val="1DD609E7"/>
    <w:rsid w:val="1E77318B"/>
    <w:rsid w:val="1ED65F1E"/>
    <w:rsid w:val="1F4A5F8A"/>
    <w:rsid w:val="1F794C63"/>
    <w:rsid w:val="1FDD356D"/>
    <w:rsid w:val="1FE37DA0"/>
    <w:rsid w:val="20390524"/>
    <w:rsid w:val="20E172DD"/>
    <w:rsid w:val="20E3342D"/>
    <w:rsid w:val="21254871"/>
    <w:rsid w:val="214831CD"/>
    <w:rsid w:val="21A97250"/>
    <w:rsid w:val="21F83C21"/>
    <w:rsid w:val="220D5A31"/>
    <w:rsid w:val="228C6E75"/>
    <w:rsid w:val="22A273FF"/>
    <w:rsid w:val="236C2324"/>
    <w:rsid w:val="23E3036F"/>
    <w:rsid w:val="249266C1"/>
    <w:rsid w:val="25380CA0"/>
    <w:rsid w:val="257D0110"/>
    <w:rsid w:val="25C63BAB"/>
    <w:rsid w:val="25C67C05"/>
    <w:rsid w:val="25D70354"/>
    <w:rsid w:val="263578BE"/>
    <w:rsid w:val="263D04BC"/>
    <w:rsid w:val="264D0C78"/>
    <w:rsid w:val="26A70C65"/>
    <w:rsid w:val="27026A05"/>
    <w:rsid w:val="270C409F"/>
    <w:rsid w:val="27415819"/>
    <w:rsid w:val="2777374E"/>
    <w:rsid w:val="283860D8"/>
    <w:rsid w:val="287560DE"/>
    <w:rsid w:val="29D6511A"/>
    <w:rsid w:val="29FF496C"/>
    <w:rsid w:val="2A1F28C7"/>
    <w:rsid w:val="2B8925CC"/>
    <w:rsid w:val="2BA328F5"/>
    <w:rsid w:val="2C6F6170"/>
    <w:rsid w:val="2C9F6F43"/>
    <w:rsid w:val="2D5664DE"/>
    <w:rsid w:val="2D755A60"/>
    <w:rsid w:val="2DCB175A"/>
    <w:rsid w:val="2E4C744E"/>
    <w:rsid w:val="2E8E10D4"/>
    <w:rsid w:val="2F62381D"/>
    <w:rsid w:val="305F1B4D"/>
    <w:rsid w:val="30C93B1B"/>
    <w:rsid w:val="311A3CC6"/>
    <w:rsid w:val="316E7B6E"/>
    <w:rsid w:val="31C92F18"/>
    <w:rsid w:val="32024D28"/>
    <w:rsid w:val="335F5D78"/>
    <w:rsid w:val="337511B1"/>
    <w:rsid w:val="337D4C69"/>
    <w:rsid w:val="33935522"/>
    <w:rsid w:val="343B467F"/>
    <w:rsid w:val="34535875"/>
    <w:rsid w:val="34A915E9"/>
    <w:rsid w:val="34AF257B"/>
    <w:rsid w:val="34B66051"/>
    <w:rsid w:val="36C21BE7"/>
    <w:rsid w:val="36C267C0"/>
    <w:rsid w:val="36C450EA"/>
    <w:rsid w:val="372B5D93"/>
    <w:rsid w:val="375B0AE1"/>
    <w:rsid w:val="386C41A1"/>
    <w:rsid w:val="38761053"/>
    <w:rsid w:val="38A804E3"/>
    <w:rsid w:val="39106763"/>
    <w:rsid w:val="3A116084"/>
    <w:rsid w:val="3A763162"/>
    <w:rsid w:val="3A985554"/>
    <w:rsid w:val="3AAB598F"/>
    <w:rsid w:val="3B020707"/>
    <w:rsid w:val="3B9C785C"/>
    <w:rsid w:val="3C2F2831"/>
    <w:rsid w:val="3D4435C6"/>
    <w:rsid w:val="3D8E5A8D"/>
    <w:rsid w:val="3DCC00F6"/>
    <w:rsid w:val="3E6D1D46"/>
    <w:rsid w:val="3E924036"/>
    <w:rsid w:val="3EBE4976"/>
    <w:rsid w:val="3EF73899"/>
    <w:rsid w:val="3F282526"/>
    <w:rsid w:val="400101C3"/>
    <w:rsid w:val="405F16F6"/>
    <w:rsid w:val="40842F0A"/>
    <w:rsid w:val="4195297C"/>
    <w:rsid w:val="41957568"/>
    <w:rsid w:val="41F10082"/>
    <w:rsid w:val="41F702EE"/>
    <w:rsid w:val="420704CD"/>
    <w:rsid w:val="428970E4"/>
    <w:rsid w:val="42BD668F"/>
    <w:rsid w:val="42D82436"/>
    <w:rsid w:val="43161672"/>
    <w:rsid w:val="43241EF6"/>
    <w:rsid w:val="43431778"/>
    <w:rsid w:val="4394151F"/>
    <w:rsid w:val="44084F35"/>
    <w:rsid w:val="44806E09"/>
    <w:rsid w:val="44BE1658"/>
    <w:rsid w:val="45B45D7E"/>
    <w:rsid w:val="46205483"/>
    <w:rsid w:val="46241EA6"/>
    <w:rsid w:val="46C53FAB"/>
    <w:rsid w:val="46D544C0"/>
    <w:rsid w:val="46DB13AA"/>
    <w:rsid w:val="47823284"/>
    <w:rsid w:val="47CF4028"/>
    <w:rsid w:val="47E67906"/>
    <w:rsid w:val="485431F5"/>
    <w:rsid w:val="485E35F8"/>
    <w:rsid w:val="49550899"/>
    <w:rsid w:val="49BA2D04"/>
    <w:rsid w:val="49BB0786"/>
    <w:rsid w:val="4A167183"/>
    <w:rsid w:val="4A733A58"/>
    <w:rsid w:val="4B643ABC"/>
    <w:rsid w:val="4B6E7B09"/>
    <w:rsid w:val="4B9F639D"/>
    <w:rsid w:val="4BA5341F"/>
    <w:rsid w:val="4BB76564"/>
    <w:rsid w:val="4BC230D9"/>
    <w:rsid w:val="4C9358A6"/>
    <w:rsid w:val="4CA34014"/>
    <w:rsid w:val="4CE52F83"/>
    <w:rsid w:val="4D696680"/>
    <w:rsid w:val="4F4F10AC"/>
    <w:rsid w:val="4F5F64BA"/>
    <w:rsid w:val="4F90667E"/>
    <w:rsid w:val="4FB545D4"/>
    <w:rsid w:val="4FDD301E"/>
    <w:rsid w:val="502E58AD"/>
    <w:rsid w:val="50B25872"/>
    <w:rsid w:val="50F327CB"/>
    <w:rsid w:val="51B47BC2"/>
    <w:rsid w:val="51D146FE"/>
    <w:rsid w:val="524D13AE"/>
    <w:rsid w:val="52B471BF"/>
    <w:rsid w:val="52C32D67"/>
    <w:rsid w:val="52FD5CE8"/>
    <w:rsid w:val="5339476F"/>
    <w:rsid w:val="536B2A7D"/>
    <w:rsid w:val="53DE59A8"/>
    <w:rsid w:val="53E51F5E"/>
    <w:rsid w:val="541505F1"/>
    <w:rsid w:val="54230D52"/>
    <w:rsid w:val="54400E09"/>
    <w:rsid w:val="54707AC1"/>
    <w:rsid w:val="55B6522E"/>
    <w:rsid w:val="55EA6E3F"/>
    <w:rsid w:val="56A06471"/>
    <w:rsid w:val="56EB682C"/>
    <w:rsid w:val="5715646F"/>
    <w:rsid w:val="57E56101"/>
    <w:rsid w:val="581F4351"/>
    <w:rsid w:val="58286EBC"/>
    <w:rsid w:val="585E1C89"/>
    <w:rsid w:val="59410223"/>
    <w:rsid w:val="596F2EE5"/>
    <w:rsid w:val="59723D50"/>
    <w:rsid w:val="5A864B12"/>
    <w:rsid w:val="5A920D49"/>
    <w:rsid w:val="5B4B35D6"/>
    <w:rsid w:val="5BB10EFE"/>
    <w:rsid w:val="5C682BA7"/>
    <w:rsid w:val="5D6D7971"/>
    <w:rsid w:val="5D762C66"/>
    <w:rsid w:val="5DEA79AF"/>
    <w:rsid w:val="5E2F3B42"/>
    <w:rsid w:val="5F035078"/>
    <w:rsid w:val="5F4131D6"/>
    <w:rsid w:val="5F6F0822"/>
    <w:rsid w:val="5F744CAA"/>
    <w:rsid w:val="5F957CDE"/>
    <w:rsid w:val="5FDD7E71"/>
    <w:rsid w:val="6108231E"/>
    <w:rsid w:val="62143C96"/>
    <w:rsid w:val="62561308"/>
    <w:rsid w:val="62927E29"/>
    <w:rsid w:val="62DD052C"/>
    <w:rsid w:val="62E054D8"/>
    <w:rsid w:val="638251B1"/>
    <w:rsid w:val="640D6CAC"/>
    <w:rsid w:val="64105038"/>
    <w:rsid w:val="644B199A"/>
    <w:rsid w:val="64D6157E"/>
    <w:rsid w:val="653C3FD8"/>
    <w:rsid w:val="65815AE7"/>
    <w:rsid w:val="65B14764"/>
    <w:rsid w:val="66180254"/>
    <w:rsid w:val="66936F5E"/>
    <w:rsid w:val="67CB7B5D"/>
    <w:rsid w:val="687304EE"/>
    <w:rsid w:val="68783C73"/>
    <w:rsid w:val="68866F70"/>
    <w:rsid w:val="68EC7555"/>
    <w:rsid w:val="690B4CB3"/>
    <w:rsid w:val="693862AF"/>
    <w:rsid w:val="6A961A6F"/>
    <w:rsid w:val="6A987C6E"/>
    <w:rsid w:val="6C300DB3"/>
    <w:rsid w:val="6C8D73F3"/>
    <w:rsid w:val="6CFB4623"/>
    <w:rsid w:val="6D4B29EE"/>
    <w:rsid w:val="6D6D71FE"/>
    <w:rsid w:val="6E891670"/>
    <w:rsid w:val="6EC06CA8"/>
    <w:rsid w:val="6EED01BE"/>
    <w:rsid w:val="6F057177"/>
    <w:rsid w:val="6F593B69"/>
    <w:rsid w:val="6FCD7A7D"/>
    <w:rsid w:val="709E1F5D"/>
    <w:rsid w:val="70C85336"/>
    <w:rsid w:val="70E10E55"/>
    <w:rsid w:val="712612D9"/>
    <w:rsid w:val="718B036D"/>
    <w:rsid w:val="718F390E"/>
    <w:rsid w:val="71B2000E"/>
    <w:rsid w:val="72307267"/>
    <w:rsid w:val="725577F4"/>
    <w:rsid w:val="73593BFF"/>
    <w:rsid w:val="73A103C3"/>
    <w:rsid w:val="740C7A72"/>
    <w:rsid w:val="744F23F4"/>
    <w:rsid w:val="74BE1DD0"/>
    <w:rsid w:val="74F6547D"/>
    <w:rsid w:val="75AA5052"/>
    <w:rsid w:val="75BE2C2C"/>
    <w:rsid w:val="764010A6"/>
    <w:rsid w:val="765F4A43"/>
    <w:rsid w:val="76EB7264"/>
    <w:rsid w:val="7769462C"/>
    <w:rsid w:val="77F5610B"/>
    <w:rsid w:val="78B15C5E"/>
    <w:rsid w:val="79175759"/>
    <w:rsid w:val="79C773E8"/>
    <w:rsid w:val="7B035A20"/>
    <w:rsid w:val="7B224A66"/>
    <w:rsid w:val="7BBE620D"/>
    <w:rsid w:val="7BFB064C"/>
    <w:rsid w:val="7C785E63"/>
    <w:rsid w:val="7CEF5984"/>
    <w:rsid w:val="7E5C7744"/>
    <w:rsid w:val="7EF240BF"/>
    <w:rsid w:val="7F1135E0"/>
    <w:rsid w:val="7F2C38B2"/>
    <w:rsid w:val="7F2D0FB6"/>
    <w:rsid w:val="7F951E7F"/>
    <w:rsid w:val="7F962F62"/>
    <w:rsid w:val="7FE0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3">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toc 1"/>
    <w:basedOn w:val="1"/>
    <w:next w:val="1"/>
    <w:qFormat/>
    <w:uiPriority w:val="39"/>
  </w:style>
  <w:style w:type="paragraph" w:styleId="8">
    <w:name w:val="toc 2"/>
    <w:basedOn w:val="1"/>
    <w:next w:val="1"/>
    <w:qFormat/>
    <w:uiPriority w:val="0"/>
    <w:pPr>
      <w:ind w:left="420" w:leftChars="200"/>
    </w:pPr>
  </w:style>
  <w:style w:type="paragraph" w:styleId="9">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font81"/>
    <w:basedOn w:val="12"/>
    <w:qFormat/>
    <w:uiPriority w:val="0"/>
    <w:rPr>
      <w:rFonts w:hint="eastAsia" w:ascii="仿宋" w:hAnsi="仿宋" w:eastAsia="仿宋" w:cs="仿宋"/>
      <w:color w:val="FF0000"/>
      <w:sz w:val="24"/>
      <w:szCs w:val="24"/>
      <w:u w:val="none"/>
    </w:rPr>
  </w:style>
  <w:style w:type="character" w:customStyle="1" w:styleId="16">
    <w:name w:val="font61"/>
    <w:basedOn w:val="12"/>
    <w:qFormat/>
    <w:uiPriority w:val="0"/>
    <w:rPr>
      <w:rFonts w:hint="eastAsia" w:ascii="仿宋" w:hAnsi="仿宋" w:eastAsia="仿宋" w:cs="仿宋"/>
      <w:color w:val="000000"/>
      <w:sz w:val="24"/>
      <w:szCs w:val="24"/>
      <w:u w:val="none"/>
    </w:rPr>
  </w:style>
  <w:style w:type="character" w:customStyle="1" w:styleId="17">
    <w:name w:val="font41"/>
    <w:basedOn w:val="12"/>
    <w:qFormat/>
    <w:uiPriority w:val="0"/>
    <w:rPr>
      <w:rFonts w:hint="eastAsia" w:ascii="仿宋" w:hAnsi="仿宋" w:eastAsia="仿宋" w:cs="仿宋"/>
      <w:color w:val="000000"/>
      <w:sz w:val="24"/>
      <w:szCs w:val="24"/>
      <w:u w:val="none"/>
    </w:rPr>
  </w:style>
  <w:style w:type="character" w:customStyle="1" w:styleId="18">
    <w:name w:val="font71"/>
    <w:basedOn w:val="12"/>
    <w:qFormat/>
    <w:uiPriority w:val="0"/>
    <w:rPr>
      <w:rFonts w:hint="eastAsia" w:ascii="仿宋" w:hAnsi="仿宋" w:eastAsia="仿宋" w:cs="仿宋"/>
      <w:color w:val="0070C0"/>
      <w:sz w:val="24"/>
      <w:szCs w:val="24"/>
      <w:u w:val="none"/>
    </w:rPr>
  </w:style>
  <w:style w:type="character" w:customStyle="1" w:styleId="19">
    <w:name w:val="font51"/>
    <w:basedOn w:val="12"/>
    <w:qFormat/>
    <w:uiPriority w:val="0"/>
    <w:rPr>
      <w:rFonts w:hint="eastAsia" w:ascii="宋体" w:hAnsi="宋体" w:eastAsia="宋体" w:cs="宋体"/>
      <w:color w:val="000000"/>
      <w:sz w:val="24"/>
      <w:szCs w:val="24"/>
      <w:u w:val="none"/>
    </w:rPr>
  </w:style>
  <w:style w:type="character" w:customStyle="1" w:styleId="20">
    <w:name w:val="font21"/>
    <w:basedOn w:val="12"/>
    <w:qFormat/>
    <w:uiPriority w:val="0"/>
    <w:rPr>
      <w:rFonts w:hint="eastAsia" w:ascii="宋体" w:hAnsi="宋体" w:eastAsia="宋体" w:cs="宋体"/>
      <w:color w:val="000000"/>
      <w:sz w:val="22"/>
      <w:szCs w:val="22"/>
      <w:u w:val="none"/>
    </w:rPr>
  </w:style>
  <w:style w:type="character" w:customStyle="1" w:styleId="21">
    <w:name w:val="font11"/>
    <w:basedOn w:val="12"/>
    <w:qFormat/>
    <w:uiPriority w:val="0"/>
    <w:rPr>
      <w:rFonts w:hint="eastAsia" w:ascii="宋体" w:hAnsi="宋体" w:eastAsia="宋体" w:cs="宋体"/>
      <w:b/>
      <w:bCs/>
      <w:color w:val="000000"/>
      <w:sz w:val="24"/>
      <w:szCs w:val="24"/>
      <w:u w:val="none"/>
    </w:rPr>
  </w:style>
  <w:style w:type="paragraph" w:customStyle="1" w:styleId="2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23">
    <w:name w:val="font31"/>
    <w:basedOn w:val="12"/>
    <w:qFormat/>
    <w:uiPriority w:val="0"/>
    <w:rPr>
      <w:rFonts w:hint="eastAsia" w:ascii="宋体" w:hAnsi="宋体" w:eastAsia="宋体" w:cs="宋体"/>
      <w:color w:val="000000"/>
      <w:sz w:val="24"/>
      <w:szCs w:val="24"/>
      <w:u w:val="none"/>
    </w:rPr>
  </w:style>
  <w:style w:type="character" w:customStyle="1" w:styleId="24">
    <w:name w:val="font01"/>
    <w:basedOn w:val="12"/>
    <w:qFormat/>
    <w:uiPriority w:val="0"/>
    <w:rPr>
      <w:rFonts w:hint="eastAsia" w:ascii="宋体" w:hAnsi="宋体" w:eastAsia="宋体" w:cs="宋体"/>
      <w:color w:val="000000"/>
      <w:sz w:val="22"/>
      <w:szCs w:val="22"/>
      <w:u w:val="none"/>
    </w:rPr>
  </w:style>
  <w:style w:type="paragraph" w:customStyle="1" w:styleId="25">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4757</Words>
  <Characters>4948</Characters>
  <Lines>0</Lines>
  <Paragraphs>0</Paragraphs>
  <TotalTime>7</TotalTime>
  <ScaleCrop>false</ScaleCrop>
  <LinksUpToDate>false</LinksUpToDate>
  <CharactersWithSpaces>5059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2023-07-17T06:43:00Z</dcterms:created>
  <dc:creator>Administrator</dc:creator>
  <cp:lastModifiedBy>Lina</cp:lastModifiedBy>
  <cp:lastPrinted>2026-05-11T00:59:25Z</cp:lastPrinted>
  <dcterms:modified xsi:type="dcterms:W3CDTF">2026-05-11T01:06:32Z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44740171D8BA4B96BB290DE92874637C_13</vt:lpwstr>
  </property>
  <property fmtid="{D5CDD505-2E9C-101B-9397-08002B2CF9AE}" pid="4" name="KSOTemplateDocerSaveRecord">
    <vt:lpwstr>eyJoZGlkIjoiODYyMjk2YWVkMGQyM2Y1OGQzNGE1NWY5MDM3NDc0YzgifQ==</vt:lpwstr>
  </property>
</Properties>
</file>