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before="38"/>
        <w:ind w:left="0" w:right="80" w:firstLine="0"/>
        <w:jc w:val="center"/>
        <w:rPr>
          <w:sz w:val="44"/>
        </w:rPr>
      </w:pPr>
      <w:r>
        <w:rPr>
          <w:sz w:val="44"/>
        </w:rPr>
        <w:t>核技术利用建设项目</w:t>
      </w:r>
    </w:p>
    <w:p>
      <w:pPr>
        <w:pStyle w:val="BodyText"/>
        <w:rPr>
          <w:sz w:val="44"/>
        </w:rPr>
      </w:pPr>
    </w:p>
    <w:p>
      <w:pPr>
        <w:pStyle w:val="BodyText"/>
        <w:spacing w:before="1"/>
        <w:rPr>
          <w:sz w:val="56"/>
        </w:rPr>
      </w:pPr>
    </w:p>
    <w:p>
      <w:pPr>
        <w:pStyle w:val="Title"/>
        <w:spacing w:line="364" w:lineRule="auto"/>
      </w:pPr>
      <w:r>
        <w:rPr>
          <w:spacing w:val="-9"/>
        </w:rPr>
        <w:t>医技楼新增数字减影血管造影机</w:t>
      </w:r>
      <w:r>
        <w:rPr/>
        <w:t>（</w:t>
      </w:r>
      <w:r>
        <w:rPr>
          <w:rFonts w:ascii="Times New Roman" w:eastAsia="Times New Roman"/>
          <w:b/>
        </w:rPr>
        <w:t>DSA</w:t>
      </w:r>
      <w:r>
        <w:rPr/>
        <w:t>）</w:t>
      </w:r>
      <w:r>
        <w:rPr>
          <w:spacing w:val="-237"/>
        </w:rPr>
        <w:t> </w:t>
      </w:r>
      <w:r>
        <w:rPr/>
        <w:t>项目环境影响报告表</w:t>
      </w:r>
    </w:p>
    <w:p>
      <w:pPr>
        <w:pStyle w:val="BodyText"/>
        <w:spacing w:before="9"/>
        <w:rPr>
          <w:sz w:val="38"/>
        </w:rPr>
      </w:pPr>
    </w:p>
    <w:p>
      <w:pPr>
        <w:spacing w:before="0"/>
        <w:ind w:left="0" w:right="77" w:firstLine="0"/>
        <w:jc w:val="center"/>
        <w:rPr>
          <w:sz w:val="44"/>
        </w:rPr>
      </w:pPr>
      <w:r>
        <w:rPr>
          <w:sz w:val="44"/>
        </w:rPr>
        <w:t>（公示本）</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12"/>
        <w:rPr>
          <w:sz w:val="36"/>
        </w:rPr>
      </w:pPr>
    </w:p>
    <w:p>
      <w:pPr>
        <w:spacing w:line="324" w:lineRule="auto" w:before="0"/>
        <w:ind w:left="2987" w:right="3064" w:firstLine="0"/>
        <w:jc w:val="center"/>
        <w:rPr>
          <w:sz w:val="36"/>
        </w:rPr>
      </w:pPr>
      <w:r>
        <w:rPr>
          <w:sz w:val="36"/>
        </w:rPr>
        <w:t>资阳市第一人民医院</w:t>
      </w:r>
      <w:r>
        <w:rPr>
          <w:spacing w:val="-45"/>
          <w:sz w:val="36"/>
        </w:rPr>
        <w:t>二 </w:t>
      </w:r>
      <w:r>
        <w:rPr>
          <w:rFonts w:ascii="Times New Roman" w:eastAsia="Times New Roman"/>
          <w:b/>
          <w:sz w:val="36"/>
        </w:rPr>
        <w:t>O </w:t>
      </w:r>
      <w:r>
        <w:rPr>
          <w:sz w:val="36"/>
        </w:rPr>
        <w:t>二二年二月</w:t>
      </w:r>
    </w:p>
    <w:p>
      <w:pPr>
        <w:pStyle w:val="BodyText"/>
        <w:rPr>
          <w:sz w:val="40"/>
        </w:rPr>
      </w:pPr>
    </w:p>
    <w:p>
      <w:pPr>
        <w:pStyle w:val="BodyText"/>
        <w:spacing w:before="8"/>
        <w:rPr>
          <w:sz w:val="57"/>
        </w:rPr>
      </w:pPr>
    </w:p>
    <w:p>
      <w:pPr>
        <w:spacing w:before="0"/>
        <w:ind w:left="0" w:right="75" w:firstLine="0"/>
        <w:jc w:val="center"/>
        <w:rPr>
          <w:sz w:val="36"/>
        </w:rPr>
      </w:pPr>
      <w:r>
        <w:rPr>
          <w:sz w:val="36"/>
        </w:rPr>
        <w:t>生态环境部监制</w:t>
      </w:r>
    </w:p>
    <w:p>
      <w:pPr>
        <w:spacing w:after="0"/>
        <w:jc w:val="center"/>
        <w:rPr>
          <w:sz w:val="36"/>
        </w:rPr>
        <w:sectPr>
          <w:type w:val="continuous"/>
          <w:pgSz w:w="11910" w:h="16840"/>
          <w:pgMar w:top="1580" w:bottom="280" w:left="1340" w:right="1260"/>
        </w:sectPr>
      </w:pPr>
    </w:p>
    <w:p>
      <w:pPr>
        <w:pStyle w:val="BodyText"/>
        <w:spacing w:before="7"/>
        <w:rPr>
          <w:sz w:val="23"/>
        </w:rPr>
      </w:pPr>
    </w:p>
    <w:p>
      <w:pPr>
        <w:spacing w:before="37"/>
        <w:ind w:left="0" w:right="80" w:firstLine="0"/>
        <w:jc w:val="center"/>
        <w:rPr>
          <w:sz w:val="44"/>
        </w:rPr>
      </w:pPr>
      <w:r>
        <w:rPr>
          <w:sz w:val="44"/>
        </w:rPr>
        <w:t>核技术利用建设项目</w:t>
      </w:r>
    </w:p>
    <w:p>
      <w:pPr>
        <w:pStyle w:val="BodyText"/>
        <w:rPr>
          <w:sz w:val="44"/>
        </w:rPr>
      </w:pPr>
    </w:p>
    <w:p>
      <w:pPr>
        <w:pStyle w:val="BodyText"/>
        <w:spacing w:before="1"/>
        <w:rPr>
          <w:sz w:val="56"/>
        </w:rPr>
      </w:pPr>
    </w:p>
    <w:p>
      <w:pPr>
        <w:pStyle w:val="Title"/>
        <w:spacing w:line="364" w:lineRule="auto"/>
      </w:pPr>
      <w:r>
        <w:rPr>
          <w:spacing w:val="-9"/>
        </w:rPr>
        <w:t>医技楼新增数字减影血管造影机</w:t>
      </w:r>
      <w:r>
        <w:rPr/>
        <w:t>（</w:t>
      </w:r>
      <w:r>
        <w:rPr>
          <w:rFonts w:ascii="Times New Roman" w:eastAsia="Times New Roman"/>
          <w:b/>
        </w:rPr>
        <w:t>DSA</w:t>
      </w:r>
      <w:r>
        <w:rPr/>
        <w:t>）</w:t>
      </w:r>
      <w:r>
        <w:rPr>
          <w:spacing w:val="-237"/>
        </w:rPr>
        <w:t> </w:t>
      </w:r>
      <w:r>
        <w:rPr/>
        <w:t>项目环境影响报告表</w: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2"/>
        <w:rPr>
          <w:sz w:val="49"/>
        </w:rPr>
      </w:pPr>
    </w:p>
    <w:p>
      <w:pPr>
        <w:spacing w:before="0"/>
        <w:ind w:left="460" w:right="0" w:firstLine="0"/>
        <w:jc w:val="left"/>
        <w:rPr>
          <w:sz w:val="32"/>
        </w:rPr>
      </w:pPr>
      <w:r>
        <w:rPr>
          <w:w w:val="95"/>
          <w:sz w:val="32"/>
        </w:rPr>
        <w:t>建设单位：资阳市第一人民医院</w:t>
      </w:r>
    </w:p>
    <w:p>
      <w:pPr>
        <w:tabs>
          <w:tab w:pos="4465" w:val="left" w:leader="none"/>
        </w:tabs>
        <w:spacing w:line="364" w:lineRule="auto" w:before="214"/>
        <w:ind w:left="460" w:right="3073" w:firstLine="0"/>
        <w:jc w:val="left"/>
        <w:rPr>
          <w:rFonts w:ascii="Times New Roman" w:eastAsia="Times New Roman"/>
          <w:b/>
          <w:sz w:val="32"/>
        </w:rPr>
      </w:pPr>
      <w:r>
        <w:rPr>
          <w:sz w:val="32"/>
        </w:rPr>
        <w:t>建设单位法人代表（签名或签章）</w:t>
      </w:r>
      <w:r>
        <w:rPr>
          <w:rFonts w:ascii="Times New Roman" w:eastAsia="Times New Roman"/>
          <w:b/>
          <w:sz w:val="32"/>
        </w:rPr>
        <w:t>:</w:t>
      </w:r>
      <w:r>
        <w:rPr>
          <w:rFonts w:ascii="Times New Roman" w:eastAsia="Times New Roman"/>
          <w:b/>
          <w:spacing w:val="6"/>
          <w:sz w:val="32"/>
        </w:rPr>
        <w:t> </w:t>
      </w:r>
      <w:r>
        <w:rPr>
          <w:rFonts w:ascii="Times New Roman" w:eastAsia="Times New Roman"/>
          <w:b/>
          <w:sz w:val="32"/>
        </w:rPr>
        <w:t>***</w:t>
      </w:r>
      <w:r>
        <w:rPr>
          <w:rFonts w:ascii="Times New Roman" w:eastAsia="Times New Roman"/>
          <w:b/>
          <w:spacing w:val="1"/>
          <w:sz w:val="32"/>
        </w:rPr>
        <w:t> </w:t>
      </w:r>
      <w:r>
        <w:rPr>
          <w:w w:val="95"/>
          <w:sz w:val="32"/>
        </w:rPr>
        <w:t>通讯地址：资阳市雁江区仁德西路</w:t>
      </w:r>
      <w:r>
        <w:rPr>
          <w:spacing w:val="-3"/>
          <w:w w:val="95"/>
          <w:sz w:val="32"/>
        </w:rPr>
        <w:t> </w:t>
      </w:r>
      <w:r>
        <w:rPr>
          <w:rFonts w:ascii="Times New Roman" w:eastAsia="Times New Roman"/>
          <w:b/>
          <w:w w:val="95"/>
          <w:sz w:val="32"/>
        </w:rPr>
        <w:t>66</w:t>
      </w:r>
      <w:r>
        <w:rPr>
          <w:rFonts w:ascii="Times New Roman" w:eastAsia="Times New Roman"/>
          <w:b/>
          <w:spacing w:val="69"/>
          <w:w w:val="95"/>
          <w:sz w:val="32"/>
        </w:rPr>
        <w:t> </w:t>
      </w:r>
      <w:r>
        <w:rPr>
          <w:w w:val="95"/>
          <w:sz w:val="32"/>
        </w:rPr>
        <w:t>号</w:t>
      </w:r>
      <w:r>
        <w:rPr>
          <w:sz w:val="32"/>
        </w:rPr>
        <w:t>邮政编码：</w:t>
      </w:r>
      <w:r>
        <w:rPr>
          <w:rFonts w:ascii="Times New Roman" w:eastAsia="Times New Roman"/>
          <w:b/>
          <w:sz w:val="32"/>
        </w:rPr>
        <w:t>***</w:t>
        <w:tab/>
      </w:r>
      <w:r>
        <w:rPr>
          <w:sz w:val="32"/>
        </w:rPr>
        <w:t>联系人：</w:t>
      </w:r>
      <w:r>
        <w:rPr>
          <w:rFonts w:ascii="Times New Roman" w:eastAsia="Times New Roman"/>
          <w:b/>
          <w:sz w:val="32"/>
        </w:rPr>
        <w:t>***</w:t>
      </w:r>
    </w:p>
    <w:p>
      <w:pPr>
        <w:tabs>
          <w:tab w:pos="4465" w:val="left" w:leader="none"/>
        </w:tabs>
        <w:spacing w:before="2"/>
        <w:ind w:left="460" w:right="0" w:firstLine="0"/>
        <w:jc w:val="left"/>
        <w:rPr>
          <w:rFonts w:ascii="Times New Roman" w:eastAsia="Times New Roman"/>
          <w:b/>
          <w:sz w:val="32"/>
        </w:rPr>
      </w:pPr>
      <w:r>
        <w:rPr>
          <w:sz w:val="32"/>
        </w:rPr>
        <w:t>电子邮箱：</w:t>
      </w:r>
      <w:r>
        <w:rPr>
          <w:rFonts w:ascii="Times New Roman" w:eastAsia="Times New Roman"/>
          <w:b/>
          <w:sz w:val="32"/>
        </w:rPr>
        <w:t>***</w:t>
        <w:tab/>
      </w:r>
      <w:r>
        <w:rPr>
          <w:w w:val="95"/>
          <w:sz w:val="32"/>
        </w:rPr>
        <w:t>联系电话：</w:t>
      </w:r>
      <w:r>
        <w:rPr>
          <w:rFonts w:ascii="Times New Roman" w:eastAsia="Times New Roman"/>
          <w:b/>
          <w:w w:val="95"/>
          <w:sz w:val="32"/>
        </w:rPr>
        <w:t>***</w:t>
      </w:r>
    </w:p>
    <w:p>
      <w:pPr>
        <w:spacing w:after="0"/>
        <w:jc w:val="left"/>
        <w:rPr>
          <w:rFonts w:ascii="Times New Roman" w:eastAsia="Times New Roman"/>
          <w:sz w:val="32"/>
        </w:rPr>
        <w:sectPr>
          <w:pgSz w:w="11910" w:h="16840"/>
          <w:pgMar w:top="1580" w:bottom="280" w:left="1340" w:right="1260"/>
        </w:sectPr>
      </w:pPr>
    </w:p>
    <w:p>
      <w:pPr>
        <w:tabs>
          <w:tab w:pos="1499" w:val="left" w:leader="none"/>
        </w:tabs>
        <w:spacing w:before="22"/>
        <w:ind w:left="0" w:right="117" w:firstLine="0"/>
        <w:jc w:val="center"/>
        <w:rPr>
          <w:sz w:val="36"/>
        </w:rPr>
      </w:pPr>
      <w:bookmarkStart w:name="_bookmark0" w:id="1"/>
      <w:bookmarkEnd w:id="1"/>
      <w:r>
        <w:rPr/>
      </w:r>
      <w:r>
        <w:rPr>
          <w:sz w:val="36"/>
        </w:rPr>
        <w:t>目</w:t>
        <w:tab/>
        <w:t>录</w:t>
      </w:r>
    </w:p>
    <w:sdt>
      <w:sdtPr>
        <w:docPartObj>
          <w:docPartGallery w:val="Table of Contents"/>
          <w:docPartUnique/>
        </w:docPartObj>
      </w:sdtPr>
      <w:sdtEndPr/>
      <w:sdtContent>
        <w:p>
          <w:pPr>
            <w:pStyle w:val="TOC1"/>
            <w:tabs>
              <w:tab w:pos="1119" w:val="left" w:leader="none"/>
              <w:tab w:pos="8766" w:val="right" w:leader="dot"/>
            </w:tabs>
            <w:spacing w:before="242"/>
            <w:rPr>
              <w:rFonts w:ascii="Times New Roman" w:eastAsia="Times New Roman"/>
            </w:rPr>
          </w:pPr>
          <w:hyperlink w:history="true" w:anchor="_bookmark0">
            <w:r>
              <w:rPr/>
              <w:t>表</w:t>
            </w:r>
            <w:r>
              <w:rPr>
                <w:spacing w:val="-60"/>
              </w:rPr>
              <w:t> </w:t>
            </w:r>
            <w:r>
              <w:rPr>
                <w:rFonts w:ascii="Times New Roman" w:eastAsia="Times New Roman"/>
              </w:rPr>
              <w:t>1</w:t>
              <w:tab/>
            </w:r>
            <w:r>
              <w:rPr/>
              <w:t>项目基本情况</w:t>
            </w:r>
            <w:r>
              <w:rPr>
                <w:rFonts w:ascii="Times New Roman" w:eastAsia="Times New Roman"/>
              </w:rPr>
              <w:tab/>
              <w:t>1</w:t>
            </w:r>
          </w:hyperlink>
        </w:p>
        <w:p>
          <w:pPr>
            <w:pStyle w:val="TOC1"/>
            <w:tabs>
              <w:tab w:pos="1119" w:val="left" w:leader="none"/>
              <w:tab w:pos="8768" w:val="right" w:leader="dot"/>
            </w:tabs>
            <w:rPr>
              <w:rFonts w:ascii="Times New Roman" w:eastAsia="Times New Roman"/>
            </w:rPr>
          </w:pPr>
          <w:hyperlink w:history="true" w:anchor="_bookmark1">
            <w:r>
              <w:rPr/>
              <w:t>表</w:t>
            </w:r>
            <w:r>
              <w:rPr>
                <w:spacing w:val="-60"/>
              </w:rPr>
              <w:t> </w:t>
            </w:r>
            <w:r>
              <w:rPr>
                <w:rFonts w:ascii="Times New Roman" w:eastAsia="Times New Roman"/>
              </w:rPr>
              <w:t>2</w:t>
              <w:tab/>
            </w:r>
            <w:r>
              <w:rPr/>
              <w:t>放射源</w:t>
            </w:r>
            <w:r>
              <w:rPr>
                <w:rFonts w:ascii="Times New Roman" w:eastAsia="Times New Roman"/>
              </w:rPr>
              <w:tab/>
              <w:t>11</w:t>
            </w:r>
          </w:hyperlink>
        </w:p>
        <w:p>
          <w:pPr>
            <w:pStyle w:val="TOC1"/>
            <w:tabs>
              <w:tab w:pos="1119" w:val="left" w:leader="none"/>
              <w:tab w:pos="8766" w:val="right" w:leader="dot"/>
            </w:tabs>
            <w:spacing w:before="317"/>
            <w:rPr>
              <w:rFonts w:ascii="Times New Roman" w:eastAsia="Times New Roman"/>
            </w:rPr>
          </w:pPr>
          <w:hyperlink w:history="true" w:anchor="_bookmark2">
            <w:r>
              <w:rPr/>
              <w:t>表</w:t>
            </w:r>
            <w:r>
              <w:rPr>
                <w:spacing w:val="-60"/>
              </w:rPr>
              <w:t> </w:t>
            </w:r>
            <w:r>
              <w:rPr>
                <w:rFonts w:ascii="Times New Roman" w:eastAsia="Times New Roman"/>
              </w:rPr>
              <w:t>3</w:t>
              <w:tab/>
            </w:r>
            <w:r>
              <w:rPr/>
              <w:t>非密封放射性物质</w:t>
            </w:r>
            <w:r>
              <w:rPr>
                <w:rFonts w:ascii="Times New Roman" w:eastAsia="Times New Roman"/>
              </w:rPr>
              <w:tab/>
              <w:t>12</w:t>
            </w:r>
          </w:hyperlink>
        </w:p>
        <w:p>
          <w:pPr>
            <w:pStyle w:val="TOC1"/>
            <w:tabs>
              <w:tab w:pos="1119" w:val="left" w:leader="none"/>
              <w:tab w:pos="8766" w:val="right" w:leader="dot"/>
            </w:tabs>
            <w:rPr>
              <w:rFonts w:ascii="Times New Roman" w:eastAsia="Times New Roman"/>
            </w:rPr>
          </w:pPr>
          <w:hyperlink w:history="true" w:anchor="_bookmark3">
            <w:r>
              <w:rPr/>
              <w:t>表</w:t>
            </w:r>
            <w:r>
              <w:rPr>
                <w:spacing w:val="-60"/>
              </w:rPr>
              <w:t> </w:t>
            </w:r>
            <w:r>
              <w:rPr>
                <w:rFonts w:ascii="Times New Roman" w:eastAsia="Times New Roman"/>
              </w:rPr>
              <w:t>4</w:t>
              <w:tab/>
            </w:r>
            <w:r>
              <w:rPr/>
              <w:t>射线装置</w:t>
            </w:r>
            <w:r>
              <w:rPr>
                <w:rFonts w:ascii="Times New Roman" w:eastAsia="Times New Roman"/>
              </w:rPr>
              <w:tab/>
              <w:t>13</w:t>
            </w:r>
          </w:hyperlink>
        </w:p>
        <w:p>
          <w:pPr>
            <w:pStyle w:val="TOC1"/>
            <w:tabs>
              <w:tab w:pos="1119" w:val="left" w:leader="none"/>
              <w:tab w:pos="8766" w:val="right" w:leader="dot"/>
            </w:tabs>
            <w:spacing w:before="317"/>
            <w:rPr>
              <w:rFonts w:ascii="Times New Roman" w:eastAsia="Times New Roman"/>
            </w:rPr>
          </w:pPr>
          <w:hyperlink w:history="true" w:anchor="_TOC_250000">
            <w:r>
              <w:rPr/>
              <w:t>表</w:t>
            </w:r>
            <w:r>
              <w:rPr>
                <w:spacing w:val="-60"/>
              </w:rPr>
              <w:t> </w:t>
            </w:r>
            <w:r>
              <w:rPr>
                <w:rFonts w:ascii="Times New Roman" w:eastAsia="Times New Roman"/>
              </w:rPr>
              <w:t>5</w:t>
              <w:tab/>
            </w:r>
            <w:r>
              <w:rPr/>
              <w:t>废弃物（重点是放射性废弃物）</w:t>
            </w:r>
            <w:r>
              <w:rPr>
                <w:rFonts w:ascii="Times New Roman" w:eastAsia="Times New Roman"/>
              </w:rPr>
              <w:tab/>
              <w:t>13</w:t>
            </w:r>
          </w:hyperlink>
        </w:p>
        <w:p>
          <w:pPr>
            <w:pStyle w:val="TOC1"/>
            <w:tabs>
              <w:tab w:pos="1119" w:val="left" w:leader="none"/>
              <w:tab w:pos="8766" w:val="right" w:leader="dot"/>
            </w:tabs>
            <w:rPr>
              <w:rFonts w:ascii="Times New Roman" w:eastAsia="Times New Roman"/>
            </w:rPr>
          </w:pPr>
          <w:hyperlink w:history="true" w:anchor="_bookmark4">
            <w:r>
              <w:rPr/>
              <w:t>表</w:t>
            </w:r>
            <w:r>
              <w:rPr>
                <w:spacing w:val="-60"/>
              </w:rPr>
              <w:t> </w:t>
            </w:r>
            <w:r>
              <w:rPr>
                <w:rFonts w:ascii="Times New Roman" w:eastAsia="Times New Roman"/>
              </w:rPr>
              <w:t>6</w:t>
              <w:tab/>
            </w:r>
            <w:r>
              <w:rPr/>
              <w:t>评价依据</w:t>
            </w:r>
            <w:r>
              <w:rPr>
                <w:rFonts w:ascii="Times New Roman" w:eastAsia="Times New Roman"/>
              </w:rPr>
              <w:tab/>
              <w:t>15</w:t>
            </w:r>
          </w:hyperlink>
        </w:p>
        <w:p>
          <w:pPr>
            <w:pStyle w:val="TOC1"/>
            <w:tabs>
              <w:tab w:pos="1119" w:val="left" w:leader="none"/>
              <w:tab w:pos="8766" w:val="right" w:leader="dot"/>
            </w:tabs>
            <w:spacing w:before="317"/>
            <w:rPr>
              <w:rFonts w:ascii="Times New Roman" w:eastAsia="Times New Roman"/>
            </w:rPr>
          </w:pPr>
          <w:hyperlink w:history="true" w:anchor="_bookmark5">
            <w:r>
              <w:rPr/>
              <w:t>表</w:t>
            </w:r>
            <w:r>
              <w:rPr>
                <w:spacing w:val="-60"/>
              </w:rPr>
              <w:t> </w:t>
            </w:r>
            <w:r>
              <w:rPr>
                <w:rFonts w:ascii="Times New Roman" w:eastAsia="Times New Roman"/>
              </w:rPr>
              <w:t>7</w:t>
              <w:tab/>
            </w:r>
            <w:r>
              <w:rPr/>
              <w:t>保护目标与评价标准</w:t>
            </w:r>
            <w:r>
              <w:rPr>
                <w:rFonts w:ascii="Times New Roman" w:eastAsia="Times New Roman"/>
              </w:rPr>
              <w:tab/>
              <w:t>17</w:t>
            </w:r>
          </w:hyperlink>
        </w:p>
        <w:p>
          <w:pPr>
            <w:pStyle w:val="TOC1"/>
            <w:tabs>
              <w:tab w:pos="1119" w:val="left" w:leader="none"/>
              <w:tab w:pos="8766" w:val="right" w:leader="dot"/>
            </w:tabs>
            <w:rPr>
              <w:rFonts w:ascii="Times New Roman" w:eastAsia="Times New Roman"/>
            </w:rPr>
          </w:pPr>
          <w:hyperlink w:history="true" w:anchor="_bookmark6">
            <w:r>
              <w:rPr/>
              <w:t>表</w:t>
            </w:r>
            <w:r>
              <w:rPr>
                <w:spacing w:val="-60"/>
              </w:rPr>
              <w:t> </w:t>
            </w:r>
            <w:r>
              <w:rPr>
                <w:rFonts w:ascii="Times New Roman" w:eastAsia="Times New Roman"/>
              </w:rPr>
              <w:t>8</w:t>
              <w:tab/>
            </w:r>
            <w:r>
              <w:rPr/>
              <w:t>环境质量和辐射现状</w:t>
            </w:r>
            <w:r>
              <w:rPr>
                <w:rFonts w:ascii="Times New Roman" w:eastAsia="Times New Roman"/>
              </w:rPr>
              <w:tab/>
              <w:t>20</w:t>
            </w:r>
          </w:hyperlink>
        </w:p>
        <w:p>
          <w:pPr>
            <w:pStyle w:val="TOC1"/>
            <w:tabs>
              <w:tab w:pos="1119" w:val="left" w:leader="none"/>
              <w:tab w:pos="8766" w:val="right" w:leader="dot"/>
            </w:tabs>
            <w:spacing w:before="317"/>
            <w:rPr>
              <w:rFonts w:ascii="Times New Roman" w:eastAsia="Times New Roman"/>
            </w:rPr>
          </w:pPr>
          <w:hyperlink w:history="true" w:anchor="_bookmark7">
            <w:r>
              <w:rPr/>
              <w:t>表</w:t>
            </w:r>
            <w:r>
              <w:rPr>
                <w:spacing w:val="-60"/>
              </w:rPr>
              <w:t> </w:t>
            </w:r>
            <w:r>
              <w:rPr>
                <w:rFonts w:ascii="Times New Roman" w:eastAsia="Times New Roman"/>
              </w:rPr>
              <w:t>9</w:t>
              <w:tab/>
            </w:r>
            <w:r>
              <w:rPr/>
              <w:t>项目工程分析与源项</w:t>
            </w:r>
            <w:r>
              <w:rPr>
                <w:rFonts w:ascii="Times New Roman" w:eastAsia="Times New Roman"/>
              </w:rPr>
              <w:tab/>
              <w:t>24</w:t>
            </w:r>
          </w:hyperlink>
        </w:p>
        <w:p>
          <w:pPr>
            <w:pStyle w:val="TOC1"/>
            <w:tabs>
              <w:tab w:pos="8766" w:val="right" w:leader="dot"/>
            </w:tabs>
            <w:rPr>
              <w:rFonts w:ascii="Times New Roman" w:eastAsia="Times New Roman"/>
            </w:rPr>
          </w:pPr>
          <w:hyperlink w:history="true" w:anchor="_bookmark8">
            <w:r>
              <w:rPr/>
              <w:t>表</w:t>
            </w:r>
            <w:r>
              <w:rPr>
                <w:spacing w:val="-60"/>
              </w:rPr>
              <w:t> </w:t>
            </w:r>
            <w:r>
              <w:rPr>
                <w:rFonts w:ascii="Times New Roman" w:eastAsia="Times New Roman"/>
              </w:rPr>
              <w:t>10</w:t>
            </w:r>
            <w:r>
              <w:rPr>
                <w:rFonts w:ascii="Times New Roman" w:eastAsia="Times New Roman"/>
                <w:spacing w:val="60"/>
              </w:rPr>
              <w:t> </w:t>
            </w:r>
            <w:r>
              <w:rPr/>
              <w:t>辐射安全与防护</w:t>
            </w:r>
            <w:r>
              <w:rPr>
                <w:rFonts w:ascii="Times New Roman" w:eastAsia="Times New Roman"/>
              </w:rPr>
              <w:tab/>
              <w:t>30</w:t>
            </w:r>
          </w:hyperlink>
        </w:p>
        <w:p>
          <w:pPr>
            <w:pStyle w:val="TOC1"/>
            <w:tabs>
              <w:tab w:pos="8766" w:val="right" w:leader="dot"/>
            </w:tabs>
            <w:spacing w:before="317"/>
            <w:rPr>
              <w:rFonts w:ascii="Times New Roman" w:eastAsia="Times New Roman"/>
            </w:rPr>
          </w:pPr>
          <w:hyperlink w:history="true" w:anchor="_bookmark9">
            <w:r>
              <w:rPr/>
              <w:t>表</w:t>
            </w:r>
            <w:r>
              <w:rPr>
                <w:spacing w:val="-61"/>
              </w:rPr>
              <w:t> </w:t>
            </w:r>
            <w:r>
              <w:rPr>
                <w:rFonts w:ascii="Times New Roman" w:eastAsia="Times New Roman"/>
              </w:rPr>
              <w:t>11</w:t>
            </w:r>
            <w:r>
              <w:rPr>
                <w:rFonts w:ascii="Times New Roman" w:eastAsia="Times New Roman"/>
                <w:spacing w:val="55"/>
              </w:rPr>
              <w:t> </w:t>
            </w:r>
            <w:r>
              <w:rPr/>
              <w:t>环境影响分析</w:t>
            </w:r>
            <w:r>
              <w:rPr>
                <w:rFonts w:ascii="Times New Roman" w:eastAsia="Times New Roman"/>
              </w:rPr>
              <w:tab/>
              <w:t>39</w:t>
            </w:r>
          </w:hyperlink>
        </w:p>
        <w:p>
          <w:pPr>
            <w:pStyle w:val="TOC1"/>
            <w:tabs>
              <w:tab w:pos="8766" w:val="right" w:leader="dot"/>
            </w:tabs>
            <w:rPr>
              <w:rFonts w:ascii="Times New Roman" w:eastAsia="Times New Roman"/>
            </w:rPr>
          </w:pPr>
          <w:hyperlink w:history="true" w:anchor="_bookmark10">
            <w:r>
              <w:rPr/>
              <w:t>表</w:t>
            </w:r>
            <w:r>
              <w:rPr>
                <w:spacing w:val="-60"/>
              </w:rPr>
              <w:t> </w:t>
            </w:r>
            <w:r>
              <w:rPr>
                <w:rFonts w:ascii="Times New Roman" w:eastAsia="Times New Roman"/>
              </w:rPr>
              <w:t>12</w:t>
            </w:r>
            <w:r>
              <w:rPr>
                <w:rFonts w:ascii="Times New Roman" w:eastAsia="Times New Roman"/>
                <w:spacing w:val="60"/>
              </w:rPr>
              <w:t> </w:t>
            </w:r>
            <w:r>
              <w:rPr/>
              <w:t>辐射安全管理</w:t>
            </w:r>
            <w:r>
              <w:rPr>
                <w:rFonts w:ascii="Times New Roman" w:eastAsia="Times New Roman"/>
              </w:rPr>
              <w:tab/>
              <w:t>57</w:t>
            </w:r>
          </w:hyperlink>
        </w:p>
        <w:p>
          <w:pPr>
            <w:pStyle w:val="TOC1"/>
            <w:tabs>
              <w:tab w:pos="8766" w:val="right" w:leader="dot"/>
            </w:tabs>
            <w:spacing w:before="317"/>
            <w:rPr>
              <w:rFonts w:ascii="Times New Roman" w:eastAsia="Times New Roman"/>
            </w:rPr>
          </w:pPr>
          <w:hyperlink w:history="true" w:anchor="_bookmark11">
            <w:r>
              <w:rPr/>
              <w:t>表</w:t>
            </w:r>
            <w:r>
              <w:rPr>
                <w:spacing w:val="-60"/>
              </w:rPr>
              <w:t> </w:t>
            </w:r>
            <w:r>
              <w:rPr>
                <w:rFonts w:ascii="Times New Roman" w:eastAsia="Times New Roman"/>
              </w:rPr>
              <w:t>13</w:t>
            </w:r>
            <w:r>
              <w:rPr>
                <w:rFonts w:ascii="Times New Roman" w:eastAsia="Times New Roman"/>
                <w:spacing w:val="60"/>
              </w:rPr>
              <w:t> </w:t>
            </w:r>
            <w:r>
              <w:rPr/>
              <w:t>结论与建议</w:t>
            </w:r>
            <w:r>
              <w:rPr>
                <w:rFonts w:ascii="Times New Roman" w:eastAsia="Times New Roman"/>
              </w:rPr>
              <w:tab/>
              <w:t>64</w:t>
            </w:r>
          </w:hyperlink>
        </w:p>
      </w:sdtContent>
    </w:sdt>
    <w:p>
      <w:pPr>
        <w:spacing w:after="0"/>
        <w:rPr>
          <w:rFonts w:ascii="Times New Roman" w:eastAsia="Times New Roman"/>
        </w:rPr>
        <w:sectPr>
          <w:pgSz w:w="11910" w:h="16840"/>
          <w:pgMar w:top="1480" w:bottom="280" w:left="1340" w:right="1260"/>
        </w:sectPr>
      </w:pPr>
    </w:p>
    <w:p>
      <w:pPr>
        <w:pStyle w:val="Heading1"/>
        <w:tabs>
          <w:tab w:pos="1285" w:val="left" w:leader="none"/>
        </w:tabs>
        <w:spacing w:line="498" w:lineRule="exact"/>
      </w:pPr>
      <w:r>
        <w:rPr/>
        <w:t>表</w:t>
      </w:r>
      <w:r>
        <w:rPr>
          <w:spacing w:val="-13"/>
        </w:rPr>
        <w:t> </w:t>
      </w:r>
      <w:r>
        <w:rPr>
          <w:rFonts w:ascii="Times New Roman" w:eastAsia="Times New Roman"/>
        </w:rPr>
        <w:t>1</w:t>
        <w:tab/>
      </w:r>
      <w:r>
        <w:rPr/>
        <w:t>项目基本情况</w:t>
      </w:r>
    </w:p>
    <w:p>
      <w:pPr>
        <w:pStyle w:val="BodyText"/>
        <w:spacing w:before="3"/>
        <w:rPr>
          <w:rFonts w:ascii="Microsoft YaHei UI"/>
          <w:b/>
          <w:sz w:val="7"/>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
        <w:gridCol w:w="1183"/>
        <w:gridCol w:w="1143"/>
        <w:gridCol w:w="1561"/>
        <w:gridCol w:w="1183"/>
        <w:gridCol w:w="1581"/>
        <w:gridCol w:w="162"/>
        <w:gridCol w:w="1600"/>
      </w:tblGrid>
      <w:tr>
        <w:trPr>
          <w:trHeight w:val="468" w:hRule="atLeast"/>
        </w:trPr>
        <w:tc>
          <w:tcPr>
            <w:tcW w:w="1846" w:type="dxa"/>
            <w:gridSpan w:val="2"/>
          </w:tcPr>
          <w:p>
            <w:pPr>
              <w:pStyle w:val="TableParagraph"/>
              <w:spacing w:before="79"/>
              <w:ind w:left="201"/>
              <w:jc w:val="left"/>
              <w:rPr>
                <w:sz w:val="24"/>
              </w:rPr>
            </w:pPr>
            <w:r>
              <w:rPr>
                <w:sz w:val="24"/>
              </w:rPr>
              <w:t>建设项目名称</w:t>
            </w:r>
          </w:p>
        </w:tc>
        <w:tc>
          <w:tcPr>
            <w:tcW w:w="7230" w:type="dxa"/>
            <w:gridSpan w:val="6"/>
          </w:tcPr>
          <w:p>
            <w:pPr>
              <w:pStyle w:val="TableParagraph"/>
              <w:spacing w:before="79"/>
              <w:ind w:left="1200" w:right="1192"/>
              <w:rPr>
                <w:sz w:val="24"/>
              </w:rPr>
            </w:pPr>
            <w:r>
              <w:rPr>
                <w:spacing w:val="-1"/>
                <w:sz w:val="24"/>
              </w:rPr>
              <w:t>医技楼新增数字减影血管造影机</w:t>
            </w:r>
            <w:r>
              <w:rPr>
                <w:sz w:val="24"/>
              </w:rPr>
              <w:t>（</w:t>
            </w:r>
            <w:r>
              <w:rPr>
                <w:rFonts w:ascii="Times New Roman" w:eastAsia="Times New Roman"/>
                <w:sz w:val="24"/>
              </w:rPr>
              <w:t>DSA</w:t>
            </w:r>
            <w:r>
              <w:rPr>
                <w:sz w:val="24"/>
              </w:rPr>
              <w:t>）项目</w:t>
            </w:r>
          </w:p>
        </w:tc>
      </w:tr>
      <w:tr>
        <w:trPr>
          <w:trHeight w:val="467" w:hRule="atLeast"/>
        </w:trPr>
        <w:tc>
          <w:tcPr>
            <w:tcW w:w="1846" w:type="dxa"/>
            <w:gridSpan w:val="2"/>
          </w:tcPr>
          <w:p>
            <w:pPr>
              <w:pStyle w:val="TableParagraph"/>
              <w:spacing w:before="81"/>
              <w:ind w:left="441"/>
              <w:jc w:val="left"/>
              <w:rPr>
                <w:sz w:val="24"/>
              </w:rPr>
            </w:pPr>
            <w:r>
              <w:rPr>
                <w:sz w:val="24"/>
              </w:rPr>
              <w:t>建设单位</w:t>
            </w:r>
          </w:p>
        </w:tc>
        <w:tc>
          <w:tcPr>
            <w:tcW w:w="7230" w:type="dxa"/>
            <w:gridSpan w:val="6"/>
          </w:tcPr>
          <w:p>
            <w:pPr>
              <w:pStyle w:val="TableParagraph"/>
              <w:spacing w:before="81"/>
              <w:ind w:left="1200" w:right="1192"/>
              <w:rPr>
                <w:sz w:val="24"/>
              </w:rPr>
            </w:pPr>
            <w:r>
              <w:rPr>
                <w:sz w:val="24"/>
              </w:rPr>
              <w:t>资阳市第一人民医院</w:t>
            </w:r>
          </w:p>
        </w:tc>
      </w:tr>
      <w:tr>
        <w:trPr>
          <w:trHeight w:val="623" w:hRule="atLeast"/>
        </w:trPr>
        <w:tc>
          <w:tcPr>
            <w:tcW w:w="1846" w:type="dxa"/>
            <w:gridSpan w:val="2"/>
          </w:tcPr>
          <w:p>
            <w:pPr>
              <w:pStyle w:val="TableParagraph"/>
              <w:spacing w:before="157"/>
              <w:ind w:left="441"/>
              <w:jc w:val="left"/>
              <w:rPr>
                <w:sz w:val="24"/>
              </w:rPr>
            </w:pPr>
            <w:r>
              <w:rPr>
                <w:sz w:val="24"/>
              </w:rPr>
              <w:t>法人代表</w:t>
            </w:r>
          </w:p>
        </w:tc>
        <w:tc>
          <w:tcPr>
            <w:tcW w:w="1143" w:type="dxa"/>
          </w:tcPr>
          <w:p>
            <w:pPr>
              <w:pStyle w:val="TableParagraph"/>
              <w:spacing w:before="127"/>
              <w:ind w:right="318"/>
              <w:jc w:val="right"/>
              <w:rPr>
                <w:rFonts w:ascii="Times New Roman"/>
                <w:b/>
                <w:sz w:val="32"/>
              </w:rPr>
            </w:pPr>
            <w:r>
              <w:rPr>
                <w:rFonts w:ascii="Times New Roman"/>
                <w:b/>
                <w:sz w:val="32"/>
              </w:rPr>
              <w:t>***</w:t>
            </w:r>
          </w:p>
        </w:tc>
        <w:tc>
          <w:tcPr>
            <w:tcW w:w="1561" w:type="dxa"/>
          </w:tcPr>
          <w:p>
            <w:pPr>
              <w:pStyle w:val="TableParagraph"/>
              <w:spacing w:before="157"/>
              <w:ind w:left="419"/>
              <w:jc w:val="left"/>
              <w:rPr>
                <w:sz w:val="24"/>
              </w:rPr>
            </w:pPr>
            <w:r>
              <w:rPr>
                <w:sz w:val="24"/>
              </w:rPr>
              <w:t>联系人</w:t>
            </w:r>
          </w:p>
        </w:tc>
        <w:tc>
          <w:tcPr>
            <w:tcW w:w="1183" w:type="dxa"/>
          </w:tcPr>
          <w:p>
            <w:pPr>
              <w:pStyle w:val="TableParagraph"/>
              <w:spacing w:before="127"/>
              <w:ind w:left="90" w:right="80"/>
              <w:rPr>
                <w:rFonts w:ascii="Times New Roman"/>
                <w:b/>
                <w:sz w:val="32"/>
              </w:rPr>
            </w:pPr>
            <w:r>
              <w:rPr>
                <w:rFonts w:ascii="Times New Roman"/>
                <w:b/>
                <w:sz w:val="32"/>
              </w:rPr>
              <w:t>***</w:t>
            </w:r>
          </w:p>
        </w:tc>
        <w:tc>
          <w:tcPr>
            <w:tcW w:w="1581" w:type="dxa"/>
          </w:tcPr>
          <w:p>
            <w:pPr>
              <w:pStyle w:val="TableParagraph"/>
              <w:spacing w:before="157"/>
              <w:ind w:left="310"/>
              <w:jc w:val="left"/>
              <w:rPr>
                <w:sz w:val="24"/>
              </w:rPr>
            </w:pPr>
            <w:r>
              <w:rPr>
                <w:sz w:val="24"/>
              </w:rPr>
              <w:t>联系电话</w:t>
            </w:r>
          </w:p>
        </w:tc>
        <w:tc>
          <w:tcPr>
            <w:tcW w:w="1762" w:type="dxa"/>
            <w:gridSpan w:val="2"/>
          </w:tcPr>
          <w:p>
            <w:pPr>
              <w:pStyle w:val="TableParagraph"/>
              <w:spacing w:before="127"/>
              <w:ind w:left="446" w:right="438"/>
              <w:rPr>
                <w:rFonts w:ascii="Times New Roman"/>
                <w:b/>
                <w:sz w:val="32"/>
              </w:rPr>
            </w:pPr>
            <w:r>
              <w:rPr>
                <w:rFonts w:ascii="Times New Roman"/>
                <w:b/>
                <w:sz w:val="32"/>
              </w:rPr>
              <w:t>***</w:t>
            </w:r>
          </w:p>
        </w:tc>
      </w:tr>
      <w:tr>
        <w:trPr>
          <w:trHeight w:val="468" w:hRule="atLeast"/>
        </w:trPr>
        <w:tc>
          <w:tcPr>
            <w:tcW w:w="1846" w:type="dxa"/>
            <w:gridSpan w:val="2"/>
          </w:tcPr>
          <w:p>
            <w:pPr>
              <w:pStyle w:val="TableParagraph"/>
              <w:spacing w:before="80"/>
              <w:ind w:left="441"/>
              <w:jc w:val="left"/>
              <w:rPr>
                <w:sz w:val="24"/>
              </w:rPr>
            </w:pPr>
            <w:r>
              <w:rPr>
                <w:sz w:val="24"/>
              </w:rPr>
              <w:t>注册地址</w:t>
            </w:r>
          </w:p>
        </w:tc>
        <w:tc>
          <w:tcPr>
            <w:tcW w:w="7230" w:type="dxa"/>
            <w:gridSpan w:val="6"/>
          </w:tcPr>
          <w:p>
            <w:pPr>
              <w:pStyle w:val="TableParagraph"/>
              <w:spacing w:before="80"/>
              <w:ind w:left="1200" w:right="1192"/>
              <w:rPr>
                <w:sz w:val="24"/>
              </w:rPr>
            </w:pPr>
            <w:r>
              <w:rPr>
                <w:spacing w:val="1"/>
                <w:w w:val="95"/>
                <w:sz w:val="24"/>
              </w:rPr>
              <w:t>资阳市雁江区仁德西路 </w:t>
            </w:r>
            <w:r>
              <w:rPr>
                <w:w w:val="95"/>
                <w:sz w:val="24"/>
              </w:rPr>
              <w:t>66</w:t>
            </w:r>
            <w:r>
              <w:rPr>
                <w:spacing w:val="9"/>
                <w:w w:val="95"/>
                <w:sz w:val="24"/>
              </w:rPr>
              <w:t> 号</w:t>
            </w:r>
          </w:p>
        </w:tc>
      </w:tr>
      <w:tr>
        <w:trPr>
          <w:trHeight w:val="467" w:hRule="atLeast"/>
        </w:trPr>
        <w:tc>
          <w:tcPr>
            <w:tcW w:w="1846" w:type="dxa"/>
            <w:gridSpan w:val="2"/>
          </w:tcPr>
          <w:p>
            <w:pPr>
              <w:pStyle w:val="TableParagraph"/>
              <w:spacing w:before="80"/>
              <w:ind w:left="201"/>
              <w:jc w:val="left"/>
              <w:rPr>
                <w:sz w:val="24"/>
              </w:rPr>
            </w:pPr>
            <w:r>
              <w:rPr>
                <w:sz w:val="24"/>
              </w:rPr>
              <w:t>项目建设地点</w:t>
            </w:r>
          </w:p>
        </w:tc>
        <w:tc>
          <w:tcPr>
            <w:tcW w:w="7230" w:type="dxa"/>
            <w:gridSpan w:val="6"/>
          </w:tcPr>
          <w:p>
            <w:pPr>
              <w:pStyle w:val="TableParagraph"/>
              <w:spacing w:before="80"/>
              <w:ind w:left="554"/>
              <w:jc w:val="left"/>
              <w:rPr>
                <w:sz w:val="24"/>
              </w:rPr>
            </w:pPr>
            <w:r>
              <w:rPr>
                <w:spacing w:val="8"/>
                <w:w w:val="95"/>
                <w:sz w:val="24"/>
              </w:rPr>
              <w:t>资阳市雁江区仁德西路 </w:t>
            </w:r>
            <w:r>
              <w:rPr>
                <w:w w:val="95"/>
                <w:sz w:val="24"/>
              </w:rPr>
              <w:t>66</w:t>
            </w:r>
            <w:r>
              <w:rPr>
                <w:spacing w:val="2"/>
                <w:w w:val="95"/>
                <w:sz w:val="24"/>
              </w:rPr>
              <w:t> 号资阳市第一人民医院医技楼内</w:t>
            </w:r>
          </w:p>
        </w:tc>
      </w:tr>
      <w:tr>
        <w:trPr>
          <w:trHeight w:val="467" w:hRule="atLeast"/>
        </w:trPr>
        <w:tc>
          <w:tcPr>
            <w:tcW w:w="1846" w:type="dxa"/>
            <w:gridSpan w:val="2"/>
          </w:tcPr>
          <w:p>
            <w:pPr>
              <w:pStyle w:val="TableParagraph"/>
              <w:spacing w:before="79"/>
              <w:ind w:left="201"/>
              <w:jc w:val="left"/>
              <w:rPr>
                <w:sz w:val="24"/>
              </w:rPr>
            </w:pPr>
            <w:r>
              <w:rPr>
                <w:sz w:val="24"/>
              </w:rPr>
              <w:t>立项审批部门</w:t>
            </w:r>
          </w:p>
        </w:tc>
        <w:tc>
          <w:tcPr>
            <w:tcW w:w="2704" w:type="dxa"/>
            <w:gridSpan w:val="2"/>
          </w:tcPr>
          <w:p>
            <w:pPr>
              <w:pStyle w:val="TableParagraph"/>
              <w:spacing w:before="95"/>
              <w:ind w:left="7"/>
              <w:rPr>
                <w:rFonts w:ascii="Times New Roman" w:hAnsi="Times New Roman"/>
                <w:sz w:val="24"/>
              </w:rPr>
            </w:pPr>
            <w:r>
              <w:rPr>
                <w:rFonts w:ascii="Times New Roman" w:hAnsi="Times New Roman"/>
                <w:sz w:val="24"/>
              </w:rPr>
              <w:t>—</w:t>
            </w:r>
          </w:p>
        </w:tc>
        <w:tc>
          <w:tcPr>
            <w:tcW w:w="1183" w:type="dxa"/>
          </w:tcPr>
          <w:p>
            <w:pPr>
              <w:pStyle w:val="TableParagraph"/>
              <w:spacing w:before="79"/>
              <w:ind w:left="90" w:right="82"/>
              <w:rPr>
                <w:sz w:val="24"/>
              </w:rPr>
            </w:pPr>
            <w:r>
              <w:rPr>
                <w:sz w:val="24"/>
              </w:rPr>
              <w:t>批准文号</w:t>
            </w:r>
          </w:p>
        </w:tc>
        <w:tc>
          <w:tcPr>
            <w:tcW w:w="3343" w:type="dxa"/>
            <w:gridSpan w:val="3"/>
          </w:tcPr>
          <w:p>
            <w:pPr>
              <w:pStyle w:val="TableParagraph"/>
              <w:spacing w:before="95"/>
              <w:ind w:left="9"/>
              <w:rPr>
                <w:rFonts w:ascii="Times New Roman" w:hAnsi="Times New Roman"/>
                <w:sz w:val="24"/>
              </w:rPr>
            </w:pPr>
            <w:r>
              <w:rPr>
                <w:rFonts w:ascii="Times New Roman" w:hAnsi="Times New Roman"/>
                <w:sz w:val="24"/>
              </w:rPr>
              <w:t>—</w:t>
            </w:r>
          </w:p>
        </w:tc>
      </w:tr>
      <w:tr>
        <w:trPr>
          <w:trHeight w:val="624" w:hRule="atLeast"/>
        </w:trPr>
        <w:tc>
          <w:tcPr>
            <w:tcW w:w="1846" w:type="dxa"/>
            <w:gridSpan w:val="2"/>
          </w:tcPr>
          <w:p>
            <w:pPr>
              <w:pStyle w:val="TableParagraph"/>
              <w:spacing w:before="2"/>
              <w:ind w:left="201"/>
              <w:jc w:val="left"/>
              <w:rPr>
                <w:sz w:val="24"/>
              </w:rPr>
            </w:pPr>
            <w:r>
              <w:rPr>
                <w:sz w:val="24"/>
              </w:rPr>
              <w:t>建设项目总投</w:t>
            </w:r>
          </w:p>
          <w:p>
            <w:pPr>
              <w:pStyle w:val="TableParagraph"/>
              <w:spacing w:line="290" w:lineRule="exact" w:before="5"/>
              <w:ind w:left="321"/>
              <w:jc w:val="left"/>
              <w:rPr>
                <w:sz w:val="24"/>
              </w:rPr>
            </w:pPr>
            <w:r>
              <w:rPr>
                <w:sz w:val="24"/>
              </w:rPr>
              <w:t>资（万元）</w:t>
            </w:r>
          </w:p>
        </w:tc>
        <w:tc>
          <w:tcPr>
            <w:tcW w:w="1143" w:type="dxa"/>
          </w:tcPr>
          <w:p>
            <w:pPr>
              <w:pStyle w:val="TableParagraph"/>
              <w:spacing w:before="128"/>
              <w:ind w:right="318"/>
              <w:jc w:val="right"/>
              <w:rPr>
                <w:rFonts w:ascii="Times New Roman"/>
                <w:b/>
                <w:sz w:val="32"/>
              </w:rPr>
            </w:pPr>
            <w:r>
              <w:rPr>
                <w:rFonts w:ascii="Times New Roman"/>
                <w:b/>
                <w:sz w:val="32"/>
              </w:rPr>
              <w:t>***</w:t>
            </w:r>
          </w:p>
        </w:tc>
        <w:tc>
          <w:tcPr>
            <w:tcW w:w="1561" w:type="dxa"/>
          </w:tcPr>
          <w:p>
            <w:pPr>
              <w:pStyle w:val="TableParagraph"/>
              <w:spacing w:before="2"/>
              <w:ind w:left="179"/>
              <w:jc w:val="left"/>
              <w:rPr>
                <w:sz w:val="24"/>
              </w:rPr>
            </w:pPr>
            <w:r>
              <w:rPr>
                <w:sz w:val="24"/>
              </w:rPr>
              <w:t>项目环保投</w:t>
            </w:r>
          </w:p>
          <w:p>
            <w:pPr>
              <w:pStyle w:val="TableParagraph"/>
              <w:spacing w:line="290" w:lineRule="exact" w:before="5"/>
              <w:ind w:left="179"/>
              <w:jc w:val="left"/>
              <w:rPr>
                <w:sz w:val="24"/>
              </w:rPr>
            </w:pPr>
            <w:r>
              <w:rPr>
                <w:sz w:val="24"/>
              </w:rPr>
              <w:t>资（万元）</w:t>
            </w:r>
          </w:p>
        </w:tc>
        <w:tc>
          <w:tcPr>
            <w:tcW w:w="1183" w:type="dxa"/>
          </w:tcPr>
          <w:p>
            <w:pPr>
              <w:pStyle w:val="TableParagraph"/>
              <w:spacing w:before="128"/>
              <w:ind w:left="90" w:right="80"/>
              <w:rPr>
                <w:rFonts w:ascii="Times New Roman"/>
                <w:b/>
                <w:sz w:val="32"/>
              </w:rPr>
            </w:pPr>
            <w:r>
              <w:rPr>
                <w:rFonts w:ascii="Times New Roman"/>
                <w:b/>
                <w:sz w:val="32"/>
              </w:rPr>
              <w:t>***</w:t>
            </w:r>
          </w:p>
        </w:tc>
        <w:tc>
          <w:tcPr>
            <w:tcW w:w="1743" w:type="dxa"/>
            <w:gridSpan w:val="2"/>
          </w:tcPr>
          <w:p>
            <w:pPr>
              <w:pStyle w:val="TableParagraph"/>
              <w:spacing w:before="158"/>
              <w:ind w:left="389"/>
              <w:jc w:val="left"/>
              <w:rPr>
                <w:sz w:val="24"/>
              </w:rPr>
            </w:pPr>
            <w:r>
              <w:rPr>
                <w:sz w:val="24"/>
              </w:rPr>
              <w:t>投资比例</w:t>
            </w:r>
          </w:p>
        </w:tc>
        <w:tc>
          <w:tcPr>
            <w:tcW w:w="1600" w:type="dxa"/>
          </w:tcPr>
          <w:p>
            <w:pPr>
              <w:pStyle w:val="TableParagraph"/>
              <w:spacing w:before="128"/>
              <w:ind w:left="539" w:right="530"/>
              <w:rPr>
                <w:rFonts w:ascii="Times New Roman"/>
                <w:b/>
                <w:sz w:val="32"/>
              </w:rPr>
            </w:pPr>
            <w:r>
              <w:rPr>
                <w:rFonts w:ascii="Times New Roman"/>
                <w:b/>
                <w:sz w:val="32"/>
              </w:rPr>
              <w:t>***</w:t>
            </w:r>
          </w:p>
        </w:tc>
      </w:tr>
      <w:tr>
        <w:trPr>
          <w:trHeight w:val="467" w:hRule="atLeast"/>
        </w:trPr>
        <w:tc>
          <w:tcPr>
            <w:tcW w:w="1846" w:type="dxa"/>
            <w:gridSpan w:val="2"/>
          </w:tcPr>
          <w:p>
            <w:pPr>
              <w:pStyle w:val="TableParagraph"/>
              <w:spacing w:before="81"/>
              <w:ind w:left="441"/>
              <w:jc w:val="left"/>
              <w:rPr>
                <w:sz w:val="24"/>
              </w:rPr>
            </w:pPr>
            <w:r>
              <w:rPr>
                <w:sz w:val="24"/>
              </w:rPr>
              <w:t>项目性质</w:t>
            </w:r>
          </w:p>
        </w:tc>
        <w:tc>
          <w:tcPr>
            <w:tcW w:w="3887" w:type="dxa"/>
            <w:gridSpan w:val="3"/>
          </w:tcPr>
          <w:p>
            <w:pPr>
              <w:pStyle w:val="TableParagraph"/>
              <w:tabs>
                <w:tab w:pos="1067" w:val="left" w:leader="none"/>
                <w:tab w:pos="2001" w:val="left" w:leader="none"/>
                <w:tab w:pos="2961" w:val="left" w:leader="none"/>
              </w:tabs>
              <w:spacing w:before="81"/>
              <w:ind w:left="107"/>
              <w:jc w:val="left"/>
              <w:rPr>
                <w:sz w:val="24"/>
              </w:rPr>
            </w:pPr>
            <w:r>
              <w:rPr>
                <w:sz w:val="24"/>
              </w:rPr>
              <w:t>□新建</w:t>
              <w:tab/>
            </w:r>
            <w:r>
              <w:rPr>
                <w:rFonts w:ascii="MS UI Gothic" w:hAnsi="MS UI Gothic" w:eastAsia="MS UI Gothic" w:hint="eastAsia"/>
                <w:sz w:val="24"/>
              </w:rPr>
              <w:t>☑</w:t>
            </w:r>
            <w:r>
              <w:rPr>
                <w:sz w:val="24"/>
              </w:rPr>
              <w:t>改建</w:t>
              <w:tab/>
              <w:t>□扩建</w:t>
              <w:tab/>
              <w:t>□其它</w:t>
            </w:r>
          </w:p>
        </w:tc>
        <w:tc>
          <w:tcPr>
            <w:tcW w:w="1743" w:type="dxa"/>
            <w:gridSpan w:val="2"/>
          </w:tcPr>
          <w:p>
            <w:pPr>
              <w:pStyle w:val="TableParagraph"/>
              <w:spacing w:before="81"/>
              <w:ind w:left="108" w:right="-29"/>
              <w:jc w:val="left"/>
              <w:rPr>
                <w:sz w:val="24"/>
              </w:rPr>
            </w:pPr>
            <w:r>
              <w:rPr>
                <w:spacing w:val="-17"/>
                <w:sz w:val="24"/>
              </w:rPr>
              <w:t>占地面积</w:t>
            </w:r>
            <w:r>
              <w:rPr>
                <w:spacing w:val="-2"/>
                <w:sz w:val="24"/>
              </w:rPr>
              <w:t>（</w:t>
            </w:r>
            <w:r>
              <w:rPr>
                <w:rFonts w:ascii="Times New Roman" w:eastAsia="Times New Roman"/>
                <w:spacing w:val="-2"/>
                <w:sz w:val="24"/>
              </w:rPr>
              <w:t>m</w:t>
            </w:r>
            <w:r>
              <w:rPr>
                <w:rFonts w:ascii="Times New Roman" w:eastAsia="Times New Roman"/>
                <w:spacing w:val="-2"/>
                <w:sz w:val="24"/>
                <w:vertAlign w:val="superscript"/>
              </w:rPr>
              <w:t>2</w:t>
            </w:r>
            <w:r>
              <w:rPr>
                <w:spacing w:val="-2"/>
                <w:sz w:val="24"/>
                <w:vertAlign w:val="baseline"/>
              </w:rPr>
              <w:t>）</w:t>
            </w:r>
          </w:p>
        </w:tc>
        <w:tc>
          <w:tcPr>
            <w:tcW w:w="1600" w:type="dxa"/>
          </w:tcPr>
          <w:p>
            <w:pPr>
              <w:pStyle w:val="TableParagraph"/>
              <w:jc w:val="left"/>
              <w:rPr>
                <w:rFonts w:ascii="Times New Roman"/>
                <w:sz w:val="24"/>
              </w:rPr>
            </w:pPr>
          </w:p>
        </w:tc>
      </w:tr>
      <w:tr>
        <w:trPr>
          <w:trHeight w:val="467" w:hRule="atLeast"/>
        </w:trPr>
        <w:tc>
          <w:tcPr>
            <w:tcW w:w="663" w:type="dxa"/>
            <w:vMerge w:val="restart"/>
          </w:tcPr>
          <w:p>
            <w:pPr>
              <w:pStyle w:val="TableParagraph"/>
              <w:jc w:val="left"/>
              <w:rPr>
                <w:rFonts w:ascii="Microsoft YaHei UI"/>
                <w:b/>
                <w:sz w:val="24"/>
              </w:rPr>
            </w:pPr>
          </w:p>
          <w:p>
            <w:pPr>
              <w:pStyle w:val="TableParagraph"/>
              <w:jc w:val="left"/>
              <w:rPr>
                <w:rFonts w:ascii="Microsoft YaHei UI"/>
                <w:b/>
                <w:sz w:val="24"/>
              </w:rPr>
            </w:pPr>
          </w:p>
          <w:p>
            <w:pPr>
              <w:pStyle w:val="TableParagraph"/>
              <w:spacing w:before="9"/>
              <w:jc w:val="left"/>
              <w:rPr>
                <w:rFonts w:ascii="Microsoft YaHei UI"/>
                <w:b/>
                <w:sz w:val="24"/>
              </w:rPr>
            </w:pPr>
          </w:p>
          <w:p>
            <w:pPr>
              <w:pStyle w:val="TableParagraph"/>
              <w:spacing w:line="364" w:lineRule="auto"/>
              <w:ind w:left="211" w:right="199"/>
              <w:jc w:val="both"/>
              <w:rPr>
                <w:sz w:val="24"/>
              </w:rPr>
            </w:pPr>
            <w:r>
              <w:rPr>
                <w:sz w:val="24"/>
              </w:rPr>
              <w:t>应用类型</w:t>
            </w:r>
          </w:p>
        </w:tc>
        <w:tc>
          <w:tcPr>
            <w:tcW w:w="1183" w:type="dxa"/>
            <w:vMerge w:val="restart"/>
          </w:tcPr>
          <w:p>
            <w:pPr>
              <w:pStyle w:val="TableParagraph"/>
              <w:spacing w:before="15"/>
              <w:jc w:val="left"/>
              <w:rPr>
                <w:rFonts w:ascii="Microsoft YaHei UI"/>
                <w:b/>
                <w:sz w:val="17"/>
              </w:rPr>
            </w:pPr>
          </w:p>
          <w:p>
            <w:pPr>
              <w:pStyle w:val="TableParagraph"/>
              <w:spacing w:before="1"/>
              <w:ind w:left="229"/>
              <w:jc w:val="left"/>
              <w:rPr>
                <w:sz w:val="24"/>
              </w:rPr>
            </w:pPr>
            <w:r>
              <w:rPr>
                <w:sz w:val="24"/>
              </w:rPr>
              <w:t>放射源</w:t>
            </w:r>
          </w:p>
        </w:tc>
        <w:tc>
          <w:tcPr>
            <w:tcW w:w="1143" w:type="dxa"/>
          </w:tcPr>
          <w:p>
            <w:pPr>
              <w:pStyle w:val="TableParagraph"/>
              <w:spacing w:before="81"/>
              <w:ind w:right="303"/>
              <w:jc w:val="right"/>
              <w:rPr>
                <w:sz w:val="24"/>
              </w:rPr>
            </w:pPr>
            <w:r>
              <w:rPr>
                <w:sz w:val="24"/>
              </w:rPr>
              <w:t>□销售</w:t>
            </w:r>
          </w:p>
        </w:tc>
        <w:tc>
          <w:tcPr>
            <w:tcW w:w="6087" w:type="dxa"/>
            <w:gridSpan w:val="5"/>
          </w:tcPr>
          <w:p>
            <w:pPr>
              <w:pStyle w:val="TableParagraph"/>
              <w:spacing w:before="81"/>
              <w:ind w:left="107"/>
              <w:jc w:val="left"/>
              <w:rPr>
                <w:sz w:val="24"/>
              </w:rPr>
            </w:pPr>
            <w:r>
              <w:rPr>
                <w:sz w:val="24"/>
              </w:rPr>
              <w:t>□</w:t>
            </w:r>
            <w:r>
              <w:rPr>
                <w:rFonts w:ascii="Times New Roman" w:hAnsi="Times New Roman" w:eastAsia="Times New Roman"/>
                <w:sz w:val="24"/>
              </w:rPr>
              <w:t>I</w:t>
            </w:r>
            <w:r>
              <w:rPr>
                <w:rFonts w:ascii="Times New Roman" w:hAnsi="Times New Roman" w:eastAsia="Times New Roman"/>
                <w:spacing w:val="-3"/>
                <w:sz w:val="24"/>
              </w:rPr>
              <w:t> </w:t>
            </w:r>
            <w:r>
              <w:rPr>
                <w:sz w:val="24"/>
              </w:rPr>
              <w:t>类□</w:t>
            </w:r>
            <w:r>
              <w:rPr>
                <w:rFonts w:ascii="Times New Roman" w:hAnsi="Times New Roman" w:eastAsia="Times New Roman"/>
                <w:sz w:val="24"/>
              </w:rPr>
              <w:t>II</w:t>
            </w:r>
            <w:r>
              <w:rPr>
                <w:rFonts w:ascii="Times New Roman" w:hAnsi="Times New Roman" w:eastAsia="Times New Roman"/>
                <w:spacing w:val="1"/>
                <w:sz w:val="24"/>
              </w:rPr>
              <w:t> </w:t>
            </w:r>
            <w:r>
              <w:rPr>
                <w:sz w:val="24"/>
              </w:rPr>
              <w:t>类□</w:t>
            </w:r>
            <w:r>
              <w:rPr>
                <w:rFonts w:ascii="Times New Roman" w:hAnsi="Times New Roman" w:eastAsia="Times New Roman"/>
                <w:sz w:val="24"/>
              </w:rPr>
              <w:t>III</w:t>
            </w:r>
            <w:r>
              <w:rPr>
                <w:rFonts w:ascii="Times New Roman" w:hAnsi="Times New Roman" w:eastAsia="Times New Roman"/>
                <w:spacing w:val="2"/>
                <w:sz w:val="24"/>
              </w:rPr>
              <w:t> </w:t>
            </w:r>
            <w:r>
              <w:rPr>
                <w:sz w:val="24"/>
              </w:rPr>
              <w:t>类□</w:t>
            </w:r>
            <w:r>
              <w:rPr>
                <w:rFonts w:ascii="Times New Roman" w:hAnsi="Times New Roman" w:eastAsia="Times New Roman"/>
                <w:sz w:val="24"/>
              </w:rPr>
              <w:t>IV</w:t>
            </w:r>
            <w:r>
              <w:rPr>
                <w:rFonts w:ascii="Times New Roman" w:hAnsi="Times New Roman" w:eastAsia="Times New Roman"/>
                <w:spacing w:val="-1"/>
                <w:sz w:val="24"/>
              </w:rPr>
              <w:t> </w:t>
            </w:r>
            <w:r>
              <w:rPr>
                <w:sz w:val="24"/>
              </w:rPr>
              <w:t>类□</w:t>
            </w:r>
            <w:r>
              <w:rPr>
                <w:rFonts w:ascii="Times New Roman" w:hAnsi="Times New Roman" w:eastAsia="Times New Roman"/>
                <w:sz w:val="24"/>
              </w:rPr>
              <w:t>V</w:t>
            </w:r>
            <w:r>
              <w:rPr>
                <w:rFonts w:ascii="Times New Roman" w:hAnsi="Times New Roman" w:eastAsia="Times New Roman"/>
                <w:spacing w:val="-1"/>
                <w:sz w:val="24"/>
              </w:rPr>
              <w:t> </w:t>
            </w:r>
            <w:r>
              <w:rPr>
                <w:sz w:val="24"/>
              </w:rPr>
              <w:t>类</w:t>
            </w:r>
          </w:p>
        </w:tc>
      </w:tr>
      <w:tr>
        <w:trPr>
          <w:trHeight w:val="468" w:hRule="atLeast"/>
        </w:trPr>
        <w:tc>
          <w:tcPr>
            <w:tcW w:w="663" w:type="dxa"/>
            <w:vMerge/>
            <w:tcBorders>
              <w:top w:val="nil"/>
            </w:tcBorders>
          </w:tcPr>
          <w:p>
            <w:pPr>
              <w:rPr>
                <w:sz w:val="2"/>
                <w:szCs w:val="2"/>
              </w:rPr>
            </w:pPr>
          </w:p>
        </w:tc>
        <w:tc>
          <w:tcPr>
            <w:tcW w:w="1183" w:type="dxa"/>
            <w:vMerge/>
            <w:tcBorders>
              <w:top w:val="nil"/>
            </w:tcBorders>
          </w:tcPr>
          <w:p>
            <w:pPr>
              <w:rPr>
                <w:sz w:val="2"/>
                <w:szCs w:val="2"/>
              </w:rPr>
            </w:pPr>
          </w:p>
        </w:tc>
        <w:tc>
          <w:tcPr>
            <w:tcW w:w="1143" w:type="dxa"/>
          </w:tcPr>
          <w:p>
            <w:pPr>
              <w:pStyle w:val="TableParagraph"/>
              <w:spacing w:before="80"/>
              <w:ind w:right="303"/>
              <w:jc w:val="right"/>
              <w:rPr>
                <w:sz w:val="24"/>
              </w:rPr>
            </w:pPr>
            <w:r>
              <w:rPr>
                <w:sz w:val="24"/>
              </w:rPr>
              <w:t>□使用</w:t>
            </w:r>
          </w:p>
        </w:tc>
        <w:tc>
          <w:tcPr>
            <w:tcW w:w="6087" w:type="dxa"/>
            <w:gridSpan w:val="5"/>
          </w:tcPr>
          <w:p>
            <w:pPr>
              <w:pStyle w:val="TableParagraph"/>
              <w:spacing w:before="80"/>
              <w:ind w:left="107"/>
              <w:jc w:val="left"/>
              <w:rPr>
                <w:sz w:val="24"/>
              </w:rPr>
            </w:pPr>
            <w:r>
              <w:rPr>
                <w:sz w:val="24"/>
              </w:rPr>
              <w:t>□</w:t>
            </w:r>
            <w:r>
              <w:rPr>
                <w:rFonts w:ascii="Times New Roman" w:hAnsi="Times New Roman" w:eastAsia="Times New Roman"/>
                <w:sz w:val="24"/>
              </w:rPr>
              <w:t>I</w:t>
            </w:r>
            <w:r>
              <w:rPr>
                <w:rFonts w:ascii="Times New Roman" w:hAnsi="Times New Roman" w:eastAsia="Times New Roman"/>
                <w:spacing w:val="-3"/>
                <w:sz w:val="24"/>
              </w:rPr>
              <w:t> </w:t>
            </w:r>
            <w:r>
              <w:rPr>
                <w:sz w:val="24"/>
              </w:rPr>
              <w:t>类（医疗使用）□</w:t>
            </w:r>
            <w:r>
              <w:rPr>
                <w:rFonts w:ascii="Times New Roman" w:hAnsi="Times New Roman" w:eastAsia="Times New Roman"/>
                <w:sz w:val="24"/>
              </w:rPr>
              <w:t>II</w:t>
            </w:r>
            <w:r>
              <w:rPr>
                <w:rFonts w:ascii="Times New Roman" w:hAnsi="Times New Roman" w:eastAsia="Times New Roman"/>
                <w:spacing w:val="1"/>
                <w:sz w:val="24"/>
              </w:rPr>
              <w:t> </w:t>
            </w:r>
            <w:r>
              <w:rPr>
                <w:sz w:val="24"/>
              </w:rPr>
              <w:t>类□</w:t>
            </w:r>
            <w:r>
              <w:rPr>
                <w:rFonts w:ascii="Times New Roman" w:hAnsi="Times New Roman" w:eastAsia="Times New Roman"/>
                <w:sz w:val="24"/>
              </w:rPr>
              <w:t>III</w:t>
            </w:r>
            <w:r>
              <w:rPr>
                <w:rFonts w:ascii="Times New Roman" w:hAnsi="Times New Roman" w:eastAsia="Times New Roman"/>
                <w:spacing w:val="2"/>
                <w:sz w:val="24"/>
              </w:rPr>
              <w:t> </w:t>
            </w:r>
            <w:r>
              <w:rPr>
                <w:sz w:val="24"/>
              </w:rPr>
              <w:t>类□</w:t>
            </w:r>
            <w:r>
              <w:rPr>
                <w:rFonts w:ascii="Times New Roman" w:hAnsi="Times New Roman" w:eastAsia="Times New Roman"/>
                <w:sz w:val="24"/>
              </w:rPr>
              <w:t>IV</w:t>
            </w:r>
            <w:r>
              <w:rPr>
                <w:rFonts w:ascii="Times New Roman" w:hAnsi="Times New Roman" w:eastAsia="Times New Roman"/>
                <w:spacing w:val="-1"/>
                <w:sz w:val="24"/>
              </w:rPr>
              <w:t> </w:t>
            </w:r>
            <w:r>
              <w:rPr>
                <w:sz w:val="24"/>
              </w:rPr>
              <w:t>类□</w:t>
            </w:r>
            <w:r>
              <w:rPr>
                <w:rFonts w:ascii="Times New Roman" w:hAnsi="Times New Roman" w:eastAsia="Times New Roman"/>
                <w:sz w:val="24"/>
              </w:rPr>
              <w:t>V</w:t>
            </w:r>
            <w:r>
              <w:rPr>
                <w:rFonts w:ascii="Times New Roman" w:hAnsi="Times New Roman" w:eastAsia="Times New Roman"/>
                <w:spacing w:val="-1"/>
                <w:sz w:val="24"/>
              </w:rPr>
              <w:t> </w:t>
            </w:r>
            <w:r>
              <w:rPr>
                <w:sz w:val="24"/>
              </w:rPr>
              <w:t>类</w:t>
            </w:r>
          </w:p>
        </w:tc>
      </w:tr>
      <w:tr>
        <w:trPr>
          <w:trHeight w:val="467" w:hRule="atLeast"/>
        </w:trPr>
        <w:tc>
          <w:tcPr>
            <w:tcW w:w="663" w:type="dxa"/>
            <w:vMerge/>
            <w:tcBorders>
              <w:top w:val="nil"/>
            </w:tcBorders>
          </w:tcPr>
          <w:p>
            <w:pPr>
              <w:rPr>
                <w:sz w:val="2"/>
                <w:szCs w:val="2"/>
              </w:rPr>
            </w:pPr>
          </w:p>
        </w:tc>
        <w:tc>
          <w:tcPr>
            <w:tcW w:w="1183" w:type="dxa"/>
            <w:vMerge w:val="restart"/>
          </w:tcPr>
          <w:p>
            <w:pPr>
              <w:pStyle w:val="TableParagraph"/>
              <w:spacing w:before="4"/>
              <w:jc w:val="left"/>
              <w:rPr>
                <w:rFonts w:ascii="Microsoft YaHei UI"/>
                <w:b/>
                <w:sz w:val="18"/>
              </w:rPr>
            </w:pPr>
          </w:p>
          <w:p>
            <w:pPr>
              <w:pStyle w:val="TableParagraph"/>
              <w:spacing w:line="364" w:lineRule="auto"/>
              <w:ind w:left="109" w:right="101"/>
              <w:jc w:val="left"/>
              <w:rPr>
                <w:sz w:val="24"/>
              </w:rPr>
            </w:pPr>
            <w:r>
              <w:rPr>
                <w:spacing w:val="-1"/>
                <w:sz w:val="24"/>
              </w:rPr>
              <w:t>非密封放射性物质</w:t>
            </w:r>
          </w:p>
        </w:tc>
        <w:tc>
          <w:tcPr>
            <w:tcW w:w="1143" w:type="dxa"/>
          </w:tcPr>
          <w:p>
            <w:pPr>
              <w:pStyle w:val="TableParagraph"/>
              <w:spacing w:before="80"/>
              <w:ind w:right="303"/>
              <w:jc w:val="right"/>
              <w:rPr>
                <w:sz w:val="24"/>
              </w:rPr>
            </w:pPr>
            <w:r>
              <w:rPr>
                <w:sz w:val="24"/>
              </w:rPr>
              <w:t>□生产</w:t>
            </w:r>
          </w:p>
        </w:tc>
        <w:tc>
          <w:tcPr>
            <w:tcW w:w="6087" w:type="dxa"/>
            <w:gridSpan w:val="5"/>
          </w:tcPr>
          <w:p>
            <w:pPr>
              <w:pStyle w:val="TableParagraph"/>
              <w:spacing w:before="80"/>
              <w:ind w:left="1691"/>
              <w:jc w:val="left"/>
              <w:rPr>
                <w:sz w:val="24"/>
              </w:rPr>
            </w:pPr>
            <w:r>
              <w:rPr>
                <w:spacing w:val="-16"/>
                <w:sz w:val="24"/>
              </w:rPr>
              <w:t>□制备 </w:t>
            </w:r>
            <w:r>
              <w:rPr>
                <w:rFonts w:ascii="Times New Roman" w:hAnsi="Times New Roman" w:eastAsia="Times New Roman"/>
                <w:sz w:val="24"/>
              </w:rPr>
              <w:t>PET</w:t>
            </w:r>
            <w:r>
              <w:rPr>
                <w:rFonts w:ascii="Times New Roman" w:hAnsi="Times New Roman" w:eastAsia="Times New Roman"/>
                <w:spacing w:val="-3"/>
                <w:sz w:val="24"/>
              </w:rPr>
              <w:t> </w:t>
            </w:r>
            <w:r>
              <w:rPr>
                <w:sz w:val="24"/>
              </w:rPr>
              <w:t>用放射性药物</w:t>
            </w:r>
          </w:p>
        </w:tc>
      </w:tr>
      <w:tr>
        <w:trPr>
          <w:trHeight w:val="467" w:hRule="atLeast"/>
        </w:trPr>
        <w:tc>
          <w:tcPr>
            <w:tcW w:w="663" w:type="dxa"/>
            <w:vMerge/>
            <w:tcBorders>
              <w:top w:val="nil"/>
            </w:tcBorders>
          </w:tcPr>
          <w:p>
            <w:pPr>
              <w:rPr>
                <w:sz w:val="2"/>
                <w:szCs w:val="2"/>
              </w:rPr>
            </w:pPr>
          </w:p>
        </w:tc>
        <w:tc>
          <w:tcPr>
            <w:tcW w:w="1183" w:type="dxa"/>
            <w:vMerge/>
            <w:tcBorders>
              <w:top w:val="nil"/>
            </w:tcBorders>
          </w:tcPr>
          <w:p>
            <w:pPr>
              <w:rPr>
                <w:sz w:val="2"/>
                <w:szCs w:val="2"/>
              </w:rPr>
            </w:pPr>
          </w:p>
        </w:tc>
        <w:tc>
          <w:tcPr>
            <w:tcW w:w="1143" w:type="dxa"/>
          </w:tcPr>
          <w:p>
            <w:pPr>
              <w:pStyle w:val="TableParagraph"/>
              <w:spacing w:before="79"/>
              <w:ind w:right="303"/>
              <w:jc w:val="right"/>
              <w:rPr>
                <w:sz w:val="24"/>
              </w:rPr>
            </w:pPr>
            <w:r>
              <w:rPr>
                <w:sz w:val="24"/>
              </w:rPr>
              <w:t>□销售</w:t>
            </w:r>
          </w:p>
        </w:tc>
        <w:tc>
          <w:tcPr>
            <w:tcW w:w="6087" w:type="dxa"/>
            <w:gridSpan w:val="5"/>
          </w:tcPr>
          <w:p>
            <w:pPr>
              <w:pStyle w:val="TableParagraph"/>
              <w:spacing w:before="95"/>
              <w:ind w:left="7"/>
              <w:rPr>
                <w:rFonts w:ascii="Times New Roman"/>
                <w:sz w:val="24"/>
              </w:rPr>
            </w:pPr>
            <w:r>
              <w:rPr>
                <w:rFonts w:ascii="Times New Roman"/>
                <w:sz w:val="24"/>
              </w:rPr>
              <w:t>/</w:t>
            </w:r>
          </w:p>
        </w:tc>
      </w:tr>
      <w:tr>
        <w:trPr>
          <w:trHeight w:val="468" w:hRule="atLeast"/>
        </w:trPr>
        <w:tc>
          <w:tcPr>
            <w:tcW w:w="663" w:type="dxa"/>
            <w:vMerge/>
            <w:tcBorders>
              <w:top w:val="nil"/>
            </w:tcBorders>
          </w:tcPr>
          <w:p>
            <w:pPr>
              <w:rPr>
                <w:sz w:val="2"/>
                <w:szCs w:val="2"/>
              </w:rPr>
            </w:pPr>
          </w:p>
        </w:tc>
        <w:tc>
          <w:tcPr>
            <w:tcW w:w="1183" w:type="dxa"/>
            <w:vMerge/>
            <w:tcBorders>
              <w:top w:val="nil"/>
            </w:tcBorders>
          </w:tcPr>
          <w:p>
            <w:pPr>
              <w:rPr>
                <w:sz w:val="2"/>
                <w:szCs w:val="2"/>
              </w:rPr>
            </w:pPr>
          </w:p>
        </w:tc>
        <w:tc>
          <w:tcPr>
            <w:tcW w:w="1143" w:type="dxa"/>
          </w:tcPr>
          <w:p>
            <w:pPr>
              <w:pStyle w:val="TableParagraph"/>
              <w:spacing w:before="79"/>
              <w:ind w:right="303"/>
              <w:jc w:val="right"/>
              <w:rPr>
                <w:sz w:val="24"/>
              </w:rPr>
            </w:pPr>
            <w:r>
              <w:rPr>
                <w:sz w:val="24"/>
              </w:rPr>
              <w:t>□使用</w:t>
            </w:r>
          </w:p>
        </w:tc>
        <w:tc>
          <w:tcPr>
            <w:tcW w:w="6087" w:type="dxa"/>
            <w:gridSpan w:val="5"/>
          </w:tcPr>
          <w:p>
            <w:pPr>
              <w:pStyle w:val="TableParagraph"/>
              <w:tabs>
                <w:tab w:pos="719" w:val="left" w:leader="none"/>
              </w:tabs>
              <w:spacing w:before="79"/>
              <w:ind w:right="100"/>
              <w:rPr>
                <w:sz w:val="24"/>
              </w:rPr>
            </w:pPr>
            <w:r>
              <w:rPr>
                <w:sz w:val="24"/>
              </w:rPr>
              <w:t>□乙</w:t>
              <w:tab/>
              <w:t>□丙</w:t>
            </w:r>
          </w:p>
        </w:tc>
      </w:tr>
      <w:tr>
        <w:trPr>
          <w:trHeight w:val="467" w:hRule="atLeast"/>
        </w:trPr>
        <w:tc>
          <w:tcPr>
            <w:tcW w:w="663" w:type="dxa"/>
            <w:vMerge/>
            <w:tcBorders>
              <w:top w:val="nil"/>
            </w:tcBorders>
          </w:tcPr>
          <w:p>
            <w:pPr>
              <w:rPr>
                <w:sz w:val="2"/>
                <w:szCs w:val="2"/>
              </w:rPr>
            </w:pPr>
          </w:p>
        </w:tc>
        <w:tc>
          <w:tcPr>
            <w:tcW w:w="1183" w:type="dxa"/>
            <w:vMerge w:val="restart"/>
          </w:tcPr>
          <w:p>
            <w:pPr>
              <w:pStyle w:val="TableParagraph"/>
              <w:spacing w:before="7"/>
              <w:jc w:val="left"/>
              <w:rPr>
                <w:rFonts w:ascii="Microsoft YaHei UI"/>
                <w:b/>
                <w:sz w:val="31"/>
              </w:rPr>
            </w:pPr>
          </w:p>
          <w:p>
            <w:pPr>
              <w:pStyle w:val="TableParagraph"/>
              <w:ind w:left="109"/>
              <w:jc w:val="left"/>
              <w:rPr>
                <w:sz w:val="24"/>
              </w:rPr>
            </w:pPr>
            <w:r>
              <w:rPr>
                <w:sz w:val="24"/>
              </w:rPr>
              <w:t>射线装置</w:t>
            </w:r>
          </w:p>
        </w:tc>
        <w:tc>
          <w:tcPr>
            <w:tcW w:w="1143" w:type="dxa"/>
          </w:tcPr>
          <w:p>
            <w:pPr>
              <w:pStyle w:val="TableParagraph"/>
              <w:spacing w:before="81"/>
              <w:ind w:right="303"/>
              <w:jc w:val="right"/>
              <w:rPr>
                <w:sz w:val="24"/>
              </w:rPr>
            </w:pPr>
            <w:r>
              <w:rPr>
                <w:sz w:val="24"/>
              </w:rPr>
              <w:t>□生产</w:t>
            </w:r>
          </w:p>
        </w:tc>
        <w:tc>
          <w:tcPr>
            <w:tcW w:w="6087" w:type="dxa"/>
            <w:gridSpan w:val="5"/>
          </w:tcPr>
          <w:p>
            <w:pPr>
              <w:pStyle w:val="TableParagraph"/>
              <w:spacing w:before="81"/>
              <w:ind w:left="112" w:right="100"/>
              <w:rPr>
                <w:sz w:val="24"/>
              </w:rPr>
            </w:pPr>
            <w:r>
              <w:rPr>
                <w:sz w:val="24"/>
              </w:rPr>
              <w:t>□</w:t>
            </w:r>
            <w:r>
              <w:rPr>
                <w:rFonts w:ascii="Times New Roman" w:hAnsi="Times New Roman" w:eastAsia="Times New Roman"/>
                <w:sz w:val="24"/>
              </w:rPr>
              <w:t>II</w:t>
            </w:r>
            <w:r>
              <w:rPr>
                <w:rFonts w:ascii="Times New Roman" w:hAnsi="Times New Roman" w:eastAsia="Times New Roman"/>
                <w:spacing w:val="-2"/>
                <w:sz w:val="24"/>
              </w:rPr>
              <w:t> </w:t>
            </w:r>
            <w:r>
              <w:rPr>
                <w:sz w:val="24"/>
              </w:rPr>
              <w:t>类□</w:t>
            </w:r>
            <w:r>
              <w:rPr>
                <w:rFonts w:ascii="Times New Roman" w:hAnsi="Times New Roman" w:eastAsia="Times New Roman"/>
                <w:sz w:val="24"/>
              </w:rPr>
              <w:t>III</w:t>
            </w:r>
            <w:r>
              <w:rPr>
                <w:rFonts w:ascii="Times New Roman" w:hAnsi="Times New Roman" w:eastAsia="Times New Roman"/>
                <w:spacing w:val="1"/>
                <w:sz w:val="24"/>
              </w:rPr>
              <w:t> </w:t>
            </w:r>
            <w:r>
              <w:rPr>
                <w:sz w:val="24"/>
              </w:rPr>
              <w:t>类</w:t>
            </w:r>
          </w:p>
        </w:tc>
      </w:tr>
      <w:tr>
        <w:trPr>
          <w:trHeight w:val="468" w:hRule="atLeast"/>
        </w:trPr>
        <w:tc>
          <w:tcPr>
            <w:tcW w:w="663" w:type="dxa"/>
            <w:vMerge/>
            <w:tcBorders>
              <w:top w:val="nil"/>
            </w:tcBorders>
          </w:tcPr>
          <w:p>
            <w:pPr>
              <w:rPr>
                <w:sz w:val="2"/>
                <w:szCs w:val="2"/>
              </w:rPr>
            </w:pPr>
          </w:p>
        </w:tc>
        <w:tc>
          <w:tcPr>
            <w:tcW w:w="1183" w:type="dxa"/>
            <w:vMerge/>
            <w:tcBorders>
              <w:top w:val="nil"/>
            </w:tcBorders>
          </w:tcPr>
          <w:p>
            <w:pPr>
              <w:rPr>
                <w:sz w:val="2"/>
                <w:szCs w:val="2"/>
              </w:rPr>
            </w:pPr>
          </w:p>
        </w:tc>
        <w:tc>
          <w:tcPr>
            <w:tcW w:w="1143" w:type="dxa"/>
          </w:tcPr>
          <w:p>
            <w:pPr>
              <w:pStyle w:val="TableParagraph"/>
              <w:spacing w:before="80"/>
              <w:ind w:right="303"/>
              <w:jc w:val="right"/>
              <w:rPr>
                <w:sz w:val="24"/>
              </w:rPr>
            </w:pPr>
            <w:r>
              <w:rPr>
                <w:sz w:val="24"/>
              </w:rPr>
              <w:t>□销售</w:t>
            </w:r>
          </w:p>
        </w:tc>
        <w:tc>
          <w:tcPr>
            <w:tcW w:w="6087" w:type="dxa"/>
            <w:gridSpan w:val="5"/>
          </w:tcPr>
          <w:p>
            <w:pPr>
              <w:pStyle w:val="TableParagraph"/>
              <w:spacing w:before="80"/>
              <w:ind w:left="112" w:right="100"/>
              <w:rPr>
                <w:sz w:val="24"/>
              </w:rPr>
            </w:pPr>
            <w:r>
              <w:rPr>
                <w:sz w:val="24"/>
              </w:rPr>
              <w:t>□</w:t>
            </w:r>
            <w:r>
              <w:rPr>
                <w:rFonts w:ascii="Times New Roman" w:hAnsi="Times New Roman" w:eastAsia="Times New Roman"/>
                <w:sz w:val="24"/>
              </w:rPr>
              <w:t>II</w:t>
            </w:r>
            <w:r>
              <w:rPr>
                <w:rFonts w:ascii="Times New Roman" w:hAnsi="Times New Roman" w:eastAsia="Times New Roman"/>
                <w:spacing w:val="-2"/>
                <w:sz w:val="24"/>
              </w:rPr>
              <w:t> </w:t>
            </w:r>
            <w:r>
              <w:rPr>
                <w:sz w:val="24"/>
              </w:rPr>
              <w:t>类□</w:t>
            </w:r>
            <w:r>
              <w:rPr>
                <w:rFonts w:ascii="Times New Roman" w:hAnsi="Times New Roman" w:eastAsia="Times New Roman"/>
                <w:sz w:val="24"/>
              </w:rPr>
              <w:t>III</w:t>
            </w:r>
            <w:r>
              <w:rPr>
                <w:rFonts w:ascii="Times New Roman" w:hAnsi="Times New Roman" w:eastAsia="Times New Roman"/>
                <w:spacing w:val="1"/>
                <w:sz w:val="24"/>
              </w:rPr>
              <w:t> </w:t>
            </w:r>
            <w:r>
              <w:rPr>
                <w:sz w:val="24"/>
              </w:rPr>
              <w:t>类</w:t>
            </w:r>
          </w:p>
        </w:tc>
      </w:tr>
      <w:tr>
        <w:trPr>
          <w:trHeight w:val="467" w:hRule="atLeast"/>
        </w:trPr>
        <w:tc>
          <w:tcPr>
            <w:tcW w:w="663" w:type="dxa"/>
            <w:vMerge/>
            <w:tcBorders>
              <w:top w:val="nil"/>
            </w:tcBorders>
          </w:tcPr>
          <w:p>
            <w:pPr>
              <w:rPr>
                <w:sz w:val="2"/>
                <w:szCs w:val="2"/>
              </w:rPr>
            </w:pPr>
          </w:p>
        </w:tc>
        <w:tc>
          <w:tcPr>
            <w:tcW w:w="1183" w:type="dxa"/>
            <w:vMerge/>
            <w:tcBorders>
              <w:top w:val="nil"/>
            </w:tcBorders>
          </w:tcPr>
          <w:p>
            <w:pPr>
              <w:rPr>
                <w:sz w:val="2"/>
                <w:szCs w:val="2"/>
              </w:rPr>
            </w:pPr>
          </w:p>
        </w:tc>
        <w:tc>
          <w:tcPr>
            <w:tcW w:w="1143" w:type="dxa"/>
          </w:tcPr>
          <w:p>
            <w:pPr>
              <w:pStyle w:val="TableParagraph"/>
              <w:spacing w:before="80"/>
              <w:ind w:right="303"/>
              <w:jc w:val="right"/>
              <w:rPr>
                <w:sz w:val="24"/>
              </w:rPr>
            </w:pPr>
            <w:r>
              <w:rPr>
                <w:rFonts w:ascii="MS UI Gothic" w:hAnsi="MS UI Gothic" w:eastAsia="MS UI Gothic" w:hint="eastAsia"/>
                <w:sz w:val="24"/>
              </w:rPr>
              <w:t>☑</w:t>
            </w:r>
            <w:r>
              <w:rPr>
                <w:sz w:val="24"/>
              </w:rPr>
              <w:t>使用</w:t>
            </w:r>
          </w:p>
        </w:tc>
        <w:tc>
          <w:tcPr>
            <w:tcW w:w="6087" w:type="dxa"/>
            <w:gridSpan w:val="5"/>
          </w:tcPr>
          <w:p>
            <w:pPr>
              <w:pStyle w:val="TableParagraph"/>
              <w:spacing w:before="80"/>
              <w:ind w:left="112" w:right="100"/>
              <w:rPr>
                <w:sz w:val="24"/>
              </w:rPr>
            </w:pPr>
            <w:r>
              <w:rPr>
                <w:rFonts w:ascii="MS Gothic" w:hAnsi="MS Gothic" w:eastAsia="MS Gothic" w:hint="eastAsia"/>
                <w:sz w:val="24"/>
              </w:rPr>
              <w:t>☑</w:t>
            </w:r>
            <w:r>
              <w:rPr>
                <w:rFonts w:ascii="Times New Roman" w:hAnsi="Times New Roman" w:eastAsia="Times New Roman"/>
                <w:sz w:val="24"/>
              </w:rPr>
              <w:t>II</w:t>
            </w:r>
            <w:r>
              <w:rPr>
                <w:rFonts w:ascii="Times New Roman" w:hAnsi="Times New Roman" w:eastAsia="Times New Roman"/>
                <w:spacing w:val="-2"/>
                <w:sz w:val="24"/>
              </w:rPr>
              <w:t> </w:t>
            </w:r>
            <w:r>
              <w:rPr>
                <w:sz w:val="24"/>
              </w:rPr>
              <w:t>类□</w:t>
            </w:r>
            <w:r>
              <w:rPr>
                <w:rFonts w:ascii="Times New Roman" w:hAnsi="Times New Roman" w:eastAsia="Times New Roman"/>
                <w:sz w:val="24"/>
              </w:rPr>
              <w:t>III</w:t>
            </w:r>
            <w:r>
              <w:rPr>
                <w:rFonts w:ascii="Times New Roman" w:hAnsi="Times New Roman" w:eastAsia="Times New Roman"/>
                <w:spacing w:val="1"/>
                <w:sz w:val="24"/>
              </w:rPr>
              <w:t> </w:t>
            </w:r>
            <w:r>
              <w:rPr>
                <w:sz w:val="24"/>
              </w:rPr>
              <w:t>类</w:t>
            </w:r>
          </w:p>
        </w:tc>
      </w:tr>
      <w:tr>
        <w:trPr>
          <w:trHeight w:val="468" w:hRule="atLeast"/>
        </w:trPr>
        <w:tc>
          <w:tcPr>
            <w:tcW w:w="663" w:type="dxa"/>
            <w:vMerge/>
            <w:tcBorders>
              <w:top w:val="nil"/>
            </w:tcBorders>
          </w:tcPr>
          <w:p>
            <w:pPr>
              <w:rPr>
                <w:sz w:val="2"/>
                <w:szCs w:val="2"/>
              </w:rPr>
            </w:pPr>
          </w:p>
        </w:tc>
        <w:tc>
          <w:tcPr>
            <w:tcW w:w="1183" w:type="dxa"/>
          </w:tcPr>
          <w:p>
            <w:pPr>
              <w:pStyle w:val="TableParagraph"/>
              <w:spacing w:before="80"/>
              <w:ind w:left="349"/>
              <w:jc w:val="left"/>
              <w:rPr>
                <w:sz w:val="24"/>
              </w:rPr>
            </w:pPr>
            <w:r>
              <w:rPr>
                <w:sz w:val="24"/>
              </w:rPr>
              <w:t>其他</w:t>
            </w:r>
          </w:p>
        </w:tc>
        <w:tc>
          <w:tcPr>
            <w:tcW w:w="7230" w:type="dxa"/>
            <w:gridSpan w:val="6"/>
          </w:tcPr>
          <w:p>
            <w:pPr>
              <w:pStyle w:val="TableParagraph"/>
              <w:spacing w:before="80"/>
              <w:ind w:right="1482"/>
              <w:rPr>
                <w:sz w:val="24"/>
              </w:rPr>
            </w:pPr>
            <w:r>
              <w:rPr>
                <w:sz w:val="24"/>
              </w:rPr>
              <w:t>无</w:t>
            </w:r>
          </w:p>
        </w:tc>
      </w:tr>
      <w:tr>
        <w:trPr>
          <w:trHeight w:val="4375" w:hRule="atLeast"/>
        </w:trPr>
        <w:tc>
          <w:tcPr>
            <w:tcW w:w="9076" w:type="dxa"/>
            <w:gridSpan w:val="8"/>
          </w:tcPr>
          <w:p>
            <w:pPr>
              <w:pStyle w:val="TableParagraph"/>
              <w:spacing w:before="4"/>
              <w:jc w:val="left"/>
              <w:rPr>
                <w:rFonts w:ascii="Microsoft YaHei UI"/>
                <w:b/>
                <w:sz w:val="16"/>
              </w:rPr>
            </w:pPr>
          </w:p>
          <w:p>
            <w:pPr>
              <w:pStyle w:val="TableParagraph"/>
              <w:ind w:left="108"/>
              <w:jc w:val="left"/>
              <w:rPr>
                <w:sz w:val="28"/>
              </w:rPr>
            </w:pPr>
            <w:r>
              <w:rPr>
                <w:sz w:val="28"/>
              </w:rPr>
              <w:t>项目概述</w:t>
            </w:r>
          </w:p>
          <w:p>
            <w:pPr>
              <w:pStyle w:val="TableParagraph"/>
              <w:spacing w:before="16"/>
              <w:jc w:val="left"/>
              <w:rPr>
                <w:rFonts w:ascii="Microsoft YaHei UI"/>
                <w:b/>
                <w:sz w:val="14"/>
              </w:rPr>
            </w:pPr>
          </w:p>
          <w:p>
            <w:pPr>
              <w:pStyle w:val="TableParagraph"/>
              <w:spacing w:before="1"/>
              <w:ind w:left="108"/>
              <w:jc w:val="left"/>
              <w:rPr>
                <w:sz w:val="28"/>
              </w:rPr>
            </w:pPr>
            <w:r>
              <w:rPr>
                <w:sz w:val="28"/>
              </w:rPr>
              <w:t>一、建设单位情况</w:t>
            </w:r>
          </w:p>
          <w:p>
            <w:pPr>
              <w:pStyle w:val="TableParagraph"/>
              <w:spacing w:before="9"/>
              <w:jc w:val="left"/>
              <w:rPr>
                <w:rFonts w:ascii="Microsoft YaHei UI"/>
                <w:b/>
                <w:sz w:val="14"/>
              </w:rPr>
            </w:pPr>
          </w:p>
          <w:p>
            <w:pPr>
              <w:pStyle w:val="TableParagraph"/>
              <w:spacing w:line="367" w:lineRule="auto"/>
              <w:ind w:left="108" w:right="-29" w:firstLine="480"/>
              <w:jc w:val="left"/>
              <w:rPr>
                <w:sz w:val="24"/>
              </w:rPr>
            </w:pPr>
            <w:r>
              <w:rPr>
                <w:sz w:val="24"/>
              </w:rPr>
              <w:t>资阳市第一人民医院（社会信用代码</w:t>
            </w:r>
            <w:r>
              <w:rPr>
                <w:rFonts w:ascii="Times New Roman" w:hAnsi="Times New Roman" w:eastAsia="Times New Roman"/>
                <w:b/>
                <w:sz w:val="32"/>
              </w:rPr>
              <w:t>***</w:t>
            </w:r>
            <w:r>
              <w:rPr>
                <w:sz w:val="24"/>
              </w:rPr>
              <w:t>）</w:t>
            </w:r>
            <w:r>
              <w:rPr>
                <w:spacing w:val="-11"/>
                <w:sz w:val="24"/>
              </w:rPr>
              <w:t>始建于 </w:t>
            </w:r>
            <w:r>
              <w:rPr>
                <w:rFonts w:ascii="Times New Roman" w:hAnsi="Times New Roman" w:eastAsia="Times New Roman"/>
                <w:sz w:val="24"/>
              </w:rPr>
              <w:t>1940</w:t>
            </w:r>
            <w:r>
              <w:rPr>
                <w:rFonts w:ascii="Times New Roman" w:hAnsi="Times New Roman" w:eastAsia="Times New Roman"/>
                <w:spacing w:val="20"/>
                <w:sz w:val="24"/>
              </w:rPr>
              <w:t> </w:t>
            </w:r>
            <w:r>
              <w:rPr>
                <w:sz w:val="24"/>
              </w:rPr>
              <w:t>年，现为一所集医疗、科研、教学、预防、保健、康复为一体三级甲等综合医院，在资阳市规模最大，综合</w:t>
            </w:r>
            <w:r>
              <w:rPr>
                <w:spacing w:val="-12"/>
                <w:sz w:val="24"/>
              </w:rPr>
              <w:t>实力最强。医院先后获部、省、市卫生行政主管部门授予的</w:t>
            </w:r>
            <w:r>
              <w:rPr>
                <w:rFonts w:ascii="Times New Roman" w:hAnsi="Times New Roman" w:eastAsia="Times New Roman"/>
                <w:spacing w:val="-1"/>
                <w:sz w:val="24"/>
              </w:rPr>
              <w:t>“</w:t>
            </w:r>
            <w:r>
              <w:rPr>
                <w:sz w:val="24"/>
              </w:rPr>
              <w:t>全国卫生工作先进集体</w:t>
            </w:r>
            <w:r>
              <w:rPr>
                <w:rFonts w:ascii="Times New Roman" w:hAnsi="Times New Roman" w:eastAsia="Times New Roman"/>
                <w:spacing w:val="-1"/>
                <w:sz w:val="24"/>
              </w:rPr>
              <w:t>”</w:t>
            </w:r>
            <w:r>
              <w:rPr>
                <w:spacing w:val="-13"/>
                <w:sz w:val="24"/>
              </w:rPr>
              <w:t>、</w:t>
            </w:r>
            <w:r>
              <w:rPr>
                <w:rFonts w:ascii="Times New Roman" w:hAnsi="Times New Roman" w:eastAsia="Times New Roman"/>
                <w:sz w:val="24"/>
              </w:rPr>
              <w:t>“</w:t>
            </w:r>
            <w:r>
              <w:rPr>
                <w:sz w:val="24"/>
              </w:rPr>
              <w:t>国际爱婴医院</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抗震救灾先进基层党组织</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省级最佳文明单位</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资阳市最佳文明单位</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卫生目标管理先进单位</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学习型党组织先进单位</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红旗工会</w:t>
            </w:r>
            <w:r>
              <w:rPr>
                <w:rFonts w:ascii="Times New Roman" w:hAnsi="Times New Roman" w:eastAsia="Times New Roman"/>
                <w:sz w:val="24"/>
              </w:rPr>
              <w:t>”</w:t>
            </w:r>
            <w:r>
              <w:rPr>
                <w:sz w:val="24"/>
              </w:rPr>
              <w:t>、</w:t>
            </w:r>
            <w:r>
              <w:rPr>
                <w:rFonts w:ascii="Times New Roman" w:hAnsi="Times New Roman" w:eastAsia="Times New Roman"/>
                <w:sz w:val="24"/>
              </w:rPr>
              <w:t>“</w:t>
            </w:r>
            <w:r>
              <w:rPr>
                <w:sz w:val="24"/>
              </w:rPr>
              <w:t>资阳</w:t>
            </w:r>
          </w:p>
          <w:p>
            <w:pPr>
              <w:pStyle w:val="TableParagraph"/>
              <w:spacing w:before="4"/>
              <w:ind w:left="108"/>
              <w:jc w:val="left"/>
              <w:rPr>
                <w:sz w:val="24"/>
              </w:rPr>
            </w:pPr>
            <w:r>
              <w:rPr>
                <w:spacing w:val="-1"/>
                <w:sz w:val="24"/>
              </w:rPr>
              <w:t>市践行社会主义核心价值示范单位</w:t>
            </w:r>
            <w:r>
              <w:rPr>
                <w:rFonts w:ascii="Times New Roman" w:hAnsi="Times New Roman" w:eastAsia="Times New Roman"/>
                <w:sz w:val="24"/>
              </w:rPr>
              <w:t>”</w:t>
            </w:r>
            <w:r>
              <w:rPr>
                <w:sz w:val="24"/>
              </w:rPr>
              <w:t>等光荣称号。</w:t>
            </w:r>
          </w:p>
        </w:tc>
      </w:tr>
    </w:tbl>
    <w:p>
      <w:pPr>
        <w:spacing w:after="0"/>
        <w:jc w:val="left"/>
        <w:rPr>
          <w:sz w:val="24"/>
        </w:rPr>
        <w:sectPr>
          <w:footerReference w:type="default" r:id="rId5"/>
          <w:pgSz w:w="11910" w:h="16840"/>
          <w:pgMar w:footer="1354" w:header="0" w:top="1380" w:bottom="1540" w:left="1340" w:right="1260"/>
          <w:pgNumType w:start="1"/>
        </w:sectPr>
      </w:pPr>
    </w:p>
    <w:p>
      <w:pPr>
        <w:pStyle w:val="BodyText"/>
        <w:spacing w:line="364" w:lineRule="auto" w:before="92"/>
        <w:ind w:left="222" w:right="343" w:firstLine="499"/>
      </w:pPr>
      <w:r>
        <w:rPr/>
        <w:pict>
          <v:shape style="position:absolute;margin-left:72.459999pt;margin-top:72.000023pt;width:454.3pt;height:679.75pt;mso-position-horizontal-relative:page;mso-position-vertical-relative:page;z-index:-20158464" coordorigin="1449,1440" coordsize="9086,13595" path="m1449,1445l10535,1445m1449,15035l10535,15035m1454,1440l1454,15030m10530,1440l10530,15030e" filled="false" stroked="true" strokeweight=".48pt" strokecolor="#000000">
            <v:path arrowok="t"/>
            <v:stroke dashstyle="solid"/>
            <w10:wrap type="none"/>
          </v:shape>
        </w:pict>
      </w:r>
      <w:r>
        <w:rPr/>
        <w:t>医院现设两个院区（新区医院、健康路院区）</w:t>
      </w:r>
      <w:r>
        <w:rPr>
          <w:spacing w:val="1"/>
        </w:rPr>
        <w:t>和一个医务室</w:t>
      </w:r>
      <w:r>
        <w:rPr/>
        <w:t>（</w:t>
      </w:r>
      <w:r>
        <w:rPr>
          <w:spacing w:val="1"/>
        </w:rPr>
        <w:t>市级机关医务 </w:t>
      </w:r>
      <w:r>
        <w:rPr/>
        <w:t>室），</w:t>
      </w:r>
      <w:r>
        <w:rPr>
          <w:spacing w:val="-2"/>
        </w:rPr>
        <w:t>新区医院占地 </w:t>
      </w:r>
      <w:r>
        <w:rPr>
          <w:rFonts w:ascii="Times New Roman" w:eastAsia="Times New Roman"/>
        </w:rPr>
        <w:t>212</w:t>
      </w:r>
      <w:r>
        <w:rPr>
          <w:rFonts w:ascii="Times New Roman" w:eastAsia="Times New Roman"/>
          <w:spacing w:val="47"/>
        </w:rPr>
        <w:t> </w:t>
      </w:r>
      <w:r>
        <w:rPr>
          <w:spacing w:val="-2"/>
        </w:rPr>
        <w:t>亩，健康路院区占地 </w:t>
      </w:r>
      <w:r>
        <w:rPr>
          <w:rFonts w:ascii="Times New Roman" w:eastAsia="Times New Roman"/>
        </w:rPr>
        <w:t>20</w:t>
      </w:r>
      <w:r>
        <w:rPr>
          <w:rFonts w:ascii="Times New Roman" w:eastAsia="Times New Roman"/>
          <w:spacing w:val="42"/>
        </w:rPr>
        <w:t> </w:t>
      </w:r>
      <w:r>
        <w:rPr>
          <w:spacing w:val="-1"/>
        </w:rPr>
        <w:t>亩，总业务用房面积 </w:t>
      </w:r>
      <w:r>
        <w:rPr>
          <w:rFonts w:ascii="Times New Roman" w:eastAsia="Times New Roman"/>
        </w:rPr>
        <w:t>10</w:t>
      </w:r>
      <w:r>
        <w:rPr>
          <w:rFonts w:ascii="Times New Roman" w:eastAsia="Times New Roman"/>
          <w:spacing w:val="42"/>
        </w:rPr>
        <w:t> </w:t>
      </w:r>
      <w:r>
        <w:rPr/>
        <w:t>万平方</w:t>
      </w:r>
    </w:p>
    <w:p>
      <w:pPr>
        <w:pStyle w:val="BodyText"/>
        <w:spacing w:before="1"/>
        <w:ind w:left="222"/>
      </w:pPr>
      <w:r>
        <w:rPr>
          <w:spacing w:val="-4"/>
        </w:rPr>
        <w:t>米，编制床位 </w:t>
      </w:r>
      <w:r>
        <w:rPr>
          <w:rFonts w:ascii="Times New Roman" w:eastAsia="Times New Roman"/>
        </w:rPr>
        <w:t>1220</w:t>
      </w:r>
      <w:r>
        <w:rPr>
          <w:rFonts w:ascii="Times New Roman" w:eastAsia="Times New Roman"/>
          <w:spacing w:val="35"/>
        </w:rPr>
        <w:t> </w:t>
      </w:r>
      <w:r>
        <w:rPr>
          <w:spacing w:val="-4"/>
        </w:rPr>
        <w:t>张，开放床位 </w:t>
      </w:r>
      <w:r>
        <w:rPr>
          <w:rFonts w:ascii="Times New Roman" w:eastAsia="Times New Roman"/>
        </w:rPr>
        <w:t>1562</w:t>
      </w:r>
      <w:r>
        <w:rPr>
          <w:rFonts w:ascii="Times New Roman" w:eastAsia="Times New Roman"/>
          <w:spacing w:val="30"/>
        </w:rPr>
        <w:t> </w:t>
      </w:r>
      <w:r>
        <w:rPr>
          <w:spacing w:val="-5"/>
        </w:rPr>
        <w:t>张。截止 </w:t>
      </w:r>
      <w:r>
        <w:rPr>
          <w:rFonts w:ascii="Times New Roman" w:eastAsia="Times New Roman"/>
        </w:rPr>
        <w:t>2021</w:t>
      </w:r>
      <w:r>
        <w:rPr>
          <w:rFonts w:ascii="Times New Roman" w:eastAsia="Times New Roman"/>
          <w:spacing w:val="35"/>
        </w:rPr>
        <w:t> </w:t>
      </w:r>
      <w:r>
        <w:rPr>
          <w:spacing w:val="-13"/>
        </w:rPr>
        <w:t>年 </w:t>
      </w:r>
      <w:r>
        <w:rPr>
          <w:rFonts w:ascii="Times New Roman" w:eastAsia="Times New Roman"/>
        </w:rPr>
        <w:t>8</w:t>
      </w:r>
      <w:r>
        <w:rPr>
          <w:rFonts w:ascii="Times New Roman" w:eastAsia="Times New Roman"/>
          <w:spacing w:val="28"/>
        </w:rPr>
        <w:t> </w:t>
      </w:r>
      <w:r>
        <w:rPr/>
        <w:t>月，医院设临床一级科</w:t>
      </w:r>
    </w:p>
    <w:p>
      <w:pPr>
        <w:pStyle w:val="BodyText"/>
        <w:spacing w:before="160"/>
        <w:ind w:left="222"/>
      </w:pPr>
      <w:r>
        <w:rPr>
          <w:spacing w:val="-9"/>
        </w:rPr>
        <w:t>室 </w:t>
      </w:r>
      <w:r>
        <w:rPr>
          <w:rFonts w:ascii="Times New Roman" w:eastAsia="Times New Roman"/>
        </w:rPr>
        <w:t>17</w:t>
      </w:r>
      <w:r>
        <w:rPr>
          <w:rFonts w:ascii="Times New Roman" w:eastAsia="Times New Roman"/>
          <w:spacing w:val="38"/>
        </w:rPr>
        <w:t> </w:t>
      </w:r>
      <w:r>
        <w:rPr>
          <w:spacing w:val="1"/>
        </w:rPr>
        <w:t>个，二级专科</w:t>
      </w:r>
      <w:r>
        <w:rPr/>
        <w:t>（室）</w:t>
      </w:r>
      <w:r>
        <w:rPr>
          <w:rFonts w:ascii="Times New Roman" w:eastAsia="Times New Roman"/>
        </w:rPr>
        <w:t>14</w:t>
      </w:r>
      <w:r>
        <w:rPr>
          <w:rFonts w:ascii="Times New Roman" w:eastAsia="Times New Roman"/>
          <w:spacing w:val="38"/>
        </w:rPr>
        <w:t> </w:t>
      </w:r>
      <w:r>
        <w:rPr>
          <w:spacing w:val="-2"/>
        </w:rPr>
        <w:t>个，专业组 </w:t>
      </w:r>
      <w:r>
        <w:rPr>
          <w:rFonts w:ascii="Times New Roman" w:eastAsia="Times New Roman"/>
        </w:rPr>
        <w:t>13</w:t>
      </w:r>
      <w:r>
        <w:rPr>
          <w:rFonts w:ascii="Times New Roman" w:eastAsia="Times New Roman"/>
          <w:spacing w:val="38"/>
        </w:rPr>
        <w:t> </w:t>
      </w:r>
      <w:r>
        <w:rPr>
          <w:spacing w:val="-2"/>
        </w:rPr>
        <w:t>个；设医技一级科室 </w:t>
      </w:r>
      <w:r>
        <w:rPr>
          <w:rFonts w:ascii="Times New Roman" w:eastAsia="Times New Roman"/>
        </w:rPr>
        <w:t>9</w:t>
      </w:r>
      <w:r>
        <w:rPr>
          <w:rFonts w:ascii="Times New Roman" w:eastAsia="Times New Roman"/>
          <w:spacing w:val="31"/>
        </w:rPr>
        <w:t> </w:t>
      </w:r>
      <w:r>
        <w:rPr>
          <w:spacing w:val="1"/>
        </w:rPr>
        <w:t>个，二级医技</w:t>
      </w:r>
    </w:p>
    <w:p>
      <w:pPr>
        <w:pStyle w:val="BodyText"/>
        <w:spacing w:before="161"/>
        <w:ind w:left="222"/>
        <w:rPr>
          <w:rFonts w:ascii="Times New Roman" w:eastAsia="Times New Roman"/>
        </w:rPr>
      </w:pPr>
      <w:r>
        <w:rPr>
          <w:spacing w:val="15"/>
          <w:w w:val="95"/>
        </w:rPr>
        <w:t>科室 </w:t>
      </w:r>
      <w:r>
        <w:rPr>
          <w:rFonts w:ascii="Times New Roman" w:eastAsia="Times New Roman"/>
          <w:w w:val="95"/>
        </w:rPr>
        <w:t>1</w:t>
      </w:r>
      <w:r>
        <w:rPr>
          <w:rFonts w:ascii="Times New Roman" w:eastAsia="Times New Roman"/>
          <w:spacing w:val="88"/>
        </w:rPr>
        <w:t> </w:t>
      </w:r>
      <w:r>
        <w:rPr>
          <w:spacing w:val="9"/>
          <w:w w:val="95"/>
        </w:rPr>
        <w:t>个，专业组 </w:t>
      </w:r>
      <w:r>
        <w:rPr>
          <w:rFonts w:ascii="Times New Roman" w:eastAsia="Times New Roman"/>
          <w:w w:val="95"/>
        </w:rPr>
        <w:t>16</w:t>
      </w:r>
      <w:r>
        <w:rPr>
          <w:rFonts w:ascii="Times New Roman" w:eastAsia="Times New Roman"/>
          <w:spacing w:val="93"/>
        </w:rPr>
        <w:t> </w:t>
      </w:r>
      <w:r>
        <w:rPr>
          <w:spacing w:val="3"/>
          <w:w w:val="95"/>
        </w:rPr>
        <w:t>个；设一级行政、后勤科室 </w:t>
      </w:r>
      <w:r>
        <w:rPr>
          <w:rFonts w:ascii="Times New Roman" w:eastAsia="Times New Roman"/>
          <w:w w:val="95"/>
        </w:rPr>
        <w:t>20</w:t>
      </w:r>
      <w:r>
        <w:rPr>
          <w:rFonts w:ascii="Times New Roman" w:eastAsia="Times New Roman"/>
          <w:spacing w:val="99"/>
        </w:rPr>
        <w:t> </w:t>
      </w:r>
      <w:r>
        <w:rPr>
          <w:spacing w:val="3"/>
          <w:w w:val="95"/>
        </w:rPr>
        <w:t>个，二级行政、后勤科室 </w:t>
      </w:r>
      <w:r>
        <w:rPr>
          <w:rFonts w:ascii="Times New Roman" w:eastAsia="Times New Roman"/>
          <w:w w:val="95"/>
        </w:rPr>
        <w:t>10</w:t>
      </w:r>
    </w:p>
    <w:p>
      <w:pPr>
        <w:pStyle w:val="BodyText"/>
        <w:spacing w:before="160"/>
        <w:ind w:left="222"/>
      </w:pPr>
      <w:r>
        <w:rPr>
          <w:w w:val="95"/>
        </w:rPr>
        <w:t>个，班组</w:t>
      </w:r>
      <w:r>
        <w:rPr>
          <w:spacing w:val="257"/>
        </w:rPr>
        <w:t> </w:t>
      </w:r>
      <w:r>
        <w:rPr>
          <w:rFonts w:ascii="Times New Roman" w:eastAsia="Times New Roman"/>
          <w:w w:val="95"/>
        </w:rPr>
        <w:t>12</w:t>
      </w:r>
      <w:r>
        <w:rPr>
          <w:rFonts w:ascii="Times New Roman" w:eastAsia="Times New Roman"/>
          <w:spacing w:val="65"/>
        </w:rPr>
        <w:t>   </w:t>
      </w:r>
      <w:r>
        <w:rPr>
          <w:w w:val="95"/>
        </w:rPr>
        <w:t>个。资阳市传染病医院、资阳市紧急救援中心挂靠我院工作。</w:t>
      </w:r>
    </w:p>
    <w:p>
      <w:pPr>
        <w:pStyle w:val="BodyText"/>
        <w:spacing w:line="364" w:lineRule="auto" w:before="161"/>
        <w:ind w:left="222" w:right="232" w:firstLine="499"/>
      </w:pPr>
      <w:r>
        <w:rPr>
          <w:spacing w:val="1"/>
        </w:rPr>
        <w:t>医院拥有直线加速器、</w:t>
      </w:r>
      <w:r>
        <w:rPr>
          <w:rFonts w:ascii="Times New Roman" w:eastAsia="Times New Roman"/>
        </w:rPr>
        <w:t>1.5T</w:t>
      </w:r>
      <w:r>
        <w:rPr>
          <w:rFonts w:ascii="Times New Roman" w:eastAsia="Times New Roman"/>
          <w:spacing w:val="38"/>
        </w:rPr>
        <w:t> </w:t>
      </w:r>
      <w:r>
        <w:rPr>
          <w:spacing w:val="2"/>
        </w:rPr>
        <w:t>核磁共振、</w:t>
      </w:r>
      <w:r>
        <w:rPr>
          <w:rFonts w:ascii="Times New Roman" w:eastAsia="Times New Roman"/>
        </w:rPr>
        <w:t>64</w:t>
      </w:r>
      <w:r>
        <w:rPr>
          <w:rFonts w:ascii="Times New Roman" w:eastAsia="Times New Roman"/>
          <w:spacing w:val="39"/>
        </w:rPr>
        <w:t> </w:t>
      </w:r>
      <w:r>
        <w:rPr>
          <w:spacing w:val="-4"/>
        </w:rPr>
        <w:t>排螺旋 </w:t>
      </w:r>
      <w:r>
        <w:rPr>
          <w:rFonts w:ascii="Times New Roman" w:eastAsia="Times New Roman"/>
        </w:rPr>
        <w:t>CT</w:t>
      </w:r>
      <w:r>
        <w:rPr>
          <w:spacing w:val="-2"/>
        </w:rPr>
        <w:t>、高压氧舱、全身 </w:t>
      </w:r>
      <w:r>
        <w:rPr>
          <w:rFonts w:ascii="Times New Roman" w:eastAsia="Times New Roman"/>
        </w:rPr>
        <w:t>X</w:t>
      </w:r>
      <w:r>
        <w:rPr>
          <w:rFonts w:ascii="Times New Roman" w:eastAsia="Times New Roman"/>
          <w:spacing w:val="35"/>
        </w:rPr>
        <w:t> </w:t>
      </w:r>
      <w:r>
        <w:rPr/>
        <w:t>射</w:t>
      </w:r>
      <w:r>
        <w:rPr>
          <w:spacing w:val="3"/>
        </w:rPr>
        <w:t>线计算机断层扫描系统、数字化 </w:t>
      </w:r>
      <w:r>
        <w:rPr>
          <w:rFonts w:ascii="Times New Roman" w:eastAsia="Times New Roman"/>
        </w:rPr>
        <w:t>X</w:t>
      </w:r>
      <w:r>
        <w:rPr>
          <w:rFonts w:ascii="Times New Roman" w:eastAsia="Times New Roman"/>
          <w:spacing w:val="38"/>
        </w:rPr>
        <w:t> </w:t>
      </w:r>
      <w:r>
        <w:rPr/>
        <w:t>线拍片影像系统（</w:t>
      </w:r>
      <w:r>
        <w:rPr>
          <w:rFonts w:ascii="Times New Roman" w:eastAsia="Times New Roman"/>
        </w:rPr>
        <w:t>DR</w:t>
      </w:r>
      <w:r>
        <w:rPr/>
        <w:t>）、心血管造影系统、数</w:t>
      </w:r>
      <w:r>
        <w:rPr>
          <w:spacing w:val="5"/>
        </w:rPr>
        <w:t>字化多功能 </w:t>
      </w:r>
      <w:r>
        <w:rPr>
          <w:rFonts w:ascii="Times New Roman" w:eastAsia="Times New Roman"/>
        </w:rPr>
        <w:t>X</w:t>
      </w:r>
      <w:r>
        <w:rPr>
          <w:rFonts w:ascii="Times New Roman" w:eastAsia="Times New Roman"/>
          <w:spacing w:val="25"/>
        </w:rPr>
        <w:t> </w:t>
      </w:r>
      <w:r>
        <w:rPr/>
        <w:t>线透视摄影系统、电子腹腔镜系统、电子内镜系统、冷极射频肿瘤治疗机、体外高频热疗、全自动生化流水线、全自动细菌鉴定及药敏分析系统、</w:t>
      </w:r>
      <w:r>
        <w:rPr>
          <w:spacing w:val="25"/>
        </w:rPr>
        <w:t> </w:t>
      </w:r>
      <w:r>
        <w:rPr>
          <w:spacing w:val="-3"/>
        </w:rPr>
        <w:t>乳房活检与旋切系统等先进医疗仪器设备近 </w:t>
      </w:r>
      <w:r>
        <w:rPr>
          <w:rFonts w:ascii="Times New Roman" w:eastAsia="Times New Roman"/>
        </w:rPr>
        <w:t>9500</w:t>
      </w:r>
      <w:r>
        <w:rPr>
          <w:rFonts w:ascii="Times New Roman" w:eastAsia="Times New Roman"/>
          <w:spacing w:val="12"/>
        </w:rPr>
        <w:t> </w:t>
      </w:r>
      <w:r>
        <w:rPr/>
        <w:t>件。</w:t>
      </w:r>
    </w:p>
    <w:p>
      <w:pPr>
        <w:pStyle w:val="BodyText"/>
        <w:spacing w:line="364" w:lineRule="auto" w:before="3"/>
        <w:ind w:left="222" w:right="232" w:firstLine="499"/>
      </w:pPr>
      <w:r>
        <w:rPr/>
        <w:t>资阳市第一人民医院已取得辐射安全许可证，其许可证证书编号为川环辐证</w:t>
      </w:r>
      <w:r>
        <w:rPr>
          <w:rFonts w:ascii="Times New Roman" w:hAnsi="Times New Roman" w:eastAsia="Times New Roman"/>
        </w:rPr>
        <w:t>[00402]</w:t>
      </w:r>
      <w:r>
        <w:rPr/>
        <w:t>，许可的种类和范围为使用</w:t>
      </w:r>
      <w:r>
        <w:rPr>
          <w:rFonts w:ascii="Times New Roman" w:hAnsi="Times New Roman" w:eastAsia="Times New Roman"/>
        </w:rPr>
        <w:t>Ⅱ</w:t>
      </w:r>
      <w:r>
        <w:rPr/>
        <w:t>、</w:t>
      </w:r>
      <w:r>
        <w:rPr>
          <w:rFonts w:ascii="Times New Roman" w:hAnsi="Times New Roman" w:eastAsia="Times New Roman"/>
        </w:rPr>
        <w:t>III</w:t>
      </w:r>
      <w:r>
        <w:rPr>
          <w:rFonts w:ascii="Times New Roman" w:hAnsi="Times New Roman" w:eastAsia="Times New Roman"/>
          <w:spacing w:val="7"/>
        </w:rPr>
        <w:t>   </w:t>
      </w:r>
      <w:r>
        <w:rPr/>
        <w:t>类射线装置；使用非密封放射性物质，</w:t>
      </w:r>
      <w:r>
        <w:rPr>
          <w:spacing w:val="1"/>
        </w:rPr>
        <w:t> </w:t>
      </w:r>
      <w:r>
        <w:rPr>
          <w:spacing w:val="-1"/>
        </w:rPr>
        <w:t>乙级非密封放射性物质工作场所，有效期至 </w:t>
      </w:r>
      <w:r>
        <w:rPr>
          <w:rFonts w:ascii="Times New Roman" w:hAnsi="Times New Roman" w:eastAsia="Times New Roman"/>
        </w:rPr>
        <w:t>2024</w:t>
      </w:r>
      <w:r>
        <w:rPr>
          <w:rFonts w:ascii="Times New Roman" w:hAnsi="Times New Roman" w:eastAsia="Times New Roman"/>
          <w:spacing w:val="41"/>
        </w:rPr>
        <w:t> </w:t>
      </w:r>
      <w:r>
        <w:rPr>
          <w:spacing w:val="-8"/>
        </w:rPr>
        <w:t>年 </w:t>
      </w:r>
      <w:r>
        <w:rPr>
          <w:rFonts w:ascii="Times New Roman" w:hAnsi="Times New Roman" w:eastAsia="Times New Roman"/>
        </w:rPr>
        <w:t>12</w:t>
      </w:r>
      <w:r>
        <w:rPr>
          <w:rFonts w:ascii="Times New Roman" w:hAnsi="Times New Roman" w:eastAsia="Times New Roman"/>
          <w:spacing w:val="40"/>
        </w:rPr>
        <w:t> </w:t>
      </w:r>
      <w:r>
        <w:rPr>
          <w:spacing w:val="-6"/>
        </w:rPr>
        <w:t>月 </w:t>
      </w:r>
      <w:r>
        <w:rPr>
          <w:rFonts w:ascii="Times New Roman" w:hAnsi="Times New Roman" w:eastAsia="Times New Roman"/>
        </w:rPr>
        <w:t>08</w:t>
      </w:r>
      <w:r>
        <w:rPr>
          <w:rFonts w:ascii="Times New Roman" w:hAnsi="Times New Roman" w:eastAsia="Times New Roman"/>
          <w:spacing w:val="41"/>
        </w:rPr>
        <w:t> </w:t>
      </w:r>
      <w:r>
        <w:rPr/>
        <w:t>日，具体情况见本报告原有污染情况说明。</w:t>
      </w:r>
    </w:p>
    <w:p>
      <w:pPr>
        <w:pStyle w:val="BodyText"/>
        <w:spacing w:before="2"/>
        <w:ind w:left="222"/>
      </w:pPr>
      <w:r>
        <w:rPr/>
        <w:t>（一）任务由来</w:t>
      </w:r>
    </w:p>
    <w:p>
      <w:pPr>
        <w:pStyle w:val="BodyText"/>
        <w:spacing w:line="364" w:lineRule="auto" w:before="161"/>
        <w:ind w:left="222" w:right="103" w:firstLine="480"/>
        <w:jc w:val="both"/>
      </w:pPr>
      <w:r>
        <w:rPr/>
        <w:t>随着医院的发展，现有医疗设备远远不能满足临床新技术新项目及教学科研工作的需要。为了改善医院医疗设备条件，提高诊断水平，心血管、神经及消化等各种疾病的介入治疗水平，资阳市第一人民医院拟在仁德西路院区医技楼一层西北侧利用现</w:t>
      </w:r>
      <w:r>
        <w:rPr>
          <w:spacing w:val="-10"/>
        </w:rPr>
        <w:t>有房间改造为 </w:t>
      </w:r>
      <w:r>
        <w:rPr>
          <w:rFonts w:ascii="Times New Roman" w:hAnsi="Times New Roman" w:eastAsia="Times New Roman"/>
          <w:spacing w:val="-1"/>
        </w:rPr>
        <w:t>DSA </w:t>
      </w:r>
      <w:r>
        <w:rPr>
          <w:spacing w:val="-5"/>
        </w:rPr>
        <w:t>机房及相关配套房间，在改造后的 </w:t>
      </w:r>
      <w:r>
        <w:rPr>
          <w:rFonts w:ascii="Times New Roman" w:hAnsi="Times New Roman" w:eastAsia="Times New Roman"/>
        </w:rPr>
        <w:t>DSA</w:t>
      </w:r>
      <w:r>
        <w:rPr>
          <w:rFonts w:ascii="Times New Roman" w:hAnsi="Times New Roman" w:eastAsia="Times New Roman"/>
          <w:spacing w:val="-1"/>
        </w:rPr>
        <w:t> </w:t>
      </w:r>
      <w:r>
        <w:rPr>
          <w:spacing w:val="-10"/>
        </w:rPr>
        <w:t>机房内新增 </w:t>
      </w:r>
      <w:r>
        <w:rPr>
          <w:rFonts w:ascii="Times New Roman" w:hAnsi="Times New Roman" w:eastAsia="Times New Roman"/>
        </w:rPr>
        <w:t>1 </w:t>
      </w:r>
      <w:r>
        <w:rPr/>
        <w:t>台数字减影</w:t>
      </w:r>
      <w:r>
        <w:rPr>
          <w:spacing w:val="-9"/>
        </w:rPr>
        <w:t>血管造影机</w:t>
      </w:r>
      <w:r>
        <w:rPr/>
        <w:t>（</w:t>
      </w:r>
      <w:r>
        <w:rPr>
          <w:spacing w:val="-12"/>
        </w:rPr>
        <w:t>以下简称 </w:t>
      </w:r>
      <w:r>
        <w:rPr>
          <w:rFonts w:ascii="Times New Roman" w:hAnsi="Times New Roman" w:eastAsia="Times New Roman"/>
          <w:spacing w:val="-11"/>
        </w:rPr>
        <w:t>DSA</w:t>
      </w:r>
      <w:r>
        <w:rPr>
          <w:spacing w:val="-3"/>
        </w:rPr>
        <w:t>，属于Ⅱ类射线装置</w:t>
      </w:r>
      <w:r>
        <w:rPr>
          <w:spacing w:val="-40"/>
        </w:rPr>
        <w:t>）</w:t>
      </w:r>
      <w:r>
        <w:rPr>
          <w:spacing w:val="-11"/>
        </w:rPr>
        <w:t>，主要用于介入治疗、血管造影等。</w:t>
      </w:r>
    </w:p>
    <w:p>
      <w:pPr>
        <w:pStyle w:val="BodyText"/>
        <w:spacing w:before="3"/>
        <w:ind w:left="222"/>
      </w:pPr>
      <w:r>
        <w:rPr/>
        <w:t>（二）编制目的</w:t>
      </w:r>
    </w:p>
    <w:p>
      <w:pPr>
        <w:pStyle w:val="BodyText"/>
        <w:spacing w:line="364" w:lineRule="auto" w:before="160"/>
        <w:ind w:left="222" w:right="218" w:firstLine="480"/>
        <w:jc w:val="both"/>
      </w:pPr>
      <w:r>
        <w:rPr>
          <w:spacing w:val="-16"/>
        </w:rPr>
        <w:t>按照《中华人民共和国环境保护法》、《中华人民共和国环境影响评价法》、《中</w:t>
      </w:r>
      <w:r>
        <w:rPr>
          <w:spacing w:val="-14"/>
        </w:rPr>
        <w:t>华人民共和国放射性污染防治法》、《放射性同位素和射线装置安全和防护条例》</w:t>
      </w:r>
      <w:r>
        <w:rPr/>
        <w:t>（国务院令第</w:t>
      </w:r>
      <w:r>
        <w:rPr>
          <w:rFonts w:ascii="Times New Roman" w:hAnsi="Times New Roman" w:eastAsia="Times New Roman"/>
        </w:rPr>
        <w:t>449</w:t>
      </w:r>
      <w:r>
        <w:rPr/>
        <w:t>号）和《放射性同位素与射线装置安全和防护管理办法》（国家环保部</w:t>
      </w:r>
      <w:r>
        <w:rPr>
          <w:spacing w:val="-1"/>
        </w:rPr>
        <w:t>令第</w:t>
      </w:r>
      <w:r>
        <w:rPr>
          <w:rFonts w:ascii="Times New Roman" w:hAnsi="Times New Roman" w:eastAsia="Times New Roman"/>
          <w:spacing w:val="-1"/>
        </w:rPr>
        <w:t>18</w:t>
      </w:r>
      <w:r>
        <w:rPr>
          <w:spacing w:val="-1"/>
        </w:rPr>
        <w:t>号）的规定和要求，本项目需进行环境影响评价。根据《建设项目环境影响评价分类管理名录（</w:t>
      </w:r>
      <w:r>
        <w:rPr>
          <w:rFonts w:ascii="Times New Roman" w:hAnsi="Times New Roman" w:eastAsia="Times New Roman"/>
          <w:spacing w:val="-1"/>
        </w:rPr>
        <w:t>2021</w:t>
      </w:r>
      <w:r>
        <w:rPr>
          <w:spacing w:val="-1"/>
        </w:rPr>
        <w:t>年版）》（生态环境部令第</w:t>
      </w:r>
      <w:r>
        <w:rPr>
          <w:rFonts w:ascii="Times New Roman" w:hAnsi="Times New Roman" w:eastAsia="Times New Roman"/>
        </w:rPr>
        <w:t>16</w:t>
      </w:r>
      <w:r>
        <w:rPr/>
        <w:t>号，</w:t>
      </w:r>
      <w:r>
        <w:rPr>
          <w:rFonts w:ascii="Times New Roman" w:hAnsi="Times New Roman" w:eastAsia="Times New Roman"/>
        </w:rPr>
        <w:t>2021</w:t>
      </w:r>
      <w:r>
        <w:rPr/>
        <w:t>年</w:t>
      </w:r>
      <w:r>
        <w:rPr>
          <w:rFonts w:ascii="Times New Roman" w:hAnsi="Times New Roman" w:eastAsia="Times New Roman"/>
        </w:rPr>
        <w:t>1</w:t>
      </w:r>
      <w:r>
        <w:rPr/>
        <w:t>月</w:t>
      </w:r>
      <w:r>
        <w:rPr>
          <w:rFonts w:ascii="Times New Roman" w:hAnsi="Times New Roman" w:eastAsia="Times New Roman"/>
        </w:rPr>
        <w:t>1</w:t>
      </w:r>
      <w:r>
        <w:rPr/>
        <w:t>日起施行），本</w:t>
      </w:r>
      <w:r>
        <w:rPr>
          <w:spacing w:val="-1"/>
        </w:rPr>
        <w:t>项目属于</w:t>
      </w:r>
      <w:r>
        <w:rPr>
          <w:rFonts w:ascii="Times New Roman" w:hAnsi="Times New Roman" w:eastAsia="Times New Roman"/>
          <w:spacing w:val="-1"/>
        </w:rPr>
        <w:t>“</w:t>
      </w:r>
      <w:r>
        <w:rPr>
          <w:spacing w:val="-1"/>
        </w:rPr>
        <w:t>第五十五项</w:t>
      </w:r>
      <w:r>
        <w:rPr>
          <w:rFonts w:ascii="Times New Roman" w:hAnsi="Times New Roman" w:eastAsia="Times New Roman"/>
          <w:spacing w:val="-1"/>
        </w:rPr>
        <w:t>—172</w:t>
      </w:r>
      <w:r>
        <w:rPr>
          <w:spacing w:val="-1"/>
        </w:rPr>
        <w:t>条核技术利用建设项目</w:t>
      </w:r>
      <w:r>
        <w:rPr>
          <w:rFonts w:ascii="Times New Roman" w:hAnsi="Times New Roman" w:eastAsia="Times New Roman"/>
          <w:spacing w:val="-1"/>
        </w:rPr>
        <w:t>—</w:t>
      </w:r>
      <w:r>
        <w:rPr>
          <w:spacing w:val="-1"/>
        </w:rPr>
        <w:t>使用</w:t>
      </w:r>
      <w:r>
        <w:rPr>
          <w:rFonts w:ascii="Times New Roman" w:hAnsi="Times New Roman" w:eastAsia="Times New Roman"/>
        </w:rPr>
        <w:t>Ⅱ</w:t>
      </w:r>
      <w:r>
        <w:rPr/>
        <w:t>类射线装置</w:t>
      </w:r>
      <w:r>
        <w:rPr>
          <w:rFonts w:ascii="Times New Roman" w:hAnsi="Times New Roman" w:eastAsia="Times New Roman"/>
        </w:rPr>
        <w:t>”</w:t>
      </w:r>
      <w:r>
        <w:rPr/>
        <w:t>，本项目应编</w:t>
      </w:r>
      <w:r>
        <w:rPr>
          <w:spacing w:val="-1"/>
        </w:rPr>
        <w:t>制环境影响报告表。根据四川省生态环境厅《关于调整建设项目环境影响评价文件分</w:t>
      </w:r>
    </w:p>
    <w:p>
      <w:pPr>
        <w:spacing w:after="0" w:line="364" w:lineRule="auto"/>
        <w:jc w:val="both"/>
        <w:sectPr>
          <w:pgSz w:w="11910" w:h="16840"/>
          <w:pgMar w:header="0" w:footer="1354" w:top="1420" w:bottom="1620" w:left="1340" w:right="1260"/>
        </w:sectPr>
      </w:pPr>
    </w:p>
    <w:p>
      <w:pPr>
        <w:pStyle w:val="BodyText"/>
        <w:spacing w:before="92"/>
        <w:ind w:left="222"/>
      </w:pPr>
      <w:r>
        <w:rPr/>
        <w:pict>
          <v:shape style="position:absolute;margin-left:72.459999pt;margin-top:72.000023pt;width:454.3pt;height:679.75pt;mso-position-horizontal-relative:page;mso-position-vertical-relative:page;z-index:-20157952" coordorigin="1449,1440" coordsize="9086,13595" path="m1449,1445l10535,1445m1449,15035l10535,15035m1454,1440l1454,15030m10530,1440l10530,15030e" filled="false" stroked="true" strokeweight=".48pt" strokecolor="#000000">
            <v:path arrowok="t"/>
            <v:stroke dashstyle="solid"/>
            <w10:wrap type="none"/>
          </v:shape>
        </w:pict>
      </w:r>
      <w:r>
        <w:rPr/>
        <w:t>级审批权限的公告》（</w:t>
      </w:r>
      <w:r>
        <w:rPr>
          <w:rFonts w:ascii="Times New Roman" w:eastAsia="Times New Roman"/>
        </w:rPr>
        <w:t>2019</w:t>
      </w:r>
      <w:r>
        <w:rPr/>
        <w:t>年</w:t>
      </w:r>
      <w:r>
        <w:rPr>
          <w:rFonts w:ascii="Times New Roman" w:eastAsia="Times New Roman"/>
        </w:rPr>
        <w:t>2</w:t>
      </w:r>
      <w:r>
        <w:rPr/>
        <w:t>号），本项目应报资阳市生态环境局审查批准。</w:t>
      </w:r>
    </w:p>
    <w:p>
      <w:pPr>
        <w:pStyle w:val="BodyText"/>
        <w:spacing w:line="364" w:lineRule="auto" w:before="160"/>
        <w:ind w:left="222" w:right="223" w:firstLine="480"/>
        <w:jc w:val="both"/>
      </w:pPr>
      <w:r>
        <w:rPr/>
        <w:t>资阳市第一人民医院委托四川中环康源卫生技术服务有限公司编制该项目的环境影响报告表（</w:t>
      </w:r>
      <w:r>
        <w:rPr>
          <w:spacing w:val="-7"/>
        </w:rPr>
        <w:t>委托书见附件 </w:t>
      </w:r>
      <w:r>
        <w:rPr>
          <w:rFonts w:ascii="Times New Roman" w:eastAsia="Times New Roman"/>
        </w:rPr>
        <w:t>1</w:t>
      </w:r>
      <w:r>
        <w:rPr/>
        <w:t>）。四川中环康源卫生技术服务有限公司接受本项目</w:t>
      </w:r>
      <w:r>
        <w:rPr>
          <w:spacing w:val="-1"/>
        </w:rPr>
        <w:t>环境报告表编制工作的委托后，在进行现场踏勘、实地调查了解项目所在地环境条件和充分研读相关法律法规、规章制度、技术资料后，在项目区域环境质量现状评价的基础上，对项目的环境影响进行了预测，并按相应标准进行评价。同时，就项目对环境可能造成的影响、项目单位从事相应辐射活动的能力、拟采取的辐射安全和防护措施及相关管理制度等进行了评价分析，在此基础上提出合理可行的对策和建议，编制</w:t>
      </w:r>
      <w:r>
        <w:rPr/>
        <w:t>完成本报告表。</w:t>
      </w:r>
    </w:p>
    <w:p>
      <w:pPr>
        <w:pStyle w:val="BodyText"/>
        <w:spacing w:before="5"/>
        <w:ind w:left="222"/>
      </w:pPr>
      <w:r>
        <w:rPr/>
        <w:t>（四）本项目建设内容</w:t>
      </w:r>
    </w:p>
    <w:p>
      <w:pPr>
        <w:pStyle w:val="BodyText"/>
        <w:spacing w:before="160"/>
        <w:ind w:left="702"/>
      </w:pPr>
      <w:r>
        <w:rPr>
          <w:rFonts w:ascii="Times New Roman" w:eastAsia="Times New Roman"/>
        </w:rPr>
        <w:t>1</w:t>
      </w:r>
      <w:r>
        <w:rPr/>
        <w:t>、工程概况</w:t>
      </w:r>
    </w:p>
    <w:p>
      <w:pPr>
        <w:pStyle w:val="BodyText"/>
        <w:spacing w:line="364" w:lineRule="auto" w:before="161"/>
        <w:ind w:left="702" w:right="2601"/>
      </w:pPr>
      <w:r>
        <w:rPr>
          <w:spacing w:val="-1"/>
        </w:rPr>
        <w:t>项目名称：医技楼新增数字减影血管造影机</w:t>
      </w:r>
      <w:r>
        <w:rPr/>
        <w:t>（</w:t>
      </w:r>
      <w:r>
        <w:rPr>
          <w:rFonts w:ascii="Times New Roman" w:eastAsia="Times New Roman"/>
        </w:rPr>
        <w:t>DSA</w:t>
      </w:r>
      <w:r>
        <w:rPr/>
        <w:t>）项目建设单位：资阳市第一人民医院</w:t>
      </w:r>
    </w:p>
    <w:p>
      <w:pPr>
        <w:pStyle w:val="BodyText"/>
        <w:spacing w:before="1"/>
        <w:ind w:left="702"/>
      </w:pPr>
      <w:r>
        <w:rPr/>
        <w:t>建设性质：改建</w:t>
      </w:r>
    </w:p>
    <w:p>
      <w:pPr>
        <w:pStyle w:val="BodyText"/>
        <w:spacing w:before="161"/>
        <w:ind w:left="702"/>
      </w:pPr>
      <w:r>
        <w:rPr>
          <w:w w:val="95"/>
        </w:rPr>
        <w:t>建设地点：资阳市雁江区仁德西路</w:t>
      </w:r>
      <w:r>
        <w:rPr>
          <w:spacing w:val="119"/>
        </w:rPr>
        <w:t> </w:t>
      </w:r>
      <w:r>
        <w:rPr>
          <w:w w:val="95"/>
        </w:rPr>
        <w:t>66</w:t>
      </w:r>
      <w:r>
        <w:rPr>
          <w:spacing w:val="120"/>
        </w:rPr>
        <w:t> </w:t>
      </w:r>
      <w:r>
        <w:rPr>
          <w:w w:val="95"/>
        </w:rPr>
        <w:t>号资阳市第一人民医院医技楼内</w:t>
      </w:r>
    </w:p>
    <w:p>
      <w:pPr>
        <w:pStyle w:val="BodyText"/>
        <w:spacing w:before="160"/>
        <w:ind w:left="702"/>
      </w:pPr>
      <w:r>
        <w:rPr>
          <w:rFonts w:ascii="Times New Roman" w:eastAsia="Times New Roman"/>
        </w:rPr>
        <w:t>2</w:t>
      </w:r>
      <w:r>
        <w:rPr/>
        <w:t>、工程建设内容及规模</w:t>
      </w:r>
    </w:p>
    <w:p>
      <w:pPr>
        <w:pStyle w:val="BodyText"/>
        <w:spacing w:line="364" w:lineRule="auto" w:before="160"/>
        <w:ind w:left="222" w:right="103" w:firstLine="480"/>
      </w:pPr>
      <w:r>
        <w:rPr>
          <w:spacing w:val="-1"/>
        </w:rPr>
        <w:t>资阳市第一人民医院拟在医技楼（</w:t>
      </w:r>
      <w:r>
        <w:rPr>
          <w:spacing w:val="-6"/>
        </w:rPr>
        <w:t>地面五层，地下一层，高约 </w:t>
      </w:r>
      <w:r>
        <w:rPr>
          <w:rFonts w:ascii="Times New Roman" w:hAnsi="Times New Roman" w:eastAsia="Times New Roman"/>
          <w:spacing w:val="-1"/>
        </w:rPr>
        <w:t>21m</w:t>
      </w:r>
      <w:r>
        <w:rPr>
          <w:spacing w:val="-1"/>
        </w:rPr>
        <w:t>）一层西北侧</w:t>
      </w:r>
      <w:r>
        <w:rPr>
          <w:spacing w:val="-7"/>
        </w:rPr>
        <w:t>利用现有房间改造为 </w:t>
      </w:r>
      <w:r>
        <w:rPr>
          <w:rFonts w:ascii="Times New Roman" w:hAnsi="Times New Roman" w:eastAsia="Times New Roman"/>
          <w:spacing w:val="-1"/>
        </w:rPr>
        <w:t>DSA </w:t>
      </w:r>
      <w:r>
        <w:rPr>
          <w:spacing w:val="-5"/>
        </w:rPr>
        <w:t>机房及相关配套房间，在改造后的 </w:t>
      </w:r>
      <w:r>
        <w:rPr>
          <w:rFonts w:ascii="Times New Roman" w:hAnsi="Times New Roman" w:eastAsia="Times New Roman"/>
        </w:rPr>
        <w:t>DSA</w:t>
      </w:r>
      <w:r>
        <w:rPr>
          <w:rFonts w:ascii="Times New Roman" w:hAnsi="Times New Roman" w:eastAsia="Times New Roman"/>
          <w:spacing w:val="-1"/>
        </w:rPr>
        <w:t> </w:t>
      </w:r>
      <w:r>
        <w:rPr>
          <w:spacing w:val="-10"/>
        </w:rPr>
        <w:t>机房内新增 </w:t>
      </w:r>
      <w:r>
        <w:rPr>
          <w:rFonts w:ascii="Times New Roman" w:hAnsi="Times New Roman" w:eastAsia="Times New Roman"/>
        </w:rPr>
        <w:t>1 </w:t>
      </w:r>
      <w:r>
        <w:rPr/>
        <w:t>台数</w:t>
      </w:r>
      <w:r>
        <w:rPr>
          <w:spacing w:val="-16"/>
        </w:rPr>
        <w:t>字减影血管造影机，型号为 </w:t>
      </w:r>
      <w:r>
        <w:rPr>
          <w:rFonts w:ascii="Times New Roman" w:hAnsi="Times New Roman" w:eastAsia="Times New Roman"/>
          <w:spacing w:val="-3"/>
        </w:rPr>
        <w:t>Azurion7M20</w:t>
      </w:r>
      <w:r>
        <w:rPr>
          <w:spacing w:val="-3"/>
        </w:rPr>
        <w:t>，属于</w:t>
      </w:r>
      <w:r>
        <w:rPr>
          <w:rFonts w:ascii="Times New Roman" w:hAnsi="Times New Roman" w:eastAsia="Times New Roman"/>
          <w:spacing w:val="-2"/>
        </w:rPr>
        <w:t>Ⅱ</w:t>
      </w:r>
      <w:r>
        <w:rPr>
          <w:spacing w:val="-16"/>
        </w:rPr>
        <w:t>类射线装置，其额定管电压为 </w:t>
      </w:r>
      <w:r>
        <w:rPr>
          <w:rFonts w:ascii="Times New Roman" w:hAnsi="Times New Roman" w:eastAsia="Times New Roman"/>
          <w:spacing w:val="-2"/>
        </w:rPr>
        <w:t>125kV</w:t>
      </w:r>
      <w:r>
        <w:rPr>
          <w:spacing w:val="-2"/>
        </w:rPr>
        <w:t>，</w:t>
      </w:r>
      <w:r>
        <w:rPr>
          <w:spacing w:val="-117"/>
        </w:rPr>
        <w:t> </w:t>
      </w:r>
      <w:r>
        <w:rPr>
          <w:spacing w:val="-10"/>
        </w:rPr>
        <w:t>额定管电流为 </w:t>
      </w:r>
      <w:r>
        <w:rPr>
          <w:rFonts w:ascii="Times New Roman" w:hAnsi="Times New Roman" w:eastAsia="Times New Roman"/>
        </w:rPr>
        <w:t>1000mA</w:t>
      </w:r>
      <w:r>
        <w:rPr>
          <w:spacing w:val="-8"/>
        </w:rPr>
        <w:t>，年诊疗病例约 </w:t>
      </w:r>
      <w:r>
        <w:rPr>
          <w:rFonts w:ascii="Times New Roman" w:hAnsi="Times New Roman" w:eastAsia="Times New Roman"/>
        </w:rPr>
        <w:t>2150 </w:t>
      </w:r>
      <w:r>
        <w:rPr>
          <w:spacing w:val="-5"/>
        </w:rPr>
        <w:t>例，按照每台手术人均透视 </w:t>
      </w:r>
      <w:r>
        <w:rPr>
          <w:rFonts w:ascii="Times New Roman" w:hAnsi="Times New Roman" w:eastAsia="Times New Roman"/>
        </w:rPr>
        <w:t>9min</w:t>
      </w:r>
      <w:r>
        <w:rPr/>
        <w:t>，拍片</w:t>
      </w:r>
      <w:r>
        <w:rPr>
          <w:rFonts w:ascii="Times New Roman" w:hAnsi="Times New Roman" w:eastAsia="Times New Roman"/>
          <w:spacing w:val="-3"/>
        </w:rPr>
        <w:t>1min </w:t>
      </w:r>
      <w:r>
        <w:rPr>
          <w:spacing w:val="-3"/>
        </w:rPr>
        <w:t>计算，</w:t>
      </w:r>
      <w:r>
        <w:rPr>
          <w:rFonts w:ascii="Times New Roman" w:hAnsi="Times New Roman" w:eastAsia="Times New Roman"/>
          <w:spacing w:val="-2"/>
        </w:rPr>
        <w:t>DSA</w:t>
      </w:r>
      <w:r>
        <w:rPr>
          <w:rFonts w:ascii="Times New Roman" w:hAnsi="Times New Roman" w:eastAsia="Times New Roman"/>
          <w:spacing w:val="-1"/>
        </w:rPr>
        <w:t> </w:t>
      </w:r>
      <w:r>
        <w:rPr>
          <w:spacing w:val="-9"/>
        </w:rPr>
        <w:t>年曝光时间累计约 </w:t>
      </w:r>
      <w:r>
        <w:rPr>
          <w:rFonts w:ascii="Times New Roman" w:hAnsi="Times New Roman" w:eastAsia="Times New Roman"/>
          <w:spacing w:val="-2"/>
        </w:rPr>
        <w:t>216.6h</w:t>
      </w:r>
      <w:r>
        <w:rPr>
          <w:spacing w:val="-2"/>
        </w:rPr>
        <w:t>（</w:t>
      </w:r>
      <w:r>
        <w:rPr>
          <w:spacing w:val="-22"/>
        </w:rPr>
        <w:t>透视 </w:t>
      </w:r>
      <w:r>
        <w:rPr>
          <w:rFonts w:ascii="Times New Roman" w:hAnsi="Times New Roman" w:eastAsia="Times New Roman"/>
          <w:spacing w:val="-2"/>
        </w:rPr>
        <w:t>195h</w:t>
      </w:r>
      <w:r>
        <w:rPr>
          <w:spacing w:val="-17"/>
        </w:rPr>
        <w:t>，拍片 </w:t>
      </w:r>
      <w:r>
        <w:rPr>
          <w:rFonts w:ascii="Times New Roman" w:hAnsi="Times New Roman" w:eastAsia="Times New Roman"/>
          <w:spacing w:val="-2"/>
        </w:rPr>
        <w:t>21.6h</w:t>
      </w:r>
      <w:r>
        <w:rPr>
          <w:spacing w:val="-2"/>
        </w:rPr>
        <w:t>），曝光方向由下</w:t>
      </w:r>
      <w:r>
        <w:rPr/>
        <w:t>而上，主要用于介入治疗、血管造影等。</w:t>
      </w:r>
    </w:p>
    <w:p>
      <w:pPr>
        <w:pStyle w:val="BodyText"/>
        <w:spacing w:line="364" w:lineRule="auto" w:before="4"/>
        <w:ind w:left="222" w:right="223" w:firstLine="480"/>
        <w:jc w:val="both"/>
      </w:pPr>
      <w:r>
        <w:rPr>
          <w:rFonts w:ascii="Times New Roman" w:hAnsi="Times New Roman" w:eastAsia="Times New Roman"/>
          <w:spacing w:val="-1"/>
        </w:rPr>
        <w:t>D</w:t>
      </w:r>
      <w:r>
        <w:rPr>
          <w:rFonts w:ascii="Times New Roman" w:hAnsi="Times New Roman" w:eastAsia="Times New Roman"/>
        </w:rPr>
        <w:t>SA</w:t>
      </w:r>
      <w:r>
        <w:rPr>
          <w:rFonts w:ascii="Times New Roman" w:hAnsi="Times New Roman" w:eastAsia="Times New Roman"/>
          <w:spacing w:val="-1"/>
        </w:rPr>
        <w:t> </w:t>
      </w:r>
      <w:r>
        <w:rPr>
          <w:spacing w:val="-8"/>
        </w:rPr>
        <w:t>机房净空面积为 </w:t>
      </w:r>
      <w:r>
        <w:rPr>
          <w:rFonts w:ascii="Times New Roman" w:hAnsi="Times New Roman" w:eastAsia="Times New Roman"/>
        </w:rPr>
        <w:t>43.2</w:t>
      </w:r>
      <w:r>
        <w:rPr>
          <w:rFonts w:ascii="Times New Roman" w:hAnsi="Times New Roman" w:eastAsia="Times New Roman"/>
          <w:spacing w:val="-2"/>
        </w:rPr>
        <w:t>m</w:t>
      </w:r>
      <w:r>
        <w:rPr>
          <w:rFonts w:ascii="Times New Roman" w:hAnsi="Times New Roman" w:eastAsia="Times New Roman"/>
          <w:spacing w:val="1"/>
          <w:w w:val="104"/>
          <w:position w:val="8"/>
          <w:sz w:val="15"/>
        </w:rPr>
        <w:t>2</w:t>
      </w:r>
      <w:r>
        <w:rPr>
          <w:spacing w:val="-16"/>
        </w:rPr>
        <w:t>，呈长方形布置，净空尺寸长 </w:t>
      </w:r>
      <w:r>
        <w:rPr>
          <w:rFonts w:ascii="Times New Roman" w:hAnsi="Times New Roman" w:eastAsia="Times New Roman"/>
        </w:rPr>
        <w:t>7.632m</w:t>
      </w:r>
      <w:r>
        <w:rPr>
          <w:spacing w:val="-20"/>
        </w:rPr>
        <w:t>×宽 </w:t>
      </w:r>
      <w:r>
        <w:rPr>
          <w:rFonts w:ascii="Times New Roman" w:hAnsi="Times New Roman" w:eastAsia="Times New Roman"/>
        </w:rPr>
        <w:t>5.66</w:t>
      </w:r>
      <w:r>
        <w:rPr>
          <w:rFonts w:ascii="Times New Roman" w:hAnsi="Times New Roman" w:eastAsia="Times New Roman"/>
          <w:spacing w:val="-2"/>
        </w:rPr>
        <w:t>m</w:t>
      </w:r>
      <w:r>
        <w:rPr>
          <w:spacing w:val="-8"/>
        </w:rPr>
        <w:t>×高</w:t>
      </w:r>
      <w:r>
        <w:rPr/>
        <w:t> </w:t>
      </w:r>
      <w:r>
        <w:rPr>
          <w:rFonts w:ascii="Times New Roman" w:hAnsi="Times New Roman" w:eastAsia="Times New Roman"/>
          <w:spacing w:val="-1"/>
        </w:rPr>
        <w:t>4.5m</w:t>
      </w:r>
      <w:r>
        <w:rPr>
          <w:spacing w:val="-4"/>
        </w:rPr>
        <w:t>，将房间四周原墙体拆除，新建四周墙体为 </w:t>
      </w:r>
      <w:r>
        <w:rPr>
          <w:rFonts w:ascii="Times New Roman" w:hAnsi="Times New Roman" w:eastAsia="Times New Roman"/>
          <w:spacing w:val="-1"/>
        </w:rPr>
        <w:t>240mm </w:t>
      </w:r>
      <w:r>
        <w:rPr/>
        <w:t>厚实心砖墙</w:t>
      </w:r>
      <w:r>
        <w:rPr>
          <w:rFonts w:ascii="Times New Roman" w:hAnsi="Times New Roman" w:eastAsia="Times New Roman"/>
        </w:rPr>
        <w:t>+20mm</w:t>
      </w:r>
      <w:r>
        <w:rPr>
          <w:rFonts w:ascii="Times New Roman" w:hAnsi="Times New Roman" w:eastAsia="Times New Roman"/>
          <w:spacing w:val="-1"/>
        </w:rPr>
        <w:t> </w:t>
      </w:r>
      <w:r>
        <w:rPr/>
        <w:t>厚射线防</w:t>
      </w:r>
      <w:r>
        <w:rPr>
          <w:spacing w:val="-3"/>
        </w:rPr>
        <w:t>护复合微晶石板</w:t>
      </w:r>
      <w:r>
        <w:rPr>
          <w:spacing w:val="-2"/>
        </w:rPr>
        <w:t>（</w:t>
      </w:r>
      <w:r>
        <w:rPr>
          <w:spacing w:val="-22"/>
        </w:rPr>
        <w:t>折合 </w:t>
      </w:r>
      <w:r>
        <w:rPr>
          <w:rFonts w:ascii="Times New Roman" w:hAnsi="Times New Roman" w:eastAsia="Times New Roman"/>
          <w:spacing w:val="-2"/>
        </w:rPr>
        <w:t>4.9mm </w:t>
      </w:r>
      <w:r>
        <w:rPr>
          <w:spacing w:val="-2"/>
        </w:rPr>
        <w:t>铅当量）；</w:t>
      </w:r>
      <w:r>
        <w:rPr>
          <w:spacing w:val="-17"/>
        </w:rPr>
        <w:t>地面为 </w:t>
      </w:r>
      <w:r>
        <w:rPr>
          <w:rFonts w:ascii="Times New Roman" w:hAnsi="Times New Roman" w:eastAsia="Times New Roman"/>
          <w:spacing w:val="-2"/>
        </w:rPr>
        <w:t>150mm</w:t>
      </w:r>
      <w:r>
        <w:rPr>
          <w:rFonts w:ascii="Times New Roman" w:hAnsi="Times New Roman" w:eastAsia="Times New Roman"/>
        </w:rPr>
        <w:t> </w:t>
      </w:r>
      <w:r>
        <w:rPr>
          <w:spacing w:val="-2"/>
        </w:rPr>
        <w:t>厚混凝土</w:t>
      </w:r>
      <w:r>
        <w:rPr>
          <w:rFonts w:ascii="Times New Roman" w:hAnsi="Times New Roman" w:eastAsia="Times New Roman"/>
          <w:spacing w:val="-2"/>
        </w:rPr>
        <w:t>+30mm </w:t>
      </w:r>
      <w:r>
        <w:rPr>
          <w:spacing w:val="-2"/>
        </w:rPr>
        <w:t>厚、密度为</w:t>
      </w:r>
      <w:r>
        <w:rPr>
          <w:rFonts w:ascii="Times New Roman" w:hAnsi="Times New Roman" w:eastAsia="Times New Roman"/>
          <w:spacing w:val="-1"/>
        </w:rPr>
        <w:t>3.2g/cm</w:t>
      </w:r>
      <w:r>
        <w:rPr>
          <w:rFonts w:ascii="Times New Roman" w:hAnsi="Times New Roman" w:eastAsia="Times New Roman"/>
          <w:spacing w:val="-1"/>
          <w:position w:val="8"/>
          <w:sz w:val="15"/>
        </w:rPr>
        <w:t>3</w:t>
      </w:r>
      <w:r>
        <w:rPr>
          <w:rFonts w:ascii="Times New Roman" w:hAnsi="Times New Roman" w:eastAsia="Times New Roman"/>
          <w:spacing w:val="2"/>
          <w:position w:val="8"/>
          <w:sz w:val="15"/>
        </w:rPr>
        <w:t> </w:t>
      </w:r>
      <w:r>
        <w:rPr>
          <w:spacing w:val="-1"/>
        </w:rPr>
        <w:t>硫酸钡砂浆（</w:t>
      </w:r>
      <w:r>
        <w:rPr>
          <w:spacing w:val="-21"/>
        </w:rPr>
        <w:t>折合 </w:t>
      </w:r>
      <w:r>
        <w:rPr>
          <w:rFonts w:ascii="Times New Roman" w:hAnsi="Times New Roman" w:eastAsia="Times New Roman"/>
          <w:spacing w:val="-1"/>
        </w:rPr>
        <w:t>3.6mm</w:t>
      </w:r>
      <w:r>
        <w:rPr>
          <w:rFonts w:ascii="Times New Roman" w:hAnsi="Times New Roman" w:eastAsia="Times New Roman"/>
        </w:rPr>
        <w:t> </w:t>
      </w:r>
      <w:r>
        <w:rPr>
          <w:spacing w:val="-1"/>
        </w:rPr>
        <w:t>铅当量）</w:t>
      </w:r>
      <w:r>
        <w:rPr>
          <w:spacing w:val="-13"/>
        </w:rPr>
        <w:t>；顶部为 </w:t>
      </w:r>
      <w:r>
        <w:rPr>
          <w:rFonts w:ascii="Times New Roman" w:hAnsi="Times New Roman" w:eastAsia="Times New Roman"/>
        </w:rPr>
        <w:t>150mm</w:t>
      </w:r>
      <w:r>
        <w:rPr>
          <w:rFonts w:ascii="Times New Roman" w:hAnsi="Times New Roman" w:eastAsia="Times New Roman"/>
          <w:spacing w:val="-2"/>
        </w:rPr>
        <w:t> </w:t>
      </w:r>
      <w:r>
        <w:rPr/>
        <w:t>厚混凝土</w:t>
      </w:r>
      <w:r>
        <w:rPr>
          <w:rFonts w:ascii="Times New Roman" w:hAnsi="Times New Roman" w:eastAsia="Times New Roman"/>
        </w:rPr>
        <w:t>+20mm</w:t>
      </w:r>
      <w:r>
        <w:rPr>
          <w:rFonts w:ascii="Times New Roman" w:hAnsi="Times New Roman" w:eastAsia="Times New Roman"/>
          <w:spacing w:val="-1"/>
        </w:rPr>
        <w:t> </w:t>
      </w:r>
      <w:r>
        <w:rPr/>
        <w:t>厚射线</w:t>
      </w:r>
      <w:r>
        <w:rPr>
          <w:spacing w:val="-2"/>
        </w:rPr>
        <w:t>防护复合微晶石板（</w:t>
      </w:r>
      <w:r>
        <w:rPr>
          <w:spacing w:val="-22"/>
        </w:rPr>
        <w:t>折合 </w:t>
      </w:r>
      <w:r>
        <w:rPr>
          <w:rFonts w:ascii="Times New Roman" w:hAnsi="Times New Roman" w:eastAsia="Times New Roman"/>
          <w:spacing w:val="-2"/>
        </w:rPr>
        <w:t>4.5mm </w:t>
      </w:r>
      <w:r>
        <w:rPr>
          <w:spacing w:val="-2"/>
        </w:rPr>
        <w:t>铅当量）；楼上（</w:t>
      </w:r>
      <w:r>
        <w:rPr>
          <w:rFonts w:ascii="Times New Roman" w:hAnsi="Times New Roman" w:eastAsia="Times New Roman"/>
          <w:spacing w:val="-2"/>
        </w:rPr>
        <w:t>2</w:t>
      </w:r>
      <w:r>
        <w:rPr>
          <w:rFonts w:ascii="Times New Roman" w:hAnsi="Times New Roman" w:eastAsia="Times New Roman"/>
        </w:rPr>
        <w:t> </w:t>
      </w:r>
      <w:r>
        <w:rPr>
          <w:spacing w:val="-2"/>
        </w:rPr>
        <w:t>楼）为更衣室；楼下</w:t>
      </w:r>
      <w:r>
        <w:rPr>
          <w:spacing w:val="-1"/>
        </w:rPr>
        <w:t>（</w:t>
      </w:r>
      <w:r>
        <w:rPr>
          <w:rFonts w:ascii="Times New Roman" w:hAnsi="Times New Roman" w:eastAsia="Times New Roman"/>
          <w:spacing w:val="-1"/>
        </w:rPr>
        <w:t>-1</w:t>
      </w:r>
      <w:r>
        <w:rPr>
          <w:rFonts w:ascii="Times New Roman" w:hAnsi="Times New Roman" w:eastAsia="Times New Roman"/>
        </w:rPr>
        <w:t> </w:t>
      </w:r>
      <w:r>
        <w:rPr>
          <w:spacing w:val="-1"/>
        </w:rPr>
        <w:t>楼）为</w:t>
      </w:r>
      <w:r>
        <w:rPr>
          <w:spacing w:val="-2"/>
        </w:rPr>
        <w:t>预留变配电室；机房观察窗（</w:t>
      </w:r>
      <w:r>
        <w:rPr>
          <w:rFonts w:ascii="Times New Roman" w:hAnsi="Times New Roman" w:eastAsia="Times New Roman"/>
          <w:spacing w:val="-2"/>
        </w:rPr>
        <w:t>1</w:t>
      </w:r>
      <w:r>
        <w:rPr>
          <w:rFonts w:ascii="Times New Roman" w:hAnsi="Times New Roman" w:eastAsia="Times New Roman"/>
        </w:rPr>
        <w:t> </w:t>
      </w:r>
      <w:r>
        <w:rPr>
          <w:spacing w:val="-1"/>
        </w:rPr>
        <w:t>扇）</w:t>
      </w:r>
      <w:r>
        <w:rPr>
          <w:spacing w:val="-31"/>
        </w:rPr>
        <w:t>为 </w:t>
      </w:r>
      <w:r>
        <w:rPr>
          <w:rFonts w:ascii="Times New Roman" w:hAnsi="Times New Roman" w:eastAsia="Times New Roman"/>
          <w:spacing w:val="-1"/>
        </w:rPr>
        <w:t>4mm </w:t>
      </w:r>
      <w:r>
        <w:rPr>
          <w:spacing w:val="-1"/>
        </w:rPr>
        <w:t>铅当量的铅玻璃，防护铅门（</w:t>
      </w:r>
      <w:r>
        <w:rPr>
          <w:rFonts w:ascii="Times New Roman" w:hAnsi="Times New Roman" w:eastAsia="Times New Roman"/>
          <w:spacing w:val="-1"/>
        </w:rPr>
        <w:t>4</w:t>
      </w:r>
      <w:r>
        <w:rPr>
          <w:rFonts w:ascii="Times New Roman" w:hAnsi="Times New Roman" w:eastAsia="Times New Roman"/>
        </w:rPr>
        <w:t> </w:t>
      </w:r>
      <w:r>
        <w:rPr>
          <w:spacing w:val="-1"/>
        </w:rPr>
        <w:t>扇）均为</w:t>
      </w:r>
      <w:r>
        <w:rPr>
          <w:rFonts w:ascii="Times New Roman" w:hAnsi="Times New Roman" w:eastAsia="Times New Roman"/>
        </w:rPr>
        <w:t>4mm</w:t>
      </w:r>
      <w:r>
        <w:rPr>
          <w:rFonts w:ascii="Times New Roman" w:hAnsi="Times New Roman" w:eastAsia="Times New Roman"/>
          <w:spacing w:val="-2"/>
        </w:rPr>
        <w:t> </w:t>
      </w:r>
      <w:r>
        <w:rPr/>
        <w:t>铅当量。</w:t>
      </w:r>
    </w:p>
    <w:p>
      <w:pPr>
        <w:spacing w:after="0" w:line="364" w:lineRule="auto"/>
        <w:jc w:val="both"/>
        <w:sectPr>
          <w:pgSz w:w="11910" w:h="16840"/>
          <w:pgMar w:header="0" w:footer="1354" w:top="1420" w:bottom="1620" w:left="1340" w:right="12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7"/>
        <w:gridCol w:w="5760"/>
        <w:gridCol w:w="930"/>
        <w:gridCol w:w="1129"/>
      </w:tblGrid>
      <w:tr>
        <w:trPr>
          <w:trHeight w:val="935" w:hRule="atLeast"/>
        </w:trPr>
        <w:tc>
          <w:tcPr>
            <w:tcW w:w="9076" w:type="dxa"/>
            <w:gridSpan w:val="4"/>
            <w:tcBorders>
              <w:bottom w:val="single" w:sz="12" w:space="0" w:color="000000"/>
            </w:tcBorders>
          </w:tcPr>
          <w:p>
            <w:pPr>
              <w:pStyle w:val="TableParagraph"/>
              <w:spacing w:before="80"/>
              <w:ind w:left="588"/>
              <w:jc w:val="left"/>
              <w:rPr>
                <w:sz w:val="24"/>
              </w:rPr>
            </w:pPr>
            <w:r>
              <w:rPr>
                <w:spacing w:val="-16"/>
                <w:sz w:val="24"/>
              </w:rPr>
              <w:t>本项目 </w:t>
            </w:r>
            <w:r>
              <w:rPr>
                <w:rFonts w:ascii="Times New Roman" w:eastAsia="Times New Roman"/>
                <w:sz w:val="24"/>
              </w:rPr>
              <w:t>DSA</w:t>
            </w:r>
            <w:r>
              <w:rPr>
                <w:rFonts w:ascii="Times New Roman" w:eastAsia="Times New Roman"/>
                <w:spacing w:val="-1"/>
                <w:sz w:val="24"/>
              </w:rPr>
              <w:t> </w:t>
            </w:r>
            <w:r>
              <w:rPr>
                <w:spacing w:val="-3"/>
                <w:sz w:val="24"/>
              </w:rPr>
              <w:t>机房由原有房间改造而来，本项目组成及主要环境问题见表 </w:t>
            </w:r>
            <w:r>
              <w:rPr>
                <w:rFonts w:ascii="Times New Roman" w:eastAsia="Times New Roman"/>
                <w:sz w:val="24"/>
              </w:rPr>
              <w:t>1-1</w:t>
            </w:r>
            <w:r>
              <w:rPr>
                <w:sz w:val="24"/>
              </w:rPr>
              <w:t>。</w:t>
            </w:r>
          </w:p>
          <w:p>
            <w:pPr>
              <w:pStyle w:val="TableParagraph"/>
              <w:tabs>
                <w:tab w:pos="771" w:val="left" w:leader="none"/>
              </w:tabs>
              <w:spacing w:before="178"/>
              <w:ind w:left="20"/>
              <w:rPr>
                <w:sz w:val="21"/>
              </w:rPr>
            </w:pPr>
            <w:r>
              <w:rPr>
                <w:w w:val="95"/>
                <w:sz w:val="21"/>
              </w:rPr>
              <w:t>表</w:t>
            </w:r>
            <w:r>
              <w:rPr>
                <w:spacing w:val="-42"/>
                <w:w w:val="95"/>
                <w:sz w:val="21"/>
              </w:rPr>
              <w:t> </w:t>
            </w:r>
            <w:r>
              <w:rPr>
                <w:rFonts w:ascii="Times New Roman" w:eastAsia="Times New Roman"/>
                <w:b/>
                <w:w w:val="95"/>
                <w:sz w:val="21"/>
              </w:rPr>
              <w:t>1-1</w:t>
              <w:tab/>
            </w:r>
            <w:r>
              <w:rPr>
                <w:sz w:val="21"/>
              </w:rPr>
              <w:t>建设项目组成及主要的环境问题表</w:t>
            </w:r>
          </w:p>
        </w:tc>
      </w:tr>
      <w:tr>
        <w:trPr>
          <w:trHeight w:val="350" w:hRule="atLeast"/>
        </w:trPr>
        <w:tc>
          <w:tcPr>
            <w:tcW w:w="1257" w:type="dxa"/>
            <w:vMerge w:val="restart"/>
            <w:tcBorders>
              <w:top w:val="single" w:sz="12" w:space="0" w:color="000000"/>
              <w:bottom w:val="single" w:sz="12" w:space="0" w:color="000000"/>
            </w:tcBorders>
          </w:tcPr>
          <w:p>
            <w:pPr>
              <w:pStyle w:val="TableParagraph"/>
              <w:spacing w:before="6"/>
              <w:jc w:val="left"/>
              <w:rPr>
                <w:sz w:val="20"/>
              </w:rPr>
            </w:pPr>
          </w:p>
          <w:p>
            <w:pPr>
              <w:pStyle w:val="TableParagraph"/>
              <w:ind w:left="470"/>
              <w:jc w:val="left"/>
              <w:rPr>
                <w:sz w:val="21"/>
              </w:rPr>
            </w:pPr>
            <w:r>
              <w:rPr>
                <w:sz w:val="21"/>
              </w:rPr>
              <w:t>名称</w:t>
            </w:r>
          </w:p>
        </w:tc>
        <w:tc>
          <w:tcPr>
            <w:tcW w:w="5760" w:type="dxa"/>
            <w:vMerge w:val="restart"/>
            <w:tcBorders>
              <w:top w:val="single" w:sz="12" w:space="0" w:color="000000"/>
              <w:bottom w:val="single" w:sz="12" w:space="0" w:color="000000"/>
            </w:tcBorders>
          </w:tcPr>
          <w:p>
            <w:pPr>
              <w:pStyle w:val="TableParagraph"/>
              <w:spacing w:before="6"/>
              <w:jc w:val="left"/>
              <w:rPr>
                <w:sz w:val="20"/>
              </w:rPr>
            </w:pPr>
          </w:p>
          <w:p>
            <w:pPr>
              <w:pStyle w:val="TableParagraph"/>
              <w:ind w:left="2123" w:right="2117"/>
              <w:rPr>
                <w:sz w:val="21"/>
              </w:rPr>
            </w:pPr>
            <w:r>
              <w:rPr>
                <w:sz w:val="21"/>
              </w:rPr>
              <w:t>建设内容及规模</w:t>
            </w:r>
          </w:p>
        </w:tc>
        <w:tc>
          <w:tcPr>
            <w:tcW w:w="2059" w:type="dxa"/>
            <w:gridSpan w:val="2"/>
            <w:tcBorders>
              <w:top w:val="single" w:sz="12" w:space="0" w:color="000000"/>
            </w:tcBorders>
          </w:tcPr>
          <w:p>
            <w:pPr>
              <w:pStyle w:val="TableParagraph"/>
              <w:spacing w:line="252" w:lineRule="exact" w:before="78"/>
              <w:ind w:left="29"/>
              <w:jc w:val="left"/>
              <w:rPr>
                <w:sz w:val="21"/>
              </w:rPr>
            </w:pPr>
            <w:r>
              <w:rPr>
                <w:sz w:val="21"/>
              </w:rPr>
              <w:t>可能产生的环境问题</w:t>
            </w:r>
          </w:p>
        </w:tc>
      </w:tr>
      <w:tr>
        <w:trPr>
          <w:trHeight w:val="349" w:hRule="atLeast"/>
        </w:trPr>
        <w:tc>
          <w:tcPr>
            <w:tcW w:w="1257" w:type="dxa"/>
            <w:vMerge/>
            <w:tcBorders>
              <w:top w:val="nil"/>
              <w:bottom w:val="single" w:sz="12" w:space="0" w:color="000000"/>
            </w:tcBorders>
          </w:tcPr>
          <w:p>
            <w:pPr>
              <w:rPr>
                <w:sz w:val="2"/>
                <w:szCs w:val="2"/>
              </w:rPr>
            </w:pPr>
          </w:p>
        </w:tc>
        <w:tc>
          <w:tcPr>
            <w:tcW w:w="5760" w:type="dxa"/>
            <w:vMerge/>
            <w:tcBorders>
              <w:top w:val="nil"/>
              <w:bottom w:val="single" w:sz="12" w:space="0" w:color="000000"/>
            </w:tcBorders>
          </w:tcPr>
          <w:p>
            <w:pPr>
              <w:rPr>
                <w:sz w:val="2"/>
                <w:szCs w:val="2"/>
              </w:rPr>
            </w:pPr>
          </w:p>
        </w:tc>
        <w:tc>
          <w:tcPr>
            <w:tcW w:w="930" w:type="dxa"/>
            <w:tcBorders>
              <w:bottom w:val="single" w:sz="12" w:space="0" w:color="000000"/>
            </w:tcBorders>
          </w:tcPr>
          <w:p>
            <w:pPr>
              <w:pStyle w:val="TableParagraph"/>
              <w:spacing w:line="262" w:lineRule="exact" w:before="67"/>
              <w:ind w:left="149"/>
              <w:jc w:val="left"/>
              <w:rPr>
                <w:sz w:val="21"/>
              </w:rPr>
            </w:pPr>
            <w:r>
              <w:rPr>
                <w:sz w:val="21"/>
              </w:rPr>
              <w:t>施工期</w:t>
            </w:r>
          </w:p>
        </w:tc>
        <w:tc>
          <w:tcPr>
            <w:tcW w:w="1129" w:type="dxa"/>
            <w:tcBorders>
              <w:bottom w:val="single" w:sz="12" w:space="0" w:color="000000"/>
            </w:tcBorders>
          </w:tcPr>
          <w:p>
            <w:pPr>
              <w:pStyle w:val="TableParagraph"/>
              <w:spacing w:line="262" w:lineRule="exact" w:before="67"/>
              <w:ind w:left="68" w:right="168"/>
              <w:rPr>
                <w:sz w:val="21"/>
              </w:rPr>
            </w:pPr>
            <w:r>
              <w:rPr>
                <w:sz w:val="21"/>
              </w:rPr>
              <w:t>营运期</w:t>
            </w:r>
          </w:p>
        </w:tc>
      </w:tr>
      <w:tr>
        <w:trPr>
          <w:trHeight w:val="4368" w:hRule="atLeast"/>
        </w:trPr>
        <w:tc>
          <w:tcPr>
            <w:tcW w:w="1257" w:type="dxa"/>
            <w:tcBorders>
              <w:top w:val="single" w:sz="12" w:space="0" w:color="000000"/>
              <w:bottom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7"/>
              <w:jc w:val="left"/>
              <w:rPr>
                <w:sz w:val="22"/>
              </w:rPr>
            </w:pPr>
          </w:p>
          <w:p>
            <w:pPr>
              <w:pStyle w:val="TableParagraph"/>
              <w:ind w:right="145"/>
              <w:jc w:val="right"/>
              <w:rPr>
                <w:sz w:val="21"/>
              </w:rPr>
            </w:pPr>
            <w:r>
              <w:rPr>
                <w:sz w:val="21"/>
              </w:rPr>
              <w:t>主体工程</w:t>
            </w:r>
          </w:p>
        </w:tc>
        <w:tc>
          <w:tcPr>
            <w:tcW w:w="5760" w:type="dxa"/>
            <w:tcBorders>
              <w:top w:val="single" w:sz="12" w:space="0" w:color="000000"/>
              <w:bottom w:val="single" w:sz="6" w:space="0" w:color="000000"/>
            </w:tcBorders>
          </w:tcPr>
          <w:p>
            <w:pPr>
              <w:pStyle w:val="TableParagraph"/>
              <w:spacing w:line="278" w:lineRule="auto" w:before="21"/>
              <w:ind w:left="27" w:right="18" w:firstLine="420"/>
              <w:jc w:val="left"/>
              <w:rPr>
                <w:rFonts w:ascii="Times New Roman" w:hAnsi="Times New Roman" w:eastAsia="Times New Roman"/>
                <w:sz w:val="21"/>
              </w:rPr>
            </w:pPr>
            <w:r>
              <w:rPr>
                <w:spacing w:val="2"/>
                <w:w w:val="95"/>
                <w:sz w:val="21"/>
              </w:rPr>
              <w:t>在医技楼一层西北侧利用现有房间改造为 </w:t>
            </w:r>
            <w:r>
              <w:rPr>
                <w:rFonts w:ascii="Times New Roman" w:hAnsi="Times New Roman" w:eastAsia="Times New Roman"/>
                <w:w w:val="95"/>
                <w:sz w:val="21"/>
              </w:rPr>
              <w:t>DSA</w:t>
            </w:r>
            <w:r>
              <w:rPr>
                <w:rFonts w:ascii="Times New Roman" w:hAnsi="Times New Roman" w:eastAsia="Times New Roman"/>
                <w:spacing w:val="100"/>
                <w:sz w:val="21"/>
              </w:rPr>
              <w:t> </w:t>
            </w:r>
            <w:r>
              <w:rPr>
                <w:w w:val="95"/>
                <w:sz w:val="21"/>
              </w:rPr>
              <w:t>机房及相关</w:t>
            </w:r>
            <w:r>
              <w:rPr>
                <w:spacing w:val="-7"/>
                <w:w w:val="95"/>
                <w:sz w:val="21"/>
              </w:rPr>
              <w:t>配套房间，在改造后的 </w:t>
            </w:r>
            <w:r>
              <w:rPr>
                <w:rFonts w:ascii="Times New Roman" w:hAnsi="Times New Roman" w:eastAsia="Times New Roman"/>
                <w:w w:val="95"/>
                <w:sz w:val="21"/>
              </w:rPr>
              <w:t>DSA</w:t>
            </w:r>
            <w:r>
              <w:rPr>
                <w:rFonts w:ascii="Times New Roman" w:hAnsi="Times New Roman" w:eastAsia="Times New Roman"/>
                <w:spacing w:val="17"/>
                <w:w w:val="95"/>
                <w:sz w:val="21"/>
              </w:rPr>
              <w:t> </w:t>
            </w:r>
            <w:r>
              <w:rPr>
                <w:spacing w:val="1"/>
                <w:w w:val="95"/>
                <w:sz w:val="21"/>
              </w:rPr>
              <w:t>机房内新增 </w:t>
            </w:r>
            <w:r>
              <w:rPr>
                <w:rFonts w:ascii="Times New Roman" w:hAnsi="Times New Roman" w:eastAsia="Times New Roman"/>
                <w:w w:val="95"/>
                <w:sz w:val="21"/>
              </w:rPr>
              <w:t>1</w:t>
            </w:r>
            <w:r>
              <w:rPr>
                <w:rFonts w:ascii="Times New Roman" w:hAnsi="Times New Roman" w:eastAsia="Times New Roman"/>
                <w:spacing w:val="14"/>
                <w:w w:val="95"/>
                <w:sz w:val="21"/>
              </w:rPr>
              <w:t> </w:t>
            </w:r>
            <w:r>
              <w:rPr>
                <w:w w:val="95"/>
                <w:sz w:val="21"/>
              </w:rPr>
              <w:t>台数字减影血管造影</w:t>
            </w:r>
            <w:r>
              <w:rPr>
                <w:spacing w:val="15"/>
                <w:w w:val="95"/>
                <w:sz w:val="21"/>
              </w:rPr>
              <w:t>机，型号为 </w:t>
            </w:r>
            <w:r>
              <w:rPr>
                <w:rFonts w:ascii="Times New Roman" w:hAnsi="Times New Roman" w:eastAsia="Times New Roman"/>
                <w:w w:val="95"/>
                <w:sz w:val="21"/>
              </w:rPr>
              <w:t>Azurion7M20</w:t>
            </w:r>
            <w:r>
              <w:rPr>
                <w:w w:val="95"/>
                <w:sz w:val="21"/>
              </w:rPr>
              <w:t>，属于</w:t>
            </w:r>
            <w:r>
              <w:rPr>
                <w:rFonts w:ascii="Times New Roman" w:hAnsi="Times New Roman" w:eastAsia="Times New Roman"/>
                <w:w w:val="95"/>
                <w:sz w:val="21"/>
              </w:rPr>
              <w:t>Ⅱ</w:t>
            </w:r>
            <w:r>
              <w:rPr>
                <w:w w:val="95"/>
                <w:sz w:val="21"/>
              </w:rPr>
              <w:t>类射线装置，其额定管电压为 </w:t>
            </w:r>
            <w:r>
              <w:rPr>
                <w:rFonts w:ascii="Times New Roman" w:hAnsi="Times New Roman" w:eastAsia="Times New Roman"/>
                <w:w w:val="95"/>
                <w:sz w:val="21"/>
              </w:rPr>
              <w:t>125kV</w:t>
            </w:r>
            <w:r>
              <w:rPr>
                <w:w w:val="95"/>
                <w:sz w:val="21"/>
              </w:rPr>
              <w:t>，额定管电流为 </w:t>
            </w:r>
            <w:r>
              <w:rPr>
                <w:rFonts w:ascii="Times New Roman" w:hAnsi="Times New Roman" w:eastAsia="Times New Roman"/>
                <w:w w:val="95"/>
                <w:sz w:val="21"/>
              </w:rPr>
              <w:t>1000mA</w:t>
            </w:r>
            <w:r>
              <w:rPr>
                <w:w w:val="95"/>
                <w:sz w:val="21"/>
              </w:rPr>
              <w:t>，年累计曝光时间为 </w:t>
            </w:r>
            <w:r>
              <w:rPr>
                <w:rFonts w:ascii="Times New Roman" w:hAnsi="Times New Roman" w:eastAsia="Times New Roman"/>
                <w:w w:val="95"/>
                <w:sz w:val="21"/>
              </w:rPr>
              <w:t>216.6h</w:t>
            </w:r>
          </w:p>
          <w:p>
            <w:pPr>
              <w:pStyle w:val="TableParagraph"/>
              <w:spacing w:line="269" w:lineRule="exact"/>
              <w:ind w:left="27"/>
              <w:jc w:val="left"/>
              <w:rPr>
                <w:sz w:val="21"/>
              </w:rPr>
            </w:pPr>
            <w:r>
              <w:rPr>
                <w:w w:val="95"/>
                <w:sz w:val="21"/>
              </w:rPr>
              <w:t>（</w:t>
            </w:r>
            <w:r>
              <w:rPr>
                <w:spacing w:val="-5"/>
                <w:w w:val="95"/>
                <w:sz w:val="21"/>
              </w:rPr>
              <w:t>透视 </w:t>
            </w:r>
            <w:r>
              <w:rPr>
                <w:rFonts w:ascii="Times New Roman" w:eastAsia="Times New Roman"/>
                <w:w w:val="95"/>
                <w:sz w:val="21"/>
              </w:rPr>
              <w:t>195h</w:t>
            </w:r>
            <w:r>
              <w:rPr>
                <w:spacing w:val="-2"/>
                <w:w w:val="95"/>
                <w:sz w:val="21"/>
              </w:rPr>
              <w:t>，拍片 </w:t>
            </w:r>
            <w:r>
              <w:rPr>
                <w:rFonts w:ascii="Times New Roman" w:eastAsia="Times New Roman"/>
                <w:w w:val="95"/>
                <w:sz w:val="21"/>
              </w:rPr>
              <w:t>21.6h</w:t>
            </w:r>
            <w:r>
              <w:rPr>
                <w:w w:val="95"/>
                <w:sz w:val="21"/>
              </w:rPr>
              <w:t>）。</w:t>
            </w:r>
          </w:p>
          <w:p>
            <w:pPr>
              <w:pStyle w:val="TableParagraph"/>
              <w:spacing w:line="278" w:lineRule="auto" w:before="43"/>
              <w:ind w:left="27" w:right="18" w:firstLine="420"/>
              <w:jc w:val="both"/>
              <w:rPr>
                <w:sz w:val="21"/>
              </w:rPr>
            </w:pPr>
            <w:r>
              <w:rPr>
                <w:rFonts w:ascii="Times New Roman" w:hAnsi="Times New Roman" w:eastAsia="Times New Roman"/>
                <w:w w:val="95"/>
                <w:sz w:val="21"/>
              </w:rPr>
              <w:t>DSA</w:t>
            </w:r>
            <w:r>
              <w:rPr>
                <w:rFonts w:ascii="Times New Roman" w:hAnsi="Times New Roman" w:eastAsia="Times New Roman"/>
                <w:spacing w:val="50"/>
                <w:w w:val="95"/>
                <w:sz w:val="21"/>
              </w:rPr>
              <w:t> </w:t>
            </w:r>
            <w:r>
              <w:rPr>
                <w:spacing w:val="5"/>
                <w:w w:val="95"/>
                <w:sz w:val="21"/>
              </w:rPr>
              <w:t>机房净空面积为 </w:t>
            </w:r>
            <w:r>
              <w:rPr>
                <w:rFonts w:ascii="Times New Roman" w:hAnsi="Times New Roman" w:eastAsia="Times New Roman"/>
                <w:w w:val="95"/>
                <w:sz w:val="21"/>
              </w:rPr>
              <w:t>43.2m</w:t>
            </w:r>
            <w:r>
              <w:rPr>
                <w:rFonts w:ascii="Times New Roman" w:hAnsi="Times New Roman" w:eastAsia="Times New Roman"/>
                <w:w w:val="95"/>
                <w:sz w:val="21"/>
                <w:vertAlign w:val="superscript"/>
              </w:rPr>
              <w:t>2</w:t>
            </w:r>
            <w:r>
              <w:rPr>
                <w:w w:val="95"/>
                <w:sz w:val="21"/>
                <w:vertAlign w:val="baseline"/>
              </w:rPr>
              <w:t>，呈长方形布置，净空尺寸长</w:t>
            </w:r>
            <w:r>
              <w:rPr>
                <w:rFonts w:ascii="Times New Roman" w:hAnsi="Times New Roman" w:eastAsia="Times New Roman"/>
                <w:w w:val="95"/>
                <w:sz w:val="21"/>
                <w:vertAlign w:val="baseline"/>
              </w:rPr>
              <w:t>7.632m</w:t>
            </w:r>
            <w:r>
              <w:rPr>
                <w:spacing w:val="19"/>
                <w:w w:val="95"/>
                <w:sz w:val="21"/>
                <w:vertAlign w:val="baseline"/>
              </w:rPr>
              <w:t>×宽 </w:t>
            </w:r>
            <w:r>
              <w:rPr>
                <w:rFonts w:ascii="Times New Roman" w:hAnsi="Times New Roman" w:eastAsia="Times New Roman"/>
                <w:w w:val="95"/>
                <w:sz w:val="21"/>
                <w:vertAlign w:val="baseline"/>
              </w:rPr>
              <w:t>5.66m</w:t>
            </w:r>
            <w:r>
              <w:rPr>
                <w:spacing w:val="16"/>
                <w:w w:val="95"/>
                <w:sz w:val="21"/>
                <w:vertAlign w:val="baseline"/>
              </w:rPr>
              <w:t>×高 </w:t>
            </w:r>
            <w:r>
              <w:rPr>
                <w:rFonts w:ascii="Times New Roman" w:hAnsi="Times New Roman" w:eastAsia="Times New Roman"/>
                <w:w w:val="95"/>
                <w:sz w:val="21"/>
                <w:vertAlign w:val="baseline"/>
              </w:rPr>
              <w:t>4.5m</w:t>
            </w:r>
            <w:r>
              <w:rPr>
                <w:w w:val="95"/>
                <w:sz w:val="21"/>
                <w:vertAlign w:val="baseline"/>
              </w:rPr>
              <w:t>，将房间四周原墙体拆除，新建四</w:t>
            </w:r>
            <w:r>
              <w:rPr>
                <w:spacing w:val="2"/>
                <w:w w:val="95"/>
                <w:sz w:val="21"/>
                <w:vertAlign w:val="baseline"/>
              </w:rPr>
              <w:t>周墙体为 </w:t>
            </w:r>
            <w:r>
              <w:rPr>
                <w:rFonts w:ascii="Times New Roman" w:hAnsi="Times New Roman" w:eastAsia="Times New Roman"/>
                <w:w w:val="95"/>
                <w:sz w:val="21"/>
                <w:vertAlign w:val="baseline"/>
              </w:rPr>
              <w:t>240mm</w:t>
            </w:r>
            <w:r>
              <w:rPr>
                <w:rFonts w:ascii="Times New Roman" w:hAnsi="Times New Roman" w:eastAsia="Times New Roman"/>
                <w:spacing w:val="15"/>
                <w:w w:val="95"/>
                <w:sz w:val="21"/>
                <w:vertAlign w:val="baseline"/>
              </w:rPr>
              <w:t> </w:t>
            </w:r>
            <w:r>
              <w:rPr>
                <w:w w:val="95"/>
                <w:sz w:val="21"/>
                <w:vertAlign w:val="baseline"/>
              </w:rPr>
              <w:t>厚实心砖墙</w:t>
            </w:r>
            <w:r>
              <w:rPr>
                <w:rFonts w:ascii="Times New Roman" w:hAnsi="Times New Roman" w:eastAsia="Times New Roman"/>
                <w:w w:val="95"/>
                <w:sz w:val="21"/>
                <w:vertAlign w:val="baseline"/>
              </w:rPr>
              <w:t>+20mm</w:t>
            </w:r>
            <w:r>
              <w:rPr>
                <w:rFonts w:ascii="Times New Roman" w:hAnsi="Times New Roman" w:eastAsia="Times New Roman"/>
                <w:spacing w:val="21"/>
                <w:w w:val="95"/>
                <w:sz w:val="21"/>
                <w:vertAlign w:val="baseline"/>
              </w:rPr>
              <w:t> </w:t>
            </w:r>
            <w:r>
              <w:rPr>
                <w:w w:val="95"/>
                <w:sz w:val="21"/>
                <w:vertAlign w:val="baseline"/>
              </w:rPr>
              <w:t>厚射线防护复合微晶石板</w:t>
            </w:r>
          </w:p>
          <w:p>
            <w:pPr>
              <w:pStyle w:val="TableParagraph"/>
              <w:spacing w:line="278" w:lineRule="auto"/>
              <w:ind w:left="27" w:right="3"/>
              <w:jc w:val="left"/>
              <w:rPr>
                <w:sz w:val="21"/>
              </w:rPr>
            </w:pPr>
            <w:r>
              <w:rPr>
                <w:w w:val="95"/>
                <w:sz w:val="21"/>
              </w:rPr>
              <w:t>（</w:t>
            </w:r>
            <w:r>
              <w:rPr>
                <w:spacing w:val="-2"/>
                <w:w w:val="95"/>
                <w:sz w:val="21"/>
              </w:rPr>
              <w:t>折合 </w:t>
            </w:r>
            <w:r>
              <w:rPr>
                <w:rFonts w:ascii="Times New Roman" w:eastAsia="Times New Roman"/>
                <w:w w:val="95"/>
                <w:sz w:val="21"/>
              </w:rPr>
              <w:t>4.9mm</w:t>
            </w:r>
            <w:r>
              <w:rPr>
                <w:rFonts w:ascii="Times New Roman" w:eastAsia="Times New Roman"/>
                <w:spacing w:val="4"/>
                <w:w w:val="95"/>
                <w:sz w:val="21"/>
              </w:rPr>
              <w:t> </w:t>
            </w:r>
            <w:r>
              <w:rPr>
                <w:w w:val="95"/>
                <w:sz w:val="21"/>
              </w:rPr>
              <w:t>铅当量）；地面为 </w:t>
            </w:r>
            <w:r>
              <w:rPr>
                <w:rFonts w:ascii="Times New Roman" w:eastAsia="Times New Roman"/>
                <w:w w:val="95"/>
                <w:sz w:val="21"/>
              </w:rPr>
              <w:t>150mm</w:t>
            </w:r>
            <w:r>
              <w:rPr>
                <w:rFonts w:ascii="Times New Roman" w:eastAsia="Times New Roman"/>
                <w:spacing w:val="4"/>
                <w:w w:val="95"/>
                <w:sz w:val="21"/>
              </w:rPr>
              <w:t> </w:t>
            </w:r>
            <w:r>
              <w:rPr>
                <w:w w:val="95"/>
                <w:sz w:val="21"/>
              </w:rPr>
              <w:t>厚混凝土</w:t>
            </w:r>
            <w:r>
              <w:rPr>
                <w:rFonts w:ascii="Times New Roman" w:eastAsia="Times New Roman"/>
                <w:w w:val="95"/>
                <w:sz w:val="21"/>
              </w:rPr>
              <w:t>+30mm</w:t>
            </w:r>
            <w:r>
              <w:rPr>
                <w:rFonts w:ascii="Times New Roman" w:eastAsia="Times New Roman"/>
                <w:spacing w:val="4"/>
                <w:w w:val="95"/>
                <w:sz w:val="21"/>
              </w:rPr>
              <w:t> </w:t>
            </w:r>
            <w:r>
              <w:rPr>
                <w:w w:val="95"/>
                <w:sz w:val="21"/>
              </w:rPr>
              <w:t>厚、</w:t>
            </w:r>
            <w:r>
              <w:rPr>
                <w:spacing w:val="-4"/>
                <w:w w:val="95"/>
                <w:sz w:val="21"/>
              </w:rPr>
              <w:t>密度为 </w:t>
            </w:r>
            <w:r>
              <w:rPr>
                <w:rFonts w:ascii="Times New Roman" w:eastAsia="Times New Roman"/>
                <w:w w:val="95"/>
                <w:sz w:val="21"/>
              </w:rPr>
              <w:t>3.2g/cm</w:t>
            </w:r>
            <w:r>
              <w:rPr>
                <w:rFonts w:ascii="Times New Roman" w:eastAsia="Times New Roman"/>
                <w:w w:val="95"/>
                <w:sz w:val="21"/>
                <w:vertAlign w:val="superscript"/>
              </w:rPr>
              <w:t>3</w:t>
            </w:r>
            <w:r>
              <w:rPr>
                <w:rFonts w:ascii="Times New Roman" w:eastAsia="Times New Roman"/>
                <w:spacing w:val="1"/>
                <w:w w:val="95"/>
                <w:sz w:val="21"/>
                <w:vertAlign w:val="baseline"/>
              </w:rPr>
              <w:t> </w:t>
            </w:r>
            <w:r>
              <w:rPr>
                <w:w w:val="95"/>
                <w:sz w:val="21"/>
                <w:vertAlign w:val="baseline"/>
              </w:rPr>
              <w:t>硫酸钡砂浆（</w:t>
            </w:r>
            <w:r>
              <w:rPr>
                <w:spacing w:val="-5"/>
                <w:w w:val="95"/>
                <w:sz w:val="21"/>
                <w:vertAlign w:val="baseline"/>
              </w:rPr>
              <w:t>折合 </w:t>
            </w:r>
            <w:r>
              <w:rPr>
                <w:rFonts w:ascii="Times New Roman" w:eastAsia="Times New Roman"/>
                <w:w w:val="95"/>
                <w:sz w:val="21"/>
                <w:vertAlign w:val="baseline"/>
              </w:rPr>
              <w:t>3.6mm</w:t>
            </w:r>
            <w:r>
              <w:rPr>
                <w:rFonts w:ascii="Times New Roman" w:eastAsia="Times New Roman"/>
                <w:spacing w:val="41"/>
                <w:w w:val="95"/>
                <w:sz w:val="21"/>
                <w:vertAlign w:val="baseline"/>
              </w:rPr>
              <w:t> </w:t>
            </w:r>
            <w:r>
              <w:rPr>
                <w:w w:val="95"/>
                <w:sz w:val="21"/>
                <w:vertAlign w:val="baseline"/>
              </w:rPr>
              <w:t>铅当量）；顶部为</w:t>
            </w:r>
            <w:r>
              <w:rPr>
                <w:rFonts w:ascii="Times New Roman" w:eastAsia="Times New Roman"/>
                <w:w w:val="95"/>
                <w:sz w:val="21"/>
                <w:vertAlign w:val="baseline"/>
              </w:rPr>
              <w:t>150mm</w:t>
            </w:r>
            <w:r>
              <w:rPr>
                <w:rFonts w:ascii="Times New Roman" w:eastAsia="Times New Roman"/>
                <w:spacing w:val="25"/>
                <w:w w:val="95"/>
                <w:sz w:val="21"/>
                <w:vertAlign w:val="baseline"/>
              </w:rPr>
              <w:t> </w:t>
            </w:r>
            <w:r>
              <w:rPr>
                <w:w w:val="95"/>
                <w:sz w:val="21"/>
                <w:vertAlign w:val="baseline"/>
              </w:rPr>
              <w:t>厚混凝土</w:t>
            </w:r>
            <w:r>
              <w:rPr>
                <w:rFonts w:ascii="Times New Roman" w:eastAsia="Times New Roman"/>
                <w:w w:val="95"/>
                <w:sz w:val="21"/>
                <w:vertAlign w:val="baseline"/>
              </w:rPr>
              <w:t>+20mm</w:t>
            </w:r>
            <w:r>
              <w:rPr>
                <w:rFonts w:ascii="Times New Roman" w:eastAsia="Times New Roman"/>
                <w:spacing w:val="24"/>
                <w:w w:val="95"/>
                <w:sz w:val="21"/>
                <w:vertAlign w:val="baseline"/>
              </w:rPr>
              <w:t> </w:t>
            </w:r>
            <w:r>
              <w:rPr>
                <w:spacing w:val="-10"/>
                <w:w w:val="95"/>
                <w:sz w:val="21"/>
                <w:vertAlign w:val="baseline"/>
              </w:rPr>
              <w:t>厚射线防护复合微晶石板</w:t>
            </w:r>
            <w:r>
              <w:rPr>
                <w:w w:val="95"/>
                <w:sz w:val="21"/>
                <w:vertAlign w:val="baseline"/>
              </w:rPr>
              <w:t>（</w:t>
            </w:r>
            <w:r>
              <w:rPr>
                <w:spacing w:val="6"/>
                <w:w w:val="95"/>
                <w:sz w:val="21"/>
                <w:vertAlign w:val="baseline"/>
              </w:rPr>
              <w:t>折合 </w:t>
            </w:r>
            <w:r>
              <w:rPr>
                <w:rFonts w:ascii="Times New Roman" w:eastAsia="Times New Roman"/>
                <w:w w:val="95"/>
                <w:sz w:val="21"/>
                <w:vertAlign w:val="baseline"/>
              </w:rPr>
              <w:t>4.5mm</w:t>
            </w:r>
            <w:r>
              <w:rPr>
                <w:rFonts w:ascii="Times New Roman" w:eastAsia="Times New Roman"/>
                <w:spacing w:val="1"/>
                <w:w w:val="95"/>
                <w:sz w:val="21"/>
                <w:vertAlign w:val="baseline"/>
              </w:rPr>
              <w:t> </w:t>
            </w:r>
            <w:r>
              <w:rPr>
                <w:sz w:val="21"/>
                <w:vertAlign w:val="baseline"/>
              </w:rPr>
              <w:t>铅当量）；楼上（</w:t>
            </w:r>
            <w:r>
              <w:rPr>
                <w:rFonts w:ascii="Times New Roman" w:eastAsia="Times New Roman"/>
                <w:sz w:val="21"/>
                <w:vertAlign w:val="baseline"/>
              </w:rPr>
              <w:t>2</w:t>
            </w:r>
            <w:r>
              <w:rPr>
                <w:rFonts w:ascii="Times New Roman" w:eastAsia="Times New Roman"/>
                <w:spacing w:val="-4"/>
                <w:sz w:val="21"/>
                <w:vertAlign w:val="baseline"/>
              </w:rPr>
              <w:t> </w:t>
            </w:r>
            <w:r>
              <w:rPr>
                <w:sz w:val="21"/>
                <w:vertAlign w:val="baseline"/>
              </w:rPr>
              <w:t>楼）为更衣室；楼下（</w:t>
            </w:r>
            <w:r>
              <w:rPr>
                <w:rFonts w:ascii="Times New Roman" w:eastAsia="Times New Roman"/>
                <w:sz w:val="21"/>
                <w:vertAlign w:val="baseline"/>
              </w:rPr>
              <w:t>-1</w:t>
            </w:r>
            <w:r>
              <w:rPr>
                <w:rFonts w:ascii="Times New Roman" w:eastAsia="Times New Roman"/>
                <w:spacing w:val="-3"/>
                <w:sz w:val="21"/>
                <w:vertAlign w:val="baseline"/>
              </w:rPr>
              <w:t> </w:t>
            </w:r>
            <w:r>
              <w:rPr>
                <w:sz w:val="21"/>
                <w:vertAlign w:val="baseline"/>
              </w:rPr>
              <w:t>楼）为预留变配</w:t>
            </w:r>
            <w:r>
              <w:rPr>
                <w:w w:val="95"/>
                <w:sz w:val="21"/>
                <w:vertAlign w:val="baseline"/>
              </w:rPr>
              <w:t>电室；机房观察窗（</w:t>
            </w:r>
            <w:r>
              <w:rPr>
                <w:rFonts w:ascii="Times New Roman" w:eastAsia="Times New Roman"/>
                <w:w w:val="95"/>
                <w:sz w:val="21"/>
                <w:vertAlign w:val="baseline"/>
              </w:rPr>
              <w:t>1</w:t>
            </w:r>
            <w:r>
              <w:rPr>
                <w:rFonts w:ascii="Times New Roman" w:eastAsia="Times New Roman"/>
                <w:spacing w:val="19"/>
                <w:w w:val="95"/>
                <w:sz w:val="21"/>
                <w:vertAlign w:val="baseline"/>
              </w:rPr>
              <w:t> </w:t>
            </w:r>
            <w:r>
              <w:rPr>
                <w:w w:val="95"/>
                <w:sz w:val="21"/>
                <w:vertAlign w:val="baseline"/>
              </w:rPr>
              <w:t>扇）</w:t>
            </w:r>
            <w:r>
              <w:rPr>
                <w:spacing w:val="7"/>
                <w:w w:val="95"/>
                <w:sz w:val="21"/>
                <w:vertAlign w:val="baseline"/>
              </w:rPr>
              <w:t>为 </w:t>
            </w:r>
            <w:r>
              <w:rPr>
                <w:rFonts w:ascii="Times New Roman" w:eastAsia="Times New Roman"/>
                <w:w w:val="95"/>
                <w:sz w:val="21"/>
                <w:vertAlign w:val="baseline"/>
              </w:rPr>
              <w:t>4mm</w:t>
            </w:r>
            <w:r>
              <w:rPr>
                <w:rFonts w:ascii="Times New Roman" w:eastAsia="Times New Roman"/>
                <w:spacing w:val="24"/>
                <w:w w:val="95"/>
                <w:sz w:val="21"/>
                <w:vertAlign w:val="baseline"/>
              </w:rPr>
              <w:t> </w:t>
            </w:r>
            <w:r>
              <w:rPr>
                <w:w w:val="95"/>
                <w:sz w:val="21"/>
                <w:vertAlign w:val="baseline"/>
              </w:rPr>
              <w:t>铅当量的铅玻璃，防护铅门</w:t>
            </w:r>
          </w:p>
          <w:p>
            <w:pPr>
              <w:pStyle w:val="TableParagraph"/>
              <w:spacing w:line="269" w:lineRule="exact"/>
              <w:ind w:left="27"/>
              <w:jc w:val="left"/>
              <w:rPr>
                <w:sz w:val="21"/>
              </w:rPr>
            </w:pPr>
            <w:r>
              <w:rPr>
                <w:w w:val="95"/>
                <w:sz w:val="21"/>
              </w:rPr>
              <w:t>（</w:t>
            </w:r>
            <w:r>
              <w:rPr>
                <w:rFonts w:ascii="Times New Roman" w:eastAsia="Times New Roman"/>
                <w:w w:val="95"/>
                <w:sz w:val="21"/>
              </w:rPr>
              <w:t>4</w:t>
            </w:r>
            <w:r>
              <w:rPr>
                <w:rFonts w:ascii="Times New Roman" w:eastAsia="Times New Roman"/>
                <w:spacing w:val="26"/>
                <w:w w:val="95"/>
                <w:sz w:val="21"/>
              </w:rPr>
              <w:t> </w:t>
            </w:r>
            <w:r>
              <w:rPr>
                <w:w w:val="95"/>
                <w:sz w:val="21"/>
              </w:rPr>
              <w:t>扇）</w:t>
            </w:r>
            <w:r>
              <w:rPr>
                <w:spacing w:val="-6"/>
                <w:w w:val="95"/>
                <w:sz w:val="21"/>
              </w:rPr>
              <w:t>均为 </w:t>
            </w:r>
            <w:r>
              <w:rPr>
                <w:rFonts w:ascii="Times New Roman" w:eastAsia="Times New Roman"/>
                <w:w w:val="95"/>
                <w:sz w:val="21"/>
              </w:rPr>
              <w:t>4mm</w:t>
            </w:r>
            <w:r>
              <w:rPr>
                <w:rFonts w:ascii="Times New Roman" w:eastAsia="Times New Roman"/>
                <w:spacing w:val="28"/>
                <w:w w:val="95"/>
                <w:sz w:val="21"/>
              </w:rPr>
              <w:t> </w:t>
            </w:r>
            <w:r>
              <w:rPr>
                <w:w w:val="95"/>
                <w:sz w:val="21"/>
              </w:rPr>
              <w:t>铅当量。</w:t>
            </w:r>
          </w:p>
        </w:tc>
        <w:tc>
          <w:tcPr>
            <w:tcW w:w="930" w:type="dxa"/>
            <w:vMerge w:val="restart"/>
            <w:tcBorders>
              <w:top w:val="single" w:sz="12"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24"/>
              </w:rPr>
            </w:pPr>
          </w:p>
          <w:p>
            <w:pPr>
              <w:pStyle w:val="TableParagraph"/>
              <w:spacing w:line="321" w:lineRule="auto"/>
              <w:ind w:left="27" w:right="-101"/>
              <w:jc w:val="left"/>
              <w:rPr>
                <w:sz w:val="21"/>
              </w:rPr>
            </w:pPr>
            <w:r>
              <w:rPr>
                <w:spacing w:val="9"/>
                <w:sz w:val="21"/>
              </w:rPr>
              <w:t>噪声、扬</w:t>
            </w:r>
            <w:r>
              <w:rPr>
                <w:spacing w:val="-15"/>
                <w:sz w:val="21"/>
              </w:rPr>
              <w:t>尘、废水、</w:t>
            </w:r>
            <w:r>
              <w:rPr>
                <w:sz w:val="21"/>
              </w:rPr>
              <w:t>固体废物</w:t>
            </w:r>
          </w:p>
        </w:tc>
        <w:tc>
          <w:tcPr>
            <w:tcW w:w="1129" w:type="dxa"/>
            <w:tcBorders>
              <w:top w:val="single" w:sz="12" w:space="0" w:color="000000"/>
              <w:bottom w:val="single" w:sz="6"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20"/>
              </w:rPr>
            </w:pPr>
          </w:p>
          <w:p>
            <w:pPr>
              <w:pStyle w:val="TableParagraph"/>
              <w:spacing w:line="321" w:lineRule="auto"/>
              <w:ind w:left="198" w:right="296"/>
              <w:rPr>
                <w:sz w:val="21"/>
              </w:rPr>
            </w:pPr>
            <w:r>
              <w:rPr>
                <w:rFonts w:ascii="Times New Roman" w:eastAsia="Times New Roman"/>
                <w:spacing w:val="-1"/>
                <w:sz w:val="21"/>
              </w:rPr>
              <w:t>X</w:t>
            </w:r>
            <w:r>
              <w:rPr>
                <w:rFonts w:ascii="Times New Roman" w:eastAsia="Times New Roman"/>
                <w:spacing w:val="-12"/>
                <w:sz w:val="21"/>
              </w:rPr>
              <w:t> </w:t>
            </w:r>
            <w:r>
              <w:rPr>
                <w:spacing w:val="-1"/>
                <w:sz w:val="21"/>
              </w:rPr>
              <w:t>射线</w:t>
            </w:r>
            <w:r>
              <w:rPr>
                <w:sz w:val="21"/>
              </w:rPr>
              <w:t>臭氧噪声</w:t>
            </w:r>
          </w:p>
          <w:p>
            <w:pPr>
              <w:pStyle w:val="TableParagraph"/>
              <w:spacing w:line="267" w:lineRule="exact"/>
              <w:ind w:left="71" w:right="168"/>
              <w:rPr>
                <w:sz w:val="21"/>
              </w:rPr>
            </w:pPr>
            <w:r>
              <w:rPr>
                <w:sz w:val="21"/>
              </w:rPr>
              <w:t>医疗废物</w:t>
            </w:r>
          </w:p>
        </w:tc>
      </w:tr>
      <w:tr>
        <w:trPr>
          <w:trHeight w:val="936" w:hRule="atLeast"/>
        </w:trPr>
        <w:tc>
          <w:tcPr>
            <w:tcW w:w="1257" w:type="dxa"/>
            <w:tcBorders>
              <w:top w:val="single" w:sz="6" w:space="0" w:color="000000"/>
              <w:bottom w:val="single" w:sz="6" w:space="0" w:color="000000"/>
            </w:tcBorders>
          </w:tcPr>
          <w:p>
            <w:pPr>
              <w:pStyle w:val="TableParagraph"/>
              <w:spacing w:before="7"/>
              <w:jc w:val="left"/>
              <w:rPr>
                <w:sz w:val="28"/>
              </w:rPr>
            </w:pPr>
          </w:p>
          <w:p>
            <w:pPr>
              <w:pStyle w:val="TableParagraph"/>
              <w:ind w:right="145"/>
              <w:jc w:val="right"/>
              <w:rPr>
                <w:sz w:val="21"/>
              </w:rPr>
            </w:pPr>
            <w:r>
              <w:rPr>
                <w:sz w:val="21"/>
              </w:rPr>
              <w:t>辅助工程</w:t>
            </w:r>
          </w:p>
        </w:tc>
        <w:tc>
          <w:tcPr>
            <w:tcW w:w="5760" w:type="dxa"/>
            <w:tcBorders>
              <w:top w:val="single" w:sz="6" w:space="0" w:color="000000"/>
              <w:bottom w:val="single" w:sz="6" w:space="0" w:color="000000"/>
            </w:tcBorders>
          </w:tcPr>
          <w:p>
            <w:pPr>
              <w:pStyle w:val="TableParagraph"/>
              <w:spacing w:line="278" w:lineRule="auto" w:before="20"/>
              <w:ind w:left="27" w:right="15" w:firstLine="420"/>
              <w:jc w:val="left"/>
              <w:rPr>
                <w:sz w:val="21"/>
              </w:rPr>
            </w:pPr>
            <w:r>
              <w:rPr>
                <w:w w:val="95"/>
                <w:sz w:val="21"/>
              </w:rPr>
              <w:t>操作间、设备间、医生通道、病人通道、病人等候区、洁</w:t>
            </w:r>
            <w:r>
              <w:rPr>
                <w:spacing w:val="2"/>
                <w:w w:val="95"/>
                <w:sz w:val="21"/>
              </w:rPr>
              <w:t> </w:t>
            </w:r>
            <w:r>
              <w:rPr>
                <w:w w:val="95"/>
                <w:sz w:val="21"/>
              </w:rPr>
              <w:t>静通道、男女更衣室、后处理室、值班室、污物通道、休息办</w:t>
            </w:r>
          </w:p>
          <w:p>
            <w:pPr>
              <w:pStyle w:val="TableParagraph"/>
              <w:spacing w:line="269" w:lineRule="exact"/>
              <w:ind w:left="27"/>
              <w:jc w:val="left"/>
              <w:rPr>
                <w:sz w:val="21"/>
              </w:rPr>
            </w:pPr>
            <w:r>
              <w:rPr>
                <w:sz w:val="21"/>
              </w:rPr>
              <w:t>公室仓库等。</w:t>
            </w:r>
          </w:p>
        </w:tc>
        <w:tc>
          <w:tcPr>
            <w:tcW w:w="930" w:type="dxa"/>
            <w:vMerge/>
            <w:tcBorders>
              <w:top w:val="nil"/>
            </w:tcBorders>
          </w:tcPr>
          <w:p>
            <w:pPr>
              <w:rPr>
                <w:sz w:val="2"/>
                <w:szCs w:val="2"/>
              </w:rPr>
            </w:pPr>
          </w:p>
        </w:tc>
        <w:tc>
          <w:tcPr>
            <w:tcW w:w="1129" w:type="dxa"/>
            <w:vMerge w:val="restart"/>
            <w:tcBorders>
              <w:top w:val="single" w:sz="6" w:space="0" w:color="000000"/>
            </w:tcBorders>
          </w:tcPr>
          <w:p>
            <w:pPr>
              <w:pStyle w:val="TableParagraph"/>
              <w:jc w:val="left"/>
              <w:rPr>
                <w:sz w:val="20"/>
              </w:rPr>
            </w:pPr>
          </w:p>
          <w:p>
            <w:pPr>
              <w:pStyle w:val="TableParagraph"/>
              <w:spacing w:before="5"/>
              <w:jc w:val="left"/>
              <w:rPr>
                <w:sz w:val="19"/>
              </w:rPr>
            </w:pPr>
          </w:p>
          <w:p>
            <w:pPr>
              <w:pStyle w:val="TableParagraph"/>
              <w:spacing w:line="321" w:lineRule="auto"/>
              <w:ind w:left="299" w:right="126" w:hanging="272"/>
              <w:jc w:val="left"/>
              <w:rPr>
                <w:sz w:val="21"/>
              </w:rPr>
            </w:pPr>
            <w:r>
              <w:rPr>
                <w:spacing w:val="-19"/>
                <w:sz w:val="21"/>
              </w:rPr>
              <w:t>废水、固体</w:t>
            </w:r>
            <w:r>
              <w:rPr>
                <w:sz w:val="21"/>
              </w:rPr>
              <w:t>废物</w:t>
            </w:r>
          </w:p>
        </w:tc>
      </w:tr>
      <w:tr>
        <w:trPr>
          <w:trHeight w:val="624" w:hRule="atLeast"/>
        </w:trPr>
        <w:tc>
          <w:tcPr>
            <w:tcW w:w="1257" w:type="dxa"/>
            <w:tcBorders>
              <w:top w:val="single" w:sz="6" w:space="0" w:color="000000"/>
            </w:tcBorders>
          </w:tcPr>
          <w:p>
            <w:pPr>
              <w:pStyle w:val="TableParagraph"/>
              <w:spacing w:before="4"/>
              <w:jc w:val="left"/>
              <w:rPr>
                <w:sz w:val="16"/>
              </w:rPr>
            </w:pPr>
          </w:p>
          <w:p>
            <w:pPr>
              <w:pStyle w:val="TableParagraph"/>
              <w:ind w:right="145"/>
              <w:jc w:val="right"/>
              <w:rPr>
                <w:sz w:val="21"/>
              </w:rPr>
            </w:pPr>
            <w:r>
              <w:rPr>
                <w:sz w:val="21"/>
              </w:rPr>
              <w:t>公用工程</w:t>
            </w:r>
          </w:p>
        </w:tc>
        <w:tc>
          <w:tcPr>
            <w:tcW w:w="5760" w:type="dxa"/>
            <w:tcBorders>
              <w:top w:val="single" w:sz="6" w:space="0" w:color="000000"/>
            </w:tcBorders>
          </w:tcPr>
          <w:p>
            <w:pPr>
              <w:pStyle w:val="TableParagraph"/>
              <w:spacing w:before="22"/>
              <w:ind w:left="447" w:right="-87"/>
              <w:jc w:val="left"/>
              <w:rPr>
                <w:sz w:val="21"/>
              </w:rPr>
            </w:pPr>
            <w:r>
              <w:rPr>
                <w:w w:val="95"/>
                <w:sz w:val="21"/>
              </w:rPr>
              <w:t>垃圾房、污水处理站等、市政水网、市政电网、配电系统、</w:t>
            </w:r>
          </w:p>
          <w:p>
            <w:pPr>
              <w:pStyle w:val="TableParagraph"/>
              <w:spacing w:before="43"/>
              <w:ind w:left="27"/>
              <w:jc w:val="left"/>
              <w:rPr>
                <w:sz w:val="21"/>
              </w:rPr>
            </w:pPr>
            <w:r>
              <w:rPr>
                <w:sz w:val="21"/>
              </w:rPr>
              <w:t>通风系统、通讯系统等。</w:t>
            </w:r>
          </w:p>
        </w:tc>
        <w:tc>
          <w:tcPr>
            <w:tcW w:w="930" w:type="dxa"/>
            <w:vMerge/>
            <w:tcBorders>
              <w:top w:val="nil"/>
            </w:tcBorders>
          </w:tcPr>
          <w:p>
            <w:pPr>
              <w:rPr>
                <w:sz w:val="2"/>
                <w:szCs w:val="2"/>
              </w:rPr>
            </w:pPr>
          </w:p>
        </w:tc>
        <w:tc>
          <w:tcPr>
            <w:tcW w:w="1129" w:type="dxa"/>
            <w:vMerge/>
            <w:tcBorders>
              <w:top w:val="nil"/>
            </w:tcBorders>
          </w:tcPr>
          <w:p>
            <w:pPr>
              <w:rPr>
                <w:sz w:val="2"/>
                <w:szCs w:val="2"/>
              </w:rPr>
            </w:pPr>
          </w:p>
        </w:tc>
      </w:tr>
      <w:tr>
        <w:trPr>
          <w:trHeight w:val="720" w:hRule="atLeast"/>
        </w:trPr>
        <w:tc>
          <w:tcPr>
            <w:tcW w:w="1257" w:type="dxa"/>
          </w:tcPr>
          <w:p>
            <w:pPr>
              <w:pStyle w:val="TableParagraph"/>
              <w:spacing w:line="360" w:lineRule="exact"/>
              <w:ind w:left="499" w:right="39" w:hanging="315"/>
              <w:jc w:val="left"/>
              <w:rPr>
                <w:sz w:val="21"/>
              </w:rPr>
            </w:pPr>
            <w:r>
              <w:rPr>
                <w:spacing w:val="-7"/>
                <w:sz w:val="21"/>
              </w:rPr>
              <w:t>办公及生活</w:t>
            </w:r>
            <w:r>
              <w:rPr>
                <w:sz w:val="21"/>
              </w:rPr>
              <w:t>设施</w:t>
            </w:r>
          </w:p>
        </w:tc>
        <w:tc>
          <w:tcPr>
            <w:tcW w:w="5760" w:type="dxa"/>
          </w:tcPr>
          <w:p>
            <w:pPr>
              <w:pStyle w:val="TableParagraph"/>
              <w:spacing w:before="7"/>
              <w:jc w:val="left"/>
              <w:rPr>
                <w:sz w:val="17"/>
              </w:rPr>
            </w:pPr>
          </w:p>
          <w:p>
            <w:pPr>
              <w:pStyle w:val="TableParagraph"/>
              <w:ind w:left="2123" w:right="2117"/>
              <w:rPr>
                <w:sz w:val="21"/>
              </w:rPr>
            </w:pPr>
            <w:r>
              <w:rPr>
                <w:sz w:val="21"/>
              </w:rPr>
              <w:t>办公室、连廊等</w:t>
            </w:r>
          </w:p>
        </w:tc>
        <w:tc>
          <w:tcPr>
            <w:tcW w:w="930" w:type="dxa"/>
            <w:vMerge/>
            <w:tcBorders>
              <w:top w:val="nil"/>
            </w:tcBorders>
          </w:tcPr>
          <w:p>
            <w:pPr>
              <w:rPr>
                <w:sz w:val="2"/>
                <w:szCs w:val="2"/>
              </w:rPr>
            </w:pPr>
          </w:p>
        </w:tc>
        <w:tc>
          <w:tcPr>
            <w:tcW w:w="1129" w:type="dxa"/>
          </w:tcPr>
          <w:p>
            <w:pPr>
              <w:pStyle w:val="TableParagraph"/>
              <w:spacing w:before="2"/>
              <w:jc w:val="left"/>
              <w:rPr>
                <w:sz w:val="20"/>
              </w:rPr>
            </w:pPr>
          </w:p>
          <w:p>
            <w:pPr>
              <w:pStyle w:val="TableParagraph"/>
              <w:spacing w:before="1"/>
              <w:ind w:left="71" w:right="168"/>
              <w:rPr>
                <w:sz w:val="21"/>
              </w:rPr>
            </w:pPr>
            <w:r>
              <w:rPr>
                <w:sz w:val="21"/>
              </w:rPr>
              <w:t>生活垃圾</w:t>
            </w:r>
          </w:p>
        </w:tc>
      </w:tr>
      <w:tr>
        <w:trPr>
          <w:trHeight w:val="1124" w:hRule="atLeast"/>
        </w:trPr>
        <w:tc>
          <w:tcPr>
            <w:tcW w:w="1257" w:type="dxa"/>
            <w:tcBorders>
              <w:bottom w:val="thinThickMediumGap" w:sz="6" w:space="0" w:color="000000"/>
            </w:tcBorders>
          </w:tcPr>
          <w:p>
            <w:pPr>
              <w:pStyle w:val="TableParagraph"/>
              <w:jc w:val="left"/>
              <w:rPr>
                <w:sz w:val="20"/>
              </w:rPr>
            </w:pPr>
          </w:p>
          <w:p>
            <w:pPr>
              <w:pStyle w:val="TableParagraph"/>
              <w:spacing w:before="170"/>
              <w:ind w:right="145"/>
              <w:jc w:val="right"/>
              <w:rPr>
                <w:sz w:val="21"/>
              </w:rPr>
            </w:pPr>
            <w:r>
              <w:rPr>
                <w:sz w:val="21"/>
              </w:rPr>
              <w:t>环保工程</w:t>
            </w:r>
          </w:p>
        </w:tc>
        <w:tc>
          <w:tcPr>
            <w:tcW w:w="5760" w:type="dxa"/>
            <w:tcBorders>
              <w:bottom w:val="thinThickMediumGap" w:sz="6" w:space="0" w:color="000000"/>
            </w:tcBorders>
          </w:tcPr>
          <w:p>
            <w:pPr>
              <w:pStyle w:val="TableParagraph"/>
              <w:spacing w:before="52"/>
              <w:ind w:left="27" w:firstLine="420"/>
              <w:jc w:val="left"/>
              <w:rPr>
                <w:sz w:val="21"/>
              </w:rPr>
            </w:pPr>
            <w:r>
              <w:rPr>
                <w:sz w:val="21"/>
              </w:rPr>
              <w:t>废水处理依托医院的污水管道和污水处理站，医疗废物依</w:t>
            </w:r>
          </w:p>
          <w:p>
            <w:pPr>
              <w:pStyle w:val="TableParagraph"/>
              <w:spacing w:line="370" w:lineRule="atLeast" w:before="5"/>
              <w:ind w:left="27" w:right="53"/>
              <w:jc w:val="left"/>
              <w:rPr>
                <w:sz w:val="21"/>
              </w:rPr>
            </w:pPr>
            <w:r>
              <w:rPr>
                <w:w w:val="95"/>
                <w:sz w:val="21"/>
              </w:rPr>
              <w:t>托医院医废暂存间及收集系统进行回收处理，办公、生活垃圾</w:t>
            </w:r>
            <w:r>
              <w:rPr>
                <w:spacing w:val="1"/>
                <w:w w:val="95"/>
                <w:sz w:val="21"/>
              </w:rPr>
              <w:t> </w:t>
            </w:r>
            <w:r>
              <w:rPr>
                <w:sz w:val="21"/>
              </w:rPr>
              <w:t>依托医院收集系统进行回收处理。</w:t>
            </w:r>
          </w:p>
        </w:tc>
        <w:tc>
          <w:tcPr>
            <w:tcW w:w="930" w:type="dxa"/>
            <w:tcBorders>
              <w:bottom w:val="thinThickMediumGap" w:sz="6" w:space="0" w:color="000000"/>
            </w:tcBorders>
          </w:tcPr>
          <w:p>
            <w:pPr>
              <w:pStyle w:val="TableParagraph"/>
              <w:spacing w:line="278" w:lineRule="auto" w:before="114"/>
              <w:ind w:left="43" w:right="36"/>
              <w:rPr>
                <w:sz w:val="21"/>
              </w:rPr>
            </w:pPr>
            <w:r>
              <w:rPr>
                <w:spacing w:val="-2"/>
                <w:sz w:val="21"/>
              </w:rPr>
              <w:t>噪声、废水、固体</w:t>
            </w:r>
            <w:r>
              <w:rPr>
                <w:sz w:val="21"/>
              </w:rPr>
              <w:t>废物</w:t>
            </w:r>
          </w:p>
        </w:tc>
        <w:tc>
          <w:tcPr>
            <w:tcW w:w="1129" w:type="dxa"/>
            <w:tcBorders>
              <w:bottom w:val="thinThickMediumGap" w:sz="6" w:space="0" w:color="000000"/>
            </w:tcBorders>
          </w:tcPr>
          <w:p>
            <w:pPr>
              <w:pStyle w:val="TableParagraph"/>
              <w:spacing w:before="1"/>
              <w:jc w:val="left"/>
              <w:rPr>
                <w:sz w:val="21"/>
              </w:rPr>
            </w:pPr>
          </w:p>
          <w:p>
            <w:pPr>
              <w:pStyle w:val="TableParagraph"/>
              <w:spacing w:line="278" w:lineRule="auto"/>
              <w:ind w:left="299" w:right="126" w:hanging="272"/>
              <w:jc w:val="left"/>
              <w:rPr>
                <w:sz w:val="21"/>
              </w:rPr>
            </w:pPr>
            <w:r>
              <w:rPr>
                <w:spacing w:val="-19"/>
                <w:sz w:val="21"/>
              </w:rPr>
              <w:t>废水、固体</w:t>
            </w:r>
            <w:r>
              <w:rPr>
                <w:sz w:val="21"/>
              </w:rPr>
              <w:t>废物</w:t>
            </w:r>
          </w:p>
        </w:tc>
      </w:tr>
    </w:tbl>
    <w:p>
      <w:pPr>
        <w:spacing w:after="0" w:line="278" w:lineRule="auto"/>
        <w:jc w:val="left"/>
        <w:rPr>
          <w:sz w:val="21"/>
        </w:rPr>
        <w:sectPr>
          <w:pgSz w:w="11910" w:h="16840"/>
          <w:pgMar w:header="0" w:footer="1354" w:top="1420" w:bottom="1540" w:left="1340" w:right="126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5"/>
        <w:gridCol w:w="1113"/>
        <w:gridCol w:w="2249"/>
        <w:gridCol w:w="2766"/>
        <w:gridCol w:w="1993"/>
      </w:tblGrid>
      <w:tr>
        <w:trPr>
          <w:trHeight w:val="12791" w:hRule="atLeast"/>
        </w:trPr>
        <w:tc>
          <w:tcPr>
            <w:tcW w:w="9076" w:type="dxa"/>
            <w:gridSpan w:val="5"/>
            <w:tcBorders>
              <w:bottom w:val="single" w:sz="12" w:space="0" w:color="000000"/>
            </w:tcBorders>
          </w:tcPr>
          <w:p>
            <w:pPr>
              <w:pStyle w:val="TableParagraph"/>
              <w:spacing w:before="10"/>
              <w:jc w:val="left"/>
              <w:rPr>
                <w:sz w:val="4"/>
              </w:rPr>
            </w:pPr>
          </w:p>
          <w:p>
            <w:pPr>
              <w:pStyle w:val="TableParagraph"/>
              <w:ind w:left="1120"/>
              <w:jc w:val="left"/>
              <w:rPr>
                <w:sz w:val="20"/>
              </w:rPr>
            </w:pPr>
            <w:r>
              <w:rPr>
                <w:sz w:val="20"/>
              </w:rPr>
              <w:pict>
                <v:group style="width:341.7pt;height:243.45pt;mso-position-horizontal-relative:char;mso-position-vertical-relative:line" coordorigin="0,0" coordsize="6834,4869">
                  <v:shape style="position:absolute;left:0;top:0;width:6834;height:4869" coordorigin="0,0" coordsize="6834,4869" path="m6834,4868l0,4868,0,0,6834,0,6834,7,15,7,8,15,15,15,15,4853,8,4853,15,4861,6834,4861,6834,4868xm15,15l8,15,15,7,15,15xm6819,15l15,15,15,7,6819,7,6819,15xm6819,4861l6819,7,6826,15,6834,15,6834,4853,6827,4853,6819,4861xm6834,15l6826,15,6819,7,6834,7,6834,15xm15,4861l8,4853,15,4853,15,4861xm6819,4861l15,4861,15,4853,6819,4853,6819,4861xm6834,4861l6819,4861,6827,4853,6834,4853,6834,4861xe" filled="true" fillcolor="#000000" stroked="false">
                    <v:path arrowok="t"/>
                    <v:fill type="solid"/>
                  </v:shape>
                </v:group>
              </w:pict>
            </w:r>
            <w:r>
              <w:rPr>
                <w:sz w:val="20"/>
              </w:rPr>
            </w:r>
          </w:p>
          <w:p>
            <w:pPr>
              <w:pStyle w:val="TableParagraph"/>
              <w:spacing w:before="52"/>
              <w:ind w:left="6"/>
              <w:rPr>
                <w:sz w:val="21"/>
              </w:rPr>
            </w:pPr>
            <w:r>
              <w:rPr>
                <w:w w:val="95"/>
                <w:sz w:val="21"/>
              </w:rPr>
              <w:t>改造前平面图</w:t>
            </w:r>
          </w:p>
          <w:p>
            <w:pPr>
              <w:pStyle w:val="TableParagraph"/>
              <w:spacing w:before="10"/>
              <w:jc w:val="left"/>
              <w:rPr>
                <w:sz w:val="11"/>
              </w:rPr>
            </w:pPr>
          </w:p>
          <w:p>
            <w:pPr>
              <w:pStyle w:val="TableParagraph"/>
              <w:ind w:left="926"/>
              <w:jc w:val="left"/>
              <w:rPr>
                <w:sz w:val="20"/>
              </w:rPr>
            </w:pPr>
            <w:r>
              <w:rPr>
                <w:sz w:val="20"/>
              </w:rPr>
              <w:drawing>
                <wp:inline distT="0" distB="0" distL="0" distR="0">
                  <wp:extent cx="4612063" cy="3220783"/>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612063" cy="3220783"/>
                          </a:xfrm>
                          <a:prstGeom prst="rect">
                            <a:avLst/>
                          </a:prstGeom>
                        </pic:spPr>
                      </pic:pic>
                    </a:graphicData>
                  </a:graphic>
                </wp:inline>
              </w:drawing>
            </w:r>
            <w:r>
              <w:rPr>
                <w:sz w:val="20"/>
              </w:rPr>
            </w:r>
          </w:p>
          <w:p>
            <w:pPr>
              <w:pStyle w:val="TableParagraph"/>
              <w:spacing w:before="123"/>
              <w:ind w:left="6"/>
              <w:rPr>
                <w:sz w:val="21"/>
              </w:rPr>
            </w:pPr>
            <w:r>
              <w:rPr>
                <w:w w:val="95"/>
                <w:sz w:val="21"/>
              </w:rPr>
              <w:t>改造后平面图</w:t>
            </w:r>
          </w:p>
          <w:p>
            <w:pPr>
              <w:pStyle w:val="TableParagraph"/>
              <w:spacing w:before="119"/>
              <w:ind w:left="11"/>
              <w:rPr>
                <w:sz w:val="21"/>
              </w:rPr>
            </w:pPr>
            <w:r>
              <w:rPr>
                <w:spacing w:val="-11"/>
                <w:w w:val="95"/>
                <w:sz w:val="21"/>
              </w:rPr>
              <w:t>图 </w:t>
            </w:r>
            <w:r>
              <w:rPr>
                <w:rFonts w:ascii="Times New Roman" w:eastAsia="Times New Roman"/>
                <w:b/>
                <w:w w:val="95"/>
                <w:sz w:val="21"/>
              </w:rPr>
              <w:t>1-1</w:t>
            </w:r>
            <w:r>
              <w:rPr>
                <w:rFonts w:ascii="Times New Roman" w:eastAsia="Times New Roman"/>
                <w:b/>
                <w:spacing w:val="97"/>
                <w:sz w:val="21"/>
              </w:rPr>
              <w:t> </w:t>
            </w:r>
            <w:r>
              <w:rPr>
                <w:w w:val="95"/>
                <w:sz w:val="21"/>
              </w:rPr>
              <w:t>改造前后平面图</w:t>
            </w:r>
          </w:p>
          <w:p>
            <w:pPr>
              <w:pStyle w:val="TableParagraph"/>
              <w:spacing w:before="181"/>
              <w:ind w:left="108"/>
              <w:jc w:val="left"/>
              <w:rPr>
                <w:sz w:val="24"/>
              </w:rPr>
            </w:pPr>
            <w:r>
              <w:rPr>
                <w:sz w:val="24"/>
              </w:rPr>
              <w:t>（五）本项目主要原辅材料及能耗情况</w:t>
            </w:r>
          </w:p>
          <w:p>
            <w:pPr>
              <w:pStyle w:val="TableParagraph"/>
              <w:spacing w:before="161"/>
              <w:ind w:left="588"/>
              <w:jc w:val="left"/>
              <w:rPr>
                <w:sz w:val="24"/>
              </w:rPr>
            </w:pPr>
            <w:r>
              <w:rPr>
                <w:spacing w:val="-5"/>
                <w:sz w:val="24"/>
              </w:rPr>
              <w:t>本项目主要原辅材料及能耗情况见表 </w:t>
            </w:r>
            <w:r>
              <w:rPr>
                <w:rFonts w:ascii="Times New Roman" w:eastAsia="Times New Roman"/>
                <w:sz w:val="24"/>
              </w:rPr>
              <w:t>1-2</w:t>
            </w:r>
            <w:r>
              <w:rPr>
                <w:sz w:val="24"/>
              </w:rPr>
              <w:t>。</w:t>
            </w:r>
          </w:p>
          <w:p>
            <w:pPr>
              <w:pStyle w:val="TableParagraph"/>
              <w:tabs>
                <w:tab w:pos="3940" w:val="left" w:leader="none"/>
              </w:tabs>
              <w:spacing w:before="178"/>
              <w:ind w:left="3187"/>
              <w:jc w:val="left"/>
              <w:rPr>
                <w:sz w:val="21"/>
              </w:rPr>
            </w:pPr>
            <w:r>
              <w:rPr>
                <w:w w:val="95"/>
                <w:sz w:val="21"/>
              </w:rPr>
              <w:t>表</w:t>
            </w:r>
            <w:r>
              <w:rPr>
                <w:spacing w:val="-39"/>
                <w:w w:val="95"/>
                <w:sz w:val="21"/>
              </w:rPr>
              <w:t> </w:t>
            </w:r>
            <w:r>
              <w:rPr>
                <w:rFonts w:ascii="Times New Roman" w:eastAsia="Times New Roman"/>
                <w:b/>
                <w:w w:val="95"/>
                <w:sz w:val="21"/>
              </w:rPr>
              <w:t>1-2</w:t>
              <w:tab/>
            </w:r>
            <w:r>
              <w:rPr>
                <w:sz w:val="21"/>
              </w:rPr>
              <w:t>主要原辅材料及能耗情况表</w:t>
            </w:r>
          </w:p>
        </w:tc>
      </w:tr>
      <w:tr>
        <w:trPr>
          <w:trHeight w:val="311" w:hRule="atLeast"/>
        </w:trPr>
        <w:tc>
          <w:tcPr>
            <w:tcW w:w="955" w:type="dxa"/>
            <w:tcBorders>
              <w:top w:val="single" w:sz="12" w:space="0" w:color="000000"/>
              <w:bottom w:val="single" w:sz="12" w:space="0" w:color="000000"/>
              <w:right w:val="single" w:sz="6" w:space="0" w:color="000000"/>
            </w:tcBorders>
          </w:tcPr>
          <w:p>
            <w:pPr>
              <w:pStyle w:val="TableParagraph"/>
              <w:spacing w:before="20"/>
              <w:ind w:left="195" w:right="74"/>
              <w:rPr>
                <w:sz w:val="21"/>
              </w:rPr>
            </w:pPr>
            <w:r>
              <w:rPr>
                <w:sz w:val="21"/>
              </w:rPr>
              <w:t>项目</w:t>
            </w:r>
          </w:p>
        </w:tc>
        <w:tc>
          <w:tcPr>
            <w:tcW w:w="1113" w:type="dxa"/>
            <w:tcBorders>
              <w:top w:val="single" w:sz="12" w:space="0" w:color="000000"/>
              <w:left w:val="single" w:sz="6" w:space="0" w:color="000000"/>
              <w:bottom w:val="single" w:sz="12" w:space="0" w:color="000000"/>
              <w:right w:val="single" w:sz="6" w:space="0" w:color="000000"/>
            </w:tcBorders>
          </w:tcPr>
          <w:p>
            <w:pPr>
              <w:pStyle w:val="TableParagraph"/>
              <w:spacing w:before="20"/>
              <w:ind w:left="117" w:right="108"/>
              <w:rPr>
                <w:sz w:val="21"/>
              </w:rPr>
            </w:pPr>
            <w:r>
              <w:rPr>
                <w:sz w:val="21"/>
              </w:rPr>
              <w:t>名称</w:t>
            </w:r>
          </w:p>
        </w:tc>
        <w:tc>
          <w:tcPr>
            <w:tcW w:w="2249" w:type="dxa"/>
            <w:tcBorders>
              <w:top w:val="single" w:sz="12" w:space="0" w:color="000000"/>
              <w:left w:val="single" w:sz="6" w:space="0" w:color="000000"/>
              <w:bottom w:val="single" w:sz="12" w:space="0" w:color="000000"/>
              <w:right w:val="single" w:sz="6" w:space="0" w:color="000000"/>
            </w:tcBorders>
          </w:tcPr>
          <w:p>
            <w:pPr>
              <w:pStyle w:val="TableParagraph"/>
              <w:spacing w:before="20"/>
              <w:ind w:left="753" w:right="742"/>
              <w:rPr>
                <w:sz w:val="21"/>
              </w:rPr>
            </w:pPr>
            <w:r>
              <w:rPr>
                <w:w w:val="95"/>
                <w:sz w:val="21"/>
              </w:rPr>
              <w:t>年耗量</w:t>
            </w:r>
          </w:p>
        </w:tc>
        <w:tc>
          <w:tcPr>
            <w:tcW w:w="2766" w:type="dxa"/>
            <w:tcBorders>
              <w:top w:val="single" w:sz="12" w:space="0" w:color="000000"/>
              <w:left w:val="single" w:sz="6" w:space="0" w:color="000000"/>
              <w:bottom w:val="single" w:sz="12" w:space="0" w:color="000000"/>
              <w:right w:val="single" w:sz="6" w:space="0" w:color="000000"/>
            </w:tcBorders>
          </w:tcPr>
          <w:p>
            <w:pPr>
              <w:pStyle w:val="TableParagraph"/>
              <w:spacing w:before="20"/>
              <w:ind w:left="1148" w:right="1140"/>
              <w:rPr>
                <w:sz w:val="21"/>
              </w:rPr>
            </w:pPr>
            <w:r>
              <w:rPr>
                <w:sz w:val="21"/>
              </w:rPr>
              <w:t>来源</w:t>
            </w:r>
          </w:p>
        </w:tc>
        <w:tc>
          <w:tcPr>
            <w:tcW w:w="1993" w:type="dxa"/>
            <w:tcBorders>
              <w:top w:val="single" w:sz="12" w:space="0" w:color="000000"/>
              <w:left w:val="single" w:sz="6" w:space="0" w:color="000000"/>
              <w:bottom w:val="single" w:sz="12" w:space="0" w:color="000000"/>
            </w:tcBorders>
          </w:tcPr>
          <w:p>
            <w:pPr>
              <w:pStyle w:val="TableParagraph"/>
              <w:spacing w:before="20"/>
              <w:ind w:left="323" w:right="420"/>
              <w:rPr>
                <w:sz w:val="21"/>
              </w:rPr>
            </w:pPr>
            <w:r>
              <w:rPr>
                <w:w w:val="95"/>
                <w:sz w:val="21"/>
              </w:rPr>
              <w:t>主要化学成分</w:t>
            </w:r>
          </w:p>
        </w:tc>
      </w:tr>
      <w:tr>
        <w:trPr>
          <w:trHeight w:val="310" w:hRule="atLeast"/>
        </w:trPr>
        <w:tc>
          <w:tcPr>
            <w:tcW w:w="955" w:type="dxa"/>
            <w:tcBorders>
              <w:top w:val="single" w:sz="12" w:space="0" w:color="000000"/>
              <w:bottom w:val="single" w:sz="8" w:space="0" w:color="000000"/>
              <w:right w:val="single" w:sz="6" w:space="0" w:color="000000"/>
            </w:tcBorders>
          </w:tcPr>
          <w:p>
            <w:pPr>
              <w:pStyle w:val="TableParagraph"/>
              <w:spacing w:line="269" w:lineRule="exact" w:before="21"/>
              <w:ind w:left="195" w:right="77"/>
              <w:rPr>
                <w:sz w:val="21"/>
              </w:rPr>
            </w:pPr>
            <w:r>
              <w:rPr>
                <w:sz w:val="21"/>
              </w:rPr>
              <w:t>主要原</w:t>
            </w:r>
          </w:p>
        </w:tc>
        <w:tc>
          <w:tcPr>
            <w:tcW w:w="1113" w:type="dxa"/>
            <w:tcBorders>
              <w:top w:val="single" w:sz="12" w:space="0" w:color="000000"/>
              <w:left w:val="single" w:sz="6" w:space="0" w:color="000000"/>
              <w:bottom w:val="single" w:sz="8" w:space="0" w:color="000000"/>
              <w:right w:val="single" w:sz="6" w:space="0" w:color="000000"/>
            </w:tcBorders>
          </w:tcPr>
          <w:p>
            <w:pPr>
              <w:pStyle w:val="TableParagraph"/>
              <w:spacing w:line="269" w:lineRule="exact" w:before="21"/>
              <w:ind w:left="114" w:right="108"/>
              <w:rPr>
                <w:sz w:val="21"/>
              </w:rPr>
            </w:pPr>
            <w:r>
              <w:rPr>
                <w:sz w:val="21"/>
              </w:rPr>
              <w:t>造影剂</w:t>
            </w:r>
          </w:p>
        </w:tc>
        <w:tc>
          <w:tcPr>
            <w:tcW w:w="2249" w:type="dxa"/>
            <w:tcBorders>
              <w:top w:val="single" w:sz="12" w:space="0" w:color="000000"/>
              <w:left w:val="single" w:sz="6" w:space="0" w:color="000000"/>
              <w:bottom w:val="single" w:sz="8" w:space="0" w:color="000000"/>
              <w:right w:val="single" w:sz="6" w:space="0" w:color="000000"/>
            </w:tcBorders>
          </w:tcPr>
          <w:p>
            <w:pPr>
              <w:pStyle w:val="TableParagraph"/>
              <w:spacing w:before="35"/>
              <w:ind w:left="753" w:right="744"/>
              <w:rPr>
                <w:rFonts w:ascii="Times New Roman"/>
                <w:sz w:val="21"/>
              </w:rPr>
            </w:pPr>
            <w:r>
              <w:rPr>
                <w:rFonts w:ascii="Times New Roman"/>
                <w:sz w:val="21"/>
              </w:rPr>
              <w:t>430L</w:t>
            </w:r>
          </w:p>
        </w:tc>
        <w:tc>
          <w:tcPr>
            <w:tcW w:w="2766" w:type="dxa"/>
            <w:tcBorders>
              <w:top w:val="single" w:sz="12" w:space="0" w:color="000000"/>
              <w:left w:val="single" w:sz="6" w:space="0" w:color="000000"/>
              <w:bottom w:val="single" w:sz="8" w:space="0" w:color="000000"/>
              <w:right w:val="single" w:sz="6" w:space="0" w:color="000000"/>
            </w:tcBorders>
          </w:tcPr>
          <w:p>
            <w:pPr>
              <w:pStyle w:val="TableParagraph"/>
              <w:spacing w:line="269" w:lineRule="exact" w:before="21"/>
              <w:ind w:left="1146" w:right="1141"/>
              <w:rPr>
                <w:sz w:val="21"/>
              </w:rPr>
            </w:pPr>
            <w:r>
              <w:rPr>
                <w:sz w:val="21"/>
              </w:rPr>
              <w:t>外购</w:t>
            </w:r>
          </w:p>
        </w:tc>
        <w:tc>
          <w:tcPr>
            <w:tcW w:w="1993" w:type="dxa"/>
            <w:tcBorders>
              <w:top w:val="single" w:sz="12" w:space="0" w:color="000000"/>
              <w:left w:val="single" w:sz="6" w:space="0" w:color="000000"/>
              <w:bottom w:val="single" w:sz="8" w:space="0" w:color="000000"/>
            </w:tcBorders>
          </w:tcPr>
          <w:p>
            <w:pPr>
              <w:pStyle w:val="TableParagraph"/>
              <w:spacing w:line="269" w:lineRule="exact" w:before="21"/>
              <w:ind w:left="318" w:right="420"/>
              <w:rPr>
                <w:sz w:val="21"/>
              </w:rPr>
            </w:pPr>
            <w:r>
              <w:rPr>
                <w:sz w:val="21"/>
              </w:rPr>
              <w:t>碘海醇</w:t>
            </w:r>
          </w:p>
        </w:tc>
      </w:tr>
    </w:tbl>
    <w:p>
      <w:pPr>
        <w:rPr>
          <w:sz w:val="2"/>
          <w:szCs w:val="2"/>
        </w:rPr>
      </w:pPr>
      <w:r>
        <w:rPr/>
        <w:pict>
          <v:shape style="position:absolute;margin-left:118.290001pt;margin-top:343.410034pt;width:362.7pt;height:253.75pt;mso-position-horizontal-relative:page;mso-position-vertical-relative:page;z-index:-20156928" coordorigin="2366,6868" coordsize="7254,5075" path="m9620,11943l2366,11943,2366,6868,9620,6868,9620,6876,2381,6876,2373,6883,2381,6883,2381,11928,2373,11928,2381,11936,9620,11936,9620,11943xm2381,6883l2373,6883,2381,6876,2381,6883xm9605,6883l2381,6883,2381,6876,9605,6876,9605,6883xm9605,11936l9605,6876,9612,6883,9620,6883,9620,11928,9612,11928,9605,11936xm9620,6883l9612,6883,9605,6876,9620,6876,9620,6883xm2381,11936l2373,11928,2381,11928,2381,11936xm9605,11936l2381,11936,2381,11928,9605,11928,9605,11936xm9620,11936l9605,11936,9612,11928,9620,11928,9620,11936xe" filled="true" fillcolor="#000000" stroked="false">
            <v:path arrowok="t"/>
            <v:fill type="solid"/>
            <w10:wrap type="none"/>
          </v:shape>
        </w:pict>
      </w:r>
    </w:p>
    <w:p>
      <w:pPr>
        <w:spacing w:after="0"/>
        <w:rPr>
          <w:sz w:val="2"/>
          <w:szCs w:val="2"/>
        </w:rPr>
        <w:sectPr>
          <w:pgSz w:w="11910" w:h="16840"/>
          <w:pgMar w:header="0" w:footer="1354" w:top="1420" w:bottom="1540" w:left="1340" w:right="1260"/>
        </w:sectPr>
      </w:pPr>
    </w:p>
    <w:tbl>
      <w:tblPr>
        <w:tblW w:w="0" w:type="auto"/>
        <w:jc w:val="left"/>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55"/>
        <w:gridCol w:w="1113"/>
        <w:gridCol w:w="213"/>
        <w:gridCol w:w="2036"/>
        <w:gridCol w:w="171"/>
        <w:gridCol w:w="1290"/>
        <w:gridCol w:w="1298"/>
        <w:gridCol w:w="2001"/>
      </w:tblGrid>
      <w:tr>
        <w:trPr>
          <w:trHeight w:val="309" w:hRule="atLeast"/>
        </w:trPr>
        <w:tc>
          <w:tcPr>
            <w:tcW w:w="955" w:type="dxa"/>
            <w:tcBorders>
              <w:left w:val="single" w:sz="4" w:space="0" w:color="000000"/>
              <w:bottom w:val="single" w:sz="6" w:space="0" w:color="000000"/>
              <w:right w:val="single" w:sz="6" w:space="0" w:color="000000"/>
            </w:tcBorders>
          </w:tcPr>
          <w:p>
            <w:pPr>
              <w:pStyle w:val="TableParagraph"/>
              <w:spacing w:before="18"/>
              <w:ind w:right="95"/>
              <w:jc w:val="right"/>
              <w:rPr>
                <w:sz w:val="21"/>
              </w:rPr>
            </w:pPr>
            <w:r>
              <w:rPr>
                <w:sz w:val="21"/>
              </w:rPr>
              <w:t>辅材料</w:t>
            </w:r>
          </w:p>
        </w:tc>
        <w:tc>
          <w:tcPr>
            <w:tcW w:w="1113" w:type="dxa"/>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2249" w:type="dxa"/>
            <w:gridSpan w:val="2"/>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2759" w:type="dxa"/>
            <w:gridSpan w:val="3"/>
            <w:tcBorders>
              <w:left w:val="single" w:sz="6" w:space="0" w:color="000000"/>
              <w:bottom w:val="single" w:sz="6" w:space="0" w:color="000000"/>
              <w:right w:val="single" w:sz="6" w:space="0" w:color="000000"/>
            </w:tcBorders>
          </w:tcPr>
          <w:p>
            <w:pPr>
              <w:pStyle w:val="TableParagraph"/>
              <w:jc w:val="left"/>
              <w:rPr>
                <w:rFonts w:ascii="Times New Roman"/>
                <w:sz w:val="20"/>
              </w:rPr>
            </w:pPr>
          </w:p>
        </w:tc>
        <w:tc>
          <w:tcPr>
            <w:tcW w:w="2001" w:type="dxa"/>
            <w:tcBorders>
              <w:left w:val="single" w:sz="6" w:space="0" w:color="000000"/>
              <w:bottom w:val="single" w:sz="6" w:space="0" w:color="000000"/>
              <w:right w:val="single" w:sz="4" w:space="0" w:color="000000"/>
            </w:tcBorders>
          </w:tcPr>
          <w:p>
            <w:pPr>
              <w:pStyle w:val="TableParagraph"/>
              <w:jc w:val="left"/>
              <w:rPr>
                <w:rFonts w:ascii="Times New Roman"/>
                <w:sz w:val="20"/>
              </w:rPr>
            </w:pPr>
          </w:p>
        </w:tc>
      </w:tr>
      <w:tr>
        <w:trPr>
          <w:trHeight w:val="312" w:hRule="atLeast"/>
        </w:trPr>
        <w:tc>
          <w:tcPr>
            <w:tcW w:w="955" w:type="dxa"/>
            <w:vMerge w:val="restart"/>
            <w:tcBorders>
              <w:top w:val="single" w:sz="6" w:space="0" w:color="000000"/>
              <w:left w:val="single" w:sz="4" w:space="0" w:color="000000"/>
              <w:bottom w:val="single" w:sz="6" w:space="0" w:color="000000"/>
              <w:right w:val="single" w:sz="6" w:space="0" w:color="000000"/>
            </w:tcBorders>
          </w:tcPr>
          <w:p>
            <w:pPr>
              <w:pStyle w:val="TableParagraph"/>
              <w:jc w:val="left"/>
              <w:rPr>
                <w:sz w:val="15"/>
              </w:rPr>
            </w:pPr>
          </w:p>
          <w:p>
            <w:pPr>
              <w:pStyle w:val="TableParagraph"/>
              <w:spacing w:line="278" w:lineRule="auto"/>
              <w:ind w:left="424" w:right="306"/>
              <w:jc w:val="left"/>
              <w:rPr>
                <w:sz w:val="21"/>
              </w:rPr>
            </w:pPr>
            <w:r>
              <w:rPr>
                <w:sz w:val="21"/>
              </w:rPr>
              <w:t>能源</w:t>
            </w: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before="22"/>
              <w:ind w:left="9"/>
              <w:rPr>
                <w:sz w:val="21"/>
              </w:rPr>
            </w:pPr>
            <w:r>
              <w:rPr>
                <w:w w:val="99"/>
                <w:sz w:val="21"/>
              </w:rPr>
              <w:t>煤</w:t>
            </w:r>
          </w:p>
        </w:tc>
        <w:tc>
          <w:tcPr>
            <w:tcW w:w="224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7"/>
              <w:rPr>
                <w:rFonts w:ascii="Times New Roman" w:hAnsi="Times New Roman"/>
                <w:sz w:val="21"/>
              </w:rPr>
            </w:pPr>
            <w:r>
              <w:rPr>
                <w:rFonts w:ascii="Times New Roman" w:hAnsi="Times New Roman"/>
                <w:w w:val="99"/>
                <w:sz w:val="21"/>
              </w:rPr>
              <w:t>—</w:t>
            </w:r>
          </w:p>
        </w:tc>
        <w:tc>
          <w:tcPr>
            <w:tcW w:w="275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6"/>
              <w:ind w:left="15"/>
              <w:rPr>
                <w:rFonts w:ascii="Times New Roman" w:hAnsi="Times New Roman"/>
                <w:sz w:val="21"/>
              </w:rPr>
            </w:pPr>
            <w:r>
              <w:rPr>
                <w:rFonts w:ascii="Times New Roman" w:hAnsi="Times New Roman"/>
                <w:w w:val="99"/>
                <w:sz w:val="21"/>
              </w:rPr>
              <w:t>—</w:t>
            </w:r>
          </w:p>
        </w:tc>
        <w:tc>
          <w:tcPr>
            <w:tcW w:w="2001" w:type="dxa"/>
            <w:tcBorders>
              <w:top w:val="single" w:sz="6" w:space="0" w:color="000000"/>
              <w:left w:val="single" w:sz="6" w:space="0" w:color="000000"/>
              <w:bottom w:val="single" w:sz="6" w:space="0" w:color="000000"/>
              <w:right w:val="single" w:sz="4" w:space="0" w:color="000000"/>
            </w:tcBorders>
          </w:tcPr>
          <w:p>
            <w:pPr>
              <w:pStyle w:val="TableParagraph"/>
              <w:spacing w:before="36"/>
              <w:ind w:right="94"/>
              <w:rPr>
                <w:rFonts w:ascii="Times New Roman" w:hAnsi="Times New Roman"/>
                <w:sz w:val="21"/>
              </w:rPr>
            </w:pPr>
            <w:r>
              <w:rPr>
                <w:rFonts w:ascii="Times New Roman" w:hAnsi="Times New Roman"/>
                <w:w w:val="99"/>
                <w:sz w:val="21"/>
              </w:rPr>
              <w:t>—</w:t>
            </w:r>
          </w:p>
        </w:tc>
      </w:tr>
      <w:tr>
        <w:trPr>
          <w:trHeight w:val="311" w:hRule="atLeast"/>
        </w:trPr>
        <w:tc>
          <w:tcPr>
            <w:tcW w:w="955" w:type="dxa"/>
            <w:vMerge/>
            <w:tcBorders>
              <w:top w:val="nil"/>
              <w:left w:val="single" w:sz="4" w:space="0" w:color="000000"/>
              <w:bottom w:val="single" w:sz="6" w:space="0" w:color="000000"/>
              <w:right w:val="single" w:sz="6" w:space="0" w:color="000000"/>
            </w:tcBorders>
          </w:tcPr>
          <w:p>
            <w:pPr>
              <w:rPr>
                <w:sz w:val="2"/>
                <w:szCs w:val="2"/>
              </w:rPr>
            </w:pP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before="21"/>
              <w:ind w:left="121" w:right="108"/>
              <w:rPr>
                <w:rFonts w:ascii="Times New Roman" w:hAnsi="Times New Roman" w:eastAsia="Times New Roman"/>
                <w:sz w:val="21"/>
              </w:rPr>
            </w:pPr>
            <w:r>
              <w:rPr>
                <w:sz w:val="21"/>
              </w:rPr>
              <w:t>电</w:t>
            </w:r>
            <w:r>
              <w:rPr>
                <w:rFonts w:ascii="Times New Roman" w:hAnsi="Times New Roman" w:eastAsia="Times New Roman"/>
                <w:sz w:val="21"/>
              </w:rPr>
              <w:t>(kW·h)</w:t>
            </w:r>
          </w:p>
        </w:tc>
        <w:tc>
          <w:tcPr>
            <w:tcW w:w="224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5"/>
              <w:ind w:left="651"/>
              <w:jc w:val="left"/>
              <w:rPr>
                <w:rFonts w:ascii="Times New Roman" w:hAnsi="Times New Roman"/>
                <w:sz w:val="21"/>
              </w:rPr>
            </w:pPr>
            <w:r>
              <w:rPr>
                <w:rFonts w:ascii="Times New Roman" w:hAnsi="Times New Roman"/>
                <w:sz w:val="21"/>
              </w:rPr>
              <w:t>600kW·h/a</w:t>
            </w:r>
          </w:p>
        </w:tc>
        <w:tc>
          <w:tcPr>
            <w:tcW w:w="275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1"/>
              <w:ind w:left="939" w:right="924"/>
              <w:rPr>
                <w:sz w:val="21"/>
              </w:rPr>
            </w:pPr>
            <w:r>
              <w:rPr>
                <w:sz w:val="21"/>
              </w:rPr>
              <w:t>市政电网</w:t>
            </w:r>
          </w:p>
        </w:tc>
        <w:tc>
          <w:tcPr>
            <w:tcW w:w="2001" w:type="dxa"/>
            <w:tcBorders>
              <w:top w:val="single" w:sz="6" w:space="0" w:color="000000"/>
              <w:left w:val="single" w:sz="6" w:space="0" w:color="000000"/>
              <w:bottom w:val="single" w:sz="6" w:space="0" w:color="000000"/>
              <w:right w:val="single" w:sz="4" w:space="0" w:color="000000"/>
            </w:tcBorders>
          </w:tcPr>
          <w:p>
            <w:pPr>
              <w:pStyle w:val="TableParagraph"/>
              <w:spacing w:before="35"/>
              <w:ind w:right="94"/>
              <w:rPr>
                <w:rFonts w:ascii="Times New Roman" w:hAnsi="Times New Roman"/>
                <w:sz w:val="21"/>
              </w:rPr>
            </w:pPr>
            <w:r>
              <w:rPr>
                <w:rFonts w:ascii="Times New Roman" w:hAnsi="Times New Roman"/>
                <w:w w:val="99"/>
                <w:sz w:val="21"/>
              </w:rPr>
              <w:t>—</w:t>
            </w:r>
          </w:p>
        </w:tc>
      </w:tr>
      <w:tr>
        <w:trPr>
          <w:trHeight w:val="312" w:hRule="atLeast"/>
        </w:trPr>
        <w:tc>
          <w:tcPr>
            <w:tcW w:w="955" w:type="dxa"/>
            <w:vMerge/>
            <w:tcBorders>
              <w:top w:val="nil"/>
              <w:left w:val="single" w:sz="4" w:space="0" w:color="000000"/>
              <w:bottom w:val="single" w:sz="6" w:space="0" w:color="000000"/>
              <w:right w:val="single" w:sz="6" w:space="0" w:color="000000"/>
            </w:tcBorders>
          </w:tcPr>
          <w:p>
            <w:pPr>
              <w:rPr>
                <w:sz w:val="2"/>
                <w:szCs w:val="2"/>
              </w:rPr>
            </w:pPr>
          </w:p>
        </w:tc>
        <w:tc>
          <w:tcPr>
            <w:tcW w:w="1113" w:type="dxa"/>
            <w:tcBorders>
              <w:top w:val="single" w:sz="6" w:space="0" w:color="000000"/>
              <w:left w:val="single" w:sz="6" w:space="0" w:color="000000"/>
              <w:bottom w:val="single" w:sz="6" w:space="0" w:color="000000"/>
              <w:right w:val="single" w:sz="6" w:space="0" w:color="000000"/>
            </w:tcBorders>
          </w:tcPr>
          <w:p>
            <w:pPr>
              <w:pStyle w:val="TableParagraph"/>
              <w:spacing w:before="20"/>
              <w:ind w:left="116" w:right="108"/>
              <w:rPr>
                <w:rFonts w:ascii="Times New Roman" w:eastAsia="Times New Roman"/>
                <w:sz w:val="21"/>
              </w:rPr>
            </w:pPr>
            <w:r>
              <w:rPr>
                <w:sz w:val="21"/>
              </w:rPr>
              <w:t>气</w:t>
            </w:r>
            <w:r>
              <w:rPr>
                <w:rFonts w:ascii="Times New Roman" w:eastAsia="Times New Roman"/>
                <w:sz w:val="21"/>
              </w:rPr>
              <w:t>(Nm</w:t>
            </w:r>
            <w:r>
              <w:rPr>
                <w:rFonts w:ascii="Times New Roman" w:eastAsia="Times New Roman"/>
                <w:sz w:val="21"/>
                <w:vertAlign w:val="superscript"/>
              </w:rPr>
              <w:t>3</w:t>
            </w:r>
            <w:r>
              <w:rPr>
                <w:rFonts w:ascii="Times New Roman" w:eastAsia="Times New Roman"/>
                <w:sz w:val="21"/>
                <w:vertAlign w:val="baseline"/>
              </w:rPr>
              <w:t>)</w:t>
            </w:r>
          </w:p>
        </w:tc>
        <w:tc>
          <w:tcPr>
            <w:tcW w:w="224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4"/>
              <w:ind w:left="7"/>
              <w:rPr>
                <w:rFonts w:ascii="Times New Roman" w:hAnsi="Times New Roman"/>
                <w:sz w:val="21"/>
              </w:rPr>
            </w:pPr>
            <w:r>
              <w:rPr>
                <w:rFonts w:ascii="Times New Roman" w:hAnsi="Times New Roman"/>
                <w:w w:val="99"/>
                <w:sz w:val="21"/>
              </w:rPr>
              <w:t>—</w:t>
            </w:r>
          </w:p>
        </w:tc>
        <w:tc>
          <w:tcPr>
            <w:tcW w:w="2759"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4"/>
              <w:ind w:left="15"/>
              <w:rPr>
                <w:rFonts w:ascii="Times New Roman" w:hAnsi="Times New Roman"/>
                <w:sz w:val="21"/>
              </w:rPr>
            </w:pPr>
            <w:r>
              <w:rPr>
                <w:rFonts w:ascii="Times New Roman" w:hAnsi="Times New Roman"/>
                <w:w w:val="99"/>
                <w:sz w:val="21"/>
              </w:rPr>
              <w:t>—</w:t>
            </w:r>
          </w:p>
        </w:tc>
        <w:tc>
          <w:tcPr>
            <w:tcW w:w="2001" w:type="dxa"/>
            <w:tcBorders>
              <w:top w:val="single" w:sz="6" w:space="0" w:color="000000"/>
              <w:left w:val="single" w:sz="6" w:space="0" w:color="000000"/>
              <w:bottom w:val="single" w:sz="6" w:space="0" w:color="000000"/>
              <w:right w:val="single" w:sz="4" w:space="0" w:color="000000"/>
            </w:tcBorders>
          </w:tcPr>
          <w:p>
            <w:pPr>
              <w:pStyle w:val="TableParagraph"/>
              <w:spacing w:before="34"/>
              <w:ind w:right="94"/>
              <w:rPr>
                <w:rFonts w:ascii="Times New Roman" w:hAnsi="Times New Roman"/>
                <w:sz w:val="21"/>
              </w:rPr>
            </w:pPr>
            <w:r>
              <w:rPr>
                <w:rFonts w:ascii="Times New Roman" w:hAnsi="Times New Roman"/>
                <w:w w:val="99"/>
                <w:sz w:val="21"/>
              </w:rPr>
              <w:t>—</w:t>
            </w:r>
          </w:p>
        </w:tc>
      </w:tr>
      <w:tr>
        <w:trPr>
          <w:trHeight w:val="311" w:hRule="atLeast"/>
        </w:trPr>
        <w:tc>
          <w:tcPr>
            <w:tcW w:w="955" w:type="dxa"/>
            <w:tcBorders>
              <w:top w:val="single" w:sz="6" w:space="0" w:color="000000"/>
              <w:left w:val="single" w:sz="4" w:space="0" w:color="000000"/>
              <w:bottom w:val="single" w:sz="12" w:space="0" w:color="000000"/>
              <w:right w:val="single" w:sz="6" w:space="0" w:color="000000"/>
            </w:tcBorders>
          </w:tcPr>
          <w:p>
            <w:pPr>
              <w:pStyle w:val="TableParagraph"/>
              <w:spacing w:before="20"/>
              <w:ind w:right="95"/>
              <w:jc w:val="right"/>
              <w:rPr>
                <w:sz w:val="21"/>
              </w:rPr>
            </w:pPr>
            <w:r>
              <w:rPr>
                <w:sz w:val="21"/>
              </w:rPr>
              <w:t>水资源</w:t>
            </w:r>
          </w:p>
        </w:tc>
        <w:tc>
          <w:tcPr>
            <w:tcW w:w="1113" w:type="dxa"/>
            <w:tcBorders>
              <w:top w:val="single" w:sz="6" w:space="0" w:color="000000"/>
              <w:left w:val="single" w:sz="6" w:space="0" w:color="000000"/>
              <w:bottom w:val="single" w:sz="12" w:space="0" w:color="000000"/>
              <w:right w:val="single" w:sz="6" w:space="0" w:color="000000"/>
            </w:tcBorders>
          </w:tcPr>
          <w:p>
            <w:pPr>
              <w:pStyle w:val="TableParagraph"/>
              <w:spacing w:before="20"/>
              <w:ind w:left="114" w:right="108"/>
              <w:rPr>
                <w:sz w:val="21"/>
              </w:rPr>
            </w:pPr>
            <w:r>
              <w:rPr>
                <w:sz w:val="21"/>
              </w:rPr>
              <w:t>用水量</w:t>
            </w:r>
          </w:p>
        </w:tc>
        <w:tc>
          <w:tcPr>
            <w:tcW w:w="2249" w:type="dxa"/>
            <w:gridSpan w:val="2"/>
            <w:tcBorders>
              <w:top w:val="single" w:sz="6" w:space="0" w:color="000000"/>
              <w:left w:val="single" w:sz="6" w:space="0" w:color="000000"/>
              <w:bottom w:val="single" w:sz="12" w:space="0" w:color="000000"/>
              <w:right w:val="single" w:sz="6" w:space="0" w:color="000000"/>
            </w:tcBorders>
          </w:tcPr>
          <w:p>
            <w:pPr>
              <w:pStyle w:val="TableParagraph"/>
              <w:spacing w:before="34"/>
              <w:ind w:left="753" w:right="745"/>
              <w:rPr>
                <w:rFonts w:ascii="Times New Roman"/>
                <w:sz w:val="21"/>
              </w:rPr>
            </w:pPr>
            <w:r>
              <w:rPr>
                <w:rFonts w:ascii="Times New Roman"/>
                <w:sz w:val="21"/>
              </w:rPr>
              <w:t>600m</w:t>
            </w:r>
            <w:r>
              <w:rPr>
                <w:rFonts w:ascii="Times New Roman"/>
                <w:position w:val="7"/>
                <w:sz w:val="13"/>
              </w:rPr>
              <w:t>3</w:t>
            </w:r>
            <w:r>
              <w:rPr>
                <w:rFonts w:ascii="Times New Roman"/>
                <w:sz w:val="21"/>
              </w:rPr>
              <w:t>/a</w:t>
            </w:r>
          </w:p>
        </w:tc>
        <w:tc>
          <w:tcPr>
            <w:tcW w:w="2759" w:type="dxa"/>
            <w:gridSpan w:val="3"/>
            <w:tcBorders>
              <w:top w:val="single" w:sz="6" w:space="0" w:color="000000"/>
              <w:left w:val="single" w:sz="6" w:space="0" w:color="000000"/>
              <w:bottom w:val="single" w:sz="12" w:space="0" w:color="000000"/>
              <w:right w:val="single" w:sz="6" w:space="0" w:color="000000"/>
            </w:tcBorders>
          </w:tcPr>
          <w:p>
            <w:pPr>
              <w:pStyle w:val="TableParagraph"/>
              <w:spacing w:before="20"/>
              <w:ind w:left="939" w:right="924"/>
              <w:rPr>
                <w:sz w:val="21"/>
              </w:rPr>
            </w:pPr>
            <w:r>
              <w:rPr>
                <w:sz w:val="21"/>
              </w:rPr>
              <w:t>市政水网</w:t>
            </w:r>
          </w:p>
        </w:tc>
        <w:tc>
          <w:tcPr>
            <w:tcW w:w="2001" w:type="dxa"/>
            <w:tcBorders>
              <w:top w:val="single" w:sz="6" w:space="0" w:color="000000"/>
              <w:left w:val="single" w:sz="6" w:space="0" w:color="000000"/>
              <w:bottom w:val="single" w:sz="12" w:space="0" w:color="000000"/>
              <w:right w:val="single" w:sz="4" w:space="0" w:color="000000"/>
            </w:tcBorders>
          </w:tcPr>
          <w:p>
            <w:pPr>
              <w:pStyle w:val="TableParagraph"/>
              <w:spacing w:before="34"/>
              <w:ind w:right="94"/>
              <w:rPr>
                <w:rFonts w:ascii="Times New Roman" w:hAnsi="Times New Roman"/>
                <w:sz w:val="21"/>
              </w:rPr>
            </w:pPr>
            <w:r>
              <w:rPr>
                <w:rFonts w:ascii="Times New Roman" w:hAnsi="Times New Roman"/>
                <w:w w:val="99"/>
                <w:sz w:val="21"/>
              </w:rPr>
              <w:t>—</w:t>
            </w:r>
          </w:p>
        </w:tc>
      </w:tr>
      <w:tr>
        <w:trPr>
          <w:trHeight w:val="11632" w:hRule="atLeast"/>
        </w:trPr>
        <w:tc>
          <w:tcPr>
            <w:tcW w:w="9077" w:type="dxa"/>
            <w:gridSpan w:val="8"/>
            <w:tcBorders>
              <w:top w:val="single" w:sz="12" w:space="0" w:color="000000"/>
              <w:left w:val="single" w:sz="4" w:space="0" w:color="000000"/>
              <w:bottom w:val="single" w:sz="12" w:space="0" w:color="000000"/>
              <w:right w:val="single" w:sz="4" w:space="0" w:color="000000"/>
            </w:tcBorders>
          </w:tcPr>
          <w:p>
            <w:pPr>
              <w:pStyle w:val="TableParagraph"/>
              <w:spacing w:line="364" w:lineRule="auto" w:before="80"/>
              <w:ind w:left="108" w:right="98" w:firstLine="480"/>
              <w:jc w:val="both"/>
              <w:rPr>
                <w:sz w:val="24"/>
              </w:rPr>
            </w:pPr>
            <w:r>
              <w:rPr>
                <w:spacing w:val="-5"/>
                <w:sz w:val="24"/>
              </w:rPr>
              <w:t>本项目使用的造影剂为碘海醇注射液，规格为 </w:t>
            </w:r>
            <w:r>
              <w:rPr>
                <w:rFonts w:ascii="Times New Roman" w:eastAsia="Times New Roman"/>
                <w:spacing w:val="-2"/>
                <w:sz w:val="24"/>
              </w:rPr>
              <w:t>100ml/</w:t>
            </w:r>
            <w:r>
              <w:rPr>
                <w:spacing w:val="-1"/>
                <w:sz w:val="24"/>
              </w:rPr>
              <w:t>瓶，平均每台介入手术使用</w:t>
            </w:r>
            <w:r>
              <w:rPr>
                <w:rFonts w:ascii="Times New Roman" w:eastAsia="Times New Roman"/>
                <w:spacing w:val="-1"/>
                <w:sz w:val="24"/>
              </w:rPr>
              <w:t>2</w:t>
            </w:r>
            <w:r>
              <w:rPr>
                <w:rFonts w:ascii="Times New Roman" w:eastAsia="Times New Roman"/>
                <w:sz w:val="24"/>
              </w:rPr>
              <w:t> </w:t>
            </w:r>
            <w:r>
              <w:rPr>
                <w:spacing w:val="-10"/>
                <w:sz w:val="24"/>
              </w:rPr>
              <w:t>瓶，每年约 </w:t>
            </w:r>
            <w:r>
              <w:rPr>
                <w:rFonts w:ascii="Times New Roman" w:eastAsia="Times New Roman"/>
                <w:sz w:val="24"/>
              </w:rPr>
              <w:t>2150 </w:t>
            </w:r>
            <w:r>
              <w:rPr>
                <w:spacing w:val="-6"/>
                <w:sz w:val="24"/>
              </w:rPr>
              <w:t>台手术，年使用量约为 </w:t>
            </w:r>
            <w:r>
              <w:rPr>
                <w:rFonts w:ascii="Times New Roman" w:eastAsia="Times New Roman"/>
                <w:sz w:val="24"/>
              </w:rPr>
              <w:t>430L</w:t>
            </w:r>
            <w:r>
              <w:rPr>
                <w:sz w:val="24"/>
              </w:rPr>
              <w:t>。由医院统一采购，常温储存，使用后的废包装物按医疗废物处置。</w:t>
            </w:r>
          </w:p>
          <w:p>
            <w:pPr>
              <w:pStyle w:val="TableParagraph"/>
              <w:spacing w:before="2"/>
              <w:ind w:left="108"/>
              <w:jc w:val="left"/>
              <w:rPr>
                <w:sz w:val="24"/>
              </w:rPr>
            </w:pPr>
            <w:r>
              <w:rPr>
                <w:sz w:val="24"/>
              </w:rPr>
              <w:t>（六）本项目设备装置及使用情况一览表</w:t>
            </w:r>
          </w:p>
          <w:p>
            <w:pPr>
              <w:pStyle w:val="TableParagraph"/>
              <w:spacing w:before="160"/>
              <w:ind w:left="588"/>
              <w:jc w:val="left"/>
              <w:rPr>
                <w:sz w:val="24"/>
              </w:rPr>
            </w:pPr>
            <w:r>
              <w:rPr>
                <w:spacing w:val="-5"/>
                <w:sz w:val="24"/>
              </w:rPr>
              <w:t>本项目射线装置相关参数情况见表 </w:t>
            </w:r>
            <w:r>
              <w:rPr>
                <w:rFonts w:ascii="Times New Roman" w:eastAsia="Times New Roman"/>
                <w:sz w:val="24"/>
              </w:rPr>
              <w:t>1-3</w:t>
            </w:r>
            <w:r>
              <w:rPr>
                <w:spacing w:val="-6"/>
                <w:sz w:val="24"/>
              </w:rPr>
              <w:t>，科室手术量情况见表 </w:t>
            </w:r>
            <w:r>
              <w:rPr>
                <w:rFonts w:ascii="Times New Roman" w:eastAsia="Times New Roman"/>
                <w:sz w:val="24"/>
              </w:rPr>
              <w:t>1-4</w:t>
            </w:r>
            <w:r>
              <w:rPr>
                <w:sz w:val="24"/>
              </w:rPr>
              <w:t>。</w:t>
            </w:r>
          </w:p>
          <w:p>
            <w:pPr>
              <w:pStyle w:val="TableParagraph"/>
              <w:tabs>
                <w:tab w:pos="4046" w:val="left" w:leader="none"/>
              </w:tabs>
              <w:spacing w:before="179"/>
              <w:ind w:left="3292"/>
              <w:jc w:val="left"/>
              <w:rPr>
                <w:sz w:val="21"/>
              </w:rPr>
            </w:pPr>
            <w:r>
              <w:rPr>
                <w:w w:val="95"/>
                <w:sz w:val="21"/>
              </w:rPr>
              <w:t>表</w:t>
            </w:r>
            <w:r>
              <w:rPr>
                <w:spacing w:val="-42"/>
                <w:w w:val="95"/>
                <w:sz w:val="21"/>
              </w:rPr>
              <w:t> </w:t>
            </w:r>
            <w:r>
              <w:rPr>
                <w:rFonts w:ascii="Times New Roman" w:eastAsia="Times New Roman"/>
                <w:b/>
                <w:w w:val="95"/>
                <w:sz w:val="21"/>
              </w:rPr>
              <w:t>1-3</w:t>
              <w:tab/>
            </w:r>
            <w:r>
              <w:rPr>
                <w:sz w:val="21"/>
              </w:rPr>
              <w:t>本项目射线装置相关参数</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tabs>
                <w:tab w:pos="4149" w:val="left" w:leader="none"/>
              </w:tabs>
              <w:spacing w:before="158"/>
              <w:ind w:left="3398"/>
              <w:jc w:val="left"/>
              <w:rPr>
                <w:sz w:val="21"/>
              </w:rPr>
            </w:pPr>
            <w:r>
              <w:rPr>
                <w:w w:val="95"/>
                <w:sz w:val="21"/>
              </w:rPr>
              <w:t>表</w:t>
            </w:r>
            <w:r>
              <w:rPr>
                <w:spacing w:val="-42"/>
                <w:w w:val="95"/>
                <w:sz w:val="21"/>
              </w:rPr>
              <w:t> </w:t>
            </w:r>
            <w:r>
              <w:rPr>
                <w:rFonts w:ascii="Times New Roman" w:eastAsia="Times New Roman"/>
                <w:b/>
                <w:w w:val="95"/>
                <w:sz w:val="21"/>
              </w:rPr>
              <w:t>1-4</w:t>
              <w:tab/>
            </w:r>
            <w:r>
              <w:rPr>
                <w:sz w:val="21"/>
              </w:rPr>
              <w:t>本项目科室手术量分配</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5"/>
              <w:jc w:val="left"/>
              <w:rPr>
                <w:sz w:val="17"/>
              </w:rPr>
            </w:pPr>
          </w:p>
          <w:p>
            <w:pPr>
              <w:pStyle w:val="TableParagraph"/>
              <w:spacing w:before="1"/>
              <w:ind w:left="108"/>
              <w:jc w:val="left"/>
              <w:rPr>
                <w:sz w:val="24"/>
              </w:rPr>
            </w:pPr>
            <w:r>
              <w:rPr>
                <w:sz w:val="24"/>
              </w:rPr>
              <w:t>（七）工作人员配置情况</w:t>
            </w:r>
          </w:p>
          <w:p>
            <w:pPr>
              <w:pStyle w:val="TableParagraph"/>
              <w:spacing w:line="364" w:lineRule="auto" w:before="160"/>
              <w:ind w:left="108" w:right="98" w:firstLine="480"/>
              <w:jc w:val="left"/>
              <w:rPr>
                <w:sz w:val="24"/>
              </w:rPr>
            </w:pPr>
            <w:r>
              <w:rPr>
                <w:spacing w:val="-1"/>
                <w:sz w:val="24"/>
              </w:rPr>
              <w:t>本项目共涉及辐射工作人员</w:t>
            </w:r>
            <w:r>
              <w:rPr>
                <w:rFonts w:ascii="Times New Roman" w:eastAsia="Times New Roman"/>
                <w:spacing w:val="-1"/>
                <w:sz w:val="24"/>
              </w:rPr>
              <w:t>16</w:t>
            </w:r>
            <w:r>
              <w:rPr>
                <w:spacing w:val="-1"/>
                <w:sz w:val="24"/>
              </w:rPr>
              <w:t>名，其中为</w:t>
            </w:r>
            <w:r>
              <w:rPr>
                <w:rFonts w:ascii="Times New Roman" w:eastAsia="Times New Roman"/>
                <w:spacing w:val="-1"/>
                <w:sz w:val="24"/>
              </w:rPr>
              <w:t>10</w:t>
            </w:r>
            <w:r>
              <w:rPr>
                <w:spacing w:val="-1"/>
                <w:sz w:val="24"/>
              </w:rPr>
              <w:t>名医生，</w:t>
            </w:r>
            <w:r>
              <w:rPr>
                <w:rFonts w:ascii="Times New Roman" w:eastAsia="Times New Roman"/>
                <w:spacing w:val="-1"/>
                <w:sz w:val="24"/>
              </w:rPr>
              <w:t>3</w:t>
            </w:r>
            <w:r>
              <w:rPr>
                <w:sz w:val="24"/>
              </w:rPr>
              <w:t>名技师，</w:t>
            </w:r>
            <w:r>
              <w:rPr>
                <w:rFonts w:ascii="Times New Roman" w:eastAsia="Times New Roman"/>
                <w:sz w:val="24"/>
              </w:rPr>
              <w:t>3</w:t>
            </w:r>
            <w:r>
              <w:rPr>
                <w:sz w:val="24"/>
              </w:rPr>
              <w:t>名护士，均为原有辐射工作人员。</w:t>
            </w:r>
          </w:p>
          <w:p>
            <w:pPr>
              <w:pStyle w:val="TableParagraph"/>
              <w:tabs>
                <w:tab w:pos="3835" w:val="left" w:leader="none"/>
              </w:tabs>
              <w:spacing w:before="19"/>
              <w:ind w:left="3081"/>
              <w:jc w:val="left"/>
              <w:rPr>
                <w:sz w:val="21"/>
              </w:rPr>
            </w:pPr>
            <w:r>
              <w:rPr>
                <w:w w:val="95"/>
                <w:sz w:val="21"/>
              </w:rPr>
              <w:t>表</w:t>
            </w:r>
            <w:r>
              <w:rPr>
                <w:spacing w:val="-39"/>
                <w:w w:val="95"/>
                <w:sz w:val="21"/>
              </w:rPr>
              <w:t> </w:t>
            </w:r>
            <w:r>
              <w:rPr>
                <w:rFonts w:ascii="Times New Roman" w:eastAsia="Times New Roman"/>
                <w:b/>
                <w:w w:val="95"/>
                <w:sz w:val="21"/>
              </w:rPr>
              <w:t>1-5</w:t>
              <w:tab/>
            </w:r>
            <w:r>
              <w:rPr>
                <w:sz w:val="21"/>
              </w:rPr>
              <w:t>本项目辐射工作人员配置情况</w:t>
            </w:r>
          </w:p>
        </w:tc>
      </w:tr>
      <w:tr>
        <w:trPr>
          <w:trHeight w:val="310" w:hRule="atLeast"/>
        </w:trPr>
        <w:tc>
          <w:tcPr>
            <w:tcW w:w="2281" w:type="dxa"/>
            <w:gridSpan w:val="3"/>
            <w:tcBorders>
              <w:top w:val="single" w:sz="12" w:space="0" w:color="000000"/>
              <w:left w:val="single" w:sz="4" w:space="0" w:color="000000"/>
              <w:bottom w:val="single" w:sz="12" w:space="0" w:color="000000"/>
              <w:right w:val="single" w:sz="4" w:space="0" w:color="000000"/>
            </w:tcBorders>
          </w:tcPr>
          <w:p>
            <w:pPr>
              <w:pStyle w:val="TableParagraph"/>
              <w:spacing w:line="269" w:lineRule="exact" w:before="21"/>
              <w:ind w:left="921" w:right="804"/>
              <w:rPr>
                <w:sz w:val="21"/>
              </w:rPr>
            </w:pPr>
            <w:r>
              <w:rPr>
                <w:sz w:val="21"/>
              </w:rPr>
              <w:t>职务</w:t>
            </w:r>
          </w:p>
        </w:tc>
        <w:tc>
          <w:tcPr>
            <w:tcW w:w="2207" w:type="dxa"/>
            <w:gridSpan w:val="2"/>
            <w:tcBorders>
              <w:top w:val="single" w:sz="12" w:space="0" w:color="000000"/>
              <w:left w:val="single" w:sz="4" w:space="0" w:color="000000"/>
              <w:bottom w:val="single" w:sz="12" w:space="0" w:color="000000"/>
              <w:right w:val="single" w:sz="4" w:space="0" w:color="000000"/>
            </w:tcBorders>
          </w:tcPr>
          <w:p>
            <w:pPr>
              <w:pStyle w:val="TableParagraph"/>
              <w:spacing w:line="269" w:lineRule="exact" w:before="21"/>
              <w:ind w:left="263"/>
              <w:jc w:val="left"/>
              <w:rPr>
                <w:sz w:val="21"/>
              </w:rPr>
            </w:pPr>
            <w:r>
              <w:rPr>
                <w:w w:val="95"/>
                <w:sz w:val="21"/>
              </w:rPr>
              <w:t>辐射工作人员数量</w:t>
            </w:r>
          </w:p>
        </w:tc>
        <w:tc>
          <w:tcPr>
            <w:tcW w:w="1290" w:type="dxa"/>
            <w:tcBorders>
              <w:top w:val="single" w:sz="12" w:space="0" w:color="000000"/>
              <w:left w:val="single" w:sz="4" w:space="0" w:color="000000"/>
              <w:bottom w:val="single" w:sz="12" w:space="0" w:color="000000"/>
              <w:right w:val="single" w:sz="4" w:space="0" w:color="000000"/>
            </w:tcBorders>
          </w:tcPr>
          <w:p>
            <w:pPr>
              <w:pStyle w:val="TableParagraph"/>
              <w:spacing w:line="269" w:lineRule="exact" w:before="21"/>
              <w:ind w:left="120"/>
              <w:jc w:val="left"/>
              <w:rPr>
                <w:sz w:val="21"/>
              </w:rPr>
            </w:pPr>
            <w:r>
              <w:rPr>
                <w:w w:val="95"/>
                <w:sz w:val="21"/>
              </w:rPr>
              <w:t>是否兼任之</w:t>
            </w:r>
          </w:p>
        </w:tc>
        <w:tc>
          <w:tcPr>
            <w:tcW w:w="1298" w:type="dxa"/>
            <w:tcBorders>
              <w:top w:val="single" w:sz="12" w:space="0" w:color="000000"/>
              <w:left w:val="single" w:sz="4" w:space="0" w:color="000000"/>
              <w:bottom w:val="single" w:sz="12" w:space="0" w:color="000000"/>
              <w:right w:val="single" w:sz="4" w:space="0" w:color="000000"/>
            </w:tcBorders>
          </w:tcPr>
          <w:p>
            <w:pPr>
              <w:pStyle w:val="TableParagraph"/>
              <w:spacing w:line="269" w:lineRule="exact" w:before="21"/>
              <w:ind w:left="143" w:right="140"/>
              <w:rPr>
                <w:sz w:val="21"/>
              </w:rPr>
            </w:pPr>
            <w:r>
              <w:rPr>
                <w:sz w:val="21"/>
              </w:rPr>
              <w:t>科室</w:t>
            </w:r>
          </w:p>
        </w:tc>
        <w:tc>
          <w:tcPr>
            <w:tcW w:w="2001" w:type="dxa"/>
            <w:tcBorders>
              <w:top w:val="single" w:sz="12" w:space="0" w:color="000000"/>
              <w:left w:val="single" w:sz="4" w:space="0" w:color="000000"/>
              <w:bottom w:val="single" w:sz="12" w:space="0" w:color="000000"/>
              <w:right w:val="single" w:sz="4" w:space="0" w:color="000000"/>
            </w:tcBorders>
          </w:tcPr>
          <w:p>
            <w:pPr>
              <w:pStyle w:val="TableParagraph"/>
              <w:spacing w:line="269" w:lineRule="exact" w:before="21"/>
              <w:ind w:left="710" w:right="820"/>
              <w:rPr>
                <w:sz w:val="21"/>
              </w:rPr>
            </w:pPr>
            <w:r>
              <w:rPr>
                <w:sz w:val="21"/>
              </w:rPr>
              <w:t>备注</w:t>
            </w:r>
          </w:p>
        </w:tc>
      </w:tr>
    </w:tbl>
    <w:p>
      <w:pPr>
        <w:rPr>
          <w:sz w:val="2"/>
          <w:szCs w:val="2"/>
        </w:rPr>
      </w:pPr>
      <w:r>
        <w:rPr/>
        <w:pict>
          <v:shape style="position:absolute;margin-left:76.580002pt;margin-top:296.900024pt;width:446.8pt;height:96.55pt;mso-position-horizontal-relative:page;mso-position-vertical-relative:page;z-index:15730688"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3"/>
                    <w:gridCol w:w="795"/>
                    <w:gridCol w:w="1695"/>
                    <w:gridCol w:w="950"/>
                    <w:gridCol w:w="1000"/>
                    <w:gridCol w:w="1591"/>
                    <w:gridCol w:w="643"/>
                    <w:gridCol w:w="1007"/>
                    <w:gridCol w:w="528"/>
                  </w:tblGrid>
                  <w:tr>
                    <w:trPr>
                      <w:trHeight w:val="926" w:hRule="atLeast"/>
                    </w:trPr>
                    <w:tc>
                      <w:tcPr>
                        <w:tcW w:w="683" w:type="dxa"/>
                        <w:tcBorders>
                          <w:left w:val="nil"/>
                          <w:bottom w:val="single" w:sz="4" w:space="0" w:color="000000"/>
                          <w:right w:val="single" w:sz="4" w:space="0" w:color="000000"/>
                        </w:tcBorders>
                      </w:tcPr>
                      <w:p>
                        <w:pPr>
                          <w:pStyle w:val="TableParagraph"/>
                          <w:spacing w:before="7"/>
                          <w:jc w:val="left"/>
                          <w:rPr>
                            <w:sz w:val="25"/>
                          </w:rPr>
                        </w:pPr>
                      </w:p>
                      <w:p>
                        <w:pPr>
                          <w:pStyle w:val="TableParagraph"/>
                          <w:ind w:left="103" w:right="69"/>
                          <w:rPr>
                            <w:sz w:val="21"/>
                          </w:rPr>
                        </w:pPr>
                        <w:r>
                          <w:rPr>
                            <w:sz w:val="21"/>
                          </w:rPr>
                          <w:t>名称</w:t>
                        </w:r>
                      </w:p>
                    </w:tc>
                    <w:tc>
                      <w:tcPr>
                        <w:tcW w:w="795" w:type="dxa"/>
                        <w:tcBorders>
                          <w:left w:val="single" w:sz="4" w:space="0" w:color="000000"/>
                          <w:bottom w:val="single" w:sz="4" w:space="0" w:color="000000"/>
                          <w:right w:val="single" w:sz="4" w:space="0" w:color="000000"/>
                        </w:tcBorders>
                      </w:tcPr>
                      <w:p>
                        <w:pPr>
                          <w:pStyle w:val="TableParagraph"/>
                          <w:spacing w:before="7"/>
                          <w:jc w:val="left"/>
                          <w:rPr>
                            <w:sz w:val="25"/>
                          </w:rPr>
                        </w:pPr>
                      </w:p>
                      <w:p>
                        <w:pPr>
                          <w:pStyle w:val="TableParagraph"/>
                          <w:ind w:left="197"/>
                          <w:jc w:val="left"/>
                          <w:rPr>
                            <w:sz w:val="21"/>
                          </w:rPr>
                        </w:pPr>
                        <w:r>
                          <w:rPr>
                            <w:sz w:val="21"/>
                          </w:rPr>
                          <w:t>型号</w:t>
                        </w:r>
                      </w:p>
                    </w:tc>
                    <w:tc>
                      <w:tcPr>
                        <w:tcW w:w="1695" w:type="dxa"/>
                        <w:tcBorders>
                          <w:left w:val="single" w:sz="4" w:space="0" w:color="000000"/>
                          <w:bottom w:val="single" w:sz="4" w:space="0" w:color="000000"/>
                          <w:right w:val="single" w:sz="4" w:space="0" w:color="000000"/>
                        </w:tcBorders>
                      </w:tcPr>
                      <w:p>
                        <w:pPr>
                          <w:pStyle w:val="TableParagraph"/>
                          <w:spacing w:before="7"/>
                          <w:jc w:val="left"/>
                          <w:rPr>
                            <w:sz w:val="25"/>
                          </w:rPr>
                        </w:pPr>
                      </w:p>
                      <w:p>
                        <w:pPr>
                          <w:pStyle w:val="TableParagraph"/>
                          <w:ind w:left="436"/>
                          <w:jc w:val="left"/>
                          <w:rPr>
                            <w:sz w:val="21"/>
                          </w:rPr>
                        </w:pPr>
                        <w:r>
                          <w:rPr>
                            <w:w w:val="95"/>
                            <w:sz w:val="21"/>
                          </w:rPr>
                          <w:t>生产厂家</w:t>
                        </w:r>
                      </w:p>
                    </w:tc>
                    <w:tc>
                      <w:tcPr>
                        <w:tcW w:w="950" w:type="dxa"/>
                        <w:tcBorders>
                          <w:left w:val="single" w:sz="4" w:space="0" w:color="000000"/>
                          <w:bottom w:val="single" w:sz="4" w:space="0" w:color="000000"/>
                          <w:right w:val="single" w:sz="4" w:space="0" w:color="000000"/>
                        </w:tcBorders>
                      </w:tcPr>
                      <w:p>
                        <w:pPr>
                          <w:pStyle w:val="TableParagraph"/>
                          <w:spacing w:before="7"/>
                          <w:jc w:val="left"/>
                          <w:rPr>
                            <w:sz w:val="25"/>
                          </w:rPr>
                        </w:pPr>
                      </w:p>
                      <w:p>
                        <w:pPr>
                          <w:pStyle w:val="TableParagraph"/>
                          <w:ind w:left="64"/>
                          <w:jc w:val="left"/>
                          <w:rPr>
                            <w:sz w:val="21"/>
                          </w:rPr>
                        </w:pPr>
                        <w:r>
                          <w:rPr>
                            <w:w w:val="95"/>
                            <w:sz w:val="21"/>
                          </w:rPr>
                          <w:t>设备参数</w:t>
                        </w:r>
                      </w:p>
                    </w:tc>
                    <w:tc>
                      <w:tcPr>
                        <w:tcW w:w="1000" w:type="dxa"/>
                        <w:tcBorders>
                          <w:left w:val="single" w:sz="4" w:space="0" w:color="000000"/>
                          <w:bottom w:val="single" w:sz="4" w:space="0" w:color="000000"/>
                          <w:right w:val="single" w:sz="4" w:space="0" w:color="000000"/>
                        </w:tcBorders>
                      </w:tcPr>
                      <w:p>
                        <w:pPr>
                          <w:pStyle w:val="TableParagraph"/>
                          <w:spacing w:before="7"/>
                          <w:jc w:val="left"/>
                          <w:rPr>
                            <w:sz w:val="25"/>
                          </w:rPr>
                        </w:pPr>
                      </w:p>
                      <w:p>
                        <w:pPr>
                          <w:pStyle w:val="TableParagraph"/>
                          <w:ind w:left="90" w:right="61"/>
                          <w:rPr>
                            <w:sz w:val="21"/>
                          </w:rPr>
                        </w:pPr>
                        <w:r>
                          <w:rPr>
                            <w:w w:val="95"/>
                            <w:sz w:val="21"/>
                          </w:rPr>
                          <w:t>管理类别</w:t>
                        </w:r>
                      </w:p>
                    </w:tc>
                    <w:tc>
                      <w:tcPr>
                        <w:tcW w:w="1591" w:type="dxa"/>
                        <w:tcBorders>
                          <w:left w:val="single" w:sz="4" w:space="0" w:color="000000"/>
                          <w:bottom w:val="single" w:sz="4" w:space="0" w:color="000000"/>
                          <w:right w:val="single" w:sz="4" w:space="0" w:color="000000"/>
                        </w:tcBorders>
                      </w:tcPr>
                      <w:p>
                        <w:pPr>
                          <w:pStyle w:val="TableParagraph"/>
                          <w:spacing w:before="7"/>
                          <w:jc w:val="left"/>
                          <w:rPr>
                            <w:sz w:val="25"/>
                          </w:rPr>
                        </w:pPr>
                      </w:p>
                      <w:p>
                        <w:pPr>
                          <w:pStyle w:val="TableParagraph"/>
                          <w:ind w:left="41" w:right="-58"/>
                          <w:jc w:val="left"/>
                          <w:rPr>
                            <w:sz w:val="21"/>
                          </w:rPr>
                        </w:pPr>
                        <w:r>
                          <w:rPr>
                            <w:w w:val="95"/>
                            <w:sz w:val="21"/>
                          </w:rPr>
                          <w:t>年出束时间（</w:t>
                        </w:r>
                        <w:r>
                          <w:rPr>
                            <w:rFonts w:ascii="Times New Roman" w:eastAsia="Times New Roman"/>
                            <w:b/>
                            <w:w w:val="95"/>
                            <w:sz w:val="21"/>
                          </w:rPr>
                          <w:t>h</w:t>
                        </w:r>
                        <w:r>
                          <w:rPr>
                            <w:w w:val="95"/>
                            <w:sz w:val="21"/>
                          </w:rPr>
                          <w:t>）</w:t>
                        </w:r>
                      </w:p>
                    </w:tc>
                    <w:tc>
                      <w:tcPr>
                        <w:tcW w:w="643" w:type="dxa"/>
                        <w:tcBorders>
                          <w:left w:val="single" w:sz="4" w:space="0" w:color="000000"/>
                          <w:bottom w:val="single" w:sz="4" w:space="0" w:color="000000"/>
                          <w:right w:val="single" w:sz="4" w:space="0" w:color="000000"/>
                        </w:tcBorders>
                      </w:tcPr>
                      <w:p>
                        <w:pPr>
                          <w:pStyle w:val="TableParagraph"/>
                          <w:spacing w:line="278" w:lineRule="auto" w:before="171"/>
                          <w:ind w:left="120" w:right="90"/>
                          <w:jc w:val="left"/>
                          <w:rPr>
                            <w:sz w:val="21"/>
                          </w:rPr>
                        </w:pPr>
                        <w:r>
                          <w:rPr>
                            <w:spacing w:val="-2"/>
                            <w:sz w:val="21"/>
                          </w:rPr>
                          <w:t>曝光方向</w:t>
                        </w:r>
                      </w:p>
                    </w:tc>
                    <w:tc>
                      <w:tcPr>
                        <w:tcW w:w="1007" w:type="dxa"/>
                        <w:tcBorders>
                          <w:left w:val="single" w:sz="4" w:space="0" w:color="000000"/>
                          <w:bottom w:val="single" w:sz="4" w:space="0" w:color="000000"/>
                          <w:right w:val="single" w:sz="4" w:space="0" w:color="000000"/>
                        </w:tcBorders>
                      </w:tcPr>
                      <w:p>
                        <w:pPr>
                          <w:pStyle w:val="TableParagraph"/>
                          <w:spacing w:before="7"/>
                          <w:jc w:val="left"/>
                          <w:rPr>
                            <w:sz w:val="25"/>
                          </w:rPr>
                        </w:pPr>
                      </w:p>
                      <w:p>
                        <w:pPr>
                          <w:pStyle w:val="TableParagraph"/>
                          <w:ind w:left="47" w:right="18"/>
                          <w:rPr>
                            <w:sz w:val="21"/>
                          </w:rPr>
                        </w:pPr>
                        <w:r>
                          <w:rPr>
                            <w:w w:val="95"/>
                            <w:sz w:val="21"/>
                          </w:rPr>
                          <w:t>使用场所</w:t>
                        </w:r>
                      </w:p>
                    </w:tc>
                    <w:tc>
                      <w:tcPr>
                        <w:tcW w:w="528" w:type="dxa"/>
                        <w:tcBorders>
                          <w:left w:val="single" w:sz="4" w:space="0" w:color="000000"/>
                          <w:bottom w:val="single" w:sz="4" w:space="0" w:color="000000"/>
                          <w:right w:val="nil"/>
                        </w:tcBorders>
                      </w:tcPr>
                      <w:p>
                        <w:pPr>
                          <w:pStyle w:val="TableParagraph"/>
                          <w:spacing w:before="7"/>
                          <w:jc w:val="left"/>
                          <w:rPr>
                            <w:sz w:val="25"/>
                          </w:rPr>
                        </w:pPr>
                      </w:p>
                      <w:p>
                        <w:pPr>
                          <w:pStyle w:val="TableParagraph"/>
                          <w:ind w:right="36"/>
                          <w:jc w:val="right"/>
                          <w:rPr>
                            <w:sz w:val="21"/>
                          </w:rPr>
                        </w:pPr>
                        <w:r>
                          <w:rPr>
                            <w:sz w:val="21"/>
                          </w:rPr>
                          <w:t>备注</w:t>
                        </w:r>
                      </w:p>
                    </w:tc>
                  </w:tr>
                  <w:tr>
                    <w:trPr>
                      <w:trHeight w:val="935" w:hRule="atLeast"/>
                    </w:trPr>
                    <w:tc>
                      <w:tcPr>
                        <w:tcW w:w="683" w:type="dxa"/>
                        <w:tcBorders>
                          <w:top w:val="single" w:sz="4" w:space="0" w:color="000000"/>
                          <w:left w:val="nil"/>
                          <w:right w:val="single" w:sz="4" w:space="0" w:color="000000"/>
                        </w:tcBorders>
                      </w:tcPr>
                      <w:p>
                        <w:pPr>
                          <w:pStyle w:val="TableParagraph"/>
                          <w:jc w:val="left"/>
                          <w:rPr>
                            <w:sz w:val="27"/>
                          </w:rPr>
                        </w:pPr>
                      </w:p>
                      <w:p>
                        <w:pPr>
                          <w:pStyle w:val="TableParagraph"/>
                          <w:ind w:left="112" w:right="33"/>
                          <w:rPr>
                            <w:rFonts w:ascii="Times New Roman"/>
                            <w:sz w:val="21"/>
                          </w:rPr>
                        </w:pPr>
                        <w:r>
                          <w:rPr>
                            <w:rFonts w:ascii="Times New Roman"/>
                            <w:sz w:val="21"/>
                          </w:rPr>
                          <w:t>DSA</w:t>
                        </w:r>
                      </w:p>
                    </w:tc>
                    <w:tc>
                      <w:tcPr>
                        <w:tcW w:w="795" w:type="dxa"/>
                        <w:tcBorders>
                          <w:top w:val="single" w:sz="4" w:space="0" w:color="000000"/>
                          <w:left w:val="single" w:sz="4" w:space="0" w:color="000000"/>
                          <w:right w:val="single" w:sz="4" w:space="0" w:color="000000"/>
                        </w:tcBorders>
                      </w:tcPr>
                      <w:p>
                        <w:pPr>
                          <w:pStyle w:val="TableParagraph"/>
                          <w:spacing w:line="309" w:lineRule="auto" w:before="190"/>
                          <w:ind w:left="156" w:right="14" w:hanging="94"/>
                          <w:jc w:val="left"/>
                          <w:rPr>
                            <w:rFonts w:ascii="Times New Roman"/>
                            <w:sz w:val="21"/>
                          </w:rPr>
                        </w:pPr>
                        <w:r>
                          <w:rPr>
                            <w:rFonts w:ascii="Times New Roman"/>
                            <w:sz w:val="21"/>
                          </w:rPr>
                          <w:t>Azurion</w:t>
                        </w:r>
                        <w:r>
                          <w:rPr>
                            <w:rFonts w:ascii="Times New Roman"/>
                            <w:spacing w:val="-51"/>
                            <w:sz w:val="21"/>
                          </w:rPr>
                          <w:t> </w:t>
                        </w:r>
                        <w:r>
                          <w:rPr>
                            <w:rFonts w:ascii="Times New Roman"/>
                            <w:sz w:val="21"/>
                          </w:rPr>
                          <w:t>7M20</w:t>
                        </w:r>
                      </w:p>
                    </w:tc>
                    <w:tc>
                      <w:tcPr>
                        <w:tcW w:w="1695" w:type="dxa"/>
                        <w:tcBorders>
                          <w:top w:val="single" w:sz="4" w:space="0" w:color="000000"/>
                          <w:left w:val="single" w:sz="4" w:space="0" w:color="000000"/>
                          <w:right w:val="single" w:sz="4" w:space="0" w:color="000000"/>
                        </w:tcBorders>
                      </w:tcPr>
                      <w:p>
                        <w:pPr>
                          <w:pStyle w:val="TableParagraph"/>
                          <w:spacing w:before="34"/>
                          <w:ind w:left="39" w:right="9"/>
                          <w:rPr>
                            <w:rFonts w:ascii="Times New Roman"/>
                            <w:sz w:val="21"/>
                          </w:rPr>
                        </w:pPr>
                        <w:r>
                          <w:rPr>
                            <w:rFonts w:ascii="Times New Roman"/>
                            <w:sz w:val="21"/>
                          </w:rPr>
                          <w:t>Philips</w:t>
                        </w:r>
                        <w:r>
                          <w:rPr>
                            <w:rFonts w:ascii="Times New Roman"/>
                            <w:spacing w:val="-4"/>
                            <w:sz w:val="21"/>
                          </w:rPr>
                          <w:t> </w:t>
                        </w:r>
                        <w:r>
                          <w:rPr>
                            <w:rFonts w:ascii="Times New Roman"/>
                            <w:sz w:val="21"/>
                          </w:rPr>
                          <w:t>Medical</w:t>
                        </w:r>
                      </w:p>
                      <w:p>
                        <w:pPr>
                          <w:pStyle w:val="TableParagraph"/>
                          <w:spacing w:line="312" w:lineRule="exact" w:before="16"/>
                          <w:ind w:left="45" w:right="9"/>
                          <w:rPr>
                            <w:sz w:val="21"/>
                          </w:rPr>
                        </w:pPr>
                        <w:r>
                          <w:rPr>
                            <w:rFonts w:ascii="Times New Roman" w:eastAsia="Times New Roman"/>
                            <w:sz w:val="21"/>
                          </w:rPr>
                          <w:t>Systems Nederland</w:t>
                        </w:r>
                        <w:r>
                          <w:rPr>
                            <w:rFonts w:ascii="Times New Roman" w:eastAsia="Times New Roman"/>
                            <w:spacing w:val="-50"/>
                            <w:sz w:val="21"/>
                          </w:rPr>
                          <w:t> </w:t>
                        </w:r>
                        <w:r>
                          <w:rPr>
                            <w:rFonts w:ascii="Times New Roman" w:eastAsia="Times New Roman"/>
                            <w:sz w:val="21"/>
                          </w:rPr>
                          <w:t>B.V./</w:t>
                        </w:r>
                        <w:r>
                          <w:rPr>
                            <w:sz w:val="21"/>
                          </w:rPr>
                          <w:t>荷兰</w:t>
                        </w:r>
                      </w:p>
                    </w:tc>
                    <w:tc>
                      <w:tcPr>
                        <w:tcW w:w="950" w:type="dxa"/>
                        <w:tcBorders>
                          <w:top w:val="single" w:sz="4" w:space="0" w:color="000000"/>
                          <w:left w:val="single" w:sz="4" w:space="0" w:color="000000"/>
                          <w:right w:val="single" w:sz="4" w:space="0" w:color="000000"/>
                        </w:tcBorders>
                      </w:tcPr>
                      <w:p>
                        <w:pPr>
                          <w:pStyle w:val="TableParagraph"/>
                          <w:spacing w:before="190"/>
                          <w:ind w:left="198"/>
                          <w:jc w:val="left"/>
                          <w:rPr>
                            <w:rFonts w:ascii="Times New Roman"/>
                            <w:sz w:val="21"/>
                          </w:rPr>
                        </w:pPr>
                        <w:r>
                          <w:rPr>
                            <w:rFonts w:ascii="Times New Roman"/>
                            <w:sz w:val="21"/>
                          </w:rPr>
                          <w:t>125kV</w:t>
                        </w:r>
                      </w:p>
                      <w:p>
                        <w:pPr>
                          <w:pStyle w:val="TableParagraph"/>
                          <w:spacing w:before="70"/>
                          <w:ind w:left="116"/>
                          <w:jc w:val="left"/>
                          <w:rPr>
                            <w:rFonts w:ascii="Times New Roman"/>
                            <w:sz w:val="21"/>
                          </w:rPr>
                        </w:pPr>
                        <w:r>
                          <w:rPr>
                            <w:rFonts w:ascii="Times New Roman"/>
                            <w:sz w:val="21"/>
                          </w:rPr>
                          <w:t>1000mA</w:t>
                        </w:r>
                      </w:p>
                    </w:tc>
                    <w:tc>
                      <w:tcPr>
                        <w:tcW w:w="1000" w:type="dxa"/>
                        <w:tcBorders>
                          <w:top w:val="single" w:sz="4" w:space="0" w:color="000000"/>
                          <w:left w:val="single" w:sz="4" w:space="0" w:color="000000"/>
                          <w:right w:val="single" w:sz="4" w:space="0" w:color="000000"/>
                        </w:tcBorders>
                      </w:tcPr>
                      <w:p>
                        <w:pPr>
                          <w:pStyle w:val="TableParagraph"/>
                          <w:spacing w:before="11"/>
                          <w:jc w:val="left"/>
                          <w:rPr>
                            <w:sz w:val="25"/>
                          </w:rPr>
                        </w:pPr>
                      </w:p>
                      <w:p>
                        <w:pPr>
                          <w:pStyle w:val="TableParagraph"/>
                          <w:ind w:left="90" w:right="61"/>
                          <w:rPr>
                            <w:sz w:val="21"/>
                          </w:rPr>
                        </w:pPr>
                        <w:r>
                          <w:rPr>
                            <w:rFonts w:ascii="Times New Roman" w:eastAsia="Times New Roman"/>
                            <w:sz w:val="21"/>
                          </w:rPr>
                          <w:t>II</w:t>
                        </w:r>
                        <w:r>
                          <w:rPr>
                            <w:rFonts w:ascii="Times New Roman" w:eastAsia="Times New Roman"/>
                            <w:spacing w:val="-1"/>
                            <w:sz w:val="21"/>
                          </w:rPr>
                          <w:t> </w:t>
                        </w:r>
                        <w:r>
                          <w:rPr>
                            <w:sz w:val="21"/>
                          </w:rPr>
                          <w:t>类</w:t>
                        </w:r>
                      </w:p>
                    </w:tc>
                    <w:tc>
                      <w:tcPr>
                        <w:tcW w:w="1591" w:type="dxa"/>
                        <w:tcBorders>
                          <w:top w:val="single" w:sz="4" w:space="0" w:color="000000"/>
                          <w:left w:val="single" w:sz="4" w:space="0" w:color="000000"/>
                          <w:right w:val="single" w:sz="4" w:space="0" w:color="000000"/>
                        </w:tcBorders>
                      </w:tcPr>
                      <w:p>
                        <w:pPr>
                          <w:pStyle w:val="TableParagraph"/>
                          <w:spacing w:before="34"/>
                          <w:ind w:left="43" w:right="14"/>
                          <w:rPr>
                            <w:rFonts w:ascii="Times New Roman"/>
                            <w:sz w:val="21"/>
                          </w:rPr>
                        </w:pPr>
                        <w:r>
                          <w:rPr>
                            <w:rFonts w:ascii="Times New Roman"/>
                            <w:sz w:val="21"/>
                          </w:rPr>
                          <w:t>216.6h</w:t>
                        </w:r>
                      </w:p>
                      <w:p>
                        <w:pPr>
                          <w:pStyle w:val="TableParagraph"/>
                          <w:spacing w:line="310" w:lineRule="atLeast" w:before="15"/>
                          <w:ind w:left="43" w:right="16"/>
                          <w:rPr>
                            <w:sz w:val="21"/>
                          </w:rPr>
                        </w:pPr>
                        <w:r>
                          <w:rPr>
                            <w:w w:val="95"/>
                            <w:sz w:val="21"/>
                          </w:rPr>
                          <w:t>（</w:t>
                        </w:r>
                        <w:r>
                          <w:rPr>
                            <w:spacing w:val="-4"/>
                            <w:w w:val="95"/>
                            <w:sz w:val="21"/>
                          </w:rPr>
                          <w:t>透视 </w:t>
                        </w:r>
                        <w:r>
                          <w:rPr>
                            <w:rFonts w:ascii="Times New Roman" w:eastAsia="Times New Roman"/>
                            <w:w w:val="95"/>
                            <w:sz w:val="21"/>
                          </w:rPr>
                          <w:t>195h</w:t>
                        </w:r>
                        <w:r>
                          <w:rPr>
                            <w:w w:val="95"/>
                            <w:sz w:val="21"/>
                          </w:rPr>
                          <w:t>，拍</w:t>
                        </w:r>
                        <w:r>
                          <w:rPr>
                            <w:spacing w:val="-23"/>
                            <w:w w:val="95"/>
                            <w:sz w:val="21"/>
                          </w:rPr>
                          <w:t>片 </w:t>
                        </w:r>
                        <w:r>
                          <w:rPr>
                            <w:rFonts w:ascii="Times New Roman" w:eastAsia="Times New Roman"/>
                            <w:w w:val="95"/>
                            <w:sz w:val="21"/>
                          </w:rPr>
                          <w:t>21.6h</w:t>
                        </w:r>
                        <w:r>
                          <w:rPr>
                            <w:w w:val="95"/>
                            <w:sz w:val="21"/>
                          </w:rPr>
                          <w:t>）</w:t>
                        </w:r>
                      </w:p>
                    </w:tc>
                    <w:tc>
                      <w:tcPr>
                        <w:tcW w:w="643" w:type="dxa"/>
                        <w:tcBorders>
                          <w:top w:val="single" w:sz="4" w:space="0" w:color="000000"/>
                          <w:left w:val="single" w:sz="4" w:space="0" w:color="000000"/>
                          <w:right w:val="single" w:sz="4" w:space="0" w:color="000000"/>
                        </w:tcBorders>
                      </w:tcPr>
                      <w:p>
                        <w:pPr>
                          <w:pStyle w:val="TableParagraph"/>
                          <w:spacing w:line="278" w:lineRule="auto" w:before="176"/>
                          <w:ind w:left="120" w:right="92"/>
                          <w:jc w:val="left"/>
                          <w:rPr>
                            <w:sz w:val="21"/>
                          </w:rPr>
                        </w:pPr>
                        <w:r>
                          <w:rPr>
                            <w:spacing w:val="-3"/>
                            <w:sz w:val="21"/>
                          </w:rPr>
                          <w:t>由下而上</w:t>
                        </w:r>
                      </w:p>
                    </w:tc>
                    <w:tc>
                      <w:tcPr>
                        <w:tcW w:w="1007" w:type="dxa"/>
                        <w:tcBorders>
                          <w:top w:val="single" w:sz="4" w:space="0" w:color="000000"/>
                          <w:left w:val="single" w:sz="4" w:space="0" w:color="000000"/>
                          <w:right w:val="single" w:sz="4" w:space="0" w:color="000000"/>
                        </w:tcBorders>
                      </w:tcPr>
                      <w:p>
                        <w:pPr>
                          <w:pStyle w:val="TableParagraph"/>
                          <w:spacing w:before="11"/>
                          <w:jc w:val="left"/>
                          <w:rPr>
                            <w:sz w:val="25"/>
                          </w:rPr>
                        </w:pPr>
                      </w:p>
                      <w:p>
                        <w:pPr>
                          <w:pStyle w:val="TableParagraph"/>
                          <w:ind w:left="47" w:right="20"/>
                          <w:rPr>
                            <w:sz w:val="21"/>
                          </w:rPr>
                        </w:pPr>
                        <w:r>
                          <w:rPr>
                            <w:rFonts w:ascii="Times New Roman" w:eastAsia="Times New Roman"/>
                            <w:sz w:val="21"/>
                          </w:rPr>
                          <w:t>DSA</w:t>
                        </w:r>
                        <w:r>
                          <w:rPr>
                            <w:rFonts w:ascii="Times New Roman" w:eastAsia="Times New Roman"/>
                            <w:spacing w:val="-3"/>
                            <w:sz w:val="21"/>
                          </w:rPr>
                          <w:t> </w:t>
                        </w:r>
                        <w:r>
                          <w:rPr>
                            <w:sz w:val="21"/>
                          </w:rPr>
                          <w:t>机房</w:t>
                        </w:r>
                      </w:p>
                    </w:tc>
                    <w:tc>
                      <w:tcPr>
                        <w:tcW w:w="528" w:type="dxa"/>
                        <w:tcBorders>
                          <w:top w:val="single" w:sz="4" w:space="0" w:color="000000"/>
                          <w:left w:val="single" w:sz="4" w:space="0" w:color="000000"/>
                          <w:right w:val="nil"/>
                        </w:tcBorders>
                      </w:tcPr>
                      <w:p>
                        <w:pPr>
                          <w:pStyle w:val="TableParagraph"/>
                          <w:spacing w:before="11"/>
                          <w:jc w:val="left"/>
                          <w:rPr>
                            <w:sz w:val="25"/>
                          </w:rPr>
                        </w:pPr>
                      </w:p>
                      <w:p>
                        <w:pPr>
                          <w:pStyle w:val="TableParagraph"/>
                          <w:ind w:right="39"/>
                          <w:jc w:val="right"/>
                          <w:rPr>
                            <w:sz w:val="21"/>
                          </w:rPr>
                        </w:pPr>
                        <w:r>
                          <w:rPr>
                            <w:sz w:val="21"/>
                          </w:rPr>
                          <w:t>拟购</w:t>
                        </w:r>
                      </w:p>
                    </w:tc>
                  </w:tr>
                </w:tbl>
                <w:p>
                  <w:pPr>
                    <w:pStyle w:val="BodyText"/>
                  </w:pPr>
                </w:p>
              </w:txbxContent>
            </v:textbox>
            <w10:wrap type="none"/>
          </v:shape>
        </w:pict>
      </w:r>
      <w:r>
        <w:rPr/>
        <w:pict>
          <v:shape style="position:absolute;margin-left:77.180pt;margin-top:416.900024pt;width:445.55pt;height:219.75pt;mso-position-horizontal-relative:page;mso-position-vertical-relative:page;z-index:15731200"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9"/>
                    <w:gridCol w:w="1027"/>
                    <w:gridCol w:w="1226"/>
                    <w:gridCol w:w="1226"/>
                    <w:gridCol w:w="1226"/>
                    <w:gridCol w:w="1226"/>
                    <w:gridCol w:w="1227"/>
                  </w:tblGrid>
                  <w:tr>
                    <w:trPr>
                      <w:trHeight w:val="346" w:hRule="atLeast"/>
                    </w:trPr>
                    <w:tc>
                      <w:tcPr>
                        <w:tcW w:w="1709" w:type="dxa"/>
                        <w:vMerge w:val="restart"/>
                        <w:tcBorders>
                          <w:left w:val="nil"/>
                          <w:bottom w:val="single" w:sz="4" w:space="0" w:color="000000"/>
                          <w:right w:val="single" w:sz="4" w:space="0" w:color="000000"/>
                        </w:tcBorders>
                      </w:tcPr>
                      <w:p>
                        <w:pPr>
                          <w:pStyle w:val="TableParagraph"/>
                          <w:spacing w:before="8"/>
                          <w:jc w:val="left"/>
                          <w:rPr>
                            <w:sz w:val="15"/>
                          </w:rPr>
                        </w:pPr>
                      </w:p>
                      <w:p>
                        <w:pPr>
                          <w:pStyle w:val="TableParagraph"/>
                          <w:ind w:left="448"/>
                          <w:jc w:val="left"/>
                          <w:rPr>
                            <w:sz w:val="21"/>
                          </w:rPr>
                        </w:pPr>
                        <w:r>
                          <w:rPr>
                            <w:w w:val="95"/>
                            <w:sz w:val="21"/>
                          </w:rPr>
                          <w:t>科室名称</w:t>
                        </w:r>
                      </w:p>
                    </w:tc>
                    <w:tc>
                      <w:tcPr>
                        <w:tcW w:w="1027" w:type="dxa"/>
                        <w:vMerge w:val="restart"/>
                        <w:tcBorders>
                          <w:left w:val="single" w:sz="4" w:space="0" w:color="000000"/>
                          <w:bottom w:val="single" w:sz="4" w:space="0" w:color="000000"/>
                          <w:right w:val="single" w:sz="4" w:space="0" w:color="000000"/>
                        </w:tcBorders>
                      </w:tcPr>
                      <w:p>
                        <w:pPr>
                          <w:pStyle w:val="TableParagraph"/>
                          <w:spacing w:before="44"/>
                          <w:ind w:left="104" w:right="74"/>
                          <w:rPr>
                            <w:sz w:val="21"/>
                          </w:rPr>
                        </w:pPr>
                        <w:r>
                          <w:rPr>
                            <w:w w:val="95"/>
                            <w:sz w:val="21"/>
                          </w:rPr>
                          <w:t>年手术量</w:t>
                        </w:r>
                      </w:p>
                      <w:p>
                        <w:pPr>
                          <w:pStyle w:val="TableParagraph"/>
                          <w:spacing w:before="43"/>
                          <w:ind w:left="102" w:right="74"/>
                          <w:rPr>
                            <w:sz w:val="21"/>
                          </w:rPr>
                        </w:pPr>
                        <w:r>
                          <w:rPr>
                            <w:sz w:val="21"/>
                          </w:rPr>
                          <w:t>（例）</w:t>
                        </w:r>
                      </w:p>
                    </w:tc>
                    <w:tc>
                      <w:tcPr>
                        <w:tcW w:w="2452" w:type="dxa"/>
                        <w:gridSpan w:val="2"/>
                        <w:tcBorders>
                          <w:left w:val="single" w:sz="4" w:space="0" w:color="000000"/>
                          <w:bottom w:val="single" w:sz="4" w:space="0" w:color="000000"/>
                          <w:right w:val="single" w:sz="4" w:space="0" w:color="000000"/>
                        </w:tcBorders>
                      </w:tcPr>
                      <w:p>
                        <w:pPr>
                          <w:pStyle w:val="TableParagraph"/>
                          <w:spacing w:before="39"/>
                          <w:ind w:left="81"/>
                          <w:jc w:val="left"/>
                          <w:rPr>
                            <w:sz w:val="21"/>
                          </w:rPr>
                        </w:pPr>
                        <w:r>
                          <w:rPr>
                            <w:w w:val="95"/>
                            <w:sz w:val="21"/>
                          </w:rPr>
                          <w:t>平均每人次手术曝光时间</w:t>
                        </w:r>
                      </w:p>
                    </w:tc>
                    <w:tc>
                      <w:tcPr>
                        <w:tcW w:w="3679" w:type="dxa"/>
                        <w:gridSpan w:val="3"/>
                        <w:tcBorders>
                          <w:left w:val="single" w:sz="4" w:space="0" w:color="000000"/>
                          <w:bottom w:val="single" w:sz="4" w:space="0" w:color="000000"/>
                          <w:right w:val="nil"/>
                        </w:tcBorders>
                      </w:tcPr>
                      <w:p>
                        <w:pPr>
                          <w:pStyle w:val="TableParagraph"/>
                          <w:spacing w:before="39"/>
                          <w:ind w:left="1329" w:right="1307"/>
                          <w:rPr>
                            <w:sz w:val="21"/>
                          </w:rPr>
                        </w:pPr>
                        <w:r>
                          <w:rPr>
                            <w:w w:val="95"/>
                            <w:sz w:val="21"/>
                          </w:rPr>
                          <w:t>年曝光时间</w:t>
                        </w:r>
                      </w:p>
                    </w:tc>
                  </w:tr>
                  <w:tr>
                    <w:trPr>
                      <w:trHeight w:val="312" w:hRule="atLeast"/>
                    </w:trPr>
                    <w:tc>
                      <w:tcPr>
                        <w:tcW w:w="1709" w:type="dxa"/>
                        <w:vMerge/>
                        <w:tcBorders>
                          <w:top w:val="nil"/>
                          <w:left w:val="nil"/>
                          <w:bottom w:val="single" w:sz="4" w:space="0" w:color="000000"/>
                          <w:right w:val="single" w:sz="4" w:space="0" w:color="000000"/>
                        </w:tcBorders>
                      </w:tcPr>
                      <w:p>
                        <w:pPr>
                          <w:rPr>
                            <w:sz w:val="2"/>
                            <w:szCs w:val="2"/>
                          </w:rPr>
                        </w:pPr>
                      </w:p>
                    </w:tc>
                    <w:tc>
                      <w:tcPr>
                        <w:tcW w:w="1027" w:type="dxa"/>
                        <w:vMerge/>
                        <w:tcBorders>
                          <w:top w:val="nil"/>
                          <w:left w:val="single" w:sz="4" w:space="0" w:color="000000"/>
                          <w:bottom w:val="single" w:sz="4" w:space="0" w:color="000000"/>
                          <w:right w:val="single" w:sz="4" w:space="0" w:color="000000"/>
                        </w:tcBorders>
                      </w:tcPr>
                      <w:p>
                        <w:pPr>
                          <w:rPr>
                            <w:sz w:val="2"/>
                            <w:szCs w:val="2"/>
                          </w:rPr>
                        </w:pP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21"/>
                          <w:ind w:left="40" w:right="-29"/>
                          <w:rPr>
                            <w:sz w:val="21"/>
                          </w:rPr>
                        </w:pPr>
                        <w:r>
                          <w:rPr>
                            <w:sz w:val="21"/>
                          </w:rPr>
                          <w:t>拍片（</w:t>
                        </w:r>
                        <w:r>
                          <w:rPr>
                            <w:rFonts w:ascii="Times New Roman" w:eastAsia="Times New Roman"/>
                            <w:b/>
                            <w:sz w:val="21"/>
                          </w:rPr>
                          <w:t>min</w:t>
                        </w:r>
                        <w:r>
                          <w:rPr>
                            <w:sz w:val="21"/>
                          </w:rPr>
                          <w:t>）</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21"/>
                          <w:ind w:left="38" w:right="-29"/>
                          <w:rPr>
                            <w:sz w:val="21"/>
                          </w:rPr>
                        </w:pPr>
                        <w:r>
                          <w:rPr>
                            <w:w w:val="95"/>
                            <w:sz w:val="21"/>
                          </w:rPr>
                          <w:t>透视（</w:t>
                        </w:r>
                        <w:r>
                          <w:rPr>
                            <w:rFonts w:ascii="Times New Roman" w:eastAsia="Times New Roman"/>
                            <w:b/>
                            <w:w w:val="95"/>
                            <w:sz w:val="21"/>
                          </w:rPr>
                          <w:t>min</w:t>
                        </w:r>
                        <w:r>
                          <w:rPr>
                            <w:w w:val="95"/>
                            <w:sz w:val="21"/>
                          </w:rPr>
                          <w:t>）</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21"/>
                          <w:ind w:left="40" w:right="10"/>
                          <w:rPr>
                            <w:sz w:val="21"/>
                          </w:rPr>
                        </w:pPr>
                        <w:r>
                          <w:rPr>
                            <w:sz w:val="21"/>
                          </w:rPr>
                          <w:t>拍片（</w:t>
                        </w:r>
                        <w:r>
                          <w:rPr>
                            <w:rFonts w:ascii="Times New Roman" w:eastAsia="Times New Roman"/>
                            <w:b/>
                            <w:sz w:val="21"/>
                          </w:rPr>
                          <w:t>h</w:t>
                        </w:r>
                        <w:r>
                          <w:rPr>
                            <w:sz w:val="21"/>
                          </w:rPr>
                          <w:t>）</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21"/>
                          <w:ind w:left="40" w:right="10"/>
                          <w:rPr>
                            <w:sz w:val="21"/>
                          </w:rPr>
                        </w:pPr>
                        <w:r>
                          <w:rPr>
                            <w:sz w:val="21"/>
                          </w:rPr>
                          <w:t>透视（</w:t>
                        </w:r>
                        <w:r>
                          <w:rPr>
                            <w:rFonts w:ascii="Times New Roman" w:eastAsia="Times New Roman"/>
                            <w:b/>
                            <w:sz w:val="21"/>
                          </w:rPr>
                          <w:t>h</w:t>
                        </w:r>
                        <w:r>
                          <w:rPr>
                            <w:sz w:val="21"/>
                          </w:rPr>
                          <w:t>）</w:t>
                        </w:r>
                      </w:p>
                    </w:tc>
                    <w:tc>
                      <w:tcPr>
                        <w:tcW w:w="1227" w:type="dxa"/>
                        <w:tcBorders>
                          <w:top w:val="single" w:sz="4" w:space="0" w:color="000000"/>
                          <w:left w:val="single" w:sz="4" w:space="0" w:color="000000"/>
                          <w:bottom w:val="single" w:sz="4" w:space="0" w:color="000000"/>
                          <w:right w:val="nil"/>
                        </w:tcBorders>
                      </w:tcPr>
                      <w:p>
                        <w:pPr>
                          <w:pStyle w:val="TableParagraph"/>
                          <w:spacing w:before="21"/>
                          <w:ind w:left="149" w:right="124"/>
                          <w:rPr>
                            <w:sz w:val="21"/>
                          </w:rPr>
                        </w:pPr>
                        <w:r>
                          <w:rPr>
                            <w:w w:val="95"/>
                            <w:sz w:val="21"/>
                          </w:rPr>
                          <w:t>合计（</w:t>
                        </w:r>
                        <w:r>
                          <w:rPr>
                            <w:rFonts w:ascii="Times New Roman" w:eastAsia="Times New Roman"/>
                            <w:b/>
                            <w:w w:val="95"/>
                            <w:sz w:val="21"/>
                          </w:rPr>
                          <w:t>h</w:t>
                        </w:r>
                        <w:r>
                          <w:rPr>
                            <w:w w:val="95"/>
                            <w:sz w:val="21"/>
                          </w:rPr>
                          <w:t>）</w:t>
                        </w:r>
                      </w:p>
                    </w:tc>
                  </w:tr>
                  <w:tr>
                    <w:trPr>
                      <w:trHeight w:val="467" w:hRule="atLeast"/>
                    </w:trPr>
                    <w:tc>
                      <w:tcPr>
                        <w:tcW w:w="1709" w:type="dxa"/>
                        <w:tcBorders>
                          <w:top w:val="single" w:sz="4" w:space="0" w:color="000000"/>
                          <w:left w:val="nil"/>
                          <w:bottom w:val="single" w:sz="4" w:space="0" w:color="000000"/>
                          <w:right w:val="single" w:sz="4" w:space="0" w:color="000000"/>
                        </w:tcBorders>
                      </w:tcPr>
                      <w:p>
                        <w:pPr>
                          <w:pStyle w:val="TableParagraph"/>
                          <w:spacing w:before="98"/>
                          <w:ind w:left="533" w:right="501"/>
                          <w:rPr>
                            <w:sz w:val="21"/>
                          </w:rPr>
                        </w:pPr>
                        <w:r>
                          <w:rPr>
                            <w:sz w:val="21"/>
                          </w:rPr>
                          <w:t>肿瘤科</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98"/>
                          <w:ind w:left="366"/>
                          <w:jc w:val="left"/>
                          <w:rPr>
                            <w:sz w:val="21"/>
                          </w:rPr>
                        </w:pPr>
                        <w:r>
                          <w:rPr>
                            <w:sz w:val="21"/>
                          </w:rPr>
                          <w:t>300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6"/>
                          <w:rPr>
                            <w:rFonts w:ascii="Times New Roman"/>
                            <w:sz w:val="21"/>
                          </w:rPr>
                        </w:pPr>
                        <w:r>
                          <w:rPr>
                            <w:rFonts w:ascii="Times New Roman"/>
                            <w:w w:val="99"/>
                            <w:sz w:val="21"/>
                          </w:rPr>
                          <w:t>5</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13"/>
                          <w:rPr>
                            <w:rFonts w:ascii="Times New Roman"/>
                            <w:sz w:val="21"/>
                          </w:rPr>
                        </w:pPr>
                        <w:r>
                          <w:rPr>
                            <w:rFonts w:ascii="Times New Roman"/>
                            <w:sz w:val="21"/>
                          </w:rPr>
                          <w:t>45</w:t>
                        </w:r>
                      </w:p>
                    </w:tc>
                    <w:tc>
                      <w:tcPr>
                        <w:tcW w:w="1227" w:type="dxa"/>
                        <w:tcBorders>
                          <w:top w:val="single" w:sz="4" w:space="0" w:color="000000"/>
                          <w:left w:val="single" w:sz="4" w:space="0" w:color="000000"/>
                          <w:bottom w:val="single" w:sz="4" w:space="0" w:color="000000"/>
                          <w:right w:val="nil"/>
                        </w:tcBorders>
                      </w:tcPr>
                      <w:p>
                        <w:pPr>
                          <w:pStyle w:val="TableParagraph"/>
                          <w:spacing w:before="112"/>
                          <w:ind w:left="146" w:right="124"/>
                          <w:rPr>
                            <w:rFonts w:ascii="Times New Roman"/>
                            <w:sz w:val="21"/>
                          </w:rPr>
                        </w:pPr>
                        <w:r>
                          <w:rPr>
                            <w:rFonts w:ascii="Times New Roman"/>
                            <w:sz w:val="21"/>
                          </w:rPr>
                          <w:t>50</w:t>
                        </w:r>
                      </w:p>
                    </w:tc>
                  </w:tr>
                  <w:tr>
                    <w:trPr>
                      <w:trHeight w:val="467" w:hRule="atLeast"/>
                    </w:trPr>
                    <w:tc>
                      <w:tcPr>
                        <w:tcW w:w="1709" w:type="dxa"/>
                        <w:tcBorders>
                          <w:top w:val="single" w:sz="4" w:space="0" w:color="000000"/>
                          <w:left w:val="nil"/>
                          <w:bottom w:val="single" w:sz="4" w:space="0" w:color="000000"/>
                          <w:right w:val="single" w:sz="4" w:space="0" w:color="000000"/>
                        </w:tcBorders>
                      </w:tcPr>
                      <w:p>
                        <w:pPr>
                          <w:pStyle w:val="TableParagraph"/>
                          <w:spacing w:before="100"/>
                          <w:ind w:left="529" w:right="501"/>
                          <w:rPr>
                            <w:sz w:val="21"/>
                          </w:rPr>
                        </w:pPr>
                        <w:r>
                          <w:rPr>
                            <w:sz w:val="21"/>
                          </w:rPr>
                          <w:t>心内</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100"/>
                          <w:ind w:left="366"/>
                          <w:jc w:val="left"/>
                          <w:rPr>
                            <w:sz w:val="21"/>
                          </w:rPr>
                        </w:pPr>
                        <w:r>
                          <w:rPr>
                            <w:sz w:val="21"/>
                          </w:rPr>
                          <w:t>400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4"/>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4"/>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4"/>
                          <w:ind w:left="40" w:right="9"/>
                          <w:rPr>
                            <w:rFonts w:ascii="Times New Roman"/>
                            <w:sz w:val="21"/>
                          </w:rPr>
                        </w:pPr>
                        <w:r>
                          <w:rPr>
                            <w:rFonts w:ascii="Times New Roman"/>
                            <w:sz w:val="21"/>
                          </w:rPr>
                          <w:t>6.7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4"/>
                          <w:ind w:left="40" w:right="13"/>
                          <w:rPr>
                            <w:rFonts w:ascii="Times New Roman"/>
                            <w:sz w:val="21"/>
                          </w:rPr>
                        </w:pPr>
                        <w:r>
                          <w:rPr>
                            <w:rFonts w:ascii="Times New Roman"/>
                            <w:sz w:val="21"/>
                          </w:rPr>
                          <w:t>60</w:t>
                        </w:r>
                      </w:p>
                    </w:tc>
                    <w:tc>
                      <w:tcPr>
                        <w:tcW w:w="1227" w:type="dxa"/>
                        <w:tcBorders>
                          <w:top w:val="single" w:sz="4" w:space="0" w:color="000000"/>
                          <w:left w:val="single" w:sz="4" w:space="0" w:color="000000"/>
                          <w:bottom w:val="single" w:sz="4" w:space="0" w:color="000000"/>
                          <w:right w:val="nil"/>
                        </w:tcBorders>
                      </w:tcPr>
                      <w:p>
                        <w:pPr>
                          <w:pStyle w:val="TableParagraph"/>
                          <w:spacing w:before="114"/>
                          <w:ind w:left="149" w:right="123"/>
                          <w:rPr>
                            <w:rFonts w:ascii="Times New Roman"/>
                            <w:sz w:val="21"/>
                          </w:rPr>
                        </w:pPr>
                        <w:r>
                          <w:rPr>
                            <w:rFonts w:ascii="Times New Roman"/>
                            <w:sz w:val="21"/>
                          </w:rPr>
                          <w:t>66.7</w:t>
                        </w:r>
                      </w:p>
                    </w:tc>
                  </w:tr>
                  <w:tr>
                    <w:trPr>
                      <w:trHeight w:val="468" w:hRule="atLeast"/>
                    </w:trPr>
                    <w:tc>
                      <w:tcPr>
                        <w:tcW w:w="1709" w:type="dxa"/>
                        <w:tcBorders>
                          <w:top w:val="single" w:sz="4" w:space="0" w:color="000000"/>
                          <w:left w:val="nil"/>
                          <w:bottom w:val="single" w:sz="4" w:space="0" w:color="000000"/>
                          <w:right w:val="single" w:sz="4" w:space="0" w:color="000000"/>
                        </w:tcBorders>
                      </w:tcPr>
                      <w:p>
                        <w:pPr>
                          <w:pStyle w:val="TableParagraph"/>
                          <w:spacing w:before="99"/>
                          <w:ind w:left="533" w:right="499"/>
                          <w:rPr>
                            <w:sz w:val="21"/>
                          </w:rPr>
                        </w:pPr>
                        <w:r>
                          <w:rPr>
                            <w:spacing w:val="-21"/>
                            <w:w w:val="95"/>
                            <w:sz w:val="21"/>
                          </w:rPr>
                          <w:t>神 </w:t>
                        </w:r>
                        <w:r>
                          <w:rPr>
                            <w:w w:val="95"/>
                            <w:sz w:val="21"/>
                          </w:rPr>
                          <w:t>1</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99"/>
                          <w:ind w:left="366"/>
                          <w:jc w:val="left"/>
                          <w:rPr>
                            <w:sz w:val="21"/>
                          </w:rPr>
                        </w:pPr>
                        <w:r>
                          <w:rPr>
                            <w:sz w:val="21"/>
                          </w:rPr>
                          <w:t>200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40" w:right="9"/>
                          <w:rPr>
                            <w:rFonts w:ascii="Times New Roman"/>
                            <w:sz w:val="21"/>
                          </w:rPr>
                        </w:pPr>
                        <w:r>
                          <w:rPr>
                            <w:rFonts w:ascii="Times New Roman"/>
                            <w:sz w:val="21"/>
                          </w:rPr>
                          <w:t>3.3</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40" w:right="13"/>
                          <w:rPr>
                            <w:rFonts w:ascii="Times New Roman"/>
                            <w:sz w:val="21"/>
                          </w:rPr>
                        </w:pPr>
                        <w:r>
                          <w:rPr>
                            <w:rFonts w:ascii="Times New Roman"/>
                            <w:sz w:val="21"/>
                          </w:rPr>
                          <w:t>30</w:t>
                        </w:r>
                      </w:p>
                    </w:tc>
                    <w:tc>
                      <w:tcPr>
                        <w:tcW w:w="1227" w:type="dxa"/>
                        <w:tcBorders>
                          <w:top w:val="single" w:sz="4" w:space="0" w:color="000000"/>
                          <w:left w:val="single" w:sz="4" w:space="0" w:color="000000"/>
                          <w:bottom w:val="single" w:sz="4" w:space="0" w:color="000000"/>
                          <w:right w:val="nil"/>
                        </w:tcBorders>
                      </w:tcPr>
                      <w:p>
                        <w:pPr>
                          <w:pStyle w:val="TableParagraph"/>
                          <w:spacing w:before="113"/>
                          <w:ind w:left="149" w:right="123"/>
                          <w:rPr>
                            <w:rFonts w:ascii="Times New Roman"/>
                            <w:sz w:val="21"/>
                          </w:rPr>
                        </w:pPr>
                        <w:r>
                          <w:rPr>
                            <w:rFonts w:ascii="Times New Roman"/>
                            <w:sz w:val="21"/>
                          </w:rPr>
                          <w:t>33.3</w:t>
                        </w:r>
                      </w:p>
                    </w:tc>
                  </w:tr>
                  <w:tr>
                    <w:trPr>
                      <w:trHeight w:val="467" w:hRule="atLeast"/>
                    </w:trPr>
                    <w:tc>
                      <w:tcPr>
                        <w:tcW w:w="1709" w:type="dxa"/>
                        <w:tcBorders>
                          <w:top w:val="single" w:sz="4" w:space="0" w:color="000000"/>
                          <w:left w:val="nil"/>
                          <w:bottom w:val="single" w:sz="4" w:space="0" w:color="000000"/>
                          <w:right w:val="single" w:sz="4" w:space="0" w:color="000000"/>
                        </w:tcBorders>
                      </w:tcPr>
                      <w:p>
                        <w:pPr>
                          <w:pStyle w:val="TableParagraph"/>
                          <w:spacing w:before="99"/>
                          <w:ind w:left="533" w:right="499"/>
                          <w:rPr>
                            <w:sz w:val="21"/>
                          </w:rPr>
                        </w:pPr>
                        <w:r>
                          <w:rPr>
                            <w:spacing w:val="-21"/>
                            <w:w w:val="95"/>
                            <w:sz w:val="21"/>
                          </w:rPr>
                          <w:t>神 </w:t>
                        </w:r>
                        <w:r>
                          <w:rPr>
                            <w:w w:val="95"/>
                            <w:sz w:val="21"/>
                          </w:rPr>
                          <w:t>2</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99"/>
                          <w:ind w:left="366"/>
                          <w:jc w:val="left"/>
                          <w:rPr>
                            <w:sz w:val="21"/>
                          </w:rPr>
                        </w:pPr>
                        <w:r>
                          <w:rPr>
                            <w:sz w:val="21"/>
                          </w:rPr>
                          <w:t>200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40" w:right="9"/>
                          <w:rPr>
                            <w:rFonts w:ascii="Times New Roman"/>
                            <w:sz w:val="21"/>
                          </w:rPr>
                        </w:pPr>
                        <w:r>
                          <w:rPr>
                            <w:rFonts w:ascii="Times New Roman"/>
                            <w:sz w:val="21"/>
                          </w:rPr>
                          <w:t>3.3</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3"/>
                          <w:ind w:left="40" w:right="13"/>
                          <w:rPr>
                            <w:rFonts w:ascii="Times New Roman"/>
                            <w:sz w:val="21"/>
                          </w:rPr>
                        </w:pPr>
                        <w:r>
                          <w:rPr>
                            <w:rFonts w:ascii="Times New Roman"/>
                            <w:sz w:val="21"/>
                          </w:rPr>
                          <w:t>30</w:t>
                        </w:r>
                      </w:p>
                    </w:tc>
                    <w:tc>
                      <w:tcPr>
                        <w:tcW w:w="1227" w:type="dxa"/>
                        <w:tcBorders>
                          <w:top w:val="single" w:sz="4" w:space="0" w:color="000000"/>
                          <w:left w:val="single" w:sz="4" w:space="0" w:color="000000"/>
                          <w:bottom w:val="single" w:sz="4" w:space="0" w:color="000000"/>
                          <w:right w:val="nil"/>
                        </w:tcBorders>
                      </w:tcPr>
                      <w:p>
                        <w:pPr>
                          <w:pStyle w:val="TableParagraph"/>
                          <w:spacing w:before="113"/>
                          <w:ind w:left="149" w:right="123"/>
                          <w:rPr>
                            <w:rFonts w:ascii="Times New Roman"/>
                            <w:sz w:val="21"/>
                          </w:rPr>
                        </w:pPr>
                        <w:r>
                          <w:rPr>
                            <w:rFonts w:ascii="Times New Roman"/>
                            <w:sz w:val="21"/>
                          </w:rPr>
                          <w:t>33.3</w:t>
                        </w:r>
                      </w:p>
                    </w:tc>
                  </w:tr>
                  <w:tr>
                    <w:trPr>
                      <w:trHeight w:val="467" w:hRule="atLeast"/>
                    </w:trPr>
                    <w:tc>
                      <w:tcPr>
                        <w:tcW w:w="1709" w:type="dxa"/>
                        <w:tcBorders>
                          <w:top w:val="single" w:sz="4" w:space="0" w:color="000000"/>
                          <w:left w:val="nil"/>
                          <w:bottom w:val="single" w:sz="4" w:space="0" w:color="000000"/>
                          <w:right w:val="single" w:sz="4" w:space="0" w:color="000000"/>
                        </w:tcBorders>
                      </w:tcPr>
                      <w:p>
                        <w:pPr>
                          <w:pStyle w:val="TableParagraph"/>
                          <w:spacing w:before="98"/>
                          <w:ind w:left="529" w:right="501"/>
                          <w:rPr>
                            <w:sz w:val="21"/>
                          </w:rPr>
                        </w:pPr>
                        <w:r>
                          <w:rPr>
                            <w:sz w:val="21"/>
                          </w:rPr>
                          <w:t>神外</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98"/>
                          <w:ind w:left="366"/>
                          <w:jc w:val="left"/>
                          <w:rPr>
                            <w:sz w:val="21"/>
                          </w:rPr>
                        </w:pPr>
                        <w:r>
                          <w:rPr>
                            <w:sz w:val="21"/>
                          </w:rPr>
                          <w:t>100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9"/>
                          <w:rPr>
                            <w:rFonts w:ascii="Times New Roman"/>
                            <w:sz w:val="21"/>
                          </w:rPr>
                        </w:pPr>
                        <w:r>
                          <w:rPr>
                            <w:rFonts w:ascii="Times New Roman"/>
                            <w:sz w:val="21"/>
                          </w:rPr>
                          <w:t>1.7</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13"/>
                          <w:rPr>
                            <w:rFonts w:ascii="Times New Roman"/>
                            <w:sz w:val="21"/>
                          </w:rPr>
                        </w:pPr>
                        <w:r>
                          <w:rPr>
                            <w:rFonts w:ascii="Times New Roman"/>
                            <w:sz w:val="21"/>
                          </w:rPr>
                          <w:t>15</w:t>
                        </w:r>
                      </w:p>
                    </w:tc>
                    <w:tc>
                      <w:tcPr>
                        <w:tcW w:w="1227" w:type="dxa"/>
                        <w:tcBorders>
                          <w:top w:val="single" w:sz="4" w:space="0" w:color="000000"/>
                          <w:left w:val="single" w:sz="4" w:space="0" w:color="000000"/>
                          <w:bottom w:val="single" w:sz="4" w:space="0" w:color="000000"/>
                          <w:right w:val="nil"/>
                        </w:tcBorders>
                      </w:tcPr>
                      <w:p>
                        <w:pPr>
                          <w:pStyle w:val="TableParagraph"/>
                          <w:spacing w:before="112"/>
                          <w:ind w:left="149" w:right="123"/>
                          <w:rPr>
                            <w:rFonts w:ascii="Times New Roman"/>
                            <w:sz w:val="21"/>
                          </w:rPr>
                        </w:pPr>
                        <w:r>
                          <w:rPr>
                            <w:rFonts w:ascii="Times New Roman"/>
                            <w:sz w:val="21"/>
                          </w:rPr>
                          <w:t>16.7</w:t>
                        </w:r>
                      </w:p>
                    </w:tc>
                  </w:tr>
                  <w:tr>
                    <w:trPr>
                      <w:trHeight w:val="468" w:hRule="atLeast"/>
                    </w:trPr>
                    <w:tc>
                      <w:tcPr>
                        <w:tcW w:w="1709" w:type="dxa"/>
                        <w:tcBorders>
                          <w:top w:val="single" w:sz="4" w:space="0" w:color="000000"/>
                          <w:left w:val="nil"/>
                          <w:bottom w:val="single" w:sz="4" w:space="0" w:color="000000"/>
                          <w:right w:val="single" w:sz="4" w:space="0" w:color="000000"/>
                        </w:tcBorders>
                      </w:tcPr>
                      <w:p>
                        <w:pPr>
                          <w:pStyle w:val="TableParagraph"/>
                          <w:spacing w:before="98"/>
                          <w:ind w:left="529" w:right="501"/>
                          <w:rPr>
                            <w:sz w:val="21"/>
                          </w:rPr>
                        </w:pPr>
                        <w:r>
                          <w:rPr>
                            <w:sz w:val="21"/>
                          </w:rPr>
                          <w:t>肾内</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98"/>
                          <w:ind w:left="416"/>
                          <w:jc w:val="left"/>
                          <w:rPr>
                            <w:sz w:val="21"/>
                          </w:rPr>
                        </w:pPr>
                        <w:r>
                          <w:rPr>
                            <w:sz w:val="21"/>
                          </w:rPr>
                          <w:t>50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9"/>
                          <w:rPr>
                            <w:rFonts w:ascii="Times New Roman"/>
                            <w:sz w:val="21"/>
                          </w:rPr>
                        </w:pPr>
                        <w:r>
                          <w:rPr>
                            <w:rFonts w:ascii="Times New Roman"/>
                            <w:sz w:val="21"/>
                          </w:rPr>
                          <w:t>0.8</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13"/>
                          <w:rPr>
                            <w:rFonts w:ascii="Times New Roman"/>
                            <w:sz w:val="21"/>
                          </w:rPr>
                        </w:pPr>
                        <w:r>
                          <w:rPr>
                            <w:rFonts w:ascii="Times New Roman"/>
                            <w:sz w:val="21"/>
                          </w:rPr>
                          <w:t>7.5</w:t>
                        </w:r>
                      </w:p>
                    </w:tc>
                    <w:tc>
                      <w:tcPr>
                        <w:tcW w:w="1227" w:type="dxa"/>
                        <w:tcBorders>
                          <w:top w:val="single" w:sz="4" w:space="0" w:color="000000"/>
                          <w:left w:val="single" w:sz="4" w:space="0" w:color="000000"/>
                          <w:bottom w:val="single" w:sz="4" w:space="0" w:color="000000"/>
                          <w:right w:val="nil"/>
                        </w:tcBorders>
                      </w:tcPr>
                      <w:p>
                        <w:pPr>
                          <w:pStyle w:val="TableParagraph"/>
                          <w:spacing w:before="112"/>
                          <w:ind w:left="146" w:right="124"/>
                          <w:rPr>
                            <w:rFonts w:ascii="Times New Roman"/>
                            <w:sz w:val="21"/>
                          </w:rPr>
                        </w:pPr>
                        <w:r>
                          <w:rPr>
                            <w:rFonts w:ascii="Times New Roman"/>
                            <w:sz w:val="21"/>
                          </w:rPr>
                          <w:t>8.3</w:t>
                        </w:r>
                      </w:p>
                    </w:tc>
                  </w:tr>
                  <w:tr>
                    <w:trPr>
                      <w:trHeight w:val="467" w:hRule="atLeast"/>
                    </w:trPr>
                    <w:tc>
                      <w:tcPr>
                        <w:tcW w:w="1709" w:type="dxa"/>
                        <w:tcBorders>
                          <w:top w:val="single" w:sz="4" w:space="0" w:color="000000"/>
                          <w:left w:val="nil"/>
                          <w:bottom w:val="single" w:sz="4" w:space="0" w:color="000000"/>
                          <w:right w:val="single" w:sz="4" w:space="0" w:color="000000"/>
                        </w:tcBorders>
                      </w:tcPr>
                      <w:p>
                        <w:pPr>
                          <w:pStyle w:val="TableParagraph"/>
                          <w:spacing w:before="98"/>
                          <w:ind w:left="529" w:right="501"/>
                          <w:rPr>
                            <w:sz w:val="21"/>
                          </w:rPr>
                        </w:pPr>
                        <w:r>
                          <w:rPr>
                            <w:sz w:val="21"/>
                          </w:rPr>
                          <w:t>消化</w:t>
                        </w:r>
                      </w:p>
                    </w:tc>
                    <w:tc>
                      <w:tcPr>
                        <w:tcW w:w="1027" w:type="dxa"/>
                        <w:tcBorders>
                          <w:top w:val="single" w:sz="4" w:space="0" w:color="000000"/>
                          <w:left w:val="single" w:sz="4" w:space="0" w:color="000000"/>
                          <w:bottom w:val="single" w:sz="4" w:space="0" w:color="000000"/>
                          <w:right w:val="single" w:sz="4" w:space="0" w:color="000000"/>
                        </w:tcBorders>
                      </w:tcPr>
                      <w:p>
                        <w:pPr>
                          <w:pStyle w:val="TableParagraph"/>
                          <w:spacing w:before="98"/>
                          <w:ind w:left="416"/>
                          <w:jc w:val="left"/>
                          <w:rPr>
                            <w:sz w:val="21"/>
                          </w:rPr>
                        </w:pPr>
                        <w:r>
                          <w:rPr>
                            <w:sz w:val="21"/>
                          </w:rPr>
                          <w:t>50</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4"/>
                          <w:rPr>
                            <w:rFonts w:ascii="Times New Roman"/>
                            <w:sz w:val="21"/>
                          </w:rPr>
                        </w:pPr>
                        <w:r>
                          <w:rPr>
                            <w:rFonts w:ascii="Times New Roman"/>
                            <w:w w:val="99"/>
                            <w:sz w:val="21"/>
                          </w:rPr>
                          <w:t>1</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25"/>
                          <w:rPr>
                            <w:rFonts w:ascii="Times New Roman"/>
                            <w:sz w:val="21"/>
                          </w:rPr>
                        </w:pPr>
                        <w:r>
                          <w:rPr>
                            <w:rFonts w:ascii="Times New Roman"/>
                            <w:w w:val="99"/>
                            <w:sz w:val="21"/>
                          </w:rPr>
                          <w:t>9</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9"/>
                          <w:rPr>
                            <w:rFonts w:ascii="Times New Roman"/>
                            <w:sz w:val="21"/>
                          </w:rPr>
                        </w:pPr>
                        <w:r>
                          <w:rPr>
                            <w:rFonts w:ascii="Times New Roman"/>
                            <w:sz w:val="21"/>
                          </w:rPr>
                          <w:t>0.8</w:t>
                        </w:r>
                      </w:p>
                    </w:tc>
                    <w:tc>
                      <w:tcPr>
                        <w:tcW w:w="1226" w:type="dxa"/>
                        <w:tcBorders>
                          <w:top w:val="single" w:sz="4" w:space="0" w:color="000000"/>
                          <w:left w:val="single" w:sz="4" w:space="0" w:color="000000"/>
                          <w:bottom w:val="single" w:sz="4" w:space="0" w:color="000000"/>
                          <w:right w:val="single" w:sz="4" w:space="0" w:color="000000"/>
                        </w:tcBorders>
                      </w:tcPr>
                      <w:p>
                        <w:pPr>
                          <w:pStyle w:val="TableParagraph"/>
                          <w:spacing w:before="112"/>
                          <w:ind w:left="40" w:right="13"/>
                          <w:rPr>
                            <w:rFonts w:ascii="Times New Roman"/>
                            <w:sz w:val="21"/>
                          </w:rPr>
                        </w:pPr>
                        <w:r>
                          <w:rPr>
                            <w:rFonts w:ascii="Times New Roman"/>
                            <w:sz w:val="21"/>
                          </w:rPr>
                          <w:t>7.5</w:t>
                        </w:r>
                      </w:p>
                    </w:tc>
                    <w:tc>
                      <w:tcPr>
                        <w:tcW w:w="1227" w:type="dxa"/>
                        <w:tcBorders>
                          <w:top w:val="single" w:sz="4" w:space="0" w:color="000000"/>
                          <w:left w:val="single" w:sz="4" w:space="0" w:color="000000"/>
                          <w:bottom w:val="single" w:sz="4" w:space="0" w:color="000000"/>
                          <w:right w:val="nil"/>
                        </w:tcBorders>
                      </w:tcPr>
                      <w:p>
                        <w:pPr>
                          <w:pStyle w:val="TableParagraph"/>
                          <w:spacing w:before="112"/>
                          <w:ind w:left="146" w:right="124"/>
                          <w:rPr>
                            <w:rFonts w:ascii="Times New Roman"/>
                            <w:sz w:val="21"/>
                          </w:rPr>
                        </w:pPr>
                        <w:r>
                          <w:rPr>
                            <w:rFonts w:ascii="Times New Roman"/>
                            <w:sz w:val="21"/>
                          </w:rPr>
                          <w:t>8.3</w:t>
                        </w:r>
                      </w:p>
                    </w:tc>
                  </w:tr>
                  <w:tr>
                    <w:trPr>
                      <w:trHeight w:val="311" w:hRule="atLeast"/>
                    </w:trPr>
                    <w:tc>
                      <w:tcPr>
                        <w:tcW w:w="5188" w:type="dxa"/>
                        <w:gridSpan w:val="4"/>
                        <w:tcBorders>
                          <w:top w:val="single" w:sz="4" w:space="0" w:color="000000"/>
                          <w:left w:val="nil"/>
                          <w:right w:val="single" w:sz="4" w:space="0" w:color="000000"/>
                        </w:tcBorders>
                      </w:tcPr>
                      <w:p>
                        <w:pPr>
                          <w:pStyle w:val="TableParagraph"/>
                          <w:spacing w:before="20"/>
                          <w:ind w:left="2376" w:right="2347"/>
                          <w:rPr>
                            <w:sz w:val="21"/>
                          </w:rPr>
                        </w:pPr>
                        <w:r>
                          <w:rPr>
                            <w:sz w:val="21"/>
                          </w:rPr>
                          <w:t>合计</w:t>
                        </w:r>
                      </w:p>
                    </w:tc>
                    <w:tc>
                      <w:tcPr>
                        <w:tcW w:w="1226" w:type="dxa"/>
                        <w:tcBorders>
                          <w:top w:val="single" w:sz="4" w:space="0" w:color="000000"/>
                          <w:left w:val="single" w:sz="4" w:space="0" w:color="000000"/>
                          <w:right w:val="single" w:sz="4" w:space="0" w:color="000000"/>
                        </w:tcBorders>
                      </w:tcPr>
                      <w:p>
                        <w:pPr>
                          <w:pStyle w:val="TableParagraph"/>
                          <w:spacing w:before="34"/>
                          <w:ind w:left="40" w:right="12"/>
                          <w:rPr>
                            <w:rFonts w:ascii="Times New Roman"/>
                            <w:sz w:val="21"/>
                          </w:rPr>
                        </w:pPr>
                        <w:r>
                          <w:rPr>
                            <w:rFonts w:ascii="Times New Roman"/>
                            <w:sz w:val="21"/>
                          </w:rPr>
                          <w:t>21.6</w:t>
                        </w:r>
                      </w:p>
                    </w:tc>
                    <w:tc>
                      <w:tcPr>
                        <w:tcW w:w="1226" w:type="dxa"/>
                        <w:tcBorders>
                          <w:top w:val="single" w:sz="4" w:space="0" w:color="000000"/>
                          <w:left w:val="single" w:sz="4" w:space="0" w:color="000000"/>
                          <w:right w:val="single" w:sz="4" w:space="0" w:color="000000"/>
                        </w:tcBorders>
                      </w:tcPr>
                      <w:p>
                        <w:pPr>
                          <w:pStyle w:val="TableParagraph"/>
                          <w:spacing w:before="34"/>
                          <w:ind w:left="40" w:right="13"/>
                          <w:rPr>
                            <w:rFonts w:ascii="Times New Roman"/>
                            <w:sz w:val="21"/>
                          </w:rPr>
                        </w:pPr>
                        <w:r>
                          <w:rPr>
                            <w:rFonts w:ascii="Times New Roman"/>
                            <w:sz w:val="21"/>
                          </w:rPr>
                          <w:t>195</w:t>
                        </w:r>
                      </w:p>
                    </w:tc>
                    <w:tc>
                      <w:tcPr>
                        <w:tcW w:w="1227" w:type="dxa"/>
                        <w:tcBorders>
                          <w:top w:val="single" w:sz="4" w:space="0" w:color="000000"/>
                          <w:left w:val="single" w:sz="4" w:space="0" w:color="000000"/>
                          <w:right w:val="nil"/>
                        </w:tcBorders>
                      </w:tcPr>
                      <w:p>
                        <w:pPr>
                          <w:pStyle w:val="TableParagraph"/>
                          <w:spacing w:before="34"/>
                          <w:ind w:left="148" w:right="124"/>
                          <w:rPr>
                            <w:rFonts w:ascii="Times New Roman"/>
                            <w:sz w:val="21"/>
                          </w:rPr>
                        </w:pPr>
                        <w:r>
                          <w:rPr>
                            <w:rFonts w:ascii="Times New Roman"/>
                            <w:sz w:val="21"/>
                          </w:rPr>
                          <w:t>216.6</w:t>
                        </w:r>
                      </w:p>
                    </w:tc>
                  </w:tr>
                </w:tbl>
                <w:p>
                  <w:pPr>
                    <w:pStyle w:val="BodyText"/>
                  </w:pPr>
                </w:p>
              </w:txbxContent>
            </v:textbox>
            <w10:wrap type="none"/>
          </v:shape>
        </w:pict>
      </w:r>
    </w:p>
    <w:p>
      <w:pPr>
        <w:spacing w:after="0"/>
        <w:rPr>
          <w:sz w:val="2"/>
          <w:szCs w:val="2"/>
        </w:rPr>
        <w:sectPr>
          <w:pgSz w:w="11910" w:h="16840"/>
          <w:pgMar w:header="0" w:footer="1354" w:top="1420" w:bottom="1540" w:left="1340" w:right="1260"/>
        </w:sectPr>
      </w:pPr>
    </w:p>
    <w:tbl>
      <w:tblPr>
        <w:tblW w:w="0" w:type="auto"/>
        <w:jc w:val="left"/>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81"/>
        <w:gridCol w:w="2207"/>
        <w:gridCol w:w="1290"/>
        <w:gridCol w:w="1290"/>
        <w:gridCol w:w="2008"/>
      </w:tblGrid>
      <w:tr>
        <w:trPr>
          <w:trHeight w:val="309" w:hRule="atLeast"/>
        </w:trPr>
        <w:tc>
          <w:tcPr>
            <w:tcW w:w="2281" w:type="dxa"/>
            <w:tcBorders>
              <w:left w:val="single" w:sz="4" w:space="0" w:color="000000"/>
              <w:bottom w:val="single" w:sz="12" w:space="0" w:color="000000"/>
              <w:right w:val="single" w:sz="4" w:space="0" w:color="000000"/>
            </w:tcBorders>
          </w:tcPr>
          <w:p>
            <w:pPr>
              <w:pStyle w:val="TableParagraph"/>
              <w:jc w:val="left"/>
              <w:rPr>
                <w:rFonts w:ascii="Times New Roman"/>
                <w:sz w:val="22"/>
              </w:rPr>
            </w:pPr>
          </w:p>
        </w:tc>
        <w:tc>
          <w:tcPr>
            <w:tcW w:w="2207" w:type="dxa"/>
            <w:tcBorders>
              <w:left w:val="single" w:sz="4" w:space="0" w:color="000000"/>
              <w:bottom w:val="single" w:sz="12" w:space="0" w:color="000000"/>
              <w:right w:val="single" w:sz="4" w:space="0" w:color="000000"/>
            </w:tcBorders>
          </w:tcPr>
          <w:p>
            <w:pPr>
              <w:pStyle w:val="TableParagraph"/>
              <w:jc w:val="left"/>
              <w:rPr>
                <w:rFonts w:ascii="Times New Roman"/>
                <w:sz w:val="22"/>
              </w:rPr>
            </w:pPr>
          </w:p>
        </w:tc>
        <w:tc>
          <w:tcPr>
            <w:tcW w:w="1290" w:type="dxa"/>
            <w:tcBorders>
              <w:left w:val="single" w:sz="4" w:space="0" w:color="000000"/>
              <w:bottom w:val="single" w:sz="12" w:space="0" w:color="000000"/>
              <w:right w:val="single" w:sz="4" w:space="0" w:color="000000"/>
            </w:tcBorders>
          </w:tcPr>
          <w:p>
            <w:pPr>
              <w:pStyle w:val="TableParagraph"/>
              <w:spacing w:before="18"/>
              <w:ind w:left="98" w:right="89"/>
              <w:rPr>
                <w:sz w:val="21"/>
              </w:rPr>
            </w:pPr>
            <w:r>
              <w:rPr>
                <w:w w:val="95"/>
                <w:sz w:val="21"/>
              </w:rPr>
              <w:t>前岗位</w:t>
            </w:r>
          </w:p>
        </w:tc>
        <w:tc>
          <w:tcPr>
            <w:tcW w:w="1290" w:type="dxa"/>
            <w:tcBorders>
              <w:left w:val="single" w:sz="4" w:space="0" w:color="000000"/>
              <w:bottom w:val="single" w:sz="12" w:space="0" w:color="000000"/>
              <w:right w:val="single" w:sz="4" w:space="0" w:color="000000"/>
            </w:tcBorders>
          </w:tcPr>
          <w:p>
            <w:pPr>
              <w:pStyle w:val="TableParagraph"/>
              <w:jc w:val="left"/>
              <w:rPr>
                <w:rFonts w:ascii="Times New Roman"/>
                <w:sz w:val="22"/>
              </w:rPr>
            </w:pPr>
          </w:p>
        </w:tc>
        <w:tc>
          <w:tcPr>
            <w:tcW w:w="2008" w:type="dxa"/>
            <w:tcBorders>
              <w:left w:val="single" w:sz="4" w:space="0" w:color="000000"/>
              <w:bottom w:val="single" w:sz="12" w:space="0" w:color="000000"/>
              <w:right w:val="single" w:sz="4" w:space="0" w:color="000000"/>
            </w:tcBorders>
          </w:tcPr>
          <w:p>
            <w:pPr>
              <w:pStyle w:val="TableParagraph"/>
              <w:jc w:val="left"/>
              <w:rPr>
                <w:rFonts w:ascii="Times New Roman"/>
                <w:sz w:val="22"/>
              </w:rPr>
            </w:pPr>
          </w:p>
        </w:tc>
      </w:tr>
      <w:tr>
        <w:trPr>
          <w:trHeight w:val="312" w:hRule="atLeast"/>
        </w:trPr>
        <w:tc>
          <w:tcPr>
            <w:tcW w:w="2281" w:type="dxa"/>
            <w:tcBorders>
              <w:top w:val="single" w:sz="12" w:space="0" w:color="000000"/>
              <w:left w:val="single" w:sz="4" w:space="0" w:color="000000"/>
              <w:bottom w:val="single" w:sz="4" w:space="0" w:color="000000"/>
              <w:right w:val="single" w:sz="4" w:space="0" w:color="000000"/>
            </w:tcBorders>
          </w:tcPr>
          <w:p>
            <w:pPr>
              <w:pStyle w:val="TableParagraph"/>
              <w:spacing w:before="21"/>
              <w:ind w:right="867"/>
              <w:jc w:val="right"/>
              <w:rPr>
                <w:sz w:val="21"/>
              </w:rPr>
            </w:pPr>
            <w:r>
              <w:rPr>
                <w:sz w:val="21"/>
              </w:rPr>
              <w:t>医生</w:t>
            </w:r>
          </w:p>
        </w:tc>
        <w:tc>
          <w:tcPr>
            <w:tcW w:w="2207" w:type="dxa"/>
            <w:tcBorders>
              <w:top w:val="single" w:sz="12" w:space="0" w:color="000000"/>
              <w:left w:val="single" w:sz="4" w:space="0" w:color="000000"/>
              <w:bottom w:val="single" w:sz="4" w:space="0" w:color="000000"/>
              <w:right w:val="single" w:sz="4" w:space="0" w:color="000000"/>
            </w:tcBorders>
          </w:tcPr>
          <w:p>
            <w:pPr>
              <w:pStyle w:val="TableParagraph"/>
              <w:spacing w:before="35"/>
              <w:ind w:left="997"/>
              <w:jc w:val="left"/>
              <w:rPr>
                <w:rFonts w:ascii="Times New Roman"/>
                <w:sz w:val="21"/>
              </w:rPr>
            </w:pPr>
            <w:r>
              <w:rPr>
                <w:rFonts w:ascii="Times New Roman"/>
                <w:sz w:val="21"/>
              </w:rPr>
              <w:t>10</w:t>
            </w:r>
          </w:p>
        </w:tc>
        <w:tc>
          <w:tcPr>
            <w:tcW w:w="1290" w:type="dxa"/>
            <w:tcBorders>
              <w:top w:val="single" w:sz="12" w:space="0" w:color="000000"/>
              <w:left w:val="single" w:sz="4" w:space="0" w:color="000000"/>
              <w:bottom w:val="single" w:sz="4" w:space="0" w:color="000000"/>
              <w:right w:val="single" w:sz="4" w:space="0" w:color="000000"/>
            </w:tcBorders>
          </w:tcPr>
          <w:p>
            <w:pPr>
              <w:pStyle w:val="TableParagraph"/>
              <w:spacing w:before="21"/>
              <w:ind w:left="9"/>
              <w:rPr>
                <w:sz w:val="21"/>
              </w:rPr>
            </w:pPr>
            <w:r>
              <w:rPr>
                <w:w w:val="99"/>
                <w:sz w:val="21"/>
              </w:rPr>
              <w:t>是</w:t>
            </w:r>
          </w:p>
        </w:tc>
        <w:tc>
          <w:tcPr>
            <w:tcW w:w="1290" w:type="dxa"/>
            <w:tcBorders>
              <w:top w:val="single" w:sz="12" w:space="0" w:color="000000"/>
              <w:left w:val="single" w:sz="4" w:space="0" w:color="000000"/>
              <w:bottom w:val="single" w:sz="4" w:space="0" w:color="000000"/>
              <w:right w:val="single" w:sz="4" w:space="0" w:color="000000"/>
            </w:tcBorders>
          </w:tcPr>
          <w:p>
            <w:pPr>
              <w:pStyle w:val="TableParagraph"/>
              <w:spacing w:before="21"/>
              <w:ind w:left="98" w:right="92"/>
              <w:rPr>
                <w:sz w:val="21"/>
              </w:rPr>
            </w:pPr>
            <w:r>
              <w:rPr>
                <w:sz w:val="21"/>
              </w:rPr>
              <w:t>医学影像科</w:t>
            </w:r>
          </w:p>
        </w:tc>
        <w:tc>
          <w:tcPr>
            <w:tcW w:w="2008" w:type="dxa"/>
            <w:tcBorders>
              <w:top w:val="single" w:sz="12" w:space="0" w:color="000000"/>
              <w:left w:val="single" w:sz="4" w:space="0" w:color="000000"/>
              <w:bottom w:val="single" w:sz="4" w:space="0" w:color="000000"/>
              <w:right w:val="single" w:sz="4" w:space="0" w:color="000000"/>
            </w:tcBorders>
          </w:tcPr>
          <w:p>
            <w:pPr>
              <w:pStyle w:val="TableParagraph"/>
              <w:spacing w:before="21"/>
              <w:ind w:left="108"/>
              <w:jc w:val="left"/>
              <w:rPr>
                <w:sz w:val="21"/>
              </w:rPr>
            </w:pPr>
            <w:r>
              <w:rPr>
                <w:sz w:val="21"/>
              </w:rPr>
              <w:t>原有辐射工作人员</w:t>
            </w:r>
          </w:p>
        </w:tc>
      </w:tr>
      <w:tr>
        <w:trPr>
          <w:trHeight w:val="312" w:hRule="atLeast"/>
        </w:trPr>
        <w:tc>
          <w:tcPr>
            <w:tcW w:w="2281" w:type="dxa"/>
            <w:tcBorders>
              <w:top w:val="single" w:sz="4" w:space="0" w:color="000000"/>
              <w:left w:val="single" w:sz="4" w:space="0" w:color="000000"/>
              <w:bottom w:val="single" w:sz="4" w:space="0" w:color="000000"/>
              <w:right w:val="single" w:sz="4" w:space="0" w:color="000000"/>
            </w:tcBorders>
          </w:tcPr>
          <w:p>
            <w:pPr>
              <w:pStyle w:val="TableParagraph"/>
              <w:spacing w:before="21"/>
              <w:ind w:right="867"/>
              <w:jc w:val="right"/>
              <w:rPr>
                <w:sz w:val="21"/>
              </w:rPr>
            </w:pPr>
            <w:r>
              <w:rPr>
                <w:sz w:val="21"/>
              </w:rPr>
              <w:t>技师</w:t>
            </w:r>
          </w:p>
        </w:tc>
        <w:tc>
          <w:tcPr>
            <w:tcW w:w="2207" w:type="dxa"/>
            <w:tcBorders>
              <w:top w:val="single" w:sz="4" w:space="0" w:color="000000"/>
              <w:left w:val="single" w:sz="4" w:space="0" w:color="000000"/>
              <w:bottom w:val="single" w:sz="4" w:space="0" w:color="000000"/>
              <w:right w:val="single" w:sz="4" w:space="0" w:color="000000"/>
            </w:tcBorders>
          </w:tcPr>
          <w:p>
            <w:pPr>
              <w:pStyle w:val="TableParagraph"/>
              <w:spacing w:before="34"/>
              <w:ind w:left="1050"/>
              <w:jc w:val="left"/>
              <w:rPr>
                <w:rFonts w:ascii="Times New Roman"/>
                <w:sz w:val="21"/>
              </w:rPr>
            </w:pPr>
            <w:r>
              <w:rPr>
                <w:rFonts w:ascii="Times New Roman"/>
                <w:w w:val="99"/>
                <w:sz w:val="21"/>
              </w:rPr>
              <w:t>3</w:t>
            </w:r>
          </w:p>
        </w:tc>
        <w:tc>
          <w:tcPr>
            <w:tcW w:w="1290" w:type="dxa"/>
            <w:tcBorders>
              <w:top w:val="single" w:sz="4" w:space="0" w:color="000000"/>
              <w:left w:val="single" w:sz="4" w:space="0" w:color="000000"/>
              <w:bottom w:val="single" w:sz="4" w:space="0" w:color="000000"/>
              <w:right w:val="single" w:sz="4" w:space="0" w:color="000000"/>
            </w:tcBorders>
          </w:tcPr>
          <w:p>
            <w:pPr>
              <w:pStyle w:val="TableParagraph"/>
              <w:spacing w:before="21"/>
              <w:ind w:left="9"/>
              <w:rPr>
                <w:sz w:val="21"/>
              </w:rPr>
            </w:pPr>
            <w:r>
              <w:rPr>
                <w:w w:val="99"/>
                <w:sz w:val="21"/>
              </w:rPr>
              <w:t>是</w:t>
            </w:r>
          </w:p>
        </w:tc>
        <w:tc>
          <w:tcPr>
            <w:tcW w:w="1290" w:type="dxa"/>
            <w:tcBorders>
              <w:top w:val="single" w:sz="4" w:space="0" w:color="000000"/>
              <w:left w:val="single" w:sz="4" w:space="0" w:color="000000"/>
              <w:bottom w:val="single" w:sz="4" w:space="0" w:color="000000"/>
              <w:right w:val="single" w:sz="4" w:space="0" w:color="000000"/>
            </w:tcBorders>
          </w:tcPr>
          <w:p>
            <w:pPr>
              <w:pStyle w:val="TableParagraph"/>
              <w:spacing w:before="21"/>
              <w:ind w:left="98" w:right="92"/>
              <w:rPr>
                <w:sz w:val="21"/>
              </w:rPr>
            </w:pPr>
            <w:r>
              <w:rPr>
                <w:sz w:val="21"/>
              </w:rPr>
              <w:t>医学影像科</w:t>
            </w:r>
          </w:p>
        </w:tc>
        <w:tc>
          <w:tcPr>
            <w:tcW w:w="2008" w:type="dxa"/>
            <w:tcBorders>
              <w:top w:val="single" w:sz="4" w:space="0" w:color="000000"/>
              <w:left w:val="single" w:sz="4" w:space="0" w:color="000000"/>
              <w:bottom w:val="single" w:sz="4" w:space="0" w:color="000000"/>
              <w:right w:val="single" w:sz="4" w:space="0" w:color="000000"/>
            </w:tcBorders>
          </w:tcPr>
          <w:p>
            <w:pPr>
              <w:pStyle w:val="TableParagraph"/>
              <w:spacing w:before="21"/>
              <w:ind w:left="108"/>
              <w:jc w:val="left"/>
              <w:rPr>
                <w:sz w:val="21"/>
              </w:rPr>
            </w:pPr>
            <w:r>
              <w:rPr>
                <w:sz w:val="21"/>
              </w:rPr>
              <w:t>原有辐射工作人员</w:t>
            </w:r>
          </w:p>
        </w:tc>
      </w:tr>
      <w:tr>
        <w:trPr>
          <w:trHeight w:val="311" w:hRule="atLeast"/>
        </w:trPr>
        <w:tc>
          <w:tcPr>
            <w:tcW w:w="2281" w:type="dxa"/>
            <w:tcBorders>
              <w:top w:val="single" w:sz="4" w:space="0" w:color="000000"/>
              <w:left w:val="single" w:sz="4" w:space="0" w:color="000000"/>
              <w:bottom w:val="single" w:sz="12" w:space="0" w:color="000000"/>
              <w:right w:val="single" w:sz="4" w:space="0" w:color="000000"/>
            </w:tcBorders>
          </w:tcPr>
          <w:p>
            <w:pPr>
              <w:pStyle w:val="TableParagraph"/>
              <w:spacing w:before="20"/>
              <w:ind w:right="867"/>
              <w:jc w:val="right"/>
              <w:rPr>
                <w:sz w:val="21"/>
              </w:rPr>
            </w:pPr>
            <w:r>
              <w:rPr>
                <w:sz w:val="21"/>
              </w:rPr>
              <w:t>护士</w:t>
            </w:r>
          </w:p>
        </w:tc>
        <w:tc>
          <w:tcPr>
            <w:tcW w:w="2207" w:type="dxa"/>
            <w:tcBorders>
              <w:top w:val="single" w:sz="4" w:space="0" w:color="000000"/>
              <w:left w:val="single" w:sz="4" w:space="0" w:color="000000"/>
              <w:bottom w:val="single" w:sz="12" w:space="0" w:color="000000"/>
              <w:right w:val="single" w:sz="4" w:space="0" w:color="000000"/>
            </w:tcBorders>
          </w:tcPr>
          <w:p>
            <w:pPr>
              <w:pStyle w:val="TableParagraph"/>
              <w:spacing w:before="34"/>
              <w:ind w:left="1050"/>
              <w:jc w:val="left"/>
              <w:rPr>
                <w:rFonts w:ascii="Times New Roman"/>
                <w:sz w:val="21"/>
              </w:rPr>
            </w:pPr>
            <w:r>
              <w:rPr>
                <w:rFonts w:ascii="Times New Roman"/>
                <w:w w:val="99"/>
                <w:sz w:val="21"/>
              </w:rPr>
              <w:t>3</w:t>
            </w:r>
          </w:p>
        </w:tc>
        <w:tc>
          <w:tcPr>
            <w:tcW w:w="1290" w:type="dxa"/>
            <w:tcBorders>
              <w:top w:val="single" w:sz="4" w:space="0" w:color="000000"/>
              <w:left w:val="single" w:sz="4" w:space="0" w:color="000000"/>
              <w:bottom w:val="single" w:sz="12" w:space="0" w:color="000000"/>
              <w:right w:val="single" w:sz="4" w:space="0" w:color="000000"/>
            </w:tcBorders>
          </w:tcPr>
          <w:p>
            <w:pPr>
              <w:pStyle w:val="TableParagraph"/>
              <w:spacing w:before="20"/>
              <w:ind w:left="9"/>
              <w:rPr>
                <w:sz w:val="21"/>
              </w:rPr>
            </w:pPr>
            <w:r>
              <w:rPr>
                <w:w w:val="99"/>
                <w:sz w:val="21"/>
              </w:rPr>
              <w:t>否</w:t>
            </w:r>
          </w:p>
        </w:tc>
        <w:tc>
          <w:tcPr>
            <w:tcW w:w="1290" w:type="dxa"/>
            <w:tcBorders>
              <w:top w:val="single" w:sz="4" w:space="0" w:color="000000"/>
              <w:left w:val="single" w:sz="4" w:space="0" w:color="000000"/>
              <w:bottom w:val="single" w:sz="12" w:space="0" w:color="000000"/>
              <w:right w:val="single" w:sz="4" w:space="0" w:color="000000"/>
            </w:tcBorders>
          </w:tcPr>
          <w:p>
            <w:pPr>
              <w:pStyle w:val="TableParagraph"/>
              <w:spacing w:before="20"/>
              <w:ind w:left="98" w:right="92"/>
              <w:rPr>
                <w:sz w:val="21"/>
              </w:rPr>
            </w:pPr>
            <w:r>
              <w:rPr>
                <w:sz w:val="21"/>
              </w:rPr>
              <w:t>介入导管</w:t>
            </w:r>
          </w:p>
        </w:tc>
        <w:tc>
          <w:tcPr>
            <w:tcW w:w="2008" w:type="dxa"/>
            <w:tcBorders>
              <w:top w:val="single" w:sz="4" w:space="0" w:color="000000"/>
              <w:left w:val="single" w:sz="4" w:space="0" w:color="000000"/>
              <w:bottom w:val="single" w:sz="12" w:space="0" w:color="000000"/>
              <w:right w:val="single" w:sz="4" w:space="0" w:color="000000"/>
            </w:tcBorders>
          </w:tcPr>
          <w:p>
            <w:pPr>
              <w:pStyle w:val="TableParagraph"/>
              <w:spacing w:before="20"/>
              <w:ind w:left="108"/>
              <w:jc w:val="left"/>
              <w:rPr>
                <w:sz w:val="21"/>
              </w:rPr>
            </w:pPr>
            <w:r>
              <w:rPr>
                <w:sz w:val="21"/>
              </w:rPr>
              <w:t>原有辐射工作人员</w:t>
            </w:r>
          </w:p>
        </w:tc>
      </w:tr>
      <w:tr>
        <w:trPr>
          <w:trHeight w:val="12013" w:hRule="atLeast"/>
        </w:trPr>
        <w:tc>
          <w:tcPr>
            <w:tcW w:w="9076" w:type="dxa"/>
            <w:gridSpan w:val="5"/>
            <w:tcBorders>
              <w:top w:val="single" w:sz="12" w:space="0" w:color="000000"/>
              <w:left w:val="single" w:sz="4" w:space="0" w:color="000000"/>
              <w:bottom w:val="single" w:sz="4" w:space="0" w:color="000000"/>
              <w:right w:val="single" w:sz="4" w:space="0" w:color="000000"/>
            </w:tcBorders>
          </w:tcPr>
          <w:p>
            <w:pPr>
              <w:pStyle w:val="TableParagraph"/>
              <w:spacing w:line="364" w:lineRule="auto" w:before="80"/>
              <w:ind w:left="108" w:right="97" w:firstLine="480"/>
              <w:jc w:val="both"/>
              <w:rPr>
                <w:sz w:val="24"/>
              </w:rPr>
            </w:pPr>
            <w:r>
              <w:rPr>
                <w:sz w:val="24"/>
              </w:rPr>
              <w:t>本项目医生和技师需兼任之前岗位，因此需要考虑辐射工作人员的个人剂量叠</w:t>
            </w:r>
            <w:r>
              <w:rPr>
                <w:spacing w:val="-1"/>
                <w:sz w:val="24"/>
              </w:rPr>
              <w:t>加。护士定岗定责，不再兼任之前的岗位，个人剂量不需要叠加。今后，医院可根据</w:t>
            </w:r>
            <w:r>
              <w:rPr>
                <w:sz w:val="24"/>
              </w:rPr>
              <w:t>开展项目的实际情况做适当调整。</w:t>
            </w:r>
          </w:p>
          <w:p>
            <w:pPr>
              <w:pStyle w:val="TableParagraph"/>
              <w:spacing w:before="2"/>
              <w:ind w:left="588"/>
              <w:jc w:val="left"/>
              <w:rPr>
                <w:sz w:val="24"/>
              </w:rPr>
            </w:pPr>
            <w:r>
              <w:rPr>
                <w:sz w:val="24"/>
              </w:rPr>
              <w:t>工作制度：医院实行每年工作</w:t>
            </w:r>
            <w:r>
              <w:rPr>
                <w:rFonts w:ascii="Times New Roman" w:eastAsia="Times New Roman"/>
                <w:sz w:val="24"/>
              </w:rPr>
              <w:t>250</w:t>
            </w:r>
            <w:r>
              <w:rPr>
                <w:sz w:val="24"/>
              </w:rPr>
              <w:t>天，每天</w:t>
            </w:r>
            <w:r>
              <w:rPr>
                <w:rFonts w:ascii="Times New Roman" w:eastAsia="Times New Roman"/>
                <w:sz w:val="24"/>
              </w:rPr>
              <w:t>8</w:t>
            </w:r>
            <w:r>
              <w:rPr>
                <w:sz w:val="24"/>
              </w:rPr>
              <w:t>小时的工作制度。</w:t>
            </w:r>
          </w:p>
          <w:p>
            <w:pPr>
              <w:pStyle w:val="TableParagraph"/>
              <w:spacing w:line="364" w:lineRule="auto" w:before="161"/>
              <w:ind w:left="108" w:right="-44" w:firstLine="480"/>
              <w:jc w:val="left"/>
              <w:rPr>
                <w:sz w:val="24"/>
              </w:rPr>
            </w:pPr>
            <w:r>
              <w:rPr>
                <w:sz w:val="24"/>
              </w:rPr>
              <w:t>根据《关于核技术利用辐射安全与防护培训和考核有关事项的公告》（生态环境</w:t>
            </w:r>
            <w:r>
              <w:rPr>
                <w:spacing w:val="-17"/>
                <w:sz w:val="24"/>
              </w:rPr>
              <w:t>部公告 </w:t>
            </w:r>
            <w:r>
              <w:rPr>
                <w:rFonts w:ascii="Times New Roman" w:eastAsia="Times New Roman"/>
                <w:spacing w:val="-2"/>
                <w:sz w:val="24"/>
              </w:rPr>
              <w:t>2019</w:t>
            </w:r>
            <w:r>
              <w:rPr>
                <w:spacing w:val="-2"/>
                <w:sz w:val="24"/>
              </w:rPr>
              <w:t>年第</w:t>
            </w:r>
            <w:r>
              <w:rPr>
                <w:rFonts w:ascii="Times New Roman" w:eastAsia="Times New Roman"/>
                <w:spacing w:val="-2"/>
                <w:sz w:val="24"/>
              </w:rPr>
              <w:t>57</w:t>
            </w:r>
            <w:r>
              <w:rPr>
                <w:spacing w:val="-2"/>
                <w:sz w:val="24"/>
              </w:rPr>
              <w:t>号）：自</w:t>
            </w:r>
            <w:r>
              <w:rPr>
                <w:rFonts w:ascii="Times New Roman" w:eastAsia="Times New Roman"/>
                <w:spacing w:val="-2"/>
                <w:sz w:val="24"/>
              </w:rPr>
              <w:t>2020</w:t>
            </w:r>
            <w:r>
              <w:rPr>
                <w:spacing w:val="-2"/>
                <w:sz w:val="24"/>
              </w:rPr>
              <w:t>年</w:t>
            </w:r>
            <w:r>
              <w:rPr>
                <w:rFonts w:ascii="Times New Roman" w:eastAsia="Times New Roman"/>
                <w:spacing w:val="-2"/>
                <w:sz w:val="24"/>
              </w:rPr>
              <w:t>1</w:t>
            </w:r>
            <w:r>
              <w:rPr>
                <w:spacing w:val="-2"/>
                <w:sz w:val="24"/>
              </w:rPr>
              <w:t>月</w:t>
            </w:r>
            <w:r>
              <w:rPr>
                <w:rFonts w:ascii="Times New Roman" w:eastAsia="Times New Roman"/>
                <w:spacing w:val="-2"/>
                <w:sz w:val="24"/>
              </w:rPr>
              <w:t>1</w:t>
            </w:r>
            <w:r>
              <w:rPr>
                <w:spacing w:val="-2"/>
                <w:sz w:val="24"/>
              </w:rPr>
              <w:t>日起，新从事辐射活动的人员，应通过国家核</w:t>
            </w:r>
            <w:r>
              <w:rPr>
                <w:spacing w:val="-8"/>
                <w:sz w:val="24"/>
              </w:rPr>
              <w:t>技术利用辐射安全与防护培训平台</w:t>
            </w:r>
            <w:r>
              <w:rPr>
                <w:spacing w:val="-3"/>
                <w:sz w:val="24"/>
              </w:rPr>
              <w:t>（网址：</w:t>
            </w:r>
            <w:hyperlink r:id="rId7">
              <w:r>
                <w:rPr>
                  <w:rFonts w:ascii="Times New Roman" w:eastAsia="Times New Roman"/>
                  <w:spacing w:val="-3"/>
                  <w:sz w:val="24"/>
                </w:rPr>
                <w:t>http://fushe.mee.gov.cn</w:t>
              </w:r>
            </w:hyperlink>
            <w:r>
              <w:rPr>
                <w:spacing w:val="-3"/>
                <w:sz w:val="24"/>
              </w:rPr>
              <w:t>）进行相关知识学习，</w:t>
            </w:r>
            <w:r>
              <w:rPr>
                <w:spacing w:val="-117"/>
                <w:sz w:val="24"/>
              </w:rPr>
              <w:t> </w:t>
            </w:r>
            <w:r>
              <w:rPr>
                <w:sz w:val="24"/>
              </w:rPr>
              <w:t>通过生态环境部培训平台报名并参加考核，取得辐射安全培训合格证书后方可从事辐射活动。本项目涉及的辐射工作人员曾经都参加过相关的辐射安全培训并取得相应的证书，但原持有的辐射安全培训合格证书已到期后未进行继续教育培训。医院承诺将严格落实中华人民共和国生态环境部</w:t>
            </w:r>
            <w:r>
              <w:rPr>
                <w:rFonts w:ascii="Times New Roman" w:eastAsia="Times New Roman"/>
                <w:sz w:val="24"/>
              </w:rPr>
              <w:t>2019</w:t>
            </w:r>
            <w:r>
              <w:rPr>
                <w:sz w:val="24"/>
              </w:rPr>
              <w:t>年第</w:t>
            </w:r>
            <w:r>
              <w:rPr>
                <w:rFonts w:ascii="Times New Roman" w:eastAsia="Times New Roman"/>
                <w:sz w:val="24"/>
              </w:rPr>
              <w:t>57</w:t>
            </w:r>
            <w:r>
              <w:rPr>
                <w:sz w:val="24"/>
              </w:rPr>
              <w:t>号公告相关要求，及时组织二类射线工作人员通过核技术利用辐射安全与防护培训平台进行相关知识学习，并确保所有二类射线辐射工作人员及辐射安全管理人员考核合格后上岗（见附件）。</w:t>
            </w:r>
          </w:p>
          <w:p>
            <w:pPr>
              <w:pStyle w:val="TableParagraph"/>
              <w:spacing w:before="59"/>
              <w:ind w:left="108"/>
              <w:jc w:val="left"/>
              <w:rPr>
                <w:sz w:val="28"/>
              </w:rPr>
            </w:pPr>
            <w:r>
              <w:rPr>
                <w:sz w:val="28"/>
              </w:rPr>
              <w:t>二、本项目产业政策符合性分析</w:t>
            </w:r>
          </w:p>
          <w:p>
            <w:pPr>
              <w:pStyle w:val="TableParagraph"/>
              <w:spacing w:before="211"/>
              <w:ind w:left="588"/>
              <w:jc w:val="left"/>
              <w:rPr>
                <w:sz w:val="24"/>
              </w:rPr>
            </w:pPr>
            <w:r>
              <w:rPr>
                <w:sz w:val="24"/>
              </w:rPr>
              <w:t>根据中华人民共和国国家发展和改革委员会令第</w:t>
            </w:r>
            <w:r>
              <w:rPr>
                <w:rFonts w:ascii="Times New Roman" w:eastAsia="Times New Roman"/>
                <w:sz w:val="24"/>
              </w:rPr>
              <w:t>29</w:t>
            </w:r>
            <w:r>
              <w:rPr>
                <w:sz w:val="24"/>
              </w:rPr>
              <w:t>号《产业结构调整指导目录</w:t>
            </w:r>
          </w:p>
          <w:p>
            <w:pPr>
              <w:pStyle w:val="TableParagraph"/>
              <w:spacing w:line="364" w:lineRule="auto" w:before="161"/>
              <w:ind w:left="108" w:right="90"/>
              <w:jc w:val="both"/>
              <w:rPr>
                <w:sz w:val="24"/>
              </w:rPr>
            </w:pPr>
            <w:r>
              <w:rPr>
                <w:spacing w:val="-1"/>
                <w:sz w:val="24"/>
              </w:rPr>
              <w:t>（</w:t>
            </w:r>
            <w:r>
              <w:rPr>
                <w:rFonts w:ascii="Times New Roman" w:hAnsi="Times New Roman" w:eastAsia="Times New Roman"/>
                <w:spacing w:val="-1"/>
                <w:sz w:val="24"/>
              </w:rPr>
              <w:t>2019</w:t>
            </w:r>
            <w:r>
              <w:rPr>
                <w:spacing w:val="-1"/>
                <w:sz w:val="24"/>
              </w:rPr>
              <w:t>年本）》（</w:t>
            </w:r>
            <w:r>
              <w:rPr>
                <w:rFonts w:ascii="Times New Roman" w:hAnsi="Times New Roman" w:eastAsia="Times New Roman"/>
                <w:spacing w:val="-1"/>
                <w:sz w:val="24"/>
              </w:rPr>
              <w:t>2020</w:t>
            </w:r>
            <w:r>
              <w:rPr>
                <w:spacing w:val="-1"/>
                <w:sz w:val="24"/>
              </w:rPr>
              <w:t>年</w:t>
            </w:r>
            <w:r>
              <w:rPr>
                <w:rFonts w:ascii="Times New Roman" w:hAnsi="Times New Roman" w:eastAsia="Times New Roman"/>
                <w:spacing w:val="-1"/>
                <w:sz w:val="24"/>
              </w:rPr>
              <w:t>1</w:t>
            </w:r>
            <w:r>
              <w:rPr>
                <w:sz w:val="24"/>
              </w:rPr>
              <w:t>月</w:t>
            </w:r>
            <w:r>
              <w:rPr>
                <w:rFonts w:ascii="Times New Roman" w:hAnsi="Times New Roman" w:eastAsia="Times New Roman"/>
                <w:sz w:val="24"/>
              </w:rPr>
              <w:t>1</w:t>
            </w:r>
            <w:r>
              <w:rPr>
                <w:sz w:val="24"/>
              </w:rPr>
              <w:t>日施行）的相关规定，本项目使用数字减影血管造影装</w:t>
            </w:r>
            <w:r>
              <w:rPr>
                <w:spacing w:val="-1"/>
                <w:sz w:val="24"/>
              </w:rPr>
              <w:t>置（</w:t>
            </w:r>
            <w:r>
              <w:rPr>
                <w:rFonts w:ascii="Times New Roman" w:hAnsi="Times New Roman" w:eastAsia="Times New Roman"/>
                <w:spacing w:val="-1"/>
                <w:sz w:val="24"/>
              </w:rPr>
              <w:t>DSA</w:t>
            </w:r>
            <w:r>
              <w:rPr>
                <w:spacing w:val="-1"/>
                <w:sz w:val="24"/>
              </w:rPr>
              <w:t>）为医院医疗基础建设内容，属该指导目录中第三十七项“卫生健康”中第</w:t>
            </w:r>
            <w:r>
              <w:rPr>
                <w:rFonts w:ascii="Times New Roman" w:hAnsi="Times New Roman" w:eastAsia="Times New Roman"/>
                <w:sz w:val="24"/>
              </w:rPr>
              <w:t>5</w:t>
            </w:r>
            <w:r>
              <w:rPr>
                <w:sz w:val="24"/>
              </w:rPr>
              <w:t>款“医疗卫生服务设施建设”，属于国家鼓励类产业，符合国家产业政策。</w:t>
            </w:r>
          </w:p>
          <w:p>
            <w:pPr>
              <w:pStyle w:val="TableParagraph"/>
              <w:spacing w:before="55"/>
              <w:ind w:left="108"/>
              <w:jc w:val="left"/>
              <w:rPr>
                <w:sz w:val="28"/>
              </w:rPr>
            </w:pPr>
            <w:r>
              <w:rPr>
                <w:sz w:val="28"/>
              </w:rPr>
              <w:t>三、本项目选址、外环境及实践正当性分析</w:t>
            </w:r>
          </w:p>
          <w:p>
            <w:pPr>
              <w:pStyle w:val="TableParagraph"/>
              <w:spacing w:before="133"/>
              <w:ind w:left="667"/>
              <w:jc w:val="left"/>
              <w:rPr>
                <w:sz w:val="24"/>
              </w:rPr>
            </w:pPr>
            <w:r>
              <w:rPr>
                <w:sz w:val="24"/>
              </w:rPr>
              <w:t>（一）外环境关系分析</w:t>
            </w:r>
          </w:p>
          <w:p>
            <w:pPr>
              <w:pStyle w:val="TableParagraph"/>
              <w:spacing w:before="160"/>
              <w:ind w:left="667"/>
              <w:jc w:val="left"/>
              <w:rPr>
                <w:sz w:val="24"/>
              </w:rPr>
            </w:pPr>
            <w:r>
              <w:rPr>
                <w:rFonts w:ascii="Times New Roman" w:eastAsia="Times New Roman"/>
                <w:sz w:val="24"/>
              </w:rPr>
              <w:t>1</w:t>
            </w:r>
            <w:r>
              <w:rPr>
                <w:sz w:val="24"/>
              </w:rPr>
              <w:t>、医院外环境关系</w:t>
            </w:r>
          </w:p>
          <w:p>
            <w:pPr>
              <w:pStyle w:val="TableParagraph"/>
              <w:spacing w:line="364" w:lineRule="auto" w:before="158"/>
              <w:ind w:left="108" w:right="90" w:firstLine="559"/>
              <w:jc w:val="both"/>
              <w:rPr>
                <w:sz w:val="24"/>
              </w:rPr>
            </w:pPr>
            <w:r>
              <w:rPr>
                <w:spacing w:val="-2"/>
                <w:sz w:val="24"/>
              </w:rPr>
              <w:t>资阳市第一人民医院仁德西路院区位于资阳市雁江区仁德西路 </w:t>
            </w:r>
            <w:r>
              <w:rPr>
                <w:rFonts w:ascii="Times New Roman" w:hAnsi="Times New Roman" w:eastAsia="Times New Roman"/>
                <w:sz w:val="24"/>
              </w:rPr>
              <w:t>66</w:t>
            </w:r>
            <w:r>
              <w:rPr>
                <w:rFonts w:ascii="Times New Roman" w:hAnsi="Times New Roman" w:eastAsia="Times New Roman"/>
                <w:spacing w:val="6"/>
                <w:sz w:val="24"/>
              </w:rPr>
              <w:t> </w:t>
            </w:r>
            <w:r>
              <w:rPr>
                <w:sz w:val="24"/>
              </w:rPr>
              <w:t>号。在医院范</w:t>
            </w:r>
            <w:r>
              <w:rPr>
                <w:spacing w:val="-1"/>
                <w:sz w:val="24"/>
              </w:rPr>
              <w:t>围外，北侧为待建空地，</w:t>
            </w:r>
            <w:r>
              <w:rPr>
                <w:rFonts w:ascii="Times New Roman" w:hAnsi="Times New Roman" w:eastAsia="Times New Roman"/>
                <w:spacing w:val="-1"/>
                <w:sz w:val="24"/>
              </w:rPr>
              <w:t>60m</w:t>
            </w:r>
            <w:r>
              <w:rPr>
                <w:rFonts w:ascii="Times New Roman" w:hAnsi="Times New Roman" w:eastAsia="Times New Roman"/>
                <w:spacing w:val="-2"/>
                <w:sz w:val="24"/>
              </w:rPr>
              <w:t> </w:t>
            </w:r>
            <w:r>
              <w:rPr>
                <w:spacing w:val="-20"/>
                <w:sz w:val="24"/>
              </w:rPr>
              <w:t>处为 </w:t>
            </w:r>
            <w:r>
              <w:rPr>
                <w:rFonts w:ascii="Times New Roman" w:hAnsi="Times New Roman" w:eastAsia="Times New Roman"/>
                <w:sz w:val="24"/>
              </w:rPr>
              <w:t>CNG </w:t>
            </w:r>
            <w:r>
              <w:rPr>
                <w:spacing w:val="-9"/>
                <w:sz w:val="24"/>
              </w:rPr>
              <w:t>加气站；东侧 </w:t>
            </w:r>
            <w:r>
              <w:rPr>
                <w:rFonts w:ascii="Times New Roman" w:hAnsi="Times New Roman" w:eastAsia="Times New Roman"/>
                <w:sz w:val="24"/>
              </w:rPr>
              <w:t>60m</w:t>
            </w:r>
            <w:r>
              <w:rPr>
                <w:rFonts w:ascii="Times New Roman" w:hAnsi="Times New Roman" w:eastAsia="Times New Roman"/>
                <w:spacing w:val="1"/>
                <w:sz w:val="24"/>
              </w:rPr>
              <w:t> </w:t>
            </w:r>
            <w:r>
              <w:rPr>
                <w:sz w:val="24"/>
              </w:rPr>
              <w:t>处为山水名城小区；南侧</w:t>
            </w:r>
            <w:r>
              <w:rPr>
                <w:w w:val="95"/>
                <w:sz w:val="24"/>
              </w:rPr>
              <w:t>为待建空地、</w:t>
            </w:r>
            <w:r>
              <w:rPr>
                <w:rFonts w:ascii="Times New Roman" w:hAnsi="Times New Roman" w:eastAsia="Times New Roman"/>
                <w:w w:val="95"/>
                <w:sz w:val="24"/>
              </w:rPr>
              <w:t>50m</w:t>
            </w:r>
            <w:r>
              <w:rPr>
                <w:rFonts w:ascii="Times New Roman" w:hAnsi="Times New Roman" w:eastAsia="Times New Roman"/>
                <w:spacing w:val="50"/>
                <w:w w:val="95"/>
                <w:sz w:val="24"/>
              </w:rPr>
              <w:t> </w:t>
            </w:r>
            <w:r>
              <w:rPr>
                <w:spacing w:val="-1"/>
                <w:w w:val="95"/>
                <w:sz w:val="24"/>
              </w:rPr>
              <w:t>处为佳家佳苑住宅小区；西侧 </w:t>
            </w:r>
            <w:r>
              <w:rPr>
                <w:rFonts w:ascii="Times New Roman" w:hAnsi="Times New Roman" w:eastAsia="Times New Roman"/>
                <w:w w:val="95"/>
                <w:sz w:val="24"/>
              </w:rPr>
              <w:t>60m</w:t>
            </w:r>
            <w:r>
              <w:rPr>
                <w:rFonts w:ascii="Times New Roman" w:hAnsi="Times New Roman" w:eastAsia="Times New Roman"/>
                <w:spacing w:val="54"/>
                <w:w w:val="95"/>
                <w:sz w:val="24"/>
              </w:rPr>
              <w:t> </w:t>
            </w:r>
            <w:r>
              <w:rPr>
                <w:w w:val="95"/>
                <w:sz w:val="24"/>
              </w:rPr>
              <w:t>处为空间</w:t>
            </w:r>
            <w:r>
              <w:rPr>
                <w:rFonts w:ascii="Times New Roman" w:hAnsi="Times New Roman" w:eastAsia="Times New Roman"/>
                <w:w w:val="95"/>
                <w:sz w:val="24"/>
              </w:rPr>
              <w:t>•</w:t>
            </w:r>
            <w:r>
              <w:rPr>
                <w:w w:val="95"/>
                <w:sz w:val="24"/>
              </w:rPr>
              <w:t>爱琴海住宅小区。</w:t>
            </w:r>
          </w:p>
          <w:p>
            <w:pPr>
              <w:pStyle w:val="TableParagraph"/>
              <w:spacing w:line="307" w:lineRule="exact"/>
              <w:ind w:left="588" w:right="-29"/>
              <w:jc w:val="left"/>
              <w:rPr>
                <w:sz w:val="24"/>
              </w:rPr>
            </w:pPr>
            <w:r>
              <w:rPr>
                <w:spacing w:val="-12"/>
                <w:sz w:val="24"/>
              </w:rPr>
              <w:t>医院四周交通方便，有利于医院和外界的联系。项目选址城市基础配套设施完善，</w:t>
            </w:r>
          </w:p>
        </w:tc>
      </w:tr>
    </w:tbl>
    <w:p>
      <w:pPr>
        <w:spacing w:after="0" w:line="307" w:lineRule="exact"/>
        <w:jc w:val="left"/>
        <w:rPr>
          <w:sz w:val="24"/>
        </w:rPr>
        <w:sectPr>
          <w:pgSz w:w="11910" w:h="16840"/>
          <w:pgMar w:header="0" w:footer="1354" w:top="1420" w:bottom="1540" w:left="1340" w:right="1260"/>
        </w:sectPr>
      </w:pPr>
    </w:p>
    <w:p>
      <w:pPr>
        <w:pStyle w:val="BodyText"/>
        <w:spacing w:before="55"/>
        <w:ind w:left="222"/>
      </w:pPr>
      <w:r>
        <w:rPr/>
        <w:pict>
          <v:shape style="position:absolute;margin-left:72.459999pt;margin-top:72.000023pt;width:454.3pt;height:679.25pt;mso-position-horizontal-relative:page;mso-position-vertical-relative:page;z-index:-20155392" coordorigin="1449,1440" coordsize="9086,13585" path="m1449,1445l10535,1445m1449,15025l10535,15025m1454,1440l1454,15020m10530,1440l10530,15020e" filled="false" stroked="true" strokeweight=".48pt" strokecolor="#000000">
            <v:path arrowok="t"/>
            <v:stroke dashstyle="solid"/>
            <w10:wrap type="none"/>
          </v:shape>
        </w:pict>
      </w:r>
      <w:r>
        <w:rPr/>
        <w:t>给排水等市政管网完善，电力、电缆等埋设齐全，为项目建设提供良好条件。</w:t>
      </w:r>
    </w:p>
    <w:p>
      <w:pPr>
        <w:pStyle w:val="BodyText"/>
        <w:spacing w:before="158"/>
        <w:ind w:left="781"/>
      </w:pPr>
      <w:r>
        <w:rPr>
          <w:rFonts w:ascii="Times New Roman" w:eastAsia="Times New Roman"/>
        </w:rPr>
        <w:t>2</w:t>
      </w:r>
      <w:r>
        <w:rPr/>
        <w:t>、项目外环境关系</w:t>
      </w:r>
    </w:p>
    <w:p>
      <w:pPr>
        <w:pStyle w:val="BodyText"/>
        <w:spacing w:before="158"/>
        <w:ind w:left="781"/>
      </w:pPr>
      <w:r>
        <w:rPr>
          <w:spacing w:val="-5"/>
        </w:rPr>
        <w:t>本项目辐射工作场所位于医技楼一层。医技楼位于医院中部，西北侧为医疗中心</w:t>
      </w:r>
    </w:p>
    <w:p>
      <w:pPr>
        <w:pStyle w:val="BodyText"/>
        <w:spacing w:line="364" w:lineRule="auto" w:before="160"/>
        <w:ind w:left="222" w:right="211"/>
        <w:jc w:val="both"/>
      </w:pPr>
      <w:r>
        <w:rPr>
          <w:spacing w:val="-2"/>
        </w:rPr>
        <w:t>（</w:t>
      </w:r>
      <w:r>
        <w:rPr>
          <w:rFonts w:ascii="Times New Roman" w:eastAsia="Times New Roman"/>
          <w:spacing w:val="-2"/>
        </w:rPr>
        <w:t>6.5m~50m</w:t>
      </w:r>
      <w:r>
        <w:rPr>
          <w:spacing w:val="-2"/>
        </w:rPr>
        <w:t>），北侧为康复理疗楼</w:t>
      </w:r>
      <w:r>
        <w:rPr>
          <w:spacing w:val="-1"/>
        </w:rPr>
        <w:t>（</w:t>
      </w:r>
      <w:r>
        <w:rPr>
          <w:rFonts w:ascii="Times New Roman" w:eastAsia="Times New Roman"/>
          <w:spacing w:val="-1"/>
        </w:rPr>
        <w:t>18m~50m</w:t>
      </w:r>
      <w:r>
        <w:rPr>
          <w:spacing w:val="-1"/>
        </w:rPr>
        <w:t>），南侧为内科住院楼（</w:t>
      </w:r>
      <w:r>
        <w:rPr>
          <w:rFonts w:ascii="Times New Roman" w:eastAsia="Times New Roman"/>
          <w:spacing w:val="-1"/>
        </w:rPr>
        <w:t>55m</w:t>
      </w:r>
      <w:r>
        <w:rPr>
          <w:spacing w:val="-1"/>
        </w:rPr>
        <w:t>），西南</w:t>
      </w:r>
      <w:r>
        <w:rPr>
          <w:spacing w:val="-3"/>
        </w:rPr>
        <w:t>侧为疑难病症诊治中心（</w:t>
      </w:r>
      <w:r>
        <w:rPr>
          <w:rFonts w:ascii="Times New Roman" w:eastAsia="Times New Roman"/>
          <w:spacing w:val="-3"/>
        </w:rPr>
        <w:t>35~50m</w:t>
      </w:r>
      <w:r>
        <w:rPr>
          <w:spacing w:val="-3"/>
        </w:rPr>
        <w:t>），东北侧为门诊楼</w:t>
      </w:r>
      <w:r>
        <w:rPr>
          <w:spacing w:val="-2"/>
        </w:rPr>
        <w:t>（</w:t>
      </w:r>
      <w:r>
        <w:rPr>
          <w:rFonts w:ascii="Times New Roman" w:eastAsia="Times New Roman"/>
          <w:spacing w:val="-2"/>
        </w:rPr>
        <w:t>20m~50m</w:t>
      </w:r>
      <w:r>
        <w:rPr>
          <w:spacing w:val="-2"/>
        </w:rPr>
        <w:t>）。本项目辐射工作</w:t>
      </w:r>
      <w:r>
        <w:rPr>
          <w:spacing w:val="25"/>
          <w:w w:val="95"/>
        </w:rPr>
        <w:t>场所的 </w:t>
      </w:r>
      <w:r>
        <w:rPr>
          <w:rFonts w:ascii="Times New Roman" w:eastAsia="Times New Roman"/>
          <w:w w:val="95"/>
        </w:rPr>
        <w:t>50m</w:t>
      </w:r>
      <w:r>
        <w:rPr>
          <w:rFonts w:ascii="Times New Roman" w:eastAsia="Times New Roman"/>
          <w:spacing w:val="39"/>
          <w:w w:val="95"/>
        </w:rPr>
        <w:t> </w:t>
      </w:r>
      <w:r>
        <w:rPr>
          <w:w w:val="95"/>
        </w:rPr>
        <w:t>范围均在医院范围内，不存在自然保护区、保护文物、风景名胜区、饮用</w:t>
      </w:r>
      <w:r>
        <w:rPr>
          <w:spacing w:val="-1"/>
        </w:rPr>
        <w:t>水源保护区、学校、集中居民小区等生态敏感目标和环境敏感目标，周围无明显环境</w:t>
      </w:r>
      <w:r>
        <w:rPr/>
        <w:t>制约因素。</w:t>
      </w:r>
    </w:p>
    <w:p>
      <w:pPr>
        <w:pStyle w:val="BodyText"/>
        <w:spacing w:line="306" w:lineRule="exact"/>
        <w:ind w:left="781"/>
      </w:pPr>
      <w:r>
        <w:rPr/>
        <w:t>（二）选址合理性分析</w:t>
      </w:r>
    </w:p>
    <w:p>
      <w:pPr>
        <w:pStyle w:val="BodyText"/>
        <w:spacing w:before="7"/>
        <w:rPr>
          <w:sz w:val="18"/>
        </w:rPr>
      </w:pPr>
    </w:p>
    <w:p>
      <w:pPr>
        <w:pStyle w:val="BodyText"/>
        <w:spacing w:line="364" w:lineRule="auto"/>
        <w:ind w:left="222" w:right="201" w:firstLine="480"/>
        <w:jc w:val="both"/>
      </w:pPr>
      <w:r>
        <w:rPr>
          <w:spacing w:val="-2"/>
        </w:rPr>
        <w:t>本项目在医技楼一层西北侧利用现有房间改造为 </w:t>
      </w:r>
      <w:r>
        <w:rPr>
          <w:rFonts w:ascii="Times New Roman" w:eastAsia="Times New Roman"/>
        </w:rPr>
        <w:t>DSA</w:t>
      </w:r>
      <w:r>
        <w:rPr>
          <w:rFonts w:ascii="Times New Roman" w:eastAsia="Times New Roman"/>
          <w:spacing w:val="33"/>
        </w:rPr>
        <w:t> </w:t>
      </w:r>
      <w:r>
        <w:rPr/>
        <w:t>机房及相关配套房间，本</w:t>
      </w:r>
      <w:r>
        <w:rPr>
          <w:spacing w:val="-1"/>
        </w:rPr>
        <w:t>项目所在医技楼已在进行了环境影响评价并取得批复</w:t>
      </w:r>
      <w:r>
        <w:rPr/>
        <w:t>（见附件）。本项目仅为其配套</w:t>
      </w:r>
      <w:r>
        <w:rPr>
          <w:spacing w:val="-1"/>
        </w:rPr>
        <w:t>建设项目，不新增用地，且拟建的辐射工作场所有良好的实体屏蔽设施和防护措施，</w:t>
      </w:r>
      <w:r>
        <w:rPr>
          <w:spacing w:val="-118"/>
        </w:rPr>
        <w:t> </w:t>
      </w:r>
      <w:r>
        <w:rPr>
          <w:spacing w:val="-1"/>
        </w:rPr>
        <w:t>产生的辐射经屏蔽和防护后对辐射工作人员和公众的照射剂量满足《电离辐射防护与</w:t>
      </w:r>
      <w:r>
        <w:rPr>
          <w:spacing w:val="-2"/>
        </w:rPr>
        <w:t>辐射源安全基本标准》（</w:t>
      </w:r>
      <w:r>
        <w:rPr>
          <w:rFonts w:ascii="Times New Roman" w:eastAsia="Times New Roman"/>
          <w:spacing w:val="-2"/>
        </w:rPr>
        <w:t>GB18871-2002</w:t>
      </w:r>
      <w:r>
        <w:rPr>
          <w:spacing w:val="-2"/>
        </w:rPr>
        <w:t>）</w:t>
      </w:r>
      <w:r>
        <w:rPr>
          <w:spacing w:val="-1"/>
        </w:rPr>
        <w:t>中的剂量限值要求并满足报告表确定的剂量</w:t>
      </w:r>
      <w:r>
        <w:rPr/>
        <w:t>管理约束值的要求，从辐射安全防护的角度分析，本项目选址是合理的。</w:t>
      </w:r>
    </w:p>
    <w:p>
      <w:pPr>
        <w:pStyle w:val="BodyText"/>
        <w:spacing w:before="4"/>
        <w:ind w:left="702"/>
      </w:pPr>
      <w:r>
        <w:rPr/>
        <w:t>（三）与周边环境的相容性分析</w:t>
      </w:r>
    </w:p>
    <w:p>
      <w:pPr>
        <w:pStyle w:val="BodyText"/>
        <w:spacing w:line="364" w:lineRule="auto" w:before="160"/>
        <w:ind w:left="222" w:right="103" w:firstLine="480"/>
      </w:pPr>
      <w:r>
        <w:rPr/>
        <w:t>本项目就诊病人及医护人员产生的少量生活污水通过院内污水管网排至医院污</w:t>
      </w:r>
      <w:r>
        <w:rPr>
          <w:spacing w:val="1"/>
        </w:rPr>
        <w:t> </w:t>
      </w:r>
      <w:r>
        <w:rPr>
          <w:spacing w:val="-2"/>
        </w:rPr>
        <w:t>水处理站处理达到《医疗机构水污染物排放标准》（</w:t>
      </w:r>
      <w:r>
        <w:rPr>
          <w:rFonts w:ascii="Times New Roman" w:eastAsia="Times New Roman"/>
          <w:spacing w:val="-2"/>
        </w:rPr>
        <w:t>GB18466-2005</w:t>
      </w:r>
      <w:r>
        <w:rPr>
          <w:spacing w:val="-2"/>
        </w:rPr>
        <w:t>）</w:t>
      </w:r>
      <w:r>
        <w:rPr>
          <w:spacing w:val="-21"/>
        </w:rPr>
        <w:t>中表 </w:t>
      </w:r>
      <w:r>
        <w:rPr>
          <w:rFonts w:ascii="Times New Roman" w:eastAsia="Times New Roman"/>
          <w:spacing w:val="-1"/>
        </w:rPr>
        <w:t>2</w:t>
      </w:r>
      <w:r>
        <w:rPr>
          <w:rFonts w:ascii="Times New Roman" w:eastAsia="Times New Roman"/>
        </w:rPr>
        <w:t> </w:t>
      </w:r>
      <w:r>
        <w:rPr>
          <w:spacing w:val="-1"/>
        </w:rPr>
        <w:t>预处理标</w:t>
      </w:r>
      <w:r>
        <w:rPr/>
        <w:t>准要求后经市政污水管网排入资阳市城市生活污水处理厂处理达标后排放。介入手术产生的医用器具、药棉、纱布、手套等医疗废物暂存于污物处置间，收集后由有资质</w:t>
      </w:r>
      <w:r>
        <w:rPr>
          <w:spacing w:val="-12"/>
        </w:rPr>
        <w:t>单位进行处置；按照医疗废物执行转移联单制度，定期委托有资质单位统一收集处置；</w:t>
      </w:r>
      <w:r>
        <w:rPr>
          <w:spacing w:val="-117"/>
        </w:rPr>
        <w:t> </w:t>
      </w:r>
      <w:r>
        <w:rPr/>
        <w:t>产生的生活垃圾和办公垃圾很少，依托医院已有的垃圾收集设施统一收集交由市政环卫清运；本项目采用机械排风，风机本身声级较小，噪声影响不大，不会改变区域声环境功能区规划；项目产生的废气经通排风管道排至室外，再经自然稀释后对大气环境影响较小。</w:t>
      </w:r>
    </w:p>
    <w:p>
      <w:pPr>
        <w:pStyle w:val="BodyText"/>
        <w:spacing w:before="6"/>
        <w:ind w:left="702"/>
      </w:pPr>
      <w:r>
        <w:rPr/>
        <w:t>因此，本项目的建设不会对周边产生新的环境污染，项目与周边环境相容。</w:t>
      </w:r>
    </w:p>
    <w:p>
      <w:pPr>
        <w:pStyle w:val="BodyText"/>
        <w:spacing w:before="160"/>
        <w:ind w:left="702"/>
      </w:pPr>
      <w:r>
        <w:rPr/>
        <w:t>（四）实践正当性分析</w:t>
      </w:r>
    </w:p>
    <w:p>
      <w:pPr>
        <w:pStyle w:val="BodyText"/>
        <w:spacing w:line="364" w:lineRule="auto" w:before="161"/>
        <w:ind w:left="222" w:right="201" w:firstLine="480"/>
      </w:pPr>
      <w:r>
        <w:rPr>
          <w:spacing w:val="-1"/>
        </w:rPr>
        <w:t>本项目的建设可以更好地满足公众多层次、多方位、高质量、便利的诊断需求，</w:t>
      </w:r>
      <w:r>
        <w:rPr>
          <w:spacing w:val="-117"/>
        </w:rPr>
        <w:t> </w:t>
      </w:r>
      <w:r>
        <w:rPr>
          <w:spacing w:val="-1"/>
        </w:rPr>
        <w:t>提高对疾病的诊断能力。本项目核技术应用项目的开展，可达到一般非放射性诊断方</w:t>
      </w:r>
    </w:p>
    <w:p>
      <w:pPr>
        <w:spacing w:after="0" w:line="364" w:lineRule="auto"/>
        <w:sectPr>
          <w:pgSz w:w="11910" w:h="16840"/>
          <w:pgMar w:header="0" w:footer="1354" w:top="1380" w:bottom="1540" w:left="1340" w:right="1260"/>
        </w:sectPr>
      </w:pPr>
    </w:p>
    <w:p>
      <w:pPr>
        <w:pStyle w:val="BodyText"/>
        <w:spacing w:line="364" w:lineRule="auto" w:before="92"/>
        <w:ind w:left="222" w:right="223"/>
        <w:jc w:val="both"/>
      </w:pPr>
      <w:r>
        <w:rPr/>
        <w:pict>
          <v:shape style="position:absolute;margin-left:72.459999pt;margin-top:72.000023pt;width:454.3pt;height:687.55pt;mso-position-horizontal-relative:page;mso-position-vertical-relative:page;z-index:-20154880" coordorigin="1449,1440" coordsize="9086,13751" path="m1449,1445l10535,1445m1449,15191l10535,15191m1454,1440l1454,15186m10530,1440l10530,15186e" filled="false" stroked="true" strokeweight=".48pt" strokecolor="#000000">
            <v:path arrowok="t"/>
            <v:stroke dashstyle="solid"/>
            <w10:wrap type="none"/>
          </v:shape>
        </w:pict>
      </w:r>
      <w:r>
        <w:rPr>
          <w:spacing w:val="-1"/>
        </w:rPr>
        <w:t>法所不能及的效果，是其它诊断项目无法替代的，对保障人民群众身体健康、拯救生命起了十分重要的作用，由于放射诊疗的方法效果显著，其优势明显，因此，该项目的实践是必要的。本项目在诊断过程中，对射线装置的使用将按照国家相关的辐射防护要求采取相应的防护措施，并建立相应的规章制度和辐射事故应急预案。因此，在正确使用和管理的情况下，可以将本项目产生的辐射影响降至尽可能小，该核技术利</w:t>
      </w:r>
      <w:r>
        <w:rPr/>
        <w:t>用的实践具有正当性。</w:t>
      </w:r>
    </w:p>
    <w:p>
      <w:pPr>
        <w:pStyle w:val="Heading2"/>
        <w:spacing w:before="57"/>
        <w:ind w:left="222"/>
      </w:pPr>
      <w:r>
        <w:rPr>
          <w:spacing w:val="-1"/>
        </w:rPr>
        <w:t>四、原有核技术利用项目许可情况</w:t>
      </w:r>
    </w:p>
    <w:p>
      <w:pPr>
        <w:pStyle w:val="BodyText"/>
        <w:spacing w:line="364" w:lineRule="auto" w:before="211"/>
        <w:ind w:left="222" w:right="229" w:firstLine="420"/>
        <w:jc w:val="both"/>
      </w:pPr>
      <w:r>
        <w:rPr>
          <w:rFonts w:ascii="Times New Roman" w:hAnsi="Times New Roman" w:eastAsia="Times New Roman"/>
          <w:sz w:val="21"/>
        </w:rPr>
        <w:t>1</w:t>
      </w:r>
      <w:r>
        <w:rPr>
          <w:spacing w:val="-58"/>
          <w:sz w:val="21"/>
        </w:rPr>
        <w:t>、</w:t>
      </w:r>
      <w:r>
        <w:rPr>
          <w:spacing w:val="-3"/>
        </w:rPr>
        <w:t>资阳市第一人民医院已取得辐射安全许可证，其许可证证书编号为川环辐证</w:t>
      </w:r>
      <w:r>
        <w:rPr>
          <w:rFonts w:ascii="Times New Roman" w:hAnsi="Times New Roman" w:eastAsia="Times New Roman"/>
        </w:rPr>
        <w:t>[00402]</w:t>
      </w:r>
      <w:r>
        <w:rPr/>
        <w:t>，许可的种类和范围为使用</w:t>
      </w:r>
      <w:r>
        <w:rPr>
          <w:rFonts w:ascii="Times New Roman" w:hAnsi="Times New Roman" w:eastAsia="Times New Roman"/>
        </w:rPr>
        <w:t>Ⅱ</w:t>
      </w:r>
      <w:r>
        <w:rPr/>
        <w:t>、</w:t>
      </w:r>
      <w:r>
        <w:rPr>
          <w:rFonts w:ascii="Times New Roman" w:hAnsi="Times New Roman" w:eastAsia="Times New Roman"/>
        </w:rPr>
        <w:t>III</w:t>
      </w:r>
      <w:r>
        <w:rPr/>
        <w:t>类射线装置；使用非密封放射性物质，乙级非密封放射性物质工作场所，有效期至</w:t>
      </w:r>
      <w:r>
        <w:rPr>
          <w:rFonts w:ascii="Times New Roman" w:hAnsi="Times New Roman" w:eastAsia="Times New Roman"/>
        </w:rPr>
        <w:t>2024</w:t>
      </w:r>
      <w:r>
        <w:rPr/>
        <w:t>年</w:t>
      </w:r>
      <w:r>
        <w:rPr>
          <w:rFonts w:ascii="Times New Roman" w:hAnsi="Times New Roman" w:eastAsia="Times New Roman"/>
        </w:rPr>
        <w:t>12</w:t>
      </w:r>
      <w:r>
        <w:rPr>
          <w:spacing w:val="12"/>
        </w:rPr>
        <w:t>月</w:t>
      </w:r>
      <w:r>
        <w:rPr>
          <w:rFonts w:ascii="Times New Roman" w:hAnsi="Times New Roman" w:eastAsia="Times New Roman"/>
        </w:rPr>
        <w:t>08</w:t>
      </w:r>
      <w:r>
        <w:rPr/>
        <w:t>日。</w:t>
      </w:r>
    </w:p>
    <w:p>
      <w:pPr>
        <w:pStyle w:val="BodyText"/>
        <w:spacing w:before="2"/>
        <w:ind w:left="702"/>
        <w:jc w:val="both"/>
      </w:pPr>
      <w:r>
        <w:rPr>
          <w:spacing w:val="-4"/>
        </w:rPr>
        <w:t>资阳市第一人民医院已获许可的射线装置具体情况见表 </w:t>
      </w:r>
      <w:r>
        <w:rPr>
          <w:rFonts w:ascii="Times New Roman" w:eastAsia="Times New Roman"/>
        </w:rPr>
        <w:t>1-5</w:t>
      </w:r>
      <w:r>
        <w:rPr/>
        <w:t>。</w:t>
      </w:r>
    </w:p>
    <w:p>
      <w:pPr>
        <w:pStyle w:val="BodyText"/>
        <w:spacing w:line="364" w:lineRule="auto" w:before="161"/>
        <w:ind w:left="222" w:right="232" w:firstLine="420"/>
        <w:jc w:val="both"/>
      </w:pPr>
      <w:r>
        <w:rPr>
          <w:spacing w:val="-9"/>
        </w:rPr>
        <w:t>医院 </w:t>
      </w:r>
      <w:r>
        <w:rPr>
          <w:rFonts w:ascii="Times New Roman" w:eastAsia="Times New Roman"/>
        </w:rPr>
        <w:t>2021</w:t>
      </w:r>
      <w:r>
        <w:rPr>
          <w:rFonts w:ascii="Times New Roman" w:eastAsia="Times New Roman"/>
          <w:spacing w:val="33"/>
        </w:rPr>
        <w:t> </w:t>
      </w:r>
      <w:r>
        <w:rPr>
          <w:spacing w:val="-9"/>
        </w:rPr>
        <w:t>年共 </w:t>
      </w:r>
      <w:r>
        <w:rPr>
          <w:rFonts w:ascii="Times New Roman" w:eastAsia="Times New Roman"/>
        </w:rPr>
        <w:t>5</w:t>
      </w:r>
      <w:r>
        <w:rPr>
          <w:rFonts w:ascii="Times New Roman" w:eastAsia="Times New Roman"/>
          <w:spacing w:val="27"/>
        </w:rPr>
        <w:t> </w:t>
      </w:r>
      <w:r>
        <w:rPr>
          <w:spacing w:val="2"/>
        </w:rPr>
        <w:t>台射线装置</w:t>
      </w:r>
      <w:r>
        <w:rPr/>
        <w:t>（</w:t>
      </w:r>
      <w:r>
        <w:rPr>
          <w:spacing w:val="-3"/>
        </w:rPr>
        <w:t>包括外科用移动式 </w:t>
      </w:r>
      <w:r>
        <w:rPr>
          <w:rFonts w:ascii="Times New Roman" w:eastAsia="Times New Roman"/>
        </w:rPr>
        <w:t>C</w:t>
      </w:r>
      <w:r>
        <w:rPr>
          <w:rFonts w:ascii="Times New Roman" w:eastAsia="Times New Roman"/>
          <w:spacing w:val="27"/>
        </w:rPr>
        <w:t> </w:t>
      </w:r>
      <w:r>
        <w:rPr>
          <w:spacing w:val="-3"/>
        </w:rPr>
        <w:t>型臂影像系统 </w:t>
      </w:r>
      <w:r>
        <w:rPr>
          <w:rFonts w:ascii="Times New Roman" w:eastAsia="Times New Roman"/>
        </w:rPr>
        <w:t>1</w:t>
      </w:r>
      <w:r>
        <w:rPr>
          <w:rFonts w:ascii="Times New Roman" w:eastAsia="Times New Roman"/>
          <w:spacing w:val="27"/>
        </w:rPr>
        <w:t> </w:t>
      </w:r>
      <w:r>
        <w:rPr>
          <w:spacing w:val="3"/>
        </w:rPr>
        <w:t>台、牙科</w:t>
      </w:r>
      <w:r>
        <w:rPr>
          <w:rFonts w:ascii="Times New Roman" w:eastAsia="Times New Roman"/>
        </w:rPr>
        <w:t>X</w:t>
      </w:r>
      <w:r>
        <w:rPr>
          <w:rFonts w:ascii="Times New Roman" w:eastAsia="Times New Roman"/>
          <w:spacing w:val="20"/>
        </w:rPr>
        <w:t> </w:t>
      </w:r>
      <w:r>
        <w:rPr>
          <w:spacing w:val="-8"/>
        </w:rPr>
        <w:t>射线机 </w:t>
      </w:r>
      <w:r>
        <w:rPr>
          <w:rFonts w:ascii="Times New Roman" w:eastAsia="Times New Roman"/>
        </w:rPr>
        <w:t>1</w:t>
      </w:r>
      <w:r>
        <w:rPr>
          <w:rFonts w:ascii="Times New Roman" w:eastAsia="Times New Roman"/>
          <w:spacing w:val="18"/>
        </w:rPr>
        <w:t> </w:t>
      </w:r>
      <w:r>
        <w:rPr>
          <w:spacing w:val="-4"/>
        </w:rPr>
        <w:t>台、数字平板胃肠 </w:t>
      </w:r>
      <w:r>
        <w:rPr>
          <w:rFonts w:ascii="Times New Roman" w:eastAsia="Times New Roman"/>
        </w:rPr>
        <w:t>X</w:t>
      </w:r>
      <w:r>
        <w:rPr>
          <w:rFonts w:ascii="Times New Roman" w:eastAsia="Times New Roman"/>
          <w:spacing w:val="21"/>
        </w:rPr>
        <w:t> </w:t>
      </w:r>
      <w:r>
        <w:rPr>
          <w:spacing w:val="-10"/>
        </w:rPr>
        <w:t>光机 </w:t>
      </w:r>
      <w:r>
        <w:rPr>
          <w:rFonts w:ascii="Times New Roman" w:eastAsia="Times New Roman"/>
        </w:rPr>
        <w:t>1</w:t>
      </w:r>
      <w:r>
        <w:rPr>
          <w:rFonts w:ascii="Times New Roman" w:eastAsia="Times New Roman"/>
          <w:spacing w:val="22"/>
        </w:rPr>
        <w:t> </w:t>
      </w:r>
      <w:r>
        <w:rPr>
          <w:spacing w:val="-4"/>
        </w:rPr>
        <w:t>台、全数字化 </w:t>
      </w:r>
      <w:r>
        <w:rPr>
          <w:rFonts w:ascii="Times New Roman" w:eastAsia="Times New Roman"/>
        </w:rPr>
        <w:t>X</w:t>
      </w:r>
      <w:r>
        <w:rPr>
          <w:rFonts w:ascii="Times New Roman" w:eastAsia="Times New Roman"/>
          <w:spacing w:val="21"/>
        </w:rPr>
        <w:t> </w:t>
      </w:r>
      <w:r>
        <w:rPr>
          <w:spacing w:val="-4"/>
        </w:rPr>
        <w:t>线拍片影像系统 </w:t>
      </w:r>
      <w:r>
        <w:rPr>
          <w:rFonts w:ascii="Times New Roman" w:eastAsia="Times New Roman"/>
        </w:rPr>
        <w:t>2</w:t>
      </w:r>
      <w:r>
        <w:rPr>
          <w:rFonts w:ascii="Times New Roman" w:eastAsia="Times New Roman"/>
          <w:spacing w:val="24"/>
        </w:rPr>
        <w:t> </w:t>
      </w:r>
      <w:r>
        <w:rPr/>
        <w:t>台）拟报废未使用停机暂存于原使用地点（符合防护要求的射线装置场所），</w:t>
      </w:r>
      <w:r>
        <w:rPr>
          <w:rFonts w:ascii="Times New Roman" w:eastAsia="Times New Roman"/>
        </w:rPr>
        <w:t>2</w:t>
      </w:r>
      <w:r>
        <w:rPr>
          <w:rFonts w:ascii="Times New Roman" w:eastAsia="Times New Roman"/>
          <w:spacing w:val="32"/>
        </w:rPr>
        <w:t> </w:t>
      </w:r>
      <w:r>
        <w:rPr/>
        <w:t>台射线装</w:t>
      </w:r>
      <w:r>
        <w:rPr>
          <w:w w:val="95"/>
        </w:rPr>
        <w:t>置（</w:t>
      </w:r>
      <w:r>
        <w:rPr>
          <w:spacing w:val="11"/>
          <w:w w:val="95"/>
        </w:rPr>
        <w:t>包括数字 </w:t>
      </w:r>
      <w:r>
        <w:rPr>
          <w:rFonts w:ascii="Times New Roman" w:eastAsia="Times New Roman"/>
          <w:w w:val="95"/>
        </w:rPr>
        <w:t>X</w:t>
      </w:r>
      <w:r>
        <w:rPr>
          <w:rFonts w:ascii="Times New Roman" w:eastAsia="Times New Roman"/>
          <w:spacing w:val="35"/>
          <w:w w:val="95"/>
        </w:rPr>
        <w:t> </w:t>
      </w:r>
      <w:r>
        <w:rPr>
          <w:spacing w:val="16"/>
          <w:w w:val="95"/>
        </w:rPr>
        <w:t>线机 </w:t>
      </w:r>
      <w:r>
        <w:rPr>
          <w:rFonts w:ascii="Times New Roman" w:eastAsia="Times New Roman"/>
          <w:w w:val="95"/>
        </w:rPr>
        <w:t>1</w:t>
      </w:r>
      <w:r>
        <w:rPr>
          <w:rFonts w:ascii="Times New Roman" w:eastAsia="Times New Roman"/>
          <w:spacing w:val="95"/>
        </w:rPr>
        <w:t> </w:t>
      </w:r>
      <w:r>
        <w:rPr>
          <w:spacing w:val="4"/>
          <w:w w:val="95"/>
        </w:rPr>
        <w:t>台、心血管造影系统 </w:t>
      </w:r>
      <w:r>
        <w:rPr>
          <w:rFonts w:ascii="Times New Roman" w:eastAsia="Times New Roman"/>
          <w:w w:val="95"/>
        </w:rPr>
        <w:t>1</w:t>
      </w:r>
      <w:r>
        <w:rPr>
          <w:rFonts w:ascii="Times New Roman" w:eastAsia="Times New Roman"/>
          <w:spacing w:val="91"/>
        </w:rPr>
        <w:t> </w:t>
      </w:r>
      <w:r>
        <w:rPr>
          <w:w w:val="95"/>
        </w:rPr>
        <w:t>台）已去功能化暂存于设备库拟报</w:t>
      </w:r>
      <w:r>
        <w:rPr>
          <w:spacing w:val="1"/>
        </w:rPr>
        <w:t>废。其余射线装置运行及维护情况良好，每台 </w:t>
      </w:r>
      <w:r>
        <w:rPr>
          <w:rFonts w:ascii="Times New Roman" w:eastAsia="Times New Roman"/>
        </w:rPr>
        <w:t>X</w:t>
      </w:r>
      <w:r>
        <w:rPr>
          <w:rFonts w:ascii="Times New Roman" w:eastAsia="Times New Roman"/>
          <w:spacing w:val="20"/>
        </w:rPr>
        <w:t> </w:t>
      </w:r>
      <w:r>
        <w:rPr/>
        <w:t>线机均有使用登记和维护记录。</w:t>
      </w:r>
    </w:p>
    <w:p>
      <w:pPr>
        <w:pStyle w:val="BodyText"/>
        <w:spacing w:line="364" w:lineRule="auto" w:before="3"/>
        <w:ind w:left="222" w:right="230"/>
        <w:jc w:val="both"/>
      </w:pPr>
      <w:r>
        <w:rPr/>
        <w:t>（</w:t>
      </w:r>
      <w:r>
        <w:rPr>
          <w:spacing w:val="-11"/>
        </w:rPr>
        <w:t>新增 </w:t>
      </w:r>
      <w:r>
        <w:rPr>
          <w:rFonts w:ascii="Times New Roman" w:eastAsia="Times New Roman"/>
        </w:rPr>
        <w:t>1</w:t>
      </w:r>
      <w:r>
        <w:rPr>
          <w:rFonts w:ascii="Times New Roman" w:eastAsia="Times New Roman"/>
          <w:spacing w:val="23"/>
        </w:rPr>
        <w:t> </w:t>
      </w:r>
      <w:r>
        <w:rPr>
          <w:spacing w:val="-6"/>
        </w:rPr>
        <w:t>台移动式 </w:t>
      </w:r>
      <w:r>
        <w:rPr>
          <w:rFonts w:ascii="Times New Roman" w:eastAsia="Times New Roman"/>
        </w:rPr>
        <w:t>C</w:t>
      </w:r>
      <w:r>
        <w:rPr>
          <w:rFonts w:ascii="Times New Roman" w:eastAsia="Times New Roman"/>
          <w:spacing w:val="24"/>
        </w:rPr>
        <w:t> </w:t>
      </w:r>
      <w:r>
        <w:rPr>
          <w:spacing w:val="-11"/>
        </w:rPr>
        <w:t>形臂 </w:t>
      </w:r>
      <w:r>
        <w:rPr>
          <w:rFonts w:ascii="Times New Roman" w:eastAsia="Times New Roman"/>
        </w:rPr>
        <w:t>X</w:t>
      </w:r>
      <w:r>
        <w:rPr>
          <w:rFonts w:ascii="Times New Roman" w:eastAsia="Times New Roman"/>
          <w:spacing w:val="26"/>
        </w:rPr>
        <w:t> </w:t>
      </w:r>
      <w:r>
        <w:rPr>
          <w:spacing w:val="-7"/>
        </w:rPr>
        <w:t>射线机和 </w:t>
      </w:r>
      <w:r>
        <w:rPr>
          <w:rFonts w:ascii="Times New Roman" w:eastAsia="Times New Roman"/>
        </w:rPr>
        <w:t>1</w:t>
      </w:r>
      <w:r>
        <w:rPr>
          <w:rFonts w:ascii="Times New Roman" w:eastAsia="Times New Roman"/>
          <w:spacing w:val="24"/>
        </w:rPr>
        <w:t> </w:t>
      </w:r>
      <w:r>
        <w:rPr>
          <w:spacing w:val="-4"/>
        </w:rPr>
        <w:t>台医用诊断 </w:t>
      </w:r>
      <w:r>
        <w:rPr>
          <w:rFonts w:ascii="Times New Roman" w:eastAsia="Times New Roman"/>
        </w:rPr>
        <w:t>X</w:t>
      </w:r>
      <w:r>
        <w:rPr>
          <w:rFonts w:ascii="Times New Roman" w:eastAsia="Times New Roman"/>
          <w:spacing w:val="22"/>
        </w:rPr>
        <w:t> </w:t>
      </w:r>
      <w:r>
        <w:rPr>
          <w:spacing w:val="4"/>
        </w:rPr>
        <w:t>射线机</w:t>
      </w:r>
      <w:r>
        <w:rPr>
          <w:rFonts w:ascii="Times New Roman" w:eastAsia="Times New Roman"/>
        </w:rPr>
        <w:t>-</w:t>
      </w:r>
      <w:r>
        <w:rPr>
          <w:spacing w:val="-11"/>
        </w:rPr>
        <w:t>胃肠机，由于疫情原</w:t>
      </w:r>
      <w:r>
        <w:rPr>
          <w:spacing w:val="-6"/>
        </w:rPr>
        <w:t>因，计划在 </w:t>
      </w:r>
      <w:r>
        <w:rPr>
          <w:rFonts w:ascii="Times New Roman" w:eastAsia="Times New Roman"/>
        </w:rPr>
        <w:t>2022</w:t>
      </w:r>
      <w:r>
        <w:rPr>
          <w:rFonts w:ascii="Times New Roman" w:eastAsia="Times New Roman"/>
          <w:spacing w:val="18"/>
        </w:rPr>
        <w:t> </w:t>
      </w:r>
      <w:r>
        <w:rPr>
          <w:spacing w:val="-21"/>
        </w:rPr>
        <w:t>年 </w:t>
      </w:r>
      <w:r>
        <w:rPr>
          <w:rFonts w:ascii="Times New Roman" w:eastAsia="Times New Roman"/>
        </w:rPr>
        <w:t>2</w:t>
      </w:r>
      <w:r>
        <w:rPr>
          <w:rFonts w:ascii="Times New Roman" w:eastAsia="Times New Roman"/>
          <w:spacing w:val="13"/>
        </w:rPr>
        <w:t> </w:t>
      </w:r>
      <w:r>
        <w:rPr/>
        <w:t>月完成辐射许可证新增及法人变更情况）。</w:t>
      </w:r>
    </w:p>
    <w:p>
      <w:pPr>
        <w:pStyle w:val="BodyText"/>
        <w:spacing w:before="1"/>
        <w:ind w:left="702"/>
        <w:jc w:val="both"/>
      </w:pPr>
      <w:r>
        <w:rPr>
          <w:spacing w:val="-4"/>
        </w:rPr>
        <w:t>医院已获许可的非密封放射性物质具体情况见表 </w:t>
      </w:r>
      <w:r>
        <w:rPr>
          <w:rFonts w:ascii="Times New Roman" w:eastAsia="Times New Roman"/>
        </w:rPr>
        <w:t>1-6</w:t>
      </w:r>
      <w:r>
        <w:rPr/>
        <w:t>。</w:t>
      </w:r>
    </w:p>
    <w:p>
      <w:pPr>
        <w:pStyle w:val="BodyText"/>
        <w:spacing w:line="364" w:lineRule="auto" w:before="160"/>
        <w:ind w:left="222" w:right="230" w:firstLine="499"/>
        <w:jc w:val="both"/>
      </w:pPr>
      <w:r>
        <w:rPr>
          <w:rFonts w:ascii="Times New Roman" w:hAnsi="Times New Roman" w:eastAsia="Times New Roman"/>
        </w:rPr>
        <w:t>2</w:t>
      </w:r>
      <w:r>
        <w:rPr>
          <w:spacing w:val="11"/>
        </w:rPr>
        <w:t>、建设单位已成立</w:t>
      </w:r>
      <w:r>
        <w:rPr>
          <w:rFonts w:ascii="Times New Roman" w:hAnsi="Times New Roman" w:eastAsia="Times New Roman"/>
        </w:rPr>
        <w:t>“</w:t>
      </w:r>
      <w:r>
        <w:rPr>
          <w:spacing w:val="12"/>
        </w:rPr>
        <w:t>辐射安全和防护管理委员会</w:t>
      </w:r>
      <w:r>
        <w:rPr>
          <w:rFonts w:ascii="Times New Roman" w:hAnsi="Times New Roman" w:eastAsia="Times New Roman"/>
          <w:spacing w:val="10"/>
        </w:rPr>
        <w:t>”</w:t>
      </w:r>
      <w:r>
        <w:rPr>
          <w:spacing w:val="10"/>
        </w:rPr>
        <w:t>（</w:t>
      </w:r>
      <w:r>
        <w:rPr>
          <w:spacing w:val="-12"/>
        </w:rPr>
        <w:t>附件 </w:t>
      </w:r>
      <w:r>
        <w:rPr>
          <w:rFonts w:ascii="Times New Roman" w:hAnsi="Times New Roman" w:eastAsia="Times New Roman"/>
          <w:spacing w:val="10"/>
        </w:rPr>
        <w:t>4</w:t>
      </w:r>
      <w:r>
        <w:rPr>
          <w:spacing w:val="10"/>
        </w:rPr>
        <w:t>），并对其领导小</w:t>
      </w:r>
      <w:r>
        <w:rPr>
          <w:spacing w:val="11"/>
        </w:rPr>
        <w:t>组进行了调整，该委员会具体负责医院辐射安全管理工作。委员会下设办公室，</w:t>
      </w:r>
      <w:r>
        <w:rPr>
          <w:spacing w:val="-118"/>
        </w:rPr>
        <w:t> </w:t>
      </w:r>
      <w:r>
        <w:rPr/>
        <w:t>设在医教部。负责放射工作人员健康工作，统筹放辐射安全防护工作。</w:t>
      </w:r>
    </w:p>
    <w:p>
      <w:pPr>
        <w:pStyle w:val="BodyText"/>
        <w:spacing w:line="364" w:lineRule="auto" w:before="2"/>
        <w:ind w:left="222" w:right="232" w:firstLine="499"/>
        <w:jc w:val="both"/>
      </w:pPr>
      <w:r>
        <w:rPr>
          <w:spacing w:val="11"/>
        </w:rPr>
        <w:t>医院辐射安全管理制度的内容符合《四川省核技术利用辐射安全监督检查大</w:t>
      </w:r>
      <w:r>
        <w:rPr/>
        <w:t>纲（</w:t>
      </w:r>
      <w:r>
        <w:rPr>
          <w:rFonts w:ascii="Times New Roman" w:eastAsia="Times New Roman"/>
        </w:rPr>
        <w:t>2016</w:t>
      </w:r>
      <w:r>
        <w:rPr/>
        <w:t>）》（</w:t>
      </w:r>
      <w:r>
        <w:rPr>
          <w:spacing w:val="3"/>
        </w:rPr>
        <w:t>川环函</w:t>
      </w:r>
      <w:r>
        <w:rPr/>
        <w:t>［</w:t>
      </w:r>
      <w:r>
        <w:rPr>
          <w:rFonts w:ascii="Times New Roman" w:eastAsia="Times New Roman"/>
        </w:rPr>
        <w:t>2016</w:t>
      </w:r>
      <w:r>
        <w:rPr/>
        <w:t>］</w:t>
      </w:r>
      <w:r>
        <w:rPr>
          <w:rFonts w:ascii="Times New Roman" w:eastAsia="Times New Roman"/>
        </w:rPr>
        <w:t>1400</w:t>
      </w:r>
      <w:r>
        <w:rPr>
          <w:rFonts w:ascii="Times New Roman" w:eastAsia="Times New Roman"/>
          <w:spacing w:val="12"/>
        </w:rPr>
        <w:t> </w:t>
      </w:r>
      <w:r>
        <w:rPr/>
        <w:t>号）</w:t>
      </w:r>
      <w:r>
        <w:rPr>
          <w:spacing w:val="2"/>
        </w:rPr>
        <w:t>中的要求。</w:t>
      </w:r>
    </w:p>
    <w:p>
      <w:pPr>
        <w:pStyle w:val="BodyText"/>
        <w:spacing w:line="364" w:lineRule="auto" w:before="1"/>
        <w:ind w:left="222" w:right="232" w:firstLine="499"/>
        <w:jc w:val="both"/>
      </w:pPr>
      <w:r>
        <w:rPr>
          <w:rFonts w:ascii="Times New Roman" w:eastAsia="Times New Roman"/>
        </w:rPr>
        <w:t>3</w:t>
      </w:r>
      <w:r>
        <w:rPr/>
        <w:t>、医院从事三类射线辐射工作人员均参加了医院组织的辐射安全与防护自主</w:t>
      </w:r>
      <w:r>
        <w:rPr>
          <w:spacing w:val="1"/>
        </w:rPr>
        <w:t> </w:t>
      </w:r>
      <w:r>
        <w:rPr>
          <w:spacing w:val="3"/>
        </w:rPr>
        <w:t>考核，成绩合格。二类射线辐射工作人员 </w:t>
      </w:r>
      <w:r>
        <w:rPr>
          <w:rFonts w:ascii="Times New Roman" w:eastAsia="Times New Roman"/>
        </w:rPr>
        <w:t>93   </w:t>
      </w:r>
      <w:r>
        <w:rPr/>
        <w:t>人，原持有的辐射安全培训合格证书</w:t>
      </w:r>
    </w:p>
    <w:p>
      <w:pPr>
        <w:pStyle w:val="BodyText"/>
        <w:spacing w:line="364" w:lineRule="auto"/>
        <w:ind w:left="222" w:right="230"/>
        <w:jc w:val="both"/>
      </w:pPr>
      <w:r>
        <w:rPr>
          <w:spacing w:val="8"/>
        </w:rPr>
        <w:t>已到期。医院承诺将严格落实中华人民共和国生态环境部 </w:t>
      </w:r>
      <w:r>
        <w:rPr>
          <w:rFonts w:ascii="Times New Roman" w:eastAsia="Times New Roman"/>
        </w:rPr>
        <w:t>2019</w:t>
      </w:r>
      <w:r>
        <w:rPr>
          <w:rFonts w:ascii="Times New Roman" w:eastAsia="Times New Roman"/>
          <w:spacing w:val="17"/>
        </w:rPr>
        <w:t> </w:t>
      </w:r>
      <w:r>
        <w:rPr>
          <w:spacing w:val="-10"/>
        </w:rPr>
        <w:t>年第 </w:t>
      </w:r>
      <w:r>
        <w:rPr>
          <w:rFonts w:ascii="Times New Roman" w:eastAsia="Times New Roman"/>
        </w:rPr>
        <w:t>57</w:t>
      </w:r>
      <w:r>
        <w:rPr>
          <w:rFonts w:ascii="Times New Roman" w:eastAsia="Times New Roman"/>
          <w:spacing w:val="17"/>
        </w:rPr>
        <w:t> </w:t>
      </w:r>
      <w:r>
        <w:rPr>
          <w:spacing w:val="9"/>
        </w:rPr>
        <w:t>号公告相</w:t>
      </w:r>
      <w:r>
        <w:rPr>
          <w:spacing w:val="11"/>
        </w:rPr>
        <w:t>关要求，及时组织二类射线工作人员通过核技术利用辐射安全与防护培训平台进行相关知识学习，并确保所有二类射线辐射工作人员及辐射安全管理人员考核合</w:t>
      </w:r>
    </w:p>
    <w:p>
      <w:pPr>
        <w:spacing w:after="0" w:line="364" w:lineRule="auto"/>
        <w:jc w:val="both"/>
        <w:sectPr>
          <w:pgSz w:w="11910" w:h="16840"/>
          <w:pgMar w:header="0" w:footer="1354" w:top="1420" w:bottom="1620" w:left="1340" w:right="1260"/>
        </w:sectPr>
      </w:pPr>
    </w:p>
    <w:p>
      <w:pPr>
        <w:pStyle w:val="BodyText"/>
        <w:spacing w:before="92"/>
        <w:ind w:left="222"/>
      </w:pPr>
      <w:r>
        <w:rPr/>
        <w:pict>
          <v:shape style="position:absolute;margin-left:72.459999pt;margin-top:72.000023pt;width:454.3pt;height:679.35pt;mso-position-horizontal-relative:page;mso-position-vertical-relative:page;z-index:-20154368" coordorigin="1449,1440" coordsize="9086,13587" path="m1449,1445l10535,1445m1449,15027l10535,15027m1454,1440l1454,15022m10530,1440l10530,15022e" filled="false" stroked="true" strokeweight=".48pt" strokecolor="#000000">
            <v:path arrowok="t"/>
            <v:stroke dashstyle="solid"/>
            <w10:wrap type="none"/>
          </v:shape>
        </w:pict>
      </w:r>
      <w:r>
        <w:rPr/>
        <w:t>格后上岗。见附件。</w:t>
      </w:r>
    </w:p>
    <w:p>
      <w:pPr>
        <w:pStyle w:val="BodyText"/>
        <w:spacing w:before="160"/>
        <w:ind w:left="721"/>
      </w:pPr>
      <w:r>
        <w:rPr>
          <w:rFonts w:ascii="Times New Roman" w:eastAsia="Times New Roman"/>
        </w:rPr>
        <w:t>4</w:t>
      </w:r>
      <w:r>
        <w:rPr>
          <w:spacing w:val="4"/>
        </w:rPr>
        <w:t>、根据医院提供的 </w:t>
      </w:r>
      <w:r>
        <w:rPr>
          <w:rFonts w:ascii="Times New Roman" w:eastAsia="Times New Roman"/>
        </w:rPr>
        <w:t>2021</w:t>
      </w:r>
      <w:r>
        <w:rPr>
          <w:rFonts w:ascii="Times New Roman" w:eastAsia="Times New Roman"/>
          <w:spacing w:val="18"/>
        </w:rPr>
        <w:t> </w:t>
      </w:r>
      <w:r>
        <w:rPr>
          <w:spacing w:val="11"/>
        </w:rPr>
        <w:t>个人剂量检测统计表，医院有辐射工作人员均配备</w:t>
      </w:r>
    </w:p>
    <w:p>
      <w:pPr>
        <w:pStyle w:val="BodyText"/>
        <w:spacing w:line="364" w:lineRule="auto" w:before="161"/>
        <w:ind w:left="222" w:right="109"/>
      </w:pPr>
      <w:r>
        <w:rPr>
          <w:spacing w:val="1"/>
        </w:rPr>
        <w:t>了个人剂量计，且个人剂量计定期送检，并建立个人剂量档案。连续 </w:t>
      </w:r>
      <w:r>
        <w:rPr>
          <w:rFonts w:ascii="Times New Roman" w:eastAsia="Times New Roman"/>
        </w:rPr>
        <w:t>4</w:t>
      </w:r>
      <w:r>
        <w:rPr>
          <w:rFonts w:ascii="Times New Roman" w:eastAsia="Times New Roman"/>
          <w:spacing w:val="44"/>
        </w:rPr>
        <w:t> </w:t>
      </w:r>
      <w:r>
        <w:rPr>
          <w:spacing w:val="2"/>
        </w:rPr>
        <w:t>个季度中，</w:t>
      </w:r>
      <w:r>
        <w:rPr>
          <w:spacing w:val="-117"/>
        </w:rPr>
        <w:t> </w:t>
      </w:r>
      <w:r>
        <w:rPr>
          <w:spacing w:val="8"/>
        </w:rPr>
        <w:t>全院所有辐射工作人员中无人单季度个人剂量出现超过 </w:t>
      </w:r>
      <w:r>
        <w:rPr>
          <w:rFonts w:ascii="Times New Roman" w:eastAsia="Times New Roman"/>
        </w:rPr>
        <w:t>1.25mSv</w:t>
      </w:r>
      <w:r>
        <w:rPr>
          <w:rFonts w:ascii="Times New Roman" w:eastAsia="Times New Roman"/>
          <w:spacing w:val="22"/>
        </w:rPr>
        <w:t> </w:t>
      </w:r>
      <w:r>
        <w:rPr>
          <w:spacing w:val="10"/>
        </w:rPr>
        <w:t>的情况，无人年</w:t>
      </w:r>
      <w:r>
        <w:rPr>
          <w:spacing w:val="-6"/>
        </w:rPr>
        <w:t>剂量出现超过 </w:t>
      </w:r>
      <w:r>
        <w:rPr>
          <w:rFonts w:ascii="Times New Roman" w:eastAsia="Times New Roman"/>
        </w:rPr>
        <w:t>5mSv</w:t>
      </w:r>
      <w:r>
        <w:rPr>
          <w:rFonts w:ascii="Times New Roman" w:eastAsia="Times New Roman"/>
          <w:spacing w:val="13"/>
        </w:rPr>
        <w:t> </w:t>
      </w:r>
      <w:r>
        <w:rPr/>
        <w:t>的情况。见附件。</w:t>
      </w:r>
    </w:p>
    <w:p>
      <w:pPr>
        <w:pStyle w:val="BodyText"/>
        <w:spacing w:line="364" w:lineRule="auto" w:before="1"/>
        <w:ind w:left="222" w:right="230" w:firstLine="499"/>
      </w:pPr>
      <w:r>
        <w:rPr>
          <w:rFonts w:ascii="Times New Roman" w:eastAsia="Times New Roman"/>
        </w:rPr>
        <w:t>5</w:t>
      </w:r>
      <w:r>
        <w:rPr/>
        <w:t>、医院编制了《四川省核技术利用单位 放射性同位素与射线装置 安全和防护状况年度评估报告（</w:t>
      </w:r>
      <w:r>
        <w:rPr>
          <w:rFonts w:ascii="Times New Roman" w:eastAsia="Times New Roman"/>
        </w:rPr>
        <w:t>2021</w:t>
      </w:r>
      <w:r>
        <w:rPr>
          <w:rFonts w:ascii="Times New Roman" w:eastAsia="Times New Roman"/>
          <w:spacing w:val="8"/>
        </w:rPr>
        <w:t> </w:t>
      </w:r>
      <w:r>
        <w:rPr/>
        <w:t>年度）</w:t>
      </w:r>
      <w:r>
        <w:rPr>
          <w:spacing w:val="6"/>
        </w:rPr>
        <w:t>》。</w:t>
      </w:r>
    </w:p>
    <w:p>
      <w:pPr>
        <w:pStyle w:val="BodyText"/>
        <w:spacing w:before="2"/>
        <w:ind w:left="721"/>
      </w:pPr>
      <w:r>
        <w:rPr/>
        <w:t>现医院辐射安全管理情况如下：</w:t>
      </w:r>
    </w:p>
    <w:p>
      <w:pPr>
        <w:pStyle w:val="ListParagraph"/>
        <w:numPr>
          <w:ilvl w:val="0"/>
          <w:numId w:val="1"/>
        </w:numPr>
        <w:tabs>
          <w:tab w:pos="1337" w:val="left" w:leader="none"/>
        </w:tabs>
        <w:spacing w:line="364" w:lineRule="auto" w:before="160" w:after="0"/>
        <w:ind w:left="222" w:right="225" w:firstLine="499"/>
        <w:jc w:val="both"/>
        <w:rPr>
          <w:sz w:val="24"/>
        </w:rPr>
      </w:pPr>
      <w:r>
        <w:rPr>
          <w:sz w:val="24"/>
        </w:rPr>
        <w:t>资阳市第一人民医院按照要求委托四川中环康源卫生技术服务有限公司</w:t>
      </w:r>
      <w:r>
        <w:rPr>
          <w:spacing w:val="1"/>
          <w:sz w:val="24"/>
        </w:rPr>
        <w:t> </w:t>
      </w:r>
      <w:r>
        <w:rPr>
          <w:spacing w:val="7"/>
          <w:sz w:val="24"/>
        </w:rPr>
        <w:t>进行了 </w:t>
      </w:r>
      <w:r>
        <w:rPr>
          <w:rFonts w:ascii="Times New Roman" w:hAnsi="Times New Roman" w:eastAsia="Times New Roman"/>
          <w:sz w:val="24"/>
        </w:rPr>
        <w:t>2021</w:t>
      </w:r>
      <w:r>
        <w:rPr>
          <w:rFonts w:ascii="Times New Roman" w:hAnsi="Times New Roman" w:eastAsia="Times New Roman"/>
          <w:spacing w:val="14"/>
          <w:sz w:val="24"/>
        </w:rPr>
        <w:t> </w:t>
      </w:r>
      <w:r>
        <w:rPr>
          <w:sz w:val="24"/>
        </w:rPr>
        <w:t>年度监测，监测文号为</w:t>
      </w:r>
      <w:r>
        <w:rPr>
          <w:rFonts w:ascii="Times New Roman" w:hAnsi="Times New Roman" w:eastAsia="Times New Roman"/>
          <w:sz w:val="24"/>
        </w:rPr>
        <w:t>“ZHKY</w:t>
      </w:r>
      <w:r>
        <w:rPr>
          <w:sz w:val="24"/>
        </w:rPr>
        <w:t>（环）</w:t>
      </w:r>
      <w:r>
        <w:rPr>
          <w:rFonts w:ascii="Times New Roman" w:hAnsi="Times New Roman" w:eastAsia="Times New Roman"/>
          <w:sz w:val="24"/>
        </w:rPr>
        <w:t>-2021-F0326/R001”</w:t>
      </w:r>
      <w:r>
        <w:rPr>
          <w:spacing w:val="1"/>
          <w:sz w:val="24"/>
        </w:rPr>
        <w:t>，根据监测报</w:t>
      </w:r>
      <w:r>
        <w:rPr>
          <w:spacing w:val="11"/>
          <w:sz w:val="24"/>
        </w:rPr>
        <w:t>告，建设单位已有射线装置辐射工作场所以及非密封性放物质工作场所周围剂量</w:t>
      </w:r>
      <w:r>
        <w:rPr>
          <w:spacing w:val="14"/>
          <w:sz w:val="24"/>
        </w:rPr>
        <w:t>当量率不大于《放射诊断放射防护要求》</w:t>
      </w:r>
      <w:r>
        <w:rPr>
          <w:sz w:val="24"/>
        </w:rPr>
        <w:t>（</w:t>
      </w:r>
      <w:r>
        <w:rPr>
          <w:rFonts w:ascii="Times New Roman" w:hAnsi="Times New Roman" w:eastAsia="Times New Roman"/>
          <w:sz w:val="24"/>
        </w:rPr>
        <w:t>GBZ130-2020</w:t>
      </w:r>
      <w:r>
        <w:rPr>
          <w:sz w:val="24"/>
        </w:rPr>
        <w:t>）</w:t>
      </w:r>
      <w:r>
        <w:rPr>
          <w:spacing w:val="7"/>
          <w:sz w:val="24"/>
        </w:rPr>
        <w:t>规定的 </w:t>
      </w:r>
      <w:r>
        <w:rPr>
          <w:rFonts w:ascii="Times New Roman" w:hAnsi="Times New Roman" w:eastAsia="Times New Roman"/>
          <w:sz w:val="24"/>
        </w:rPr>
        <w:t>2.5μSv/h</w:t>
      </w:r>
      <w:r>
        <w:rPr>
          <w:rFonts w:ascii="Times New Roman" w:hAnsi="Times New Roman" w:eastAsia="Times New Roman"/>
          <w:spacing w:val="2"/>
          <w:sz w:val="24"/>
        </w:rPr>
        <w:t> </w:t>
      </w:r>
      <w:r>
        <w:rPr>
          <w:spacing w:val="7"/>
          <w:sz w:val="24"/>
        </w:rPr>
        <w:t>剂量</w:t>
      </w:r>
      <w:r>
        <w:rPr>
          <w:spacing w:val="13"/>
          <w:sz w:val="24"/>
        </w:rPr>
        <w:t>水平要求，各射线装置周围职业人员和公众的年有效剂量均分别小于 </w:t>
      </w:r>
      <w:r>
        <w:rPr>
          <w:rFonts w:ascii="Times New Roman" w:hAnsi="Times New Roman" w:eastAsia="Times New Roman"/>
          <w:sz w:val="24"/>
        </w:rPr>
        <w:t>5mSv/a</w:t>
      </w:r>
      <w:r>
        <w:rPr>
          <w:rFonts w:ascii="Times New Roman" w:hAnsi="Times New Roman" w:eastAsia="Times New Roman"/>
          <w:spacing w:val="25"/>
          <w:sz w:val="24"/>
        </w:rPr>
        <w:t> </w:t>
      </w:r>
      <w:r>
        <w:rPr>
          <w:sz w:val="24"/>
        </w:rPr>
        <w:t>和</w:t>
      </w:r>
      <w:r>
        <w:rPr>
          <w:rFonts w:ascii="Times New Roman" w:hAnsi="Times New Roman" w:eastAsia="Times New Roman"/>
          <w:sz w:val="24"/>
        </w:rPr>
        <w:t>0.1mSv/a</w:t>
      </w:r>
      <w:r>
        <w:rPr>
          <w:rFonts w:ascii="Times New Roman" w:hAnsi="Times New Roman" w:eastAsia="Times New Roman"/>
          <w:spacing w:val="11"/>
          <w:sz w:val="24"/>
        </w:rPr>
        <w:t> </w:t>
      </w:r>
      <w:r>
        <w:rPr>
          <w:sz w:val="24"/>
        </w:rPr>
        <w:t>的管理限值要求；</w:t>
      </w:r>
    </w:p>
    <w:p>
      <w:pPr>
        <w:pStyle w:val="ListParagraph"/>
        <w:numPr>
          <w:ilvl w:val="0"/>
          <w:numId w:val="1"/>
        </w:numPr>
        <w:tabs>
          <w:tab w:pos="1337" w:val="left" w:leader="none"/>
        </w:tabs>
        <w:spacing w:line="364" w:lineRule="auto" w:before="4" w:after="0"/>
        <w:ind w:left="222" w:right="225" w:firstLine="499"/>
        <w:jc w:val="both"/>
        <w:rPr>
          <w:sz w:val="24"/>
        </w:rPr>
      </w:pPr>
      <w:r>
        <w:rPr>
          <w:spacing w:val="-20"/>
          <w:sz w:val="24"/>
        </w:rPr>
        <w:t>共 </w:t>
      </w:r>
      <w:r>
        <w:rPr>
          <w:rFonts w:ascii="Times New Roman" w:eastAsia="Times New Roman"/>
          <w:sz w:val="24"/>
        </w:rPr>
        <w:t>5</w:t>
      </w:r>
      <w:r>
        <w:rPr>
          <w:rFonts w:ascii="Times New Roman" w:eastAsia="Times New Roman"/>
          <w:spacing w:val="17"/>
          <w:sz w:val="24"/>
        </w:rPr>
        <w:t> </w:t>
      </w:r>
      <w:r>
        <w:rPr>
          <w:spacing w:val="2"/>
          <w:sz w:val="24"/>
        </w:rPr>
        <w:t>台射线装置</w:t>
      </w:r>
      <w:r>
        <w:rPr>
          <w:spacing w:val="12"/>
          <w:sz w:val="24"/>
        </w:rPr>
        <w:t>（</w:t>
      </w:r>
      <w:r>
        <w:rPr>
          <w:spacing w:val="-4"/>
          <w:sz w:val="24"/>
        </w:rPr>
        <w:t>包括外科用移动式 </w:t>
      </w:r>
      <w:r>
        <w:rPr>
          <w:rFonts w:ascii="Times New Roman" w:eastAsia="Times New Roman"/>
          <w:sz w:val="24"/>
        </w:rPr>
        <w:t>C</w:t>
      </w:r>
      <w:r>
        <w:rPr>
          <w:rFonts w:ascii="Times New Roman" w:eastAsia="Times New Roman"/>
          <w:spacing w:val="16"/>
          <w:sz w:val="24"/>
        </w:rPr>
        <w:t> </w:t>
      </w:r>
      <w:r>
        <w:rPr>
          <w:spacing w:val="-5"/>
          <w:sz w:val="24"/>
        </w:rPr>
        <w:t>型臂影像系统 </w:t>
      </w:r>
      <w:r>
        <w:rPr>
          <w:rFonts w:ascii="Times New Roman" w:eastAsia="Times New Roman"/>
          <w:sz w:val="24"/>
        </w:rPr>
        <w:t>1</w:t>
      </w:r>
      <w:r>
        <w:rPr>
          <w:rFonts w:ascii="Times New Roman" w:eastAsia="Times New Roman"/>
          <w:spacing w:val="17"/>
          <w:sz w:val="24"/>
        </w:rPr>
        <w:t> </w:t>
      </w:r>
      <w:r>
        <w:rPr>
          <w:spacing w:val="-8"/>
          <w:sz w:val="24"/>
        </w:rPr>
        <w:t>台、牙科 </w:t>
      </w:r>
      <w:r>
        <w:rPr>
          <w:rFonts w:ascii="Times New Roman" w:eastAsia="Times New Roman"/>
          <w:sz w:val="24"/>
        </w:rPr>
        <w:t>X</w:t>
      </w:r>
      <w:r>
        <w:rPr>
          <w:rFonts w:ascii="Times New Roman" w:eastAsia="Times New Roman"/>
          <w:spacing w:val="19"/>
          <w:sz w:val="24"/>
        </w:rPr>
        <w:t> </w:t>
      </w:r>
      <w:r>
        <w:rPr>
          <w:sz w:val="24"/>
        </w:rPr>
        <w:t>射线</w:t>
      </w:r>
      <w:r>
        <w:rPr>
          <w:spacing w:val="-16"/>
          <w:sz w:val="24"/>
        </w:rPr>
        <w:t>机 </w:t>
      </w:r>
      <w:r>
        <w:rPr>
          <w:rFonts w:ascii="Times New Roman" w:eastAsia="Times New Roman"/>
          <w:sz w:val="24"/>
        </w:rPr>
        <w:t>1</w:t>
      </w:r>
      <w:r>
        <w:rPr>
          <w:rFonts w:ascii="Times New Roman" w:eastAsia="Times New Roman"/>
          <w:spacing w:val="22"/>
          <w:sz w:val="24"/>
        </w:rPr>
        <w:t> </w:t>
      </w:r>
      <w:r>
        <w:rPr>
          <w:spacing w:val="-4"/>
          <w:sz w:val="24"/>
        </w:rPr>
        <w:t>台、数字平板胃肠 </w:t>
      </w:r>
      <w:r>
        <w:rPr>
          <w:rFonts w:ascii="Times New Roman" w:eastAsia="Times New Roman"/>
          <w:sz w:val="24"/>
        </w:rPr>
        <w:t>X</w:t>
      </w:r>
      <w:r>
        <w:rPr>
          <w:rFonts w:ascii="Times New Roman" w:eastAsia="Times New Roman"/>
          <w:spacing w:val="21"/>
          <w:sz w:val="24"/>
        </w:rPr>
        <w:t> </w:t>
      </w:r>
      <w:r>
        <w:rPr>
          <w:spacing w:val="-10"/>
          <w:sz w:val="24"/>
        </w:rPr>
        <w:t>光机 </w:t>
      </w:r>
      <w:r>
        <w:rPr>
          <w:rFonts w:ascii="Times New Roman" w:eastAsia="Times New Roman"/>
          <w:sz w:val="24"/>
        </w:rPr>
        <w:t>1</w:t>
      </w:r>
      <w:r>
        <w:rPr>
          <w:rFonts w:ascii="Times New Roman" w:eastAsia="Times New Roman"/>
          <w:spacing w:val="22"/>
          <w:sz w:val="24"/>
        </w:rPr>
        <w:t> </w:t>
      </w:r>
      <w:r>
        <w:rPr>
          <w:spacing w:val="-4"/>
          <w:sz w:val="24"/>
        </w:rPr>
        <w:t>台、全数字化 </w:t>
      </w:r>
      <w:r>
        <w:rPr>
          <w:rFonts w:ascii="Times New Roman" w:eastAsia="Times New Roman"/>
          <w:sz w:val="24"/>
        </w:rPr>
        <w:t>X</w:t>
      </w:r>
      <w:r>
        <w:rPr>
          <w:rFonts w:ascii="Times New Roman" w:eastAsia="Times New Roman"/>
          <w:spacing w:val="21"/>
          <w:sz w:val="24"/>
        </w:rPr>
        <w:t> </w:t>
      </w:r>
      <w:r>
        <w:rPr>
          <w:spacing w:val="-3"/>
          <w:sz w:val="24"/>
        </w:rPr>
        <w:t>线拍片影像系统 </w:t>
      </w:r>
      <w:r>
        <w:rPr>
          <w:rFonts w:ascii="Times New Roman" w:eastAsia="Times New Roman"/>
          <w:sz w:val="24"/>
        </w:rPr>
        <w:t>2</w:t>
      </w:r>
      <w:r>
        <w:rPr>
          <w:rFonts w:ascii="Times New Roman" w:eastAsia="Times New Roman"/>
          <w:spacing w:val="22"/>
          <w:sz w:val="24"/>
        </w:rPr>
        <w:t> </w:t>
      </w:r>
      <w:r>
        <w:rPr>
          <w:sz w:val="24"/>
        </w:rPr>
        <w:t>台</w:t>
      </w:r>
      <w:r>
        <w:rPr>
          <w:spacing w:val="12"/>
          <w:sz w:val="24"/>
        </w:rPr>
        <w:t>）</w:t>
      </w:r>
      <w:r>
        <w:rPr>
          <w:sz w:val="24"/>
        </w:rPr>
        <w:t>拟报废未使用停机暂存于原使用地点（符合防护要求的射线装置场所），</w:t>
      </w:r>
      <w:r>
        <w:rPr>
          <w:rFonts w:ascii="Times New Roman" w:eastAsia="Times New Roman"/>
          <w:sz w:val="24"/>
        </w:rPr>
        <w:t>2</w:t>
      </w:r>
      <w:r>
        <w:rPr>
          <w:rFonts w:ascii="Times New Roman" w:eastAsia="Times New Roman"/>
          <w:spacing w:val="9"/>
          <w:sz w:val="24"/>
        </w:rPr>
        <w:t> </w:t>
      </w:r>
      <w:r>
        <w:rPr>
          <w:spacing w:val="2"/>
          <w:sz w:val="24"/>
        </w:rPr>
        <w:t>台射线装置</w:t>
      </w:r>
      <w:r>
        <w:rPr>
          <w:spacing w:val="12"/>
          <w:sz w:val="24"/>
        </w:rPr>
        <w:t>（</w:t>
      </w:r>
      <w:r>
        <w:rPr>
          <w:spacing w:val="-118"/>
          <w:sz w:val="24"/>
        </w:rPr>
        <w:t> </w:t>
      </w:r>
      <w:r>
        <w:rPr>
          <w:w w:val="95"/>
          <w:sz w:val="24"/>
        </w:rPr>
        <w:t>包</w:t>
      </w:r>
      <w:r>
        <w:rPr>
          <w:spacing w:val="12"/>
          <w:w w:val="95"/>
          <w:sz w:val="24"/>
        </w:rPr>
        <w:t>括数字 </w:t>
      </w:r>
      <w:r>
        <w:rPr>
          <w:rFonts w:ascii="Times New Roman" w:eastAsia="Times New Roman"/>
          <w:w w:val="95"/>
          <w:sz w:val="24"/>
        </w:rPr>
        <w:t>X</w:t>
      </w:r>
      <w:r>
        <w:rPr>
          <w:rFonts w:ascii="Times New Roman" w:eastAsia="Times New Roman"/>
          <w:spacing w:val="23"/>
          <w:w w:val="95"/>
          <w:sz w:val="24"/>
        </w:rPr>
        <w:t> </w:t>
      </w:r>
      <w:r>
        <w:rPr>
          <w:spacing w:val="14"/>
          <w:w w:val="95"/>
          <w:sz w:val="24"/>
        </w:rPr>
        <w:t>线机 </w:t>
      </w:r>
      <w:r>
        <w:rPr>
          <w:rFonts w:ascii="Times New Roman" w:eastAsia="Times New Roman"/>
          <w:w w:val="95"/>
          <w:sz w:val="24"/>
        </w:rPr>
        <w:t>1</w:t>
      </w:r>
      <w:r>
        <w:rPr>
          <w:rFonts w:ascii="Times New Roman" w:eastAsia="Times New Roman"/>
          <w:spacing w:val="23"/>
          <w:w w:val="95"/>
          <w:sz w:val="24"/>
        </w:rPr>
        <w:t> </w:t>
      </w:r>
      <w:r>
        <w:rPr>
          <w:spacing w:val="10"/>
          <w:w w:val="95"/>
          <w:sz w:val="24"/>
        </w:rPr>
        <w:t>台、心血管造影系统 </w:t>
      </w:r>
      <w:r>
        <w:rPr>
          <w:rFonts w:ascii="Times New Roman" w:eastAsia="Times New Roman"/>
          <w:w w:val="95"/>
          <w:sz w:val="24"/>
        </w:rPr>
        <w:t>1</w:t>
      </w:r>
      <w:r>
        <w:rPr>
          <w:rFonts w:ascii="Times New Roman" w:eastAsia="Times New Roman"/>
          <w:spacing w:val="23"/>
          <w:w w:val="95"/>
          <w:sz w:val="24"/>
        </w:rPr>
        <w:t> </w:t>
      </w:r>
      <w:r>
        <w:rPr>
          <w:spacing w:val="12"/>
          <w:w w:val="95"/>
          <w:sz w:val="24"/>
        </w:rPr>
        <w:t>台）</w:t>
      </w:r>
      <w:r>
        <w:rPr>
          <w:spacing w:val="7"/>
          <w:w w:val="95"/>
          <w:sz w:val="24"/>
        </w:rPr>
        <w:t>已去功能化暂存于设备库拟报废。其</w:t>
      </w:r>
      <w:r>
        <w:rPr>
          <w:w w:val="95"/>
          <w:sz w:val="24"/>
        </w:rPr>
        <w:t>余射线装置运行及维护情况良好，每台</w:t>
      </w:r>
      <w:r>
        <w:rPr>
          <w:spacing w:val="214"/>
          <w:sz w:val="24"/>
        </w:rPr>
        <w:t> </w:t>
      </w:r>
      <w:r>
        <w:rPr>
          <w:rFonts w:ascii="Times New Roman" w:eastAsia="Times New Roman"/>
          <w:w w:val="95"/>
          <w:sz w:val="24"/>
        </w:rPr>
        <w:t>X</w:t>
      </w:r>
      <w:r>
        <w:rPr>
          <w:rFonts w:ascii="Times New Roman" w:eastAsia="Times New Roman"/>
          <w:spacing w:val="95"/>
          <w:sz w:val="24"/>
        </w:rPr>
        <w:t>  </w:t>
      </w:r>
      <w:r>
        <w:rPr>
          <w:w w:val="95"/>
          <w:sz w:val="24"/>
        </w:rPr>
        <w:t>线机均有使用登记和维护记录。（新 增</w:t>
      </w:r>
      <w:r>
        <w:rPr>
          <w:spacing w:val="80"/>
          <w:w w:val="95"/>
          <w:sz w:val="24"/>
        </w:rPr>
        <w:t> </w:t>
      </w:r>
      <w:r>
        <w:rPr>
          <w:rFonts w:ascii="Times New Roman" w:eastAsia="Times New Roman"/>
          <w:w w:val="95"/>
          <w:sz w:val="24"/>
        </w:rPr>
        <w:t>1</w:t>
      </w:r>
      <w:r>
        <w:rPr>
          <w:rFonts w:ascii="Times New Roman" w:eastAsia="Times New Roman"/>
          <w:spacing w:val="51"/>
          <w:w w:val="95"/>
          <w:sz w:val="24"/>
        </w:rPr>
        <w:t> </w:t>
      </w:r>
      <w:r>
        <w:rPr>
          <w:spacing w:val="2"/>
          <w:w w:val="95"/>
          <w:sz w:val="24"/>
        </w:rPr>
        <w:t>台移动式 </w:t>
      </w:r>
      <w:r>
        <w:rPr>
          <w:rFonts w:ascii="Times New Roman" w:eastAsia="Times New Roman"/>
          <w:w w:val="95"/>
          <w:sz w:val="24"/>
        </w:rPr>
        <w:t>C</w:t>
      </w:r>
      <w:r>
        <w:rPr>
          <w:rFonts w:ascii="Times New Roman" w:eastAsia="Times New Roman"/>
          <w:spacing w:val="51"/>
          <w:w w:val="95"/>
          <w:sz w:val="24"/>
        </w:rPr>
        <w:t> </w:t>
      </w:r>
      <w:r>
        <w:rPr>
          <w:spacing w:val="1"/>
          <w:w w:val="95"/>
          <w:sz w:val="24"/>
        </w:rPr>
        <w:t>形臂 </w:t>
      </w:r>
      <w:r>
        <w:rPr>
          <w:rFonts w:ascii="Times New Roman" w:eastAsia="Times New Roman"/>
          <w:w w:val="95"/>
          <w:sz w:val="24"/>
        </w:rPr>
        <w:t>X</w:t>
      </w:r>
      <w:r>
        <w:rPr>
          <w:rFonts w:ascii="Times New Roman" w:eastAsia="Times New Roman"/>
          <w:spacing w:val="54"/>
          <w:w w:val="95"/>
          <w:sz w:val="24"/>
        </w:rPr>
        <w:t> </w:t>
      </w:r>
      <w:r>
        <w:rPr>
          <w:spacing w:val="3"/>
          <w:w w:val="95"/>
          <w:sz w:val="24"/>
        </w:rPr>
        <w:t>射线机和 </w:t>
      </w:r>
      <w:r>
        <w:rPr>
          <w:rFonts w:ascii="Times New Roman" w:eastAsia="Times New Roman"/>
          <w:w w:val="95"/>
          <w:sz w:val="24"/>
        </w:rPr>
        <w:t>1</w:t>
      </w:r>
      <w:r>
        <w:rPr>
          <w:rFonts w:ascii="Times New Roman" w:eastAsia="Times New Roman"/>
          <w:spacing w:val="51"/>
          <w:w w:val="95"/>
          <w:sz w:val="24"/>
        </w:rPr>
        <w:t> </w:t>
      </w:r>
      <w:r>
        <w:rPr>
          <w:spacing w:val="2"/>
          <w:w w:val="95"/>
          <w:sz w:val="24"/>
        </w:rPr>
        <w:t>台医用诊断 </w:t>
      </w:r>
      <w:r>
        <w:rPr>
          <w:rFonts w:ascii="Times New Roman" w:eastAsia="Times New Roman"/>
          <w:w w:val="95"/>
          <w:sz w:val="24"/>
        </w:rPr>
        <w:t>X</w:t>
      </w:r>
      <w:r>
        <w:rPr>
          <w:rFonts w:ascii="Times New Roman" w:eastAsia="Times New Roman"/>
          <w:spacing w:val="55"/>
          <w:w w:val="95"/>
          <w:sz w:val="24"/>
        </w:rPr>
        <w:t> </w:t>
      </w:r>
      <w:r>
        <w:rPr>
          <w:w w:val="95"/>
          <w:sz w:val="24"/>
        </w:rPr>
        <w:t>射线机</w:t>
      </w:r>
      <w:r>
        <w:rPr>
          <w:rFonts w:ascii="Times New Roman" w:eastAsia="Times New Roman"/>
          <w:w w:val="95"/>
          <w:sz w:val="24"/>
        </w:rPr>
        <w:t>-</w:t>
      </w:r>
      <w:r>
        <w:rPr>
          <w:w w:val="95"/>
          <w:sz w:val="24"/>
        </w:rPr>
        <w:t>胃肠机，由于疫情原因</w:t>
      </w:r>
      <w:r>
        <w:rPr>
          <w:sz w:val="24"/>
        </w:rPr>
        <w:t>，计</w:t>
      </w:r>
      <w:r>
        <w:rPr>
          <w:spacing w:val="-15"/>
          <w:sz w:val="24"/>
        </w:rPr>
        <w:t>划在 </w:t>
      </w:r>
      <w:r>
        <w:rPr>
          <w:rFonts w:ascii="Times New Roman" w:eastAsia="Times New Roman"/>
          <w:sz w:val="24"/>
        </w:rPr>
        <w:t>2022</w:t>
      </w:r>
      <w:r>
        <w:rPr>
          <w:rFonts w:ascii="Times New Roman" w:eastAsia="Times New Roman"/>
          <w:spacing w:val="16"/>
          <w:sz w:val="24"/>
        </w:rPr>
        <w:t> </w:t>
      </w:r>
      <w:r>
        <w:rPr>
          <w:spacing w:val="-22"/>
          <w:sz w:val="24"/>
        </w:rPr>
        <w:t>年 </w:t>
      </w:r>
      <w:r>
        <w:rPr>
          <w:rFonts w:ascii="Times New Roman" w:eastAsia="Times New Roman"/>
          <w:sz w:val="24"/>
        </w:rPr>
        <w:t>2</w:t>
      </w:r>
      <w:r>
        <w:rPr>
          <w:rFonts w:ascii="Times New Roman" w:eastAsia="Times New Roman"/>
          <w:spacing w:val="11"/>
          <w:sz w:val="24"/>
        </w:rPr>
        <w:t> </w:t>
      </w:r>
      <w:r>
        <w:rPr>
          <w:sz w:val="24"/>
        </w:rPr>
        <w:t>月完成辐射许可证新增及法人变更情况）；</w:t>
      </w:r>
    </w:p>
    <w:p>
      <w:pPr>
        <w:pStyle w:val="ListParagraph"/>
        <w:numPr>
          <w:ilvl w:val="0"/>
          <w:numId w:val="1"/>
        </w:numPr>
        <w:tabs>
          <w:tab w:pos="1348" w:val="left" w:leader="none"/>
        </w:tabs>
        <w:spacing w:line="240" w:lineRule="auto" w:before="4" w:after="0"/>
        <w:ind w:left="1348" w:right="0" w:hanging="627"/>
        <w:jc w:val="left"/>
        <w:rPr>
          <w:sz w:val="24"/>
        </w:rPr>
      </w:pPr>
      <w:r>
        <w:rPr>
          <w:sz w:val="24"/>
        </w:rPr>
        <w:t>个人剂量档案和职业健康档案齐全；</w:t>
      </w:r>
    </w:p>
    <w:p>
      <w:pPr>
        <w:pStyle w:val="ListParagraph"/>
        <w:numPr>
          <w:ilvl w:val="0"/>
          <w:numId w:val="1"/>
        </w:numPr>
        <w:tabs>
          <w:tab w:pos="1348" w:val="left" w:leader="none"/>
        </w:tabs>
        <w:spacing w:line="240" w:lineRule="auto" w:before="160" w:after="0"/>
        <w:ind w:left="1348" w:right="0" w:hanging="627"/>
        <w:jc w:val="left"/>
        <w:rPr>
          <w:sz w:val="24"/>
        </w:rPr>
      </w:pPr>
      <w:r>
        <w:rPr>
          <w:sz w:val="24"/>
        </w:rPr>
        <w:t>射线装置对比辐射安全许可证台账吻合；</w:t>
      </w:r>
    </w:p>
    <w:p>
      <w:pPr>
        <w:pStyle w:val="ListParagraph"/>
        <w:numPr>
          <w:ilvl w:val="0"/>
          <w:numId w:val="1"/>
        </w:numPr>
        <w:tabs>
          <w:tab w:pos="1341" w:val="left" w:leader="none"/>
        </w:tabs>
        <w:spacing w:line="364" w:lineRule="auto" w:before="161" w:after="0"/>
        <w:ind w:left="222" w:right="232" w:firstLine="499"/>
        <w:jc w:val="left"/>
        <w:rPr>
          <w:sz w:val="24"/>
        </w:rPr>
      </w:pPr>
      <w:r>
        <w:rPr>
          <w:sz w:val="24"/>
        </w:rPr>
        <w:t>放射防护与设施运行、辐射安全和防护制度及措施的建立和落实、辐射应急处理措施、档案管理方面均满足响应规定要求；</w:t>
      </w:r>
    </w:p>
    <w:p>
      <w:pPr>
        <w:pStyle w:val="ListParagraph"/>
        <w:numPr>
          <w:ilvl w:val="0"/>
          <w:numId w:val="1"/>
        </w:numPr>
        <w:tabs>
          <w:tab w:pos="1344" w:val="left" w:leader="none"/>
        </w:tabs>
        <w:spacing w:line="364" w:lineRule="auto" w:before="1" w:after="0"/>
        <w:ind w:left="222" w:right="232" w:firstLine="499"/>
        <w:jc w:val="left"/>
        <w:rPr>
          <w:sz w:val="24"/>
        </w:rPr>
      </w:pPr>
      <w:r>
        <w:rPr>
          <w:sz w:val="24"/>
        </w:rPr>
        <w:t>经调查，自从事辐射诊疗以来，严格按照国家法律法规进行管理，未发</w:t>
      </w:r>
      <w:r>
        <w:rPr>
          <w:spacing w:val="1"/>
          <w:sz w:val="24"/>
        </w:rPr>
        <w:t> </w:t>
      </w:r>
      <w:r>
        <w:rPr>
          <w:sz w:val="24"/>
        </w:rPr>
        <w:t>生过辐射安全事故（见附件）。</w:t>
      </w:r>
    </w:p>
    <w:p>
      <w:pPr>
        <w:spacing w:after="0" w:line="364" w:lineRule="auto"/>
        <w:jc w:val="left"/>
        <w:rPr>
          <w:sz w:val="24"/>
        </w:rPr>
        <w:sectPr>
          <w:pgSz w:w="11910" w:h="16840"/>
          <w:pgMar w:header="0" w:footer="1354" w:top="1420" w:bottom="1620" w:left="1340" w:right="1260"/>
        </w:sectPr>
      </w:pPr>
    </w:p>
    <w:p>
      <w:pPr>
        <w:pStyle w:val="BodyText"/>
        <w:rPr>
          <w:sz w:val="20"/>
        </w:rPr>
      </w:pPr>
    </w:p>
    <w:p>
      <w:pPr>
        <w:pStyle w:val="BodyText"/>
        <w:rPr>
          <w:sz w:val="20"/>
        </w:rPr>
      </w:pPr>
    </w:p>
    <w:p>
      <w:pPr>
        <w:pStyle w:val="BodyText"/>
        <w:rPr>
          <w:sz w:val="20"/>
        </w:rPr>
      </w:pPr>
    </w:p>
    <w:p>
      <w:pPr>
        <w:pStyle w:val="BodyText"/>
        <w:spacing w:before="11"/>
        <w:rPr>
          <w:sz w:val="16"/>
        </w:rPr>
      </w:pPr>
    </w:p>
    <w:p>
      <w:pPr>
        <w:tabs>
          <w:tab w:pos="1365" w:val="left" w:leader="none"/>
        </w:tabs>
        <w:spacing w:before="70"/>
        <w:ind w:left="540" w:right="0" w:firstLine="0"/>
        <w:jc w:val="left"/>
        <w:rPr>
          <w:sz w:val="30"/>
        </w:rPr>
      </w:pPr>
      <w:bookmarkStart w:name="表3  非密封放射性物质" w:id="2"/>
      <w:bookmarkEnd w:id="2"/>
      <w:r>
        <w:rPr/>
      </w:r>
      <w:bookmarkStart w:name="表2  放射源" w:id="3"/>
      <w:bookmarkEnd w:id="3"/>
      <w:r>
        <w:rPr/>
      </w:r>
      <w:bookmarkStart w:name="_bookmark1" w:id="4"/>
      <w:bookmarkEnd w:id="4"/>
      <w:r>
        <w:rPr/>
      </w:r>
      <w:r>
        <w:rPr>
          <w:sz w:val="30"/>
        </w:rPr>
        <w:t>表</w:t>
      </w:r>
      <w:r>
        <w:rPr>
          <w:spacing w:val="-76"/>
          <w:sz w:val="30"/>
        </w:rPr>
        <w:t> </w:t>
      </w:r>
      <w:r>
        <w:rPr>
          <w:rFonts w:ascii="Times New Roman" w:eastAsia="Times New Roman"/>
          <w:sz w:val="30"/>
        </w:rPr>
        <w:t>2</w:t>
        <w:tab/>
      </w:r>
      <w:r>
        <w:rPr>
          <w:sz w:val="30"/>
        </w:rPr>
        <w:t>放射源</w:t>
      </w:r>
    </w:p>
    <w:p>
      <w:pPr>
        <w:pStyle w:val="BodyText"/>
        <w:spacing w:before="8"/>
        <w:rPr>
          <w:sz w:val="18"/>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9"/>
        <w:gridCol w:w="1104"/>
        <w:gridCol w:w="3232"/>
        <w:gridCol w:w="777"/>
        <w:gridCol w:w="1228"/>
        <w:gridCol w:w="1159"/>
        <w:gridCol w:w="2263"/>
        <w:gridCol w:w="2273"/>
        <w:gridCol w:w="1533"/>
      </w:tblGrid>
      <w:tr>
        <w:trPr>
          <w:trHeight w:val="406" w:hRule="atLeast"/>
        </w:trPr>
        <w:tc>
          <w:tcPr>
            <w:tcW w:w="729" w:type="dxa"/>
          </w:tcPr>
          <w:p>
            <w:pPr>
              <w:pStyle w:val="TableParagraph"/>
              <w:spacing w:before="69"/>
              <w:ind w:left="131" w:right="127"/>
              <w:rPr>
                <w:sz w:val="21"/>
              </w:rPr>
            </w:pPr>
            <w:r>
              <w:rPr>
                <w:sz w:val="21"/>
              </w:rPr>
              <w:t>序号</w:t>
            </w:r>
          </w:p>
        </w:tc>
        <w:tc>
          <w:tcPr>
            <w:tcW w:w="1104" w:type="dxa"/>
          </w:tcPr>
          <w:p>
            <w:pPr>
              <w:pStyle w:val="TableParagraph"/>
              <w:spacing w:before="69"/>
              <w:ind w:left="110" w:right="103"/>
              <w:rPr>
                <w:sz w:val="21"/>
              </w:rPr>
            </w:pPr>
            <w:r>
              <w:rPr>
                <w:sz w:val="21"/>
              </w:rPr>
              <w:t>核素名称</w:t>
            </w:r>
          </w:p>
        </w:tc>
        <w:tc>
          <w:tcPr>
            <w:tcW w:w="3232" w:type="dxa"/>
          </w:tcPr>
          <w:p>
            <w:pPr>
              <w:pStyle w:val="TableParagraph"/>
              <w:spacing w:before="69"/>
              <w:ind w:left="105" w:right="99"/>
              <w:rPr>
                <w:sz w:val="21"/>
              </w:rPr>
            </w:pPr>
            <w:r>
              <w:rPr>
                <w:sz w:val="21"/>
              </w:rPr>
              <w:t>总活度（</w:t>
            </w:r>
            <w:r>
              <w:rPr>
                <w:rFonts w:ascii="Times New Roman" w:hAnsi="Times New Roman" w:eastAsia="Times New Roman"/>
                <w:sz w:val="21"/>
              </w:rPr>
              <w:t>Bq</w:t>
            </w:r>
            <w:r>
              <w:rPr>
                <w:sz w:val="21"/>
              </w:rPr>
              <w:t>）</w:t>
            </w:r>
            <w:r>
              <w:rPr>
                <w:rFonts w:ascii="Times New Roman" w:hAnsi="Times New Roman" w:eastAsia="Times New Roman"/>
                <w:sz w:val="21"/>
              </w:rPr>
              <w:t>/</w:t>
            </w:r>
            <w:r>
              <w:rPr>
                <w:sz w:val="21"/>
              </w:rPr>
              <w:t>活度（</w:t>
            </w:r>
            <w:r>
              <w:rPr>
                <w:rFonts w:ascii="Times New Roman" w:hAnsi="Times New Roman" w:eastAsia="Times New Roman"/>
                <w:sz w:val="21"/>
              </w:rPr>
              <w:t>Bq</w:t>
            </w:r>
            <w:r>
              <w:rPr>
                <w:sz w:val="21"/>
              </w:rPr>
              <w:t>）</w:t>
            </w:r>
            <w:r>
              <w:rPr>
                <w:rFonts w:ascii="Times New Roman" w:hAnsi="Times New Roman" w:eastAsia="Times New Roman"/>
                <w:sz w:val="21"/>
              </w:rPr>
              <w:t>×</w:t>
            </w:r>
            <w:r>
              <w:rPr>
                <w:sz w:val="21"/>
              </w:rPr>
              <w:t>枚数</w:t>
            </w:r>
          </w:p>
        </w:tc>
        <w:tc>
          <w:tcPr>
            <w:tcW w:w="777" w:type="dxa"/>
          </w:tcPr>
          <w:p>
            <w:pPr>
              <w:pStyle w:val="TableParagraph"/>
              <w:spacing w:before="69"/>
              <w:ind w:left="157" w:right="150"/>
              <w:rPr>
                <w:sz w:val="21"/>
              </w:rPr>
            </w:pPr>
            <w:r>
              <w:rPr>
                <w:sz w:val="21"/>
              </w:rPr>
              <w:t>类别</w:t>
            </w:r>
          </w:p>
        </w:tc>
        <w:tc>
          <w:tcPr>
            <w:tcW w:w="1228" w:type="dxa"/>
          </w:tcPr>
          <w:p>
            <w:pPr>
              <w:pStyle w:val="TableParagraph"/>
              <w:spacing w:before="69"/>
              <w:ind w:left="172" w:right="166"/>
              <w:rPr>
                <w:sz w:val="21"/>
              </w:rPr>
            </w:pPr>
            <w:r>
              <w:rPr>
                <w:sz w:val="21"/>
              </w:rPr>
              <w:t>活动种类</w:t>
            </w:r>
          </w:p>
        </w:tc>
        <w:tc>
          <w:tcPr>
            <w:tcW w:w="1159" w:type="dxa"/>
          </w:tcPr>
          <w:p>
            <w:pPr>
              <w:pStyle w:val="TableParagraph"/>
              <w:spacing w:before="69"/>
              <w:ind w:left="348" w:right="341"/>
              <w:rPr>
                <w:sz w:val="21"/>
              </w:rPr>
            </w:pPr>
            <w:r>
              <w:rPr>
                <w:sz w:val="21"/>
              </w:rPr>
              <w:t>用途</w:t>
            </w:r>
          </w:p>
        </w:tc>
        <w:tc>
          <w:tcPr>
            <w:tcW w:w="2263" w:type="dxa"/>
          </w:tcPr>
          <w:p>
            <w:pPr>
              <w:pStyle w:val="TableParagraph"/>
              <w:spacing w:before="69"/>
              <w:ind w:left="689" w:right="684"/>
              <w:rPr>
                <w:sz w:val="21"/>
              </w:rPr>
            </w:pPr>
            <w:r>
              <w:rPr>
                <w:sz w:val="21"/>
              </w:rPr>
              <w:t>使用场所</w:t>
            </w:r>
          </w:p>
        </w:tc>
        <w:tc>
          <w:tcPr>
            <w:tcW w:w="2273" w:type="dxa"/>
          </w:tcPr>
          <w:p>
            <w:pPr>
              <w:pStyle w:val="TableParagraph"/>
              <w:spacing w:before="69"/>
              <w:ind w:left="380" w:right="373"/>
              <w:rPr>
                <w:sz w:val="21"/>
              </w:rPr>
            </w:pPr>
            <w:r>
              <w:rPr>
                <w:sz w:val="21"/>
              </w:rPr>
              <w:t>贮存方式与地点</w:t>
            </w:r>
          </w:p>
        </w:tc>
        <w:tc>
          <w:tcPr>
            <w:tcW w:w="1533" w:type="dxa"/>
          </w:tcPr>
          <w:p>
            <w:pPr>
              <w:pStyle w:val="TableParagraph"/>
              <w:spacing w:before="69"/>
              <w:ind w:left="535" w:right="527"/>
              <w:rPr>
                <w:sz w:val="21"/>
              </w:rPr>
            </w:pPr>
            <w:r>
              <w:rPr>
                <w:sz w:val="21"/>
              </w:rPr>
              <w:t>备注</w:t>
            </w:r>
          </w:p>
        </w:tc>
      </w:tr>
      <w:tr>
        <w:trPr>
          <w:trHeight w:val="405" w:hRule="atLeast"/>
        </w:trPr>
        <w:tc>
          <w:tcPr>
            <w:tcW w:w="729" w:type="dxa"/>
          </w:tcPr>
          <w:p>
            <w:pPr>
              <w:pStyle w:val="TableParagraph"/>
              <w:spacing w:before="80"/>
              <w:ind w:left="8"/>
              <w:rPr>
                <w:rFonts w:ascii="Times New Roman"/>
                <w:sz w:val="21"/>
              </w:rPr>
            </w:pPr>
            <w:r>
              <w:rPr>
                <w:rFonts w:ascii="Times New Roman"/>
                <w:w w:val="99"/>
                <w:sz w:val="21"/>
              </w:rPr>
              <w:t>1</w:t>
            </w:r>
          </w:p>
        </w:tc>
        <w:tc>
          <w:tcPr>
            <w:tcW w:w="1104" w:type="dxa"/>
          </w:tcPr>
          <w:p>
            <w:pPr>
              <w:pStyle w:val="TableParagraph"/>
              <w:spacing w:before="80"/>
              <w:ind w:left="7"/>
              <w:rPr>
                <w:rFonts w:ascii="Times New Roman" w:hAnsi="Times New Roman"/>
                <w:sz w:val="21"/>
              </w:rPr>
            </w:pPr>
            <w:r>
              <w:rPr>
                <w:rFonts w:ascii="Times New Roman" w:hAnsi="Times New Roman"/>
                <w:w w:val="99"/>
                <w:sz w:val="21"/>
              </w:rPr>
              <w:t>—</w:t>
            </w:r>
          </w:p>
        </w:tc>
        <w:tc>
          <w:tcPr>
            <w:tcW w:w="3232" w:type="dxa"/>
          </w:tcPr>
          <w:p>
            <w:pPr>
              <w:pStyle w:val="TableParagraph"/>
              <w:spacing w:before="80"/>
              <w:ind w:left="6"/>
              <w:rPr>
                <w:rFonts w:ascii="Times New Roman" w:hAnsi="Times New Roman"/>
                <w:sz w:val="21"/>
              </w:rPr>
            </w:pPr>
            <w:r>
              <w:rPr>
                <w:rFonts w:ascii="Times New Roman" w:hAnsi="Times New Roman"/>
                <w:w w:val="99"/>
                <w:sz w:val="21"/>
              </w:rPr>
              <w:t>—</w:t>
            </w:r>
          </w:p>
        </w:tc>
        <w:tc>
          <w:tcPr>
            <w:tcW w:w="777" w:type="dxa"/>
          </w:tcPr>
          <w:p>
            <w:pPr>
              <w:pStyle w:val="TableParagraph"/>
              <w:spacing w:before="80"/>
              <w:ind w:left="5"/>
              <w:rPr>
                <w:rFonts w:ascii="Times New Roman" w:hAnsi="Times New Roman"/>
                <w:sz w:val="21"/>
              </w:rPr>
            </w:pPr>
            <w:r>
              <w:rPr>
                <w:rFonts w:ascii="Times New Roman" w:hAnsi="Times New Roman"/>
                <w:w w:val="99"/>
                <w:sz w:val="21"/>
              </w:rPr>
              <w:t>—</w:t>
            </w:r>
          </w:p>
        </w:tc>
        <w:tc>
          <w:tcPr>
            <w:tcW w:w="1228" w:type="dxa"/>
          </w:tcPr>
          <w:p>
            <w:pPr>
              <w:pStyle w:val="TableParagraph"/>
              <w:spacing w:before="80"/>
              <w:ind w:left="6"/>
              <w:rPr>
                <w:rFonts w:ascii="Times New Roman" w:hAnsi="Times New Roman"/>
                <w:sz w:val="21"/>
              </w:rPr>
            </w:pPr>
            <w:r>
              <w:rPr>
                <w:rFonts w:ascii="Times New Roman" w:hAnsi="Times New Roman"/>
                <w:w w:val="99"/>
                <w:sz w:val="21"/>
              </w:rPr>
              <w:t>—</w:t>
            </w:r>
          </w:p>
        </w:tc>
        <w:tc>
          <w:tcPr>
            <w:tcW w:w="1159" w:type="dxa"/>
          </w:tcPr>
          <w:p>
            <w:pPr>
              <w:pStyle w:val="TableParagraph"/>
              <w:spacing w:before="80"/>
              <w:ind w:left="5"/>
              <w:rPr>
                <w:rFonts w:ascii="Times New Roman" w:hAnsi="Times New Roman"/>
                <w:sz w:val="21"/>
              </w:rPr>
            </w:pPr>
            <w:r>
              <w:rPr>
                <w:rFonts w:ascii="Times New Roman" w:hAnsi="Times New Roman"/>
                <w:w w:val="99"/>
                <w:sz w:val="21"/>
              </w:rPr>
              <w:t>—</w:t>
            </w:r>
          </w:p>
        </w:tc>
        <w:tc>
          <w:tcPr>
            <w:tcW w:w="2263" w:type="dxa"/>
          </w:tcPr>
          <w:p>
            <w:pPr>
              <w:pStyle w:val="TableParagraph"/>
              <w:spacing w:before="80"/>
              <w:ind w:left="5"/>
              <w:rPr>
                <w:rFonts w:ascii="Times New Roman" w:hAnsi="Times New Roman"/>
                <w:sz w:val="21"/>
              </w:rPr>
            </w:pPr>
            <w:r>
              <w:rPr>
                <w:rFonts w:ascii="Times New Roman" w:hAnsi="Times New Roman"/>
                <w:w w:val="99"/>
                <w:sz w:val="21"/>
              </w:rPr>
              <w:t>—</w:t>
            </w:r>
          </w:p>
        </w:tc>
        <w:tc>
          <w:tcPr>
            <w:tcW w:w="2273" w:type="dxa"/>
          </w:tcPr>
          <w:p>
            <w:pPr>
              <w:pStyle w:val="TableParagraph"/>
              <w:spacing w:before="80"/>
              <w:ind w:left="5"/>
              <w:rPr>
                <w:rFonts w:ascii="Times New Roman" w:hAnsi="Times New Roman"/>
                <w:sz w:val="21"/>
              </w:rPr>
            </w:pPr>
            <w:r>
              <w:rPr>
                <w:rFonts w:ascii="Times New Roman" w:hAnsi="Times New Roman"/>
                <w:w w:val="99"/>
                <w:sz w:val="21"/>
              </w:rPr>
              <w:t>—</w:t>
            </w:r>
          </w:p>
        </w:tc>
        <w:tc>
          <w:tcPr>
            <w:tcW w:w="1533" w:type="dxa"/>
          </w:tcPr>
          <w:p>
            <w:pPr>
              <w:pStyle w:val="TableParagraph"/>
              <w:spacing w:before="34"/>
              <w:ind w:left="5"/>
              <w:rPr>
                <w:rFonts w:ascii="Times New Roman" w:hAnsi="Times New Roman"/>
                <w:sz w:val="21"/>
              </w:rPr>
            </w:pPr>
            <w:r>
              <w:rPr>
                <w:rFonts w:ascii="Times New Roman" w:hAnsi="Times New Roman"/>
                <w:w w:val="99"/>
                <w:sz w:val="21"/>
              </w:rPr>
              <w:t>—</w:t>
            </w:r>
          </w:p>
        </w:tc>
      </w:tr>
      <w:tr>
        <w:trPr>
          <w:trHeight w:val="405" w:hRule="atLeast"/>
        </w:trPr>
        <w:tc>
          <w:tcPr>
            <w:tcW w:w="729" w:type="dxa"/>
          </w:tcPr>
          <w:p>
            <w:pPr>
              <w:pStyle w:val="TableParagraph"/>
              <w:spacing w:before="82"/>
              <w:ind w:left="8"/>
              <w:rPr>
                <w:rFonts w:ascii="Times New Roman"/>
                <w:sz w:val="21"/>
              </w:rPr>
            </w:pPr>
            <w:r>
              <w:rPr>
                <w:rFonts w:ascii="Times New Roman"/>
                <w:w w:val="99"/>
                <w:sz w:val="21"/>
              </w:rPr>
              <w:t>2</w:t>
            </w:r>
          </w:p>
        </w:tc>
        <w:tc>
          <w:tcPr>
            <w:tcW w:w="1104" w:type="dxa"/>
          </w:tcPr>
          <w:p>
            <w:pPr>
              <w:pStyle w:val="TableParagraph"/>
              <w:spacing w:before="82"/>
              <w:ind w:left="7"/>
              <w:rPr>
                <w:rFonts w:ascii="Times New Roman" w:hAnsi="Times New Roman"/>
                <w:sz w:val="21"/>
              </w:rPr>
            </w:pPr>
            <w:r>
              <w:rPr>
                <w:rFonts w:ascii="Times New Roman" w:hAnsi="Times New Roman"/>
                <w:w w:val="99"/>
                <w:sz w:val="21"/>
              </w:rPr>
              <w:t>—</w:t>
            </w:r>
          </w:p>
        </w:tc>
        <w:tc>
          <w:tcPr>
            <w:tcW w:w="3232" w:type="dxa"/>
          </w:tcPr>
          <w:p>
            <w:pPr>
              <w:pStyle w:val="TableParagraph"/>
              <w:spacing w:before="80"/>
              <w:ind w:left="6"/>
              <w:rPr>
                <w:rFonts w:ascii="Times New Roman" w:hAnsi="Times New Roman"/>
                <w:sz w:val="21"/>
              </w:rPr>
            </w:pPr>
            <w:r>
              <w:rPr>
                <w:rFonts w:ascii="Times New Roman" w:hAnsi="Times New Roman"/>
                <w:w w:val="99"/>
                <w:sz w:val="21"/>
              </w:rPr>
              <w:t>—</w:t>
            </w:r>
          </w:p>
        </w:tc>
        <w:tc>
          <w:tcPr>
            <w:tcW w:w="777" w:type="dxa"/>
          </w:tcPr>
          <w:p>
            <w:pPr>
              <w:pStyle w:val="TableParagraph"/>
              <w:spacing w:before="82"/>
              <w:ind w:left="5"/>
              <w:rPr>
                <w:rFonts w:ascii="Times New Roman" w:hAnsi="Times New Roman"/>
                <w:sz w:val="21"/>
              </w:rPr>
            </w:pPr>
            <w:r>
              <w:rPr>
                <w:rFonts w:ascii="Times New Roman" w:hAnsi="Times New Roman"/>
                <w:w w:val="99"/>
                <w:sz w:val="21"/>
              </w:rPr>
              <w:t>—</w:t>
            </w:r>
          </w:p>
        </w:tc>
        <w:tc>
          <w:tcPr>
            <w:tcW w:w="1228" w:type="dxa"/>
          </w:tcPr>
          <w:p>
            <w:pPr>
              <w:pStyle w:val="TableParagraph"/>
              <w:spacing w:before="80"/>
              <w:ind w:left="6"/>
              <w:rPr>
                <w:rFonts w:ascii="Times New Roman" w:hAnsi="Times New Roman"/>
                <w:sz w:val="21"/>
              </w:rPr>
            </w:pPr>
            <w:r>
              <w:rPr>
                <w:rFonts w:ascii="Times New Roman" w:hAnsi="Times New Roman"/>
                <w:w w:val="99"/>
                <w:sz w:val="21"/>
              </w:rPr>
              <w:t>—</w:t>
            </w:r>
          </w:p>
        </w:tc>
        <w:tc>
          <w:tcPr>
            <w:tcW w:w="1159" w:type="dxa"/>
          </w:tcPr>
          <w:p>
            <w:pPr>
              <w:pStyle w:val="TableParagraph"/>
              <w:spacing w:before="80"/>
              <w:ind w:left="5"/>
              <w:rPr>
                <w:rFonts w:ascii="Times New Roman" w:hAnsi="Times New Roman"/>
                <w:sz w:val="21"/>
              </w:rPr>
            </w:pPr>
            <w:r>
              <w:rPr>
                <w:rFonts w:ascii="Times New Roman" w:hAnsi="Times New Roman"/>
                <w:w w:val="99"/>
                <w:sz w:val="21"/>
              </w:rPr>
              <w:t>—</w:t>
            </w:r>
          </w:p>
        </w:tc>
        <w:tc>
          <w:tcPr>
            <w:tcW w:w="2263" w:type="dxa"/>
          </w:tcPr>
          <w:p>
            <w:pPr>
              <w:pStyle w:val="TableParagraph"/>
              <w:spacing w:before="80"/>
              <w:ind w:left="5"/>
              <w:rPr>
                <w:rFonts w:ascii="Times New Roman" w:hAnsi="Times New Roman"/>
                <w:sz w:val="21"/>
              </w:rPr>
            </w:pPr>
            <w:r>
              <w:rPr>
                <w:rFonts w:ascii="Times New Roman" w:hAnsi="Times New Roman"/>
                <w:w w:val="99"/>
                <w:sz w:val="21"/>
              </w:rPr>
              <w:t>—</w:t>
            </w:r>
          </w:p>
        </w:tc>
        <w:tc>
          <w:tcPr>
            <w:tcW w:w="2273" w:type="dxa"/>
          </w:tcPr>
          <w:p>
            <w:pPr>
              <w:pStyle w:val="TableParagraph"/>
              <w:spacing w:before="80"/>
              <w:ind w:left="5"/>
              <w:rPr>
                <w:rFonts w:ascii="Times New Roman" w:hAnsi="Times New Roman"/>
                <w:sz w:val="21"/>
              </w:rPr>
            </w:pPr>
            <w:r>
              <w:rPr>
                <w:rFonts w:ascii="Times New Roman" w:hAnsi="Times New Roman"/>
                <w:w w:val="99"/>
                <w:sz w:val="21"/>
              </w:rPr>
              <w:t>—</w:t>
            </w:r>
          </w:p>
        </w:tc>
        <w:tc>
          <w:tcPr>
            <w:tcW w:w="1533" w:type="dxa"/>
          </w:tcPr>
          <w:p>
            <w:pPr>
              <w:pStyle w:val="TableParagraph"/>
              <w:spacing w:before="34"/>
              <w:ind w:left="5"/>
              <w:rPr>
                <w:rFonts w:ascii="Times New Roman" w:hAnsi="Times New Roman"/>
                <w:sz w:val="21"/>
              </w:rPr>
            </w:pPr>
            <w:r>
              <w:rPr>
                <w:rFonts w:ascii="Times New Roman" w:hAnsi="Times New Roman"/>
                <w:w w:val="99"/>
                <w:sz w:val="21"/>
              </w:rPr>
              <w:t>—</w:t>
            </w:r>
          </w:p>
        </w:tc>
      </w:tr>
      <w:tr>
        <w:trPr>
          <w:trHeight w:val="405" w:hRule="atLeast"/>
        </w:trPr>
        <w:tc>
          <w:tcPr>
            <w:tcW w:w="729" w:type="dxa"/>
          </w:tcPr>
          <w:p>
            <w:pPr>
              <w:pStyle w:val="TableParagraph"/>
              <w:spacing w:before="81"/>
              <w:ind w:left="8"/>
              <w:rPr>
                <w:rFonts w:ascii="Times New Roman"/>
                <w:sz w:val="21"/>
              </w:rPr>
            </w:pPr>
            <w:r>
              <w:rPr>
                <w:rFonts w:ascii="Times New Roman"/>
                <w:w w:val="99"/>
                <w:sz w:val="21"/>
              </w:rPr>
              <w:t>3</w:t>
            </w:r>
          </w:p>
        </w:tc>
        <w:tc>
          <w:tcPr>
            <w:tcW w:w="1104" w:type="dxa"/>
          </w:tcPr>
          <w:p>
            <w:pPr>
              <w:pStyle w:val="TableParagraph"/>
              <w:spacing w:before="79"/>
              <w:ind w:left="7"/>
              <w:rPr>
                <w:rFonts w:ascii="Times New Roman" w:hAnsi="Times New Roman"/>
                <w:sz w:val="21"/>
              </w:rPr>
            </w:pPr>
            <w:r>
              <w:rPr>
                <w:rFonts w:ascii="Times New Roman" w:hAnsi="Times New Roman"/>
                <w:w w:val="99"/>
                <w:sz w:val="21"/>
              </w:rPr>
              <w:t>—</w:t>
            </w:r>
          </w:p>
        </w:tc>
        <w:tc>
          <w:tcPr>
            <w:tcW w:w="3232" w:type="dxa"/>
          </w:tcPr>
          <w:p>
            <w:pPr>
              <w:pStyle w:val="TableParagraph"/>
              <w:spacing w:before="79"/>
              <w:ind w:left="6"/>
              <w:rPr>
                <w:rFonts w:ascii="Times New Roman" w:hAnsi="Times New Roman"/>
                <w:sz w:val="21"/>
              </w:rPr>
            </w:pPr>
            <w:r>
              <w:rPr>
                <w:rFonts w:ascii="Times New Roman" w:hAnsi="Times New Roman"/>
                <w:w w:val="99"/>
                <w:sz w:val="21"/>
              </w:rPr>
              <w:t>—</w:t>
            </w:r>
          </w:p>
        </w:tc>
        <w:tc>
          <w:tcPr>
            <w:tcW w:w="777" w:type="dxa"/>
          </w:tcPr>
          <w:p>
            <w:pPr>
              <w:pStyle w:val="TableParagraph"/>
              <w:spacing w:before="81"/>
              <w:ind w:left="5"/>
              <w:rPr>
                <w:rFonts w:ascii="Times New Roman" w:hAnsi="Times New Roman"/>
                <w:sz w:val="21"/>
              </w:rPr>
            </w:pPr>
            <w:r>
              <w:rPr>
                <w:rFonts w:ascii="Times New Roman" w:hAnsi="Times New Roman"/>
                <w:w w:val="99"/>
                <w:sz w:val="21"/>
              </w:rPr>
              <w:t>—</w:t>
            </w:r>
          </w:p>
        </w:tc>
        <w:tc>
          <w:tcPr>
            <w:tcW w:w="1228" w:type="dxa"/>
          </w:tcPr>
          <w:p>
            <w:pPr>
              <w:pStyle w:val="TableParagraph"/>
              <w:spacing w:before="79"/>
              <w:ind w:left="6"/>
              <w:rPr>
                <w:rFonts w:ascii="Times New Roman" w:hAnsi="Times New Roman"/>
                <w:sz w:val="21"/>
              </w:rPr>
            </w:pPr>
            <w:r>
              <w:rPr>
                <w:rFonts w:ascii="Times New Roman" w:hAnsi="Times New Roman"/>
                <w:w w:val="99"/>
                <w:sz w:val="21"/>
              </w:rPr>
              <w:t>—</w:t>
            </w:r>
          </w:p>
        </w:tc>
        <w:tc>
          <w:tcPr>
            <w:tcW w:w="1159" w:type="dxa"/>
          </w:tcPr>
          <w:p>
            <w:pPr>
              <w:pStyle w:val="TableParagraph"/>
              <w:spacing w:before="79"/>
              <w:ind w:left="5"/>
              <w:rPr>
                <w:rFonts w:ascii="Times New Roman" w:hAnsi="Times New Roman"/>
                <w:sz w:val="21"/>
              </w:rPr>
            </w:pPr>
            <w:r>
              <w:rPr>
                <w:rFonts w:ascii="Times New Roman" w:hAnsi="Times New Roman"/>
                <w:w w:val="99"/>
                <w:sz w:val="21"/>
              </w:rPr>
              <w:t>—</w:t>
            </w:r>
          </w:p>
        </w:tc>
        <w:tc>
          <w:tcPr>
            <w:tcW w:w="2263" w:type="dxa"/>
          </w:tcPr>
          <w:p>
            <w:pPr>
              <w:pStyle w:val="TableParagraph"/>
              <w:spacing w:before="79"/>
              <w:ind w:left="5"/>
              <w:rPr>
                <w:rFonts w:ascii="Times New Roman" w:hAnsi="Times New Roman"/>
                <w:sz w:val="21"/>
              </w:rPr>
            </w:pPr>
            <w:r>
              <w:rPr>
                <w:rFonts w:ascii="Times New Roman" w:hAnsi="Times New Roman"/>
                <w:w w:val="99"/>
                <w:sz w:val="21"/>
              </w:rPr>
              <w:t>—</w:t>
            </w:r>
          </w:p>
        </w:tc>
        <w:tc>
          <w:tcPr>
            <w:tcW w:w="2273" w:type="dxa"/>
          </w:tcPr>
          <w:p>
            <w:pPr>
              <w:pStyle w:val="TableParagraph"/>
              <w:spacing w:before="79"/>
              <w:ind w:left="5"/>
              <w:rPr>
                <w:rFonts w:ascii="Times New Roman" w:hAnsi="Times New Roman"/>
                <w:sz w:val="21"/>
              </w:rPr>
            </w:pPr>
            <w:r>
              <w:rPr>
                <w:rFonts w:ascii="Times New Roman" w:hAnsi="Times New Roman"/>
                <w:w w:val="99"/>
                <w:sz w:val="21"/>
              </w:rPr>
              <w:t>—</w:t>
            </w:r>
          </w:p>
        </w:tc>
        <w:tc>
          <w:tcPr>
            <w:tcW w:w="1533" w:type="dxa"/>
          </w:tcPr>
          <w:p>
            <w:pPr>
              <w:pStyle w:val="TableParagraph"/>
              <w:spacing w:before="79"/>
              <w:ind w:left="5"/>
              <w:rPr>
                <w:rFonts w:ascii="Times New Roman" w:hAnsi="Times New Roman"/>
                <w:sz w:val="21"/>
              </w:rPr>
            </w:pPr>
            <w:r>
              <w:rPr>
                <w:rFonts w:ascii="Times New Roman" w:hAnsi="Times New Roman"/>
                <w:w w:val="99"/>
                <w:sz w:val="21"/>
              </w:rPr>
              <w:t>—</w:t>
            </w:r>
          </w:p>
        </w:tc>
      </w:tr>
      <w:tr>
        <w:trPr>
          <w:trHeight w:val="406" w:hRule="atLeast"/>
        </w:trPr>
        <w:tc>
          <w:tcPr>
            <w:tcW w:w="729" w:type="dxa"/>
          </w:tcPr>
          <w:p>
            <w:pPr>
              <w:pStyle w:val="TableParagraph"/>
              <w:spacing w:before="82"/>
              <w:ind w:left="8"/>
              <w:rPr>
                <w:rFonts w:ascii="Times New Roman"/>
                <w:sz w:val="21"/>
              </w:rPr>
            </w:pPr>
            <w:r>
              <w:rPr>
                <w:rFonts w:ascii="Times New Roman"/>
                <w:w w:val="99"/>
                <w:sz w:val="21"/>
              </w:rPr>
              <w:t>4</w:t>
            </w:r>
          </w:p>
        </w:tc>
        <w:tc>
          <w:tcPr>
            <w:tcW w:w="1104" w:type="dxa"/>
          </w:tcPr>
          <w:p>
            <w:pPr>
              <w:pStyle w:val="TableParagraph"/>
              <w:spacing w:before="82"/>
              <w:ind w:left="7"/>
              <w:rPr>
                <w:rFonts w:ascii="Times New Roman" w:hAnsi="Times New Roman"/>
                <w:sz w:val="21"/>
              </w:rPr>
            </w:pPr>
            <w:r>
              <w:rPr>
                <w:rFonts w:ascii="Times New Roman" w:hAnsi="Times New Roman"/>
                <w:w w:val="99"/>
                <w:sz w:val="21"/>
              </w:rPr>
              <w:t>—</w:t>
            </w:r>
          </w:p>
        </w:tc>
        <w:tc>
          <w:tcPr>
            <w:tcW w:w="3232" w:type="dxa"/>
          </w:tcPr>
          <w:p>
            <w:pPr>
              <w:pStyle w:val="TableParagraph"/>
              <w:spacing w:before="82"/>
              <w:ind w:left="6"/>
              <w:rPr>
                <w:rFonts w:ascii="Times New Roman" w:hAnsi="Times New Roman"/>
                <w:sz w:val="21"/>
              </w:rPr>
            </w:pPr>
            <w:r>
              <w:rPr>
                <w:rFonts w:ascii="Times New Roman" w:hAnsi="Times New Roman"/>
                <w:w w:val="99"/>
                <w:sz w:val="21"/>
              </w:rPr>
              <w:t>—</w:t>
            </w:r>
          </w:p>
        </w:tc>
        <w:tc>
          <w:tcPr>
            <w:tcW w:w="777" w:type="dxa"/>
          </w:tcPr>
          <w:p>
            <w:pPr>
              <w:pStyle w:val="TableParagraph"/>
              <w:spacing w:before="82"/>
              <w:ind w:left="5"/>
              <w:rPr>
                <w:rFonts w:ascii="Times New Roman" w:hAnsi="Times New Roman"/>
                <w:sz w:val="21"/>
              </w:rPr>
            </w:pPr>
            <w:r>
              <w:rPr>
                <w:rFonts w:ascii="Times New Roman" w:hAnsi="Times New Roman"/>
                <w:w w:val="99"/>
                <w:sz w:val="21"/>
              </w:rPr>
              <w:t>—</w:t>
            </w:r>
          </w:p>
        </w:tc>
        <w:tc>
          <w:tcPr>
            <w:tcW w:w="1228" w:type="dxa"/>
          </w:tcPr>
          <w:p>
            <w:pPr>
              <w:pStyle w:val="TableParagraph"/>
              <w:spacing w:before="82"/>
              <w:ind w:left="6"/>
              <w:rPr>
                <w:rFonts w:ascii="Times New Roman" w:hAnsi="Times New Roman"/>
                <w:sz w:val="21"/>
              </w:rPr>
            </w:pPr>
            <w:r>
              <w:rPr>
                <w:rFonts w:ascii="Times New Roman" w:hAnsi="Times New Roman"/>
                <w:w w:val="99"/>
                <w:sz w:val="21"/>
              </w:rPr>
              <w:t>—</w:t>
            </w:r>
          </w:p>
        </w:tc>
        <w:tc>
          <w:tcPr>
            <w:tcW w:w="1159" w:type="dxa"/>
          </w:tcPr>
          <w:p>
            <w:pPr>
              <w:pStyle w:val="TableParagraph"/>
              <w:spacing w:before="82"/>
              <w:ind w:left="5"/>
              <w:rPr>
                <w:rFonts w:ascii="Times New Roman" w:hAnsi="Times New Roman"/>
                <w:sz w:val="21"/>
              </w:rPr>
            </w:pPr>
            <w:r>
              <w:rPr>
                <w:rFonts w:ascii="Times New Roman" w:hAnsi="Times New Roman"/>
                <w:w w:val="99"/>
                <w:sz w:val="21"/>
              </w:rPr>
              <w:t>—</w:t>
            </w:r>
          </w:p>
        </w:tc>
        <w:tc>
          <w:tcPr>
            <w:tcW w:w="2263" w:type="dxa"/>
          </w:tcPr>
          <w:p>
            <w:pPr>
              <w:pStyle w:val="TableParagraph"/>
              <w:spacing w:before="82"/>
              <w:ind w:left="5"/>
              <w:rPr>
                <w:rFonts w:ascii="Times New Roman" w:hAnsi="Times New Roman"/>
                <w:sz w:val="21"/>
              </w:rPr>
            </w:pPr>
            <w:r>
              <w:rPr>
                <w:rFonts w:ascii="Times New Roman" w:hAnsi="Times New Roman"/>
                <w:w w:val="99"/>
                <w:sz w:val="21"/>
              </w:rPr>
              <w:t>—</w:t>
            </w:r>
          </w:p>
        </w:tc>
        <w:tc>
          <w:tcPr>
            <w:tcW w:w="2273" w:type="dxa"/>
          </w:tcPr>
          <w:p>
            <w:pPr>
              <w:pStyle w:val="TableParagraph"/>
              <w:spacing w:before="82"/>
              <w:ind w:left="5"/>
              <w:rPr>
                <w:rFonts w:ascii="Times New Roman" w:hAnsi="Times New Roman"/>
                <w:sz w:val="21"/>
              </w:rPr>
            </w:pPr>
            <w:r>
              <w:rPr>
                <w:rFonts w:ascii="Times New Roman" w:hAnsi="Times New Roman"/>
                <w:w w:val="99"/>
                <w:sz w:val="21"/>
              </w:rPr>
              <w:t>—</w:t>
            </w:r>
          </w:p>
        </w:tc>
        <w:tc>
          <w:tcPr>
            <w:tcW w:w="1533" w:type="dxa"/>
          </w:tcPr>
          <w:p>
            <w:pPr>
              <w:pStyle w:val="TableParagraph"/>
              <w:spacing w:before="82"/>
              <w:ind w:left="5"/>
              <w:rPr>
                <w:rFonts w:ascii="Times New Roman" w:hAnsi="Times New Roman"/>
                <w:sz w:val="21"/>
              </w:rPr>
            </w:pPr>
            <w:r>
              <w:rPr>
                <w:rFonts w:ascii="Times New Roman" w:hAnsi="Times New Roman"/>
                <w:w w:val="99"/>
                <w:sz w:val="21"/>
              </w:rPr>
              <w:t>—</w:t>
            </w:r>
          </w:p>
        </w:tc>
      </w:tr>
      <w:tr>
        <w:trPr>
          <w:trHeight w:val="405" w:hRule="atLeast"/>
        </w:trPr>
        <w:tc>
          <w:tcPr>
            <w:tcW w:w="729" w:type="dxa"/>
          </w:tcPr>
          <w:p>
            <w:pPr>
              <w:pStyle w:val="TableParagraph"/>
              <w:spacing w:before="81"/>
              <w:ind w:left="8"/>
              <w:rPr>
                <w:rFonts w:ascii="Times New Roman"/>
                <w:sz w:val="21"/>
              </w:rPr>
            </w:pPr>
            <w:r>
              <w:rPr>
                <w:rFonts w:ascii="Times New Roman"/>
                <w:w w:val="99"/>
                <w:sz w:val="21"/>
              </w:rPr>
              <w:t>5</w:t>
            </w:r>
          </w:p>
        </w:tc>
        <w:tc>
          <w:tcPr>
            <w:tcW w:w="1104" w:type="dxa"/>
          </w:tcPr>
          <w:p>
            <w:pPr>
              <w:pStyle w:val="TableParagraph"/>
              <w:spacing w:before="81"/>
              <w:ind w:left="7"/>
              <w:rPr>
                <w:rFonts w:ascii="Times New Roman" w:hAnsi="Times New Roman"/>
                <w:sz w:val="21"/>
              </w:rPr>
            </w:pPr>
            <w:r>
              <w:rPr>
                <w:rFonts w:ascii="Times New Roman" w:hAnsi="Times New Roman"/>
                <w:w w:val="99"/>
                <w:sz w:val="21"/>
              </w:rPr>
              <w:t>—</w:t>
            </w:r>
          </w:p>
        </w:tc>
        <w:tc>
          <w:tcPr>
            <w:tcW w:w="3232" w:type="dxa"/>
          </w:tcPr>
          <w:p>
            <w:pPr>
              <w:pStyle w:val="TableParagraph"/>
              <w:spacing w:before="81"/>
              <w:ind w:left="6"/>
              <w:rPr>
                <w:rFonts w:ascii="Times New Roman" w:hAnsi="Times New Roman"/>
                <w:sz w:val="21"/>
              </w:rPr>
            </w:pPr>
            <w:r>
              <w:rPr>
                <w:rFonts w:ascii="Times New Roman" w:hAnsi="Times New Roman"/>
                <w:w w:val="99"/>
                <w:sz w:val="21"/>
              </w:rPr>
              <w:t>—</w:t>
            </w:r>
          </w:p>
        </w:tc>
        <w:tc>
          <w:tcPr>
            <w:tcW w:w="777" w:type="dxa"/>
          </w:tcPr>
          <w:p>
            <w:pPr>
              <w:pStyle w:val="TableParagraph"/>
              <w:spacing w:before="81"/>
              <w:ind w:left="5"/>
              <w:rPr>
                <w:rFonts w:ascii="Times New Roman" w:hAnsi="Times New Roman"/>
                <w:sz w:val="21"/>
              </w:rPr>
            </w:pPr>
            <w:r>
              <w:rPr>
                <w:rFonts w:ascii="Times New Roman" w:hAnsi="Times New Roman"/>
                <w:w w:val="99"/>
                <w:sz w:val="21"/>
              </w:rPr>
              <w:t>—</w:t>
            </w:r>
          </w:p>
        </w:tc>
        <w:tc>
          <w:tcPr>
            <w:tcW w:w="1228" w:type="dxa"/>
          </w:tcPr>
          <w:p>
            <w:pPr>
              <w:pStyle w:val="TableParagraph"/>
              <w:spacing w:before="81"/>
              <w:ind w:left="6"/>
              <w:rPr>
                <w:rFonts w:ascii="Times New Roman" w:hAnsi="Times New Roman"/>
                <w:sz w:val="21"/>
              </w:rPr>
            </w:pPr>
            <w:r>
              <w:rPr>
                <w:rFonts w:ascii="Times New Roman" w:hAnsi="Times New Roman"/>
                <w:w w:val="99"/>
                <w:sz w:val="21"/>
              </w:rPr>
              <w:t>—</w:t>
            </w:r>
          </w:p>
        </w:tc>
        <w:tc>
          <w:tcPr>
            <w:tcW w:w="1159" w:type="dxa"/>
          </w:tcPr>
          <w:p>
            <w:pPr>
              <w:pStyle w:val="TableParagraph"/>
              <w:spacing w:before="81"/>
              <w:ind w:left="5"/>
              <w:rPr>
                <w:rFonts w:ascii="Times New Roman" w:hAnsi="Times New Roman"/>
                <w:sz w:val="21"/>
              </w:rPr>
            </w:pPr>
            <w:r>
              <w:rPr>
                <w:rFonts w:ascii="Times New Roman" w:hAnsi="Times New Roman"/>
                <w:w w:val="99"/>
                <w:sz w:val="21"/>
              </w:rPr>
              <w:t>—</w:t>
            </w:r>
          </w:p>
        </w:tc>
        <w:tc>
          <w:tcPr>
            <w:tcW w:w="2263" w:type="dxa"/>
          </w:tcPr>
          <w:p>
            <w:pPr>
              <w:pStyle w:val="TableParagraph"/>
              <w:spacing w:before="81"/>
              <w:ind w:left="5"/>
              <w:rPr>
                <w:rFonts w:ascii="Times New Roman" w:hAnsi="Times New Roman"/>
                <w:sz w:val="21"/>
              </w:rPr>
            </w:pPr>
            <w:r>
              <w:rPr>
                <w:rFonts w:ascii="Times New Roman" w:hAnsi="Times New Roman"/>
                <w:w w:val="99"/>
                <w:sz w:val="21"/>
              </w:rPr>
              <w:t>—</w:t>
            </w:r>
          </w:p>
        </w:tc>
        <w:tc>
          <w:tcPr>
            <w:tcW w:w="2273" w:type="dxa"/>
          </w:tcPr>
          <w:p>
            <w:pPr>
              <w:pStyle w:val="TableParagraph"/>
              <w:spacing w:before="81"/>
              <w:ind w:left="5"/>
              <w:rPr>
                <w:rFonts w:ascii="Times New Roman" w:hAnsi="Times New Roman"/>
                <w:sz w:val="21"/>
              </w:rPr>
            </w:pPr>
            <w:r>
              <w:rPr>
                <w:rFonts w:ascii="Times New Roman" w:hAnsi="Times New Roman"/>
                <w:w w:val="99"/>
                <w:sz w:val="21"/>
              </w:rPr>
              <w:t>—</w:t>
            </w:r>
          </w:p>
        </w:tc>
        <w:tc>
          <w:tcPr>
            <w:tcW w:w="1533" w:type="dxa"/>
          </w:tcPr>
          <w:p>
            <w:pPr>
              <w:pStyle w:val="TableParagraph"/>
              <w:spacing w:before="81"/>
              <w:ind w:left="5"/>
              <w:rPr>
                <w:rFonts w:ascii="Times New Roman" w:hAnsi="Times New Roman"/>
                <w:sz w:val="21"/>
              </w:rPr>
            </w:pPr>
            <w:r>
              <w:rPr>
                <w:rFonts w:ascii="Times New Roman" w:hAnsi="Times New Roman"/>
                <w:w w:val="99"/>
                <w:sz w:val="21"/>
              </w:rPr>
              <w:t>—</w:t>
            </w:r>
          </w:p>
        </w:tc>
      </w:tr>
    </w:tbl>
    <w:p>
      <w:pPr>
        <w:spacing w:before="128"/>
        <w:ind w:left="540" w:right="0" w:firstLine="0"/>
        <w:jc w:val="left"/>
        <w:rPr>
          <w:sz w:val="18"/>
        </w:rPr>
      </w:pPr>
      <w:r>
        <w:rPr>
          <w:spacing w:val="-1"/>
          <w:sz w:val="18"/>
        </w:rPr>
        <w:t>注：放射源包括放射性中子源，对其要说明是何种核素以及产生的中子流强度</w:t>
      </w:r>
      <w:r>
        <w:rPr>
          <w:sz w:val="18"/>
        </w:rPr>
        <w:t>（</w:t>
      </w:r>
      <w:r>
        <w:rPr>
          <w:rFonts w:ascii="Times New Roman" w:eastAsia="Times New Roman"/>
          <w:sz w:val="18"/>
        </w:rPr>
        <w:t>n/s</w:t>
      </w:r>
      <w:r>
        <w:rPr>
          <w:sz w:val="18"/>
        </w:rPr>
        <w:t>）。</w:t>
      </w:r>
    </w:p>
    <w:p>
      <w:pPr>
        <w:spacing w:after="0"/>
        <w:jc w:val="left"/>
        <w:rPr>
          <w:sz w:val="18"/>
        </w:rPr>
        <w:sectPr>
          <w:footerReference w:type="default" r:id="rId8"/>
          <w:pgSz w:w="16840" w:h="11910" w:orient="landscape"/>
          <w:pgMar w:footer="1235" w:header="0" w:top="1100" w:bottom="1420" w:left="900" w:right="1160"/>
        </w:sectPr>
      </w:pPr>
    </w:p>
    <w:p>
      <w:pPr>
        <w:pStyle w:val="BodyText"/>
        <w:rPr>
          <w:sz w:val="20"/>
        </w:rPr>
      </w:pPr>
    </w:p>
    <w:p>
      <w:pPr>
        <w:pStyle w:val="BodyText"/>
        <w:rPr>
          <w:sz w:val="20"/>
        </w:rPr>
      </w:pPr>
    </w:p>
    <w:p>
      <w:pPr>
        <w:pStyle w:val="BodyText"/>
        <w:spacing w:before="2"/>
        <w:rPr>
          <w:sz w:val="18"/>
        </w:rPr>
      </w:pPr>
    </w:p>
    <w:p>
      <w:pPr>
        <w:tabs>
          <w:tab w:pos="1365" w:val="left" w:leader="none"/>
        </w:tabs>
        <w:spacing w:before="70"/>
        <w:ind w:left="540" w:right="0" w:firstLine="0"/>
        <w:jc w:val="left"/>
        <w:rPr>
          <w:sz w:val="30"/>
        </w:rPr>
      </w:pPr>
      <w:bookmarkStart w:name="表4  射线装置" w:id="5"/>
      <w:bookmarkEnd w:id="5"/>
      <w:r>
        <w:rPr/>
      </w:r>
      <w:bookmarkStart w:name="_bookmark2" w:id="6"/>
      <w:bookmarkEnd w:id="6"/>
      <w:r>
        <w:rPr/>
      </w:r>
      <w:r>
        <w:rPr>
          <w:sz w:val="30"/>
        </w:rPr>
        <w:t>表</w:t>
      </w:r>
      <w:r>
        <w:rPr>
          <w:spacing w:val="-76"/>
          <w:sz w:val="30"/>
        </w:rPr>
        <w:t> </w:t>
      </w:r>
      <w:r>
        <w:rPr>
          <w:rFonts w:ascii="Times New Roman" w:eastAsia="Times New Roman"/>
          <w:sz w:val="30"/>
        </w:rPr>
        <w:t>3</w:t>
        <w:tab/>
      </w:r>
      <w:r>
        <w:rPr>
          <w:sz w:val="30"/>
        </w:rPr>
        <w:t>非密封放射性物质</w:t>
      </w:r>
    </w:p>
    <w:p>
      <w:pPr>
        <w:pStyle w:val="BodyText"/>
        <w:spacing w:before="3"/>
        <w:rPr>
          <w:sz w:val="9"/>
        </w:rPr>
      </w:pPr>
    </w:p>
    <w:tbl>
      <w:tblPr>
        <w:tblW w:w="0" w:type="auto"/>
        <w:jc w:val="left"/>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
        <w:gridCol w:w="1486"/>
        <w:gridCol w:w="1146"/>
        <w:gridCol w:w="1186"/>
        <w:gridCol w:w="1786"/>
        <w:gridCol w:w="1787"/>
        <w:gridCol w:w="1288"/>
        <w:gridCol w:w="1527"/>
        <w:gridCol w:w="1718"/>
        <w:gridCol w:w="1367"/>
      </w:tblGrid>
      <w:tr>
        <w:trPr>
          <w:trHeight w:val="748" w:hRule="atLeast"/>
        </w:trPr>
        <w:tc>
          <w:tcPr>
            <w:tcW w:w="924" w:type="dxa"/>
          </w:tcPr>
          <w:p>
            <w:pPr>
              <w:pStyle w:val="TableParagraph"/>
              <w:spacing w:before="6"/>
              <w:jc w:val="left"/>
              <w:rPr>
                <w:sz w:val="18"/>
              </w:rPr>
            </w:pPr>
          </w:p>
          <w:p>
            <w:pPr>
              <w:pStyle w:val="TableParagraph"/>
              <w:ind w:left="230" w:right="224"/>
              <w:rPr>
                <w:sz w:val="21"/>
              </w:rPr>
            </w:pPr>
            <w:r>
              <w:rPr>
                <w:sz w:val="21"/>
              </w:rPr>
              <w:t>序号</w:t>
            </w:r>
          </w:p>
        </w:tc>
        <w:tc>
          <w:tcPr>
            <w:tcW w:w="1486" w:type="dxa"/>
          </w:tcPr>
          <w:p>
            <w:pPr>
              <w:pStyle w:val="TableParagraph"/>
              <w:spacing w:before="6"/>
              <w:jc w:val="left"/>
              <w:rPr>
                <w:sz w:val="18"/>
              </w:rPr>
            </w:pPr>
          </w:p>
          <w:p>
            <w:pPr>
              <w:pStyle w:val="TableParagraph"/>
              <w:ind w:left="302" w:right="294"/>
              <w:rPr>
                <w:sz w:val="21"/>
              </w:rPr>
            </w:pPr>
            <w:r>
              <w:rPr>
                <w:sz w:val="21"/>
              </w:rPr>
              <w:t>核素名称</w:t>
            </w:r>
          </w:p>
        </w:tc>
        <w:tc>
          <w:tcPr>
            <w:tcW w:w="1146" w:type="dxa"/>
          </w:tcPr>
          <w:p>
            <w:pPr>
              <w:pStyle w:val="TableParagraph"/>
              <w:spacing w:before="6"/>
              <w:jc w:val="left"/>
              <w:rPr>
                <w:sz w:val="18"/>
              </w:rPr>
            </w:pPr>
          </w:p>
          <w:p>
            <w:pPr>
              <w:pStyle w:val="TableParagraph"/>
              <w:ind w:left="131" w:right="125"/>
              <w:rPr>
                <w:sz w:val="21"/>
              </w:rPr>
            </w:pPr>
            <w:r>
              <w:rPr>
                <w:sz w:val="21"/>
              </w:rPr>
              <w:t>理化性质</w:t>
            </w:r>
          </w:p>
        </w:tc>
        <w:tc>
          <w:tcPr>
            <w:tcW w:w="1186" w:type="dxa"/>
          </w:tcPr>
          <w:p>
            <w:pPr>
              <w:pStyle w:val="TableParagraph"/>
              <w:spacing w:before="6"/>
              <w:jc w:val="left"/>
              <w:rPr>
                <w:sz w:val="18"/>
              </w:rPr>
            </w:pPr>
          </w:p>
          <w:p>
            <w:pPr>
              <w:pStyle w:val="TableParagraph"/>
              <w:ind w:left="151" w:right="144"/>
              <w:rPr>
                <w:sz w:val="21"/>
              </w:rPr>
            </w:pPr>
            <w:r>
              <w:rPr>
                <w:sz w:val="21"/>
              </w:rPr>
              <w:t>活动种类</w:t>
            </w:r>
          </w:p>
        </w:tc>
        <w:tc>
          <w:tcPr>
            <w:tcW w:w="1786" w:type="dxa"/>
          </w:tcPr>
          <w:p>
            <w:pPr>
              <w:pStyle w:val="TableParagraph"/>
              <w:spacing w:before="52"/>
              <w:ind w:left="137" w:right="129"/>
              <w:rPr>
                <w:sz w:val="21"/>
              </w:rPr>
            </w:pPr>
            <w:r>
              <w:rPr>
                <w:sz w:val="21"/>
              </w:rPr>
              <w:t>日等效最大操作</w:t>
            </w:r>
          </w:p>
          <w:p>
            <w:pPr>
              <w:pStyle w:val="TableParagraph"/>
              <w:spacing w:before="105"/>
              <w:ind w:left="137" w:right="128"/>
              <w:rPr>
                <w:sz w:val="21"/>
              </w:rPr>
            </w:pPr>
            <w:r>
              <w:rPr>
                <w:sz w:val="21"/>
              </w:rPr>
              <w:t>量（</w:t>
            </w:r>
            <w:r>
              <w:rPr>
                <w:rFonts w:ascii="Times New Roman" w:eastAsia="Times New Roman"/>
                <w:sz w:val="21"/>
              </w:rPr>
              <w:t>Bq</w:t>
            </w:r>
            <w:r>
              <w:rPr>
                <w:sz w:val="21"/>
              </w:rPr>
              <w:t>）</w:t>
            </w:r>
          </w:p>
        </w:tc>
        <w:tc>
          <w:tcPr>
            <w:tcW w:w="1787" w:type="dxa"/>
          </w:tcPr>
          <w:p>
            <w:pPr>
              <w:pStyle w:val="TableParagraph"/>
              <w:spacing w:before="6"/>
              <w:jc w:val="left"/>
              <w:rPr>
                <w:sz w:val="18"/>
              </w:rPr>
            </w:pPr>
          </w:p>
          <w:p>
            <w:pPr>
              <w:pStyle w:val="TableParagraph"/>
              <w:ind w:left="107" w:right="-15"/>
              <w:rPr>
                <w:sz w:val="21"/>
              </w:rPr>
            </w:pPr>
            <w:r>
              <w:rPr>
                <w:spacing w:val="-4"/>
                <w:sz w:val="21"/>
              </w:rPr>
              <w:t>年最大用量（</w:t>
            </w:r>
            <w:r>
              <w:rPr>
                <w:rFonts w:ascii="Times New Roman" w:eastAsia="Times New Roman"/>
                <w:spacing w:val="-4"/>
                <w:sz w:val="21"/>
              </w:rPr>
              <w:t>Bq</w:t>
            </w:r>
            <w:r>
              <w:rPr>
                <w:spacing w:val="-4"/>
                <w:sz w:val="21"/>
              </w:rPr>
              <w:t>）</w:t>
            </w:r>
          </w:p>
        </w:tc>
        <w:tc>
          <w:tcPr>
            <w:tcW w:w="1288" w:type="dxa"/>
          </w:tcPr>
          <w:p>
            <w:pPr>
              <w:pStyle w:val="TableParagraph"/>
              <w:spacing w:before="6"/>
              <w:jc w:val="left"/>
              <w:rPr>
                <w:sz w:val="18"/>
              </w:rPr>
            </w:pPr>
          </w:p>
          <w:p>
            <w:pPr>
              <w:pStyle w:val="TableParagraph"/>
              <w:ind w:left="413" w:right="405"/>
              <w:rPr>
                <w:sz w:val="21"/>
              </w:rPr>
            </w:pPr>
            <w:r>
              <w:rPr>
                <w:sz w:val="21"/>
              </w:rPr>
              <w:t>用途</w:t>
            </w:r>
          </w:p>
        </w:tc>
        <w:tc>
          <w:tcPr>
            <w:tcW w:w="1527" w:type="dxa"/>
          </w:tcPr>
          <w:p>
            <w:pPr>
              <w:pStyle w:val="TableParagraph"/>
              <w:spacing w:before="6"/>
              <w:jc w:val="left"/>
              <w:rPr>
                <w:sz w:val="18"/>
              </w:rPr>
            </w:pPr>
          </w:p>
          <w:p>
            <w:pPr>
              <w:pStyle w:val="TableParagraph"/>
              <w:ind w:left="162" w:right="158"/>
              <w:rPr>
                <w:sz w:val="21"/>
              </w:rPr>
            </w:pPr>
            <w:r>
              <w:rPr>
                <w:sz w:val="21"/>
              </w:rPr>
              <w:t>操作方式</w:t>
            </w:r>
          </w:p>
        </w:tc>
        <w:tc>
          <w:tcPr>
            <w:tcW w:w="1718" w:type="dxa"/>
          </w:tcPr>
          <w:p>
            <w:pPr>
              <w:pStyle w:val="TableParagraph"/>
              <w:spacing w:before="6"/>
              <w:jc w:val="left"/>
              <w:rPr>
                <w:sz w:val="18"/>
              </w:rPr>
            </w:pPr>
          </w:p>
          <w:p>
            <w:pPr>
              <w:pStyle w:val="TableParagraph"/>
              <w:ind w:left="418" w:right="410"/>
              <w:rPr>
                <w:sz w:val="21"/>
              </w:rPr>
            </w:pPr>
            <w:r>
              <w:rPr>
                <w:sz w:val="21"/>
              </w:rPr>
              <w:t>使用场所</w:t>
            </w:r>
          </w:p>
        </w:tc>
        <w:tc>
          <w:tcPr>
            <w:tcW w:w="1367" w:type="dxa"/>
          </w:tcPr>
          <w:p>
            <w:pPr>
              <w:pStyle w:val="TableParagraph"/>
              <w:spacing w:before="52"/>
              <w:ind w:left="136" w:right="131"/>
              <w:rPr>
                <w:sz w:val="21"/>
              </w:rPr>
            </w:pPr>
            <w:r>
              <w:rPr>
                <w:sz w:val="21"/>
              </w:rPr>
              <w:t>贮存方式与</w:t>
            </w:r>
          </w:p>
          <w:p>
            <w:pPr>
              <w:pStyle w:val="TableParagraph"/>
              <w:spacing w:before="105"/>
              <w:ind w:left="136" w:right="129"/>
              <w:rPr>
                <w:sz w:val="21"/>
              </w:rPr>
            </w:pPr>
            <w:r>
              <w:rPr>
                <w:sz w:val="21"/>
              </w:rPr>
              <w:t>地点</w:t>
            </w:r>
          </w:p>
        </w:tc>
      </w:tr>
      <w:tr>
        <w:trPr>
          <w:trHeight w:val="405" w:hRule="atLeast"/>
        </w:trPr>
        <w:tc>
          <w:tcPr>
            <w:tcW w:w="924" w:type="dxa"/>
          </w:tcPr>
          <w:p>
            <w:pPr>
              <w:pStyle w:val="TableParagraph"/>
              <w:spacing w:before="80"/>
              <w:ind w:left="9"/>
              <w:rPr>
                <w:rFonts w:ascii="Times New Roman"/>
                <w:sz w:val="21"/>
              </w:rPr>
            </w:pPr>
            <w:r>
              <w:rPr>
                <w:rFonts w:ascii="Times New Roman"/>
                <w:w w:val="99"/>
                <w:sz w:val="21"/>
              </w:rPr>
              <w:t>1</w:t>
            </w:r>
          </w:p>
        </w:tc>
        <w:tc>
          <w:tcPr>
            <w:tcW w:w="1486" w:type="dxa"/>
          </w:tcPr>
          <w:p>
            <w:pPr>
              <w:pStyle w:val="TableParagraph"/>
              <w:spacing w:before="80"/>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0"/>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0"/>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80"/>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0"/>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0"/>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34"/>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80"/>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0"/>
              <w:ind w:left="5"/>
              <w:rPr>
                <w:rFonts w:ascii="Times New Roman" w:hAnsi="Times New Roman"/>
                <w:sz w:val="21"/>
              </w:rPr>
            </w:pPr>
            <w:r>
              <w:rPr>
                <w:rFonts w:ascii="Times New Roman" w:hAnsi="Times New Roman"/>
                <w:w w:val="99"/>
                <w:sz w:val="21"/>
              </w:rPr>
              <w:t>—</w:t>
            </w:r>
          </w:p>
        </w:tc>
      </w:tr>
      <w:tr>
        <w:trPr>
          <w:trHeight w:val="406" w:hRule="atLeast"/>
        </w:trPr>
        <w:tc>
          <w:tcPr>
            <w:tcW w:w="924" w:type="dxa"/>
          </w:tcPr>
          <w:p>
            <w:pPr>
              <w:pStyle w:val="TableParagraph"/>
              <w:spacing w:before="80"/>
              <w:ind w:left="9"/>
              <w:rPr>
                <w:rFonts w:ascii="Times New Roman"/>
                <w:sz w:val="21"/>
              </w:rPr>
            </w:pPr>
            <w:r>
              <w:rPr>
                <w:rFonts w:ascii="Times New Roman"/>
                <w:w w:val="99"/>
                <w:sz w:val="21"/>
              </w:rPr>
              <w:t>2</w:t>
            </w:r>
          </w:p>
        </w:tc>
        <w:tc>
          <w:tcPr>
            <w:tcW w:w="1486" w:type="dxa"/>
          </w:tcPr>
          <w:p>
            <w:pPr>
              <w:pStyle w:val="TableParagraph"/>
              <w:spacing w:before="114"/>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2"/>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2"/>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114"/>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0"/>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0"/>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82"/>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114"/>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0"/>
              <w:ind w:left="5"/>
              <w:rPr>
                <w:rFonts w:ascii="Times New Roman" w:hAnsi="Times New Roman"/>
                <w:sz w:val="21"/>
              </w:rPr>
            </w:pPr>
            <w:r>
              <w:rPr>
                <w:rFonts w:ascii="Times New Roman" w:hAnsi="Times New Roman"/>
                <w:w w:val="99"/>
                <w:sz w:val="21"/>
              </w:rPr>
              <w:t>—</w:t>
            </w:r>
          </w:p>
        </w:tc>
      </w:tr>
      <w:tr>
        <w:trPr>
          <w:trHeight w:val="406" w:hRule="atLeast"/>
        </w:trPr>
        <w:tc>
          <w:tcPr>
            <w:tcW w:w="924" w:type="dxa"/>
          </w:tcPr>
          <w:p>
            <w:pPr>
              <w:pStyle w:val="TableParagraph"/>
              <w:spacing w:before="82"/>
              <w:ind w:left="9"/>
              <w:rPr>
                <w:rFonts w:ascii="Times New Roman"/>
                <w:sz w:val="21"/>
              </w:rPr>
            </w:pPr>
            <w:r>
              <w:rPr>
                <w:rFonts w:ascii="Times New Roman"/>
                <w:w w:val="99"/>
                <w:sz w:val="21"/>
              </w:rPr>
              <w:t>3</w:t>
            </w:r>
          </w:p>
        </w:tc>
        <w:tc>
          <w:tcPr>
            <w:tcW w:w="1486" w:type="dxa"/>
          </w:tcPr>
          <w:p>
            <w:pPr>
              <w:pStyle w:val="TableParagraph"/>
              <w:spacing w:before="113"/>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2"/>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2"/>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113"/>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2"/>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2"/>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82"/>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113"/>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2"/>
              <w:ind w:left="5"/>
              <w:rPr>
                <w:rFonts w:ascii="Times New Roman" w:hAnsi="Times New Roman"/>
                <w:sz w:val="21"/>
              </w:rPr>
            </w:pPr>
            <w:r>
              <w:rPr>
                <w:rFonts w:ascii="Times New Roman" w:hAnsi="Times New Roman"/>
                <w:w w:val="99"/>
                <w:sz w:val="21"/>
              </w:rPr>
              <w:t>—</w:t>
            </w:r>
          </w:p>
        </w:tc>
      </w:tr>
      <w:tr>
        <w:trPr>
          <w:trHeight w:val="405" w:hRule="atLeast"/>
        </w:trPr>
        <w:tc>
          <w:tcPr>
            <w:tcW w:w="924" w:type="dxa"/>
          </w:tcPr>
          <w:p>
            <w:pPr>
              <w:pStyle w:val="TableParagraph"/>
              <w:spacing w:before="81"/>
              <w:ind w:left="9"/>
              <w:rPr>
                <w:rFonts w:ascii="Times New Roman"/>
                <w:sz w:val="21"/>
              </w:rPr>
            </w:pPr>
            <w:r>
              <w:rPr>
                <w:rFonts w:ascii="Times New Roman"/>
                <w:w w:val="99"/>
                <w:sz w:val="21"/>
              </w:rPr>
              <w:t>4</w:t>
            </w:r>
          </w:p>
        </w:tc>
        <w:tc>
          <w:tcPr>
            <w:tcW w:w="1486" w:type="dxa"/>
          </w:tcPr>
          <w:p>
            <w:pPr>
              <w:pStyle w:val="TableParagraph"/>
              <w:spacing w:before="81"/>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1"/>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1"/>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112"/>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1"/>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1"/>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81"/>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112"/>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1"/>
              <w:ind w:left="5"/>
              <w:rPr>
                <w:rFonts w:ascii="Times New Roman" w:hAnsi="Times New Roman"/>
                <w:sz w:val="21"/>
              </w:rPr>
            </w:pPr>
            <w:r>
              <w:rPr>
                <w:rFonts w:ascii="Times New Roman" w:hAnsi="Times New Roman"/>
                <w:w w:val="99"/>
                <w:sz w:val="21"/>
              </w:rPr>
              <w:t>—</w:t>
            </w:r>
          </w:p>
        </w:tc>
      </w:tr>
      <w:tr>
        <w:trPr>
          <w:trHeight w:val="406" w:hRule="atLeast"/>
        </w:trPr>
        <w:tc>
          <w:tcPr>
            <w:tcW w:w="924" w:type="dxa"/>
          </w:tcPr>
          <w:p>
            <w:pPr>
              <w:pStyle w:val="TableParagraph"/>
              <w:spacing w:before="81"/>
              <w:ind w:left="9"/>
              <w:rPr>
                <w:rFonts w:ascii="Times New Roman"/>
                <w:sz w:val="21"/>
              </w:rPr>
            </w:pPr>
            <w:r>
              <w:rPr>
                <w:rFonts w:ascii="Times New Roman"/>
                <w:w w:val="99"/>
                <w:sz w:val="21"/>
              </w:rPr>
              <w:t>5</w:t>
            </w:r>
          </w:p>
        </w:tc>
        <w:tc>
          <w:tcPr>
            <w:tcW w:w="1486" w:type="dxa"/>
          </w:tcPr>
          <w:p>
            <w:pPr>
              <w:pStyle w:val="TableParagraph"/>
              <w:spacing w:before="81"/>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1"/>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1"/>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81"/>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1"/>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1"/>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81"/>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81"/>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1"/>
              <w:ind w:left="5"/>
              <w:rPr>
                <w:rFonts w:ascii="Times New Roman" w:hAnsi="Times New Roman"/>
                <w:sz w:val="21"/>
              </w:rPr>
            </w:pPr>
            <w:r>
              <w:rPr>
                <w:rFonts w:ascii="Times New Roman" w:hAnsi="Times New Roman"/>
                <w:w w:val="99"/>
                <w:sz w:val="21"/>
              </w:rPr>
              <w:t>—</w:t>
            </w:r>
          </w:p>
        </w:tc>
      </w:tr>
      <w:tr>
        <w:trPr>
          <w:trHeight w:val="405" w:hRule="atLeast"/>
        </w:trPr>
        <w:tc>
          <w:tcPr>
            <w:tcW w:w="924" w:type="dxa"/>
          </w:tcPr>
          <w:p>
            <w:pPr>
              <w:pStyle w:val="TableParagraph"/>
              <w:spacing w:before="80"/>
              <w:ind w:left="9"/>
              <w:rPr>
                <w:rFonts w:ascii="Times New Roman"/>
                <w:sz w:val="21"/>
              </w:rPr>
            </w:pPr>
            <w:r>
              <w:rPr>
                <w:rFonts w:ascii="Times New Roman"/>
                <w:w w:val="99"/>
                <w:sz w:val="21"/>
              </w:rPr>
              <w:t>6</w:t>
            </w:r>
          </w:p>
        </w:tc>
        <w:tc>
          <w:tcPr>
            <w:tcW w:w="1486" w:type="dxa"/>
          </w:tcPr>
          <w:p>
            <w:pPr>
              <w:pStyle w:val="TableParagraph"/>
              <w:spacing w:before="80"/>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0"/>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0"/>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80"/>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0"/>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0"/>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80"/>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80"/>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0"/>
              <w:ind w:left="5"/>
              <w:rPr>
                <w:rFonts w:ascii="Times New Roman" w:hAnsi="Times New Roman"/>
                <w:sz w:val="21"/>
              </w:rPr>
            </w:pPr>
            <w:r>
              <w:rPr>
                <w:rFonts w:ascii="Times New Roman" w:hAnsi="Times New Roman"/>
                <w:w w:val="99"/>
                <w:sz w:val="21"/>
              </w:rPr>
              <w:t>—</w:t>
            </w:r>
          </w:p>
        </w:tc>
      </w:tr>
      <w:tr>
        <w:trPr>
          <w:trHeight w:val="405" w:hRule="atLeast"/>
        </w:trPr>
        <w:tc>
          <w:tcPr>
            <w:tcW w:w="924" w:type="dxa"/>
          </w:tcPr>
          <w:p>
            <w:pPr>
              <w:pStyle w:val="TableParagraph"/>
              <w:spacing w:before="80"/>
              <w:ind w:left="9"/>
              <w:rPr>
                <w:rFonts w:ascii="Times New Roman"/>
                <w:sz w:val="21"/>
              </w:rPr>
            </w:pPr>
            <w:r>
              <w:rPr>
                <w:rFonts w:ascii="Times New Roman"/>
                <w:w w:val="99"/>
                <w:sz w:val="21"/>
              </w:rPr>
              <w:t>3</w:t>
            </w:r>
          </w:p>
        </w:tc>
        <w:tc>
          <w:tcPr>
            <w:tcW w:w="1486" w:type="dxa"/>
          </w:tcPr>
          <w:p>
            <w:pPr>
              <w:pStyle w:val="TableParagraph"/>
              <w:spacing w:before="80"/>
              <w:ind w:left="8"/>
              <w:rPr>
                <w:rFonts w:ascii="Times New Roman" w:hAnsi="Times New Roman"/>
                <w:sz w:val="21"/>
              </w:rPr>
            </w:pPr>
            <w:r>
              <w:rPr>
                <w:rFonts w:ascii="Times New Roman" w:hAnsi="Times New Roman"/>
                <w:w w:val="99"/>
                <w:sz w:val="21"/>
              </w:rPr>
              <w:t>—</w:t>
            </w:r>
          </w:p>
        </w:tc>
        <w:tc>
          <w:tcPr>
            <w:tcW w:w="1146" w:type="dxa"/>
          </w:tcPr>
          <w:p>
            <w:pPr>
              <w:pStyle w:val="TableParagraph"/>
              <w:spacing w:before="83"/>
              <w:ind w:left="6"/>
              <w:rPr>
                <w:rFonts w:ascii="Times New Roman" w:hAnsi="Times New Roman"/>
                <w:sz w:val="21"/>
              </w:rPr>
            </w:pPr>
            <w:r>
              <w:rPr>
                <w:rFonts w:ascii="Times New Roman" w:hAnsi="Times New Roman"/>
                <w:w w:val="99"/>
                <w:sz w:val="21"/>
              </w:rPr>
              <w:t>—</w:t>
            </w:r>
          </w:p>
        </w:tc>
        <w:tc>
          <w:tcPr>
            <w:tcW w:w="1186" w:type="dxa"/>
          </w:tcPr>
          <w:p>
            <w:pPr>
              <w:pStyle w:val="TableParagraph"/>
              <w:spacing w:before="83"/>
              <w:ind w:left="7"/>
              <w:rPr>
                <w:rFonts w:ascii="Times New Roman" w:hAnsi="Times New Roman"/>
                <w:sz w:val="21"/>
              </w:rPr>
            </w:pPr>
            <w:r>
              <w:rPr>
                <w:rFonts w:ascii="Times New Roman" w:hAnsi="Times New Roman"/>
                <w:w w:val="99"/>
                <w:sz w:val="21"/>
              </w:rPr>
              <w:t>—</w:t>
            </w:r>
          </w:p>
        </w:tc>
        <w:tc>
          <w:tcPr>
            <w:tcW w:w="1786" w:type="dxa"/>
          </w:tcPr>
          <w:p>
            <w:pPr>
              <w:pStyle w:val="TableParagraph"/>
              <w:spacing w:before="80"/>
              <w:ind w:left="6"/>
              <w:rPr>
                <w:rFonts w:ascii="Times New Roman" w:hAnsi="Times New Roman"/>
                <w:sz w:val="21"/>
              </w:rPr>
            </w:pPr>
            <w:r>
              <w:rPr>
                <w:rFonts w:ascii="Times New Roman" w:hAnsi="Times New Roman"/>
                <w:w w:val="99"/>
                <w:sz w:val="21"/>
              </w:rPr>
              <w:t>—</w:t>
            </w:r>
          </w:p>
        </w:tc>
        <w:tc>
          <w:tcPr>
            <w:tcW w:w="1787" w:type="dxa"/>
          </w:tcPr>
          <w:p>
            <w:pPr>
              <w:pStyle w:val="TableParagraph"/>
              <w:spacing w:before="80"/>
              <w:ind w:left="9"/>
              <w:rPr>
                <w:rFonts w:ascii="Times New Roman" w:hAnsi="Times New Roman"/>
                <w:sz w:val="21"/>
              </w:rPr>
            </w:pPr>
            <w:r>
              <w:rPr>
                <w:rFonts w:ascii="Times New Roman" w:hAnsi="Times New Roman"/>
                <w:w w:val="99"/>
                <w:sz w:val="21"/>
              </w:rPr>
              <w:t>—</w:t>
            </w:r>
          </w:p>
        </w:tc>
        <w:tc>
          <w:tcPr>
            <w:tcW w:w="1288" w:type="dxa"/>
          </w:tcPr>
          <w:p>
            <w:pPr>
              <w:pStyle w:val="TableParagraph"/>
              <w:spacing w:before="80"/>
              <w:ind w:left="6"/>
              <w:rPr>
                <w:rFonts w:ascii="Times New Roman" w:hAnsi="Times New Roman"/>
                <w:sz w:val="21"/>
              </w:rPr>
            </w:pPr>
            <w:r>
              <w:rPr>
                <w:rFonts w:ascii="Times New Roman" w:hAnsi="Times New Roman"/>
                <w:w w:val="99"/>
                <w:sz w:val="21"/>
              </w:rPr>
              <w:t>—</w:t>
            </w:r>
          </w:p>
        </w:tc>
        <w:tc>
          <w:tcPr>
            <w:tcW w:w="1527" w:type="dxa"/>
          </w:tcPr>
          <w:p>
            <w:pPr>
              <w:pStyle w:val="TableParagraph"/>
              <w:spacing w:before="83"/>
              <w:ind w:left="9"/>
              <w:rPr>
                <w:rFonts w:ascii="Times New Roman" w:hAnsi="Times New Roman"/>
                <w:sz w:val="21"/>
              </w:rPr>
            </w:pPr>
            <w:r>
              <w:rPr>
                <w:rFonts w:ascii="Times New Roman" w:hAnsi="Times New Roman"/>
                <w:w w:val="99"/>
                <w:sz w:val="21"/>
              </w:rPr>
              <w:t>—</w:t>
            </w:r>
          </w:p>
        </w:tc>
        <w:tc>
          <w:tcPr>
            <w:tcW w:w="1718" w:type="dxa"/>
          </w:tcPr>
          <w:p>
            <w:pPr>
              <w:pStyle w:val="TableParagraph"/>
              <w:spacing w:before="80"/>
              <w:ind w:left="8"/>
              <w:rPr>
                <w:rFonts w:ascii="Times New Roman" w:hAnsi="Times New Roman"/>
                <w:sz w:val="21"/>
              </w:rPr>
            </w:pPr>
            <w:r>
              <w:rPr>
                <w:rFonts w:ascii="Times New Roman" w:hAnsi="Times New Roman"/>
                <w:w w:val="99"/>
                <w:sz w:val="21"/>
              </w:rPr>
              <w:t>—</w:t>
            </w:r>
          </w:p>
        </w:tc>
        <w:tc>
          <w:tcPr>
            <w:tcW w:w="1367" w:type="dxa"/>
          </w:tcPr>
          <w:p>
            <w:pPr>
              <w:pStyle w:val="TableParagraph"/>
              <w:spacing w:before="80"/>
              <w:ind w:left="5"/>
              <w:rPr>
                <w:rFonts w:ascii="Times New Roman" w:hAnsi="Times New Roman"/>
                <w:sz w:val="21"/>
              </w:rPr>
            </w:pPr>
            <w:r>
              <w:rPr>
                <w:rFonts w:ascii="Times New Roman" w:hAnsi="Times New Roman"/>
                <w:w w:val="99"/>
                <w:sz w:val="21"/>
              </w:rPr>
              <w:t>—</w:t>
            </w:r>
          </w:p>
        </w:tc>
      </w:tr>
    </w:tbl>
    <w:p>
      <w:pPr>
        <w:spacing w:before="127"/>
        <w:ind w:left="540" w:right="0" w:firstLine="0"/>
        <w:jc w:val="left"/>
        <w:rPr>
          <w:sz w:val="18"/>
        </w:rPr>
      </w:pPr>
      <w:r>
        <w:rPr>
          <w:spacing w:val="-1"/>
          <w:sz w:val="18"/>
        </w:rPr>
        <w:t>注：日等效最大操作量和操作方式见《电离辐射防护与辐射源安全基本标准》</w:t>
      </w:r>
      <w:r>
        <w:rPr>
          <w:sz w:val="18"/>
        </w:rPr>
        <w:t>（</w:t>
      </w:r>
      <w:r>
        <w:rPr>
          <w:rFonts w:ascii="Times New Roman" w:eastAsia="Times New Roman"/>
          <w:sz w:val="18"/>
        </w:rPr>
        <w:t>GB18871-2002</w:t>
      </w:r>
      <w:r>
        <w:rPr>
          <w:sz w:val="18"/>
        </w:rPr>
        <w:t>）。</w:t>
      </w:r>
    </w:p>
    <w:p>
      <w:pPr>
        <w:spacing w:after="0"/>
        <w:jc w:val="left"/>
        <w:rPr>
          <w:sz w:val="18"/>
        </w:rPr>
        <w:sectPr>
          <w:pgSz w:w="16840" w:h="11910" w:orient="landscape"/>
          <w:pgMar w:header="0" w:footer="1235" w:top="1100" w:bottom="1420" w:left="900" w:right="1160"/>
        </w:sectPr>
      </w:pPr>
    </w:p>
    <w:p>
      <w:pPr>
        <w:pStyle w:val="BodyText"/>
        <w:rPr>
          <w:sz w:val="20"/>
        </w:rPr>
      </w:pPr>
    </w:p>
    <w:p>
      <w:pPr>
        <w:pStyle w:val="BodyText"/>
        <w:rPr>
          <w:sz w:val="20"/>
        </w:rPr>
      </w:pPr>
    </w:p>
    <w:p>
      <w:pPr>
        <w:pStyle w:val="BodyText"/>
        <w:spacing w:before="2"/>
        <w:rPr>
          <w:sz w:val="18"/>
        </w:rPr>
      </w:pPr>
    </w:p>
    <w:p>
      <w:pPr>
        <w:tabs>
          <w:tab w:pos="1365" w:val="left" w:leader="none"/>
        </w:tabs>
        <w:spacing w:before="70"/>
        <w:ind w:left="540" w:right="0" w:firstLine="0"/>
        <w:jc w:val="left"/>
        <w:rPr>
          <w:sz w:val="30"/>
        </w:rPr>
      </w:pPr>
      <w:bookmarkStart w:name="_bookmark3" w:id="7"/>
      <w:bookmarkEnd w:id="7"/>
      <w:r>
        <w:rPr/>
      </w:r>
      <w:r>
        <w:rPr>
          <w:sz w:val="30"/>
        </w:rPr>
        <w:t>表</w:t>
      </w:r>
      <w:r>
        <w:rPr>
          <w:spacing w:val="-76"/>
          <w:sz w:val="30"/>
        </w:rPr>
        <w:t> </w:t>
      </w:r>
      <w:r>
        <w:rPr>
          <w:rFonts w:ascii="Times New Roman" w:eastAsia="Times New Roman"/>
          <w:sz w:val="30"/>
        </w:rPr>
        <w:t>4</w:t>
        <w:tab/>
      </w:r>
      <w:r>
        <w:rPr>
          <w:sz w:val="30"/>
        </w:rPr>
        <w:t>射线装置</w:t>
      </w:r>
    </w:p>
    <w:p>
      <w:pPr>
        <w:pStyle w:val="Heading2"/>
        <w:spacing w:before="252"/>
        <w:ind w:left="540"/>
      </w:pPr>
      <w:r>
        <w:rPr/>
        <w:t>（一）加速器，包括医用、工农业、科研、教学等用途的各种类型加速器</w:t>
      </w:r>
    </w:p>
    <w:p>
      <w:pPr>
        <w:pStyle w:val="BodyText"/>
        <w:spacing w:before="3"/>
        <w:rPr>
          <w:sz w:val="10"/>
        </w:rPr>
      </w:pPr>
    </w:p>
    <w:tbl>
      <w:tblPr>
        <w:tblW w:w="0" w:type="auto"/>
        <w:jc w:val="left"/>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0"/>
        <w:gridCol w:w="1744"/>
        <w:gridCol w:w="658"/>
        <w:gridCol w:w="611"/>
        <w:gridCol w:w="912"/>
        <w:gridCol w:w="646"/>
        <w:gridCol w:w="1062"/>
        <w:gridCol w:w="2215"/>
        <w:gridCol w:w="1085"/>
        <w:gridCol w:w="3450"/>
        <w:gridCol w:w="1242"/>
      </w:tblGrid>
      <w:tr>
        <w:trPr>
          <w:trHeight w:val="624" w:hRule="atLeast"/>
        </w:trPr>
        <w:tc>
          <w:tcPr>
            <w:tcW w:w="400" w:type="dxa"/>
          </w:tcPr>
          <w:p>
            <w:pPr>
              <w:pStyle w:val="TableParagraph"/>
              <w:spacing w:before="21"/>
              <w:ind w:left="108"/>
              <w:jc w:val="left"/>
              <w:rPr>
                <w:sz w:val="21"/>
              </w:rPr>
            </w:pPr>
            <w:r>
              <w:rPr>
                <w:w w:val="99"/>
                <w:sz w:val="21"/>
              </w:rPr>
              <w:t>序</w:t>
            </w:r>
          </w:p>
          <w:p>
            <w:pPr>
              <w:pStyle w:val="TableParagraph"/>
              <w:spacing w:before="43"/>
              <w:ind w:left="108"/>
              <w:jc w:val="left"/>
              <w:rPr>
                <w:sz w:val="21"/>
              </w:rPr>
            </w:pPr>
            <w:r>
              <w:rPr>
                <w:w w:val="99"/>
                <w:sz w:val="21"/>
              </w:rPr>
              <w:t>号</w:t>
            </w:r>
          </w:p>
        </w:tc>
        <w:tc>
          <w:tcPr>
            <w:tcW w:w="1744" w:type="dxa"/>
          </w:tcPr>
          <w:p>
            <w:pPr>
              <w:pStyle w:val="TableParagraph"/>
              <w:spacing w:before="177"/>
              <w:ind w:left="639" w:right="634"/>
              <w:rPr>
                <w:sz w:val="21"/>
              </w:rPr>
            </w:pPr>
            <w:r>
              <w:rPr>
                <w:sz w:val="21"/>
              </w:rPr>
              <w:t>名称</w:t>
            </w:r>
          </w:p>
        </w:tc>
        <w:tc>
          <w:tcPr>
            <w:tcW w:w="658" w:type="dxa"/>
          </w:tcPr>
          <w:p>
            <w:pPr>
              <w:pStyle w:val="TableParagraph"/>
              <w:spacing w:before="177"/>
              <w:ind w:left="98" w:right="90"/>
              <w:rPr>
                <w:sz w:val="21"/>
              </w:rPr>
            </w:pPr>
            <w:r>
              <w:rPr>
                <w:sz w:val="21"/>
              </w:rPr>
              <w:t>类别</w:t>
            </w:r>
          </w:p>
        </w:tc>
        <w:tc>
          <w:tcPr>
            <w:tcW w:w="611" w:type="dxa"/>
          </w:tcPr>
          <w:p>
            <w:pPr>
              <w:pStyle w:val="TableParagraph"/>
              <w:spacing w:before="21"/>
              <w:ind w:left="200"/>
              <w:jc w:val="left"/>
              <w:rPr>
                <w:sz w:val="21"/>
              </w:rPr>
            </w:pPr>
            <w:r>
              <w:rPr>
                <w:w w:val="99"/>
                <w:sz w:val="21"/>
              </w:rPr>
              <w:t>数</w:t>
            </w:r>
          </w:p>
          <w:p>
            <w:pPr>
              <w:pStyle w:val="TableParagraph"/>
              <w:spacing w:before="43"/>
              <w:ind w:left="200"/>
              <w:jc w:val="left"/>
              <w:rPr>
                <w:sz w:val="21"/>
              </w:rPr>
            </w:pPr>
            <w:r>
              <w:rPr>
                <w:w w:val="99"/>
                <w:sz w:val="21"/>
              </w:rPr>
              <w:t>量</w:t>
            </w:r>
          </w:p>
        </w:tc>
        <w:tc>
          <w:tcPr>
            <w:tcW w:w="912" w:type="dxa"/>
          </w:tcPr>
          <w:p>
            <w:pPr>
              <w:pStyle w:val="TableParagraph"/>
              <w:spacing w:before="177"/>
              <w:ind w:left="223" w:right="218"/>
              <w:rPr>
                <w:sz w:val="21"/>
              </w:rPr>
            </w:pPr>
            <w:r>
              <w:rPr>
                <w:sz w:val="21"/>
              </w:rPr>
              <w:t>型号</w:t>
            </w:r>
          </w:p>
        </w:tc>
        <w:tc>
          <w:tcPr>
            <w:tcW w:w="646" w:type="dxa"/>
          </w:tcPr>
          <w:p>
            <w:pPr>
              <w:pStyle w:val="TableParagraph"/>
              <w:spacing w:before="21"/>
              <w:ind w:left="112"/>
              <w:jc w:val="left"/>
              <w:rPr>
                <w:sz w:val="21"/>
              </w:rPr>
            </w:pPr>
            <w:r>
              <w:rPr>
                <w:w w:val="95"/>
                <w:sz w:val="21"/>
              </w:rPr>
              <w:t>加速</w:t>
            </w:r>
          </w:p>
          <w:p>
            <w:pPr>
              <w:pStyle w:val="TableParagraph"/>
              <w:spacing w:before="43"/>
              <w:ind w:left="112"/>
              <w:jc w:val="left"/>
              <w:rPr>
                <w:sz w:val="21"/>
              </w:rPr>
            </w:pPr>
            <w:r>
              <w:rPr>
                <w:w w:val="95"/>
                <w:sz w:val="21"/>
              </w:rPr>
              <w:t>粒子</w:t>
            </w:r>
          </w:p>
        </w:tc>
        <w:tc>
          <w:tcPr>
            <w:tcW w:w="1062" w:type="dxa"/>
          </w:tcPr>
          <w:p>
            <w:pPr>
              <w:pStyle w:val="TableParagraph"/>
              <w:spacing w:before="21"/>
              <w:ind w:left="109"/>
              <w:jc w:val="left"/>
              <w:rPr>
                <w:sz w:val="21"/>
              </w:rPr>
            </w:pPr>
            <w:r>
              <w:rPr>
                <w:w w:val="95"/>
                <w:sz w:val="21"/>
              </w:rPr>
              <w:t>最大能量</w:t>
            </w:r>
          </w:p>
          <w:p>
            <w:pPr>
              <w:pStyle w:val="TableParagraph"/>
              <w:spacing w:before="43"/>
              <w:ind w:left="107"/>
              <w:jc w:val="left"/>
              <w:rPr>
                <w:sz w:val="21"/>
              </w:rPr>
            </w:pPr>
            <w:r>
              <w:rPr>
                <w:sz w:val="21"/>
              </w:rPr>
              <w:t>（</w:t>
            </w:r>
            <w:r>
              <w:rPr>
                <w:rFonts w:ascii="Times New Roman" w:eastAsia="Times New Roman"/>
                <w:sz w:val="21"/>
              </w:rPr>
              <w:t>MeV</w:t>
            </w:r>
            <w:r>
              <w:rPr>
                <w:sz w:val="21"/>
              </w:rPr>
              <w:t>）</w:t>
            </w:r>
          </w:p>
        </w:tc>
        <w:tc>
          <w:tcPr>
            <w:tcW w:w="2215" w:type="dxa"/>
          </w:tcPr>
          <w:p>
            <w:pPr>
              <w:pStyle w:val="TableParagraph"/>
              <w:spacing w:before="21"/>
              <w:ind w:left="130" w:right="121"/>
              <w:rPr>
                <w:sz w:val="21"/>
              </w:rPr>
            </w:pPr>
            <w:r>
              <w:rPr>
                <w:sz w:val="21"/>
              </w:rPr>
              <w:t>额定电流（</w:t>
            </w:r>
            <w:r>
              <w:rPr>
                <w:rFonts w:ascii="Times New Roman" w:eastAsia="Times New Roman"/>
                <w:sz w:val="21"/>
              </w:rPr>
              <w:t>mA)/</w:t>
            </w:r>
            <w:r>
              <w:rPr>
                <w:sz w:val="21"/>
              </w:rPr>
              <w:t>剂量</w:t>
            </w:r>
          </w:p>
          <w:p>
            <w:pPr>
              <w:pStyle w:val="TableParagraph"/>
              <w:spacing w:before="43"/>
              <w:ind w:left="128" w:right="121"/>
              <w:rPr>
                <w:sz w:val="21"/>
              </w:rPr>
            </w:pPr>
            <w:r>
              <w:rPr>
                <w:sz w:val="21"/>
              </w:rPr>
              <w:t>率（</w:t>
            </w:r>
            <w:r>
              <w:rPr>
                <w:rFonts w:ascii="Times New Roman" w:eastAsia="Times New Roman"/>
                <w:sz w:val="21"/>
              </w:rPr>
              <w:t>Gy/h</w:t>
            </w:r>
            <w:r>
              <w:rPr>
                <w:sz w:val="21"/>
              </w:rPr>
              <w:t>）</w:t>
            </w:r>
          </w:p>
        </w:tc>
        <w:tc>
          <w:tcPr>
            <w:tcW w:w="1085" w:type="dxa"/>
          </w:tcPr>
          <w:p>
            <w:pPr>
              <w:pStyle w:val="TableParagraph"/>
              <w:spacing w:before="177"/>
              <w:ind w:left="311" w:right="304"/>
              <w:rPr>
                <w:sz w:val="21"/>
              </w:rPr>
            </w:pPr>
            <w:r>
              <w:rPr>
                <w:sz w:val="21"/>
              </w:rPr>
              <w:t>用途</w:t>
            </w:r>
          </w:p>
        </w:tc>
        <w:tc>
          <w:tcPr>
            <w:tcW w:w="3450" w:type="dxa"/>
          </w:tcPr>
          <w:p>
            <w:pPr>
              <w:pStyle w:val="TableParagraph"/>
              <w:spacing w:before="177"/>
              <w:ind w:left="1282" w:right="1277"/>
              <w:rPr>
                <w:sz w:val="21"/>
              </w:rPr>
            </w:pPr>
            <w:r>
              <w:rPr>
                <w:sz w:val="21"/>
              </w:rPr>
              <w:t>工作场所</w:t>
            </w:r>
          </w:p>
        </w:tc>
        <w:tc>
          <w:tcPr>
            <w:tcW w:w="1242" w:type="dxa"/>
          </w:tcPr>
          <w:p>
            <w:pPr>
              <w:pStyle w:val="TableParagraph"/>
              <w:spacing w:before="177"/>
              <w:ind w:left="388" w:right="383"/>
              <w:rPr>
                <w:sz w:val="21"/>
              </w:rPr>
            </w:pPr>
            <w:r>
              <w:rPr>
                <w:sz w:val="21"/>
              </w:rPr>
              <w:t>备注</w:t>
            </w:r>
          </w:p>
        </w:tc>
      </w:tr>
      <w:tr>
        <w:trPr>
          <w:trHeight w:val="513" w:hRule="atLeast"/>
        </w:trPr>
        <w:tc>
          <w:tcPr>
            <w:tcW w:w="400" w:type="dxa"/>
          </w:tcPr>
          <w:p>
            <w:pPr>
              <w:pStyle w:val="TableParagraph"/>
              <w:spacing w:before="135"/>
              <w:ind w:left="108"/>
              <w:jc w:val="left"/>
              <w:rPr>
                <w:rFonts w:ascii="Times New Roman" w:hAnsi="Times New Roman"/>
                <w:sz w:val="21"/>
              </w:rPr>
            </w:pPr>
            <w:r>
              <w:rPr>
                <w:rFonts w:ascii="Times New Roman" w:hAnsi="Times New Roman"/>
                <w:w w:val="99"/>
                <w:sz w:val="21"/>
              </w:rPr>
              <w:t>—</w:t>
            </w:r>
          </w:p>
        </w:tc>
        <w:tc>
          <w:tcPr>
            <w:tcW w:w="1744" w:type="dxa"/>
          </w:tcPr>
          <w:p>
            <w:pPr>
              <w:pStyle w:val="TableParagraph"/>
              <w:spacing w:before="135"/>
              <w:ind w:left="8"/>
              <w:rPr>
                <w:rFonts w:ascii="Times New Roman" w:hAnsi="Times New Roman"/>
                <w:sz w:val="21"/>
              </w:rPr>
            </w:pPr>
            <w:r>
              <w:rPr>
                <w:rFonts w:ascii="Times New Roman" w:hAnsi="Times New Roman"/>
                <w:w w:val="99"/>
                <w:sz w:val="21"/>
              </w:rPr>
              <w:t>—</w:t>
            </w:r>
          </w:p>
        </w:tc>
        <w:tc>
          <w:tcPr>
            <w:tcW w:w="658" w:type="dxa"/>
          </w:tcPr>
          <w:p>
            <w:pPr>
              <w:pStyle w:val="TableParagraph"/>
              <w:spacing w:before="135"/>
              <w:ind w:left="6"/>
              <w:rPr>
                <w:rFonts w:ascii="Times New Roman" w:hAnsi="Times New Roman"/>
                <w:sz w:val="21"/>
              </w:rPr>
            </w:pPr>
            <w:r>
              <w:rPr>
                <w:rFonts w:ascii="Times New Roman" w:hAnsi="Times New Roman"/>
                <w:w w:val="99"/>
                <w:sz w:val="21"/>
              </w:rPr>
              <w:t>—</w:t>
            </w:r>
          </w:p>
        </w:tc>
        <w:tc>
          <w:tcPr>
            <w:tcW w:w="611" w:type="dxa"/>
          </w:tcPr>
          <w:p>
            <w:pPr>
              <w:pStyle w:val="TableParagraph"/>
              <w:spacing w:before="135"/>
              <w:ind w:left="200"/>
              <w:jc w:val="left"/>
              <w:rPr>
                <w:rFonts w:ascii="Times New Roman" w:hAnsi="Times New Roman"/>
                <w:sz w:val="21"/>
              </w:rPr>
            </w:pPr>
            <w:r>
              <w:rPr>
                <w:rFonts w:ascii="Times New Roman" w:hAnsi="Times New Roman"/>
                <w:w w:val="99"/>
                <w:sz w:val="21"/>
              </w:rPr>
              <w:t>—</w:t>
            </w:r>
          </w:p>
        </w:tc>
        <w:tc>
          <w:tcPr>
            <w:tcW w:w="912" w:type="dxa"/>
          </w:tcPr>
          <w:p>
            <w:pPr>
              <w:pStyle w:val="TableParagraph"/>
              <w:spacing w:before="135"/>
              <w:ind w:left="7"/>
              <w:rPr>
                <w:rFonts w:ascii="Times New Roman" w:hAnsi="Times New Roman"/>
                <w:sz w:val="21"/>
              </w:rPr>
            </w:pPr>
            <w:r>
              <w:rPr>
                <w:rFonts w:ascii="Times New Roman" w:hAnsi="Times New Roman"/>
                <w:w w:val="99"/>
                <w:sz w:val="21"/>
              </w:rPr>
              <w:t>—</w:t>
            </w:r>
          </w:p>
        </w:tc>
        <w:tc>
          <w:tcPr>
            <w:tcW w:w="646" w:type="dxa"/>
          </w:tcPr>
          <w:p>
            <w:pPr>
              <w:pStyle w:val="TableParagraph"/>
              <w:spacing w:before="135"/>
              <w:ind w:left="218"/>
              <w:jc w:val="left"/>
              <w:rPr>
                <w:rFonts w:ascii="Times New Roman" w:hAnsi="Times New Roman"/>
                <w:sz w:val="21"/>
              </w:rPr>
            </w:pPr>
            <w:r>
              <w:rPr>
                <w:rFonts w:ascii="Times New Roman" w:hAnsi="Times New Roman"/>
                <w:w w:val="99"/>
                <w:sz w:val="21"/>
              </w:rPr>
              <w:t>—</w:t>
            </w:r>
          </w:p>
        </w:tc>
        <w:tc>
          <w:tcPr>
            <w:tcW w:w="1062" w:type="dxa"/>
          </w:tcPr>
          <w:p>
            <w:pPr>
              <w:pStyle w:val="TableParagraph"/>
              <w:spacing w:before="135"/>
              <w:ind w:left="10"/>
              <w:rPr>
                <w:rFonts w:ascii="Times New Roman" w:hAnsi="Times New Roman"/>
                <w:sz w:val="21"/>
              </w:rPr>
            </w:pPr>
            <w:r>
              <w:rPr>
                <w:rFonts w:ascii="Times New Roman" w:hAnsi="Times New Roman"/>
                <w:w w:val="99"/>
                <w:sz w:val="21"/>
              </w:rPr>
              <w:t>—</w:t>
            </w:r>
          </w:p>
        </w:tc>
        <w:tc>
          <w:tcPr>
            <w:tcW w:w="2215" w:type="dxa"/>
          </w:tcPr>
          <w:p>
            <w:pPr>
              <w:pStyle w:val="TableParagraph"/>
              <w:spacing w:before="135"/>
              <w:ind w:left="7"/>
              <w:rPr>
                <w:rFonts w:ascii="Times New Roman" w:hAnsi="Times New Roman"/>
                <w:sz w:val="21"/>
              </w:rPr>
            </w:pPr>
            <w:r>
              <w:rPr>
                <w:rFonts w:ascii="Times New Roman" w:hAnsi="Times New Roman"/>
                <w:w w:val="99"/>
                <w:sz w:val="21"/>
              </w:rPr>
              <w:t>—</w:t>
            </w:r>
          </w:p>
        </w:tc>
        <w:tc>
          <w:tcPr>
            <w:tcW w:w="1085" w:type="dxa"/>
          </w:tcPr>
          <w:p>
            <w:pPr>
              <w:pStyle w:val="TableParagraph"/>
              <w:spacing w:before="135"/>
              <w:ind w:left="9"/>
              <w:rPr>
                <w:rFonts w:ascii="Times New Roman" w:hAnsi="Times New Roman"/>
                <w:sz w:val="21"/>
              </w:rPr>
            </w:pPr>
            <w:r>
              <w:rPr>
                <w:rFonts w:ascii="Times New Roman" w:hAnsi="Times New Roman"/>
                <w:w w:val="99"/>
                <w:sz w:val="21"/>
              </w:rPr>
              <w:t>—</w:t>
            </w:r>
          </w:p>
        </w:tc>
        <w:tc>
          <w:tcPr>
            <w:tcW w:w="3450" w:type="dxa"/>
          </w:tcPr>
          <w:p>
            <w:pPr>
              <w:pStyle w:val="TableParagraph"/>
              <w:spacing w:before="135"/>
              <w:ind w:left="10"/>
              <w:rPr>
                <w:rFonts w:ascii="Times New Roman" w:hAnsi="Times New Roman"/>
                <w:sz w:val="21"/>
              </w:rPr>
            </w:pPr>
            <w:r>
              <w:rPr>
                <w:rFonts w:ascii="Times New Roman" w:hAnsi="Times New Roman"/>
                <w:w w:val="99"/>
                <w:sz w:val="21"/>
              </w:rPr>
              <w:t>—</w:t>
            </w:r>
          </w:p>
        </w:tc>
        <w:tc>
          <w:tcPr>
            <w:tcW w:w="1242" w:type="dxa"/>
          </w:tcPr>
          <w:p>
            <w:pPr>
              <w:pStyle w:val="TableParagraph"/>
              <w:spacing w:before="135"/>
              <w:ind w:left="8"/>
              <w:rPr>
                <w:rFonts w:ascii="Times New Roman" w:hAnsi="Times New Roman"/>
                <w:sz w:val="21"/>
              </w:rPr>
            </w:pPr>
            <w:r>
              <w:rPr>
                <w:rFonts w:ascii="Times New Roman" w:hAnsi="Times New Roman"/>
                <w:w w:val="99"/>
                <w:sz w:val="21"/>
              </w:rPr>
              <w:t>—</w:t>
            </w:r>
          </w:p>
        </w:tc>
      </w:tr>
    </w:tbl>
    <w:p>
      <w:pPr>
        <w:pStyle w:val="Heading2"/>
        <w:spacing w:before="132"/>
        <w:ind w:left="540"/>
      </w:pPr>
      <w:r>
        <w:rPr/>
        <w:t>（二）</w:t>
      </w:r>
      <w:r>
        <w:rPr>
          <w:rFonts w:ascii="Times New Roman" w:eastAsia="Times New Roman"/>
        </w:rPr>
        <w:t>X</w:t>
      </w:r>
      <w:r>
        <w:rPr>
          <w:rFonts w:ascii="Times New Roman" w:eastAsia="Times New Roman"/>
          <w:spacing w:val="-9"/>
        </w:rPr>
        <w:t> </w:t>
      </w:r>
      <w:r>
        <w:rPr/>
        <w:t>射线机，包括工业探伤、医用诊断和治疗、分析等用途</w:t>
      </w:r>
    </w:p>
    <w:p>
      <w:pPr>
        <w:pStyle w:val="BodyText"/>
        <w:spacing w:before="5"/>
        <w:rPr>
          <w:sz w:val="10"/>
        </w:rPr>
      </w:pPr>
    </w:p>
    <w:tbl>
      <w:tblPr>
        <w:tblW w:w="0" w:type="auto"/>
        <w:jc w:val="left"/>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2542"/>
        <w:gridCol w:w="795"/>
        <w:gridCol w:w="817"/>
        <w:gridCol w:w="2633"/>
        <w:gridCol w:w="1215"/>
        <w:gridCol w:w="1215"/>
        <w:gridCol w:w="1188"/>
        <w:gridCol w:w="1936"/>
        <w:gridCol w:w="1148"/>
      </w:tblGrid>
      <w:tr>
        <w:trPr>
          <w:trHeight w:val="811" w:hRule="atLeast"/>
        </w:trPr>
        <w:tc>
          <w:tcPr>
            <w:tcW w:w="511" w:type="dxa"/>
          </w:tcPr>
          <w:p>
            <w:pPr>
              <w:pStyle w:val="TableParagraph"/>
              <w:spacing w:line="278" w:lineRule="auto" w:before="113"/>
              <w:ind w:left="150" w:right="139"/>
              <w:jc w:val="left"/>
              <w:rPr>
                <w:sz w:val="21"/>
              </w:rPr>
            </w:pPr>
            <w:r>
              <w:rPr>
                <w:sz w:val="21"/>
              </w:rPr>
              <w:t>序号</w:t>
            </w:r>
          </w:p>
        </w:tc>
        <w:tc>
          <w:tcPr>
            <w:tcW w:w="2542" w:type="dxa"/>
          </w:tcPr>
          <w:p>
            <w:pPr>
              <w:pStyle w:val="TableParagraph"/>
              <w:jc w:val="left"/>
              <w:rPr>
                <w:sz w:val="21"/>
              </w:rPr>
            </w:pPr>
          </w:p>
          <w:p>
            <w:pPr>
              <w:pStyle w:val="TableParagraph"/>
              <w:ind w:left="1036" w:right="1030"/>
              <w:rPr>
                <w:sz w:val="21"/>
              </w:rPr>
            </w:pPr>
            <w:r>
              <w:rPr>
                <w:sz w:val="21"/>
              </w:rPr>
              <w:t>名称</w:t>
            </w:r>
          </w:p>
        </w:tc>
        <w:tc>
          <w:tcPr>
            <w:tcW w:w="795" w:type="dxa"/>
          </w:tcPr>
          <w:p>
            <w:pPr>
              <w:pStyle w:val="TableParagraph"/>
              <w:jc w:val="left"/>
              <w:rPr>
                <w:sz w:val="21"/>
              </w:rPr>
            </w:pPr>
          </w:p>
          <w:p>
            <w:pPr>
              <w:pStyle w:val="TableParagraph"/>
              <w:ind w:left="165" w:right="160"/>
              <w:rPr>
                <w:sz w:val="21"/>
              </w:rPr>
            </w:pPr>
            <w:r>
              <w:rPr>
                <w:sz w:val="21"/>
              </w:rPr>
              <w:t>类别</w:t>
            </w:r>
          </w:p>
        </w:tc>
        <w:tc>
          <w:tcPr>
            <w:tcW w:w="817" w:type="dxa"/>
          </w:tcPr>
          <w:p>
            <w:pPr>
              <w:pStyle w:val="TableParagraph"/>
              <w:jc w:val="left"/>
              <w:rPr>
                <w:sz w:val="21"/>
              </w:rPr>
            </w:pPr>
          </w:p>
          <w:p>
            <w:pPr>
              <w:pStyle w:val="TableParagraph"/>
              <w:ind w:left="166" w:right="161"/>
              <w:rPr>
                <w:sz w:val="21"/>
              </w:rPr>
            </w:pPr>
            <w:r>
              <w:rPr>
                <w:sz w:val="21"/>
              </w:rPr>
              <w:t>数量</w:t>
            </w:r>
          </w:p>
        </w:tc>
        <w:tc>
          <w:tcPr>
            <w:tcW w:w="2633" w:type="dxa"/>
          </w:tcPr>
          <w:p>
            <w:pPr>
              <w:pStyle w:val="TableParagraph"/>
              <w:jc w:val="left"/>
              <w:rPr>
                <w:sz w:val="21"/>
              </w:rPr>
            </w:pPr>
          </w:p>
          <w:p>
            <w:pPr>
              <w:pStyle w:val="TableParagraph"/>
              <w:ind w:left="698" w:right="691"/>
              <w:rPr>
                <w:sz w:val="21"/>
              </w:rPr>
            </w:pPr>
            <w:r>
              <w:rPr>
                <w:sz w:val="21"/>
              </w:rPr>
              <w:t>型号</w:t>
            </w:r>
          </w:p>
        </w:tc>
        <w:tc>
          <w:tcPr>
            <w:tcW w:w="1215" w:type="dxa"/>
          </w:tcPr>
          <w:p>
            <w:pPr>
              <w:pStyle w:val="TableParagraph"/>
              <w:spacing w:before="67"/>
              <w:ind w:left="186"/>
              <w:jc w:val="left"/>
              <w:rPr>
                <w:sz w:val="21"/>
              </w:rPr>
            </w:pPr>
            <w:r>
              <w:rPr>
                <w:w w:val="95"/>
                <w:sz w:val="21"/>
              </w:rPr>
              <w:t>最大管电</w:t>
            </w:r>
          </w:p>
          <w:p>
            <w:pPr>
              <w:pStyle w:val="TableParagraph"/>
              <w:spacing w:before="137"/>
              <w:ind w:left="162"/>
              <w:jc w:val="left"/>
              <w:rPr>
                <w:sz w:val="21"/>
              </w:rPr>
            </w:pPr>
            <w:r>
              <w:rPr>
                <w:w w:val="95"/>
                <w:sz w:val="21"/>
              </w:rPr>
              <w:t>压（</w:t>
            </w:r>
            <w:r>
              <w:rPr>
                <w:rFonts w:ascii="Times New Roman" w:eastAsia="Times New Roman"/>
                <w:w w:val="95"/>
                <w:sz w:val="21"/>
              </w:rPr>
              <w:t>kV</w:t>
            </w:r>
            <w:r>
              <w:rPr>
                <w:w w:val="95"/>
                <w:sz w:val="21"/>
              </w:rPr>
              <w:t>）</w:t>
            </w:r>
          </w:p>
        </w:tc>
        <w:tc>
          <w:tcPr>
            <w:tcW w:w="1215" w:type="dxa"/>
          </w:tcPr>
          <w:p>
            <w:pPr>
              <w:pStyle w:val="TableParagraph"/>
              <w:spacing w:before="67"/>
              <w:ind w:left="186"/>
              <w:jc w:val="left"/>
              <w:rPr>
                <w:sz w:val="21"/>
              </w:rPr>
            </w:pPr>
            <w:r>
              <w:rPr>
                <w:sz w:val="21"/>
              </w:rPr>
              <w:t>最大管电</w:t>
            </w:r>
          </w:p>
          <w:p>
            <w:pPr>
              <w:pStyle w:val="TableParagraph"/>
              <w:spacing w:before="137"/>
              <w:ind w:left="135"/>
              <w:jc w:val="left"/>
              <w:rPr>
                <w:sz w:val="21"/>
              </w:rPr>
            </w:pPr>
            <w:r>
              <w:rPr>
                <w:sz w:val="21"/>
              </w:rPr>
              <w:t>流（</w:t>
            </w:r>
            <w:r>
              <w:rPr>
                <w:rFonts w:ascii="Times New Roman" w:eastAsia="Times New Roman"/>
                <w:sz w:val="21"/>
              </w:rPr>
              <w:t>mA</w:t>
            </w:r>
            <w:r>
              <w:rPr>
                <w:sz w:val="21"/>
              </w:rPr>
              <w:t>）</w:t>
            </w:r>
          </w:p>
        </w:tc>
        <w:tc>
          <w:tcPr>
            <w:tcW w:w="1188" w:type="dxa"/>
          </w:tcPr>
          <w:p>
            <w:pPr>
              <w:pStyle w:val="TableParagraph"/>
              <w:jc w:val="left"/>
              <w:rPr>
                <w:sz w:val="21"/>
              </w:rPr>
            </w:pPr>
          </w:p>
          <w:p>
            <w:pPr>
              <w:pStyle w:val="TableParagraph"/>
              <w:ind w:left="152" w:right="143"/>
              <w:rPr>
                <w:sz w:val="21"/>
              </w:rPr>
            </w:pPr>
            <w:r>
              <w:rPr>
                <w:sz w:val="21"/>
              </w:rPr>
              <w:t>用途</w:t>
            </w:r>
          </w:p>
        </w:tc>
        <w:tc>
          <w:tcPr>
            <w:tcW w:w="1936" w:type="dxa"/>
          </w:tcPr>
          <w:p>
            <w:pPr>
              <w:pStyle w:val="TableParagraph"/>
              <w:jc w:val="left"/>
              <w:rPr>
                <w:sz w:val="21"/>
              </w:rPr>
            </w:pPr>
          </w:p>
          <w:p>
            <w:pPr>
              <w:pStyle w:val="TableParagraph"/>
              <w:ind w:left="500" w:right="493"/>
              <w:rPr>
                <w:sz w:val="21"/>
              </w:rPr>
            </w:pPr>
            <w:r>
              <w:rPr>
                <w:sz w:val="21"/>
              </w:rPr>
              <w:t>工作场所</w:t>
            </w:r>
          </w:p>
        </w:tc>
        <w:tc>
          <w:tcPr>
            <w:tcW w:w="1148" w:type="dxa"/>
          </w:tcPr>
          <w:p>
            <w:pPr>
              <w:pStyle w:val="TableParagraph"/>
              <w:jc w:val="left"/>
              <w:rPr>
                <w:sz w:val="21"/>
              </w:rPr>
            </w:pPr>
          </w:p>
          <w:p>
            <w:pPr>
              <w:pStyle w:val="TableParagraph"/>
              <w:ind w:left="131" w:right="124"/>
              <w:rPr>
                <w:sz w:val="21"/>
              </w:rPr>
            </w:pPr>
            <w:r>
              <w:rPr>
                <w:sz w:val="21"/>
              </w:rPr>
              <w:t>备注</w:t>
            </w:r>
          </w:p>
        </w:tc>
      </w:tr>
      <w:tr>
        <w:trPr>
          <w:trHeight w:val="311" w:hRule="atLeast"/>
        </w:trPr>
        <w:tc>
          <w:tcPr>
            <w:tcW w:w="511" w:type="dxa"/>
          </w:tcPr>
          <w:p>
            <w:pPr>
              <w:pStyle w:val="TableParagraph"/>
              <w:spacing w:before="35"/>
              <w:ind w:left="9"/>
              <w:rPr>
                <w:rFonts w:ascii="Times New Roman"/>
                <w:sz w:val="21"/>
              </w:rPr>
            </w:pPr>
            <w:r>
              <w:rPr>
                <w:rFonts w:ascii="Times New Roman"/>
                <w:w w:val="99"/>
                <w:sz w:val="21"/>
              </w:rPr>
              <w:t>1</w:t>
            </w:r>
          </w:p>
        </w:tc>
        <w:tc>
          <w:tcPr>
            <w:tcW w:w="2542" w:type="dxa"/>
          </w:tcPr>
          <w:p>
            <w:pPr>
              <w:pStyle w:val="TableParagraph"/>
              <w:spacing w:before="35"/>
              <w:ind w:left="1039" w:right="1029"/>
              <w:rPr>
                <w:rFonts w:ascii="Times New Roman"/>
                <w:sz w:val="21"/>
              </w:rPr>
            </w:pPr>
            <w:r>
              <w:rPr>
                <w:rFonts w:ascii="Times New Roman"/>
                <w:sz w:val="21"/>
              </w:rPr>
              <w:t>DSA</w:t>
            </w:r>
          </w:p>
        </w:tc>
        <w:tc>
          <w:tcPr>
            <w:tcW w:w="795" w:type="dxa"/>
          </w:tcPr>
          <w:p>
            <w:pPr>
              <w:pStyle w:val="TableParagraph"/>
              <w:spacing w:before="21"/>
              <w:ind w:left="165" w:right="158"/>
              <w:rPr>
                <w:sz w:val="21"/>
              </w:rPr>
            </w:pPr>
            <w:r>
              <w:rPr>
                <w:rFonts w:ascii="Times New Roman" w:hAnsi="Times New Roman" w:eastAsia="Times New Roman"/>
                <w:sz w:val="21"/>
              </w:rPr>
              <w:t>Ⅱ</w:t>
            </w:r>
            <w:r>
              <w:rPr>
                <w:sz w:val="21"/>
              </w:rPr>
              <w:t>类</w:t>
            </w:r>
          </w:p>
        </w:tc>
        <w:tc>
          <w:tcPr>
            <w:tcW w:w="817" w:type="dxa"/>
          </w:tcPr>
          <w:p>
            <w:pPr>
              <w:pStyle w:val="TableParagraph"/>
              <w:spacing w:before="21"/>
              <w:ind w:left="169" w:right="161"/>
              <w:rPr>
                <w:sz w:val="21"/>
              </w:rPr>
            </w:pPr>
            <w:r>
              <w:rPr>
                <w:rFonts w:ascii="Times New Roman" w:eastAsia="Times New Roman"/>
                <w:sz w:val="21"/>
              </w:rPr>
              <w:t>1 </w:t>
            </w:r>
            <w:r>
              <w:rPr>
                <w:sz w:val="21"/>
              </w:rPr>
              <w:t>台</w:t>
            </w:r>
          </w:p>
        </w:tc>
        <w:tc>
          <w:tcPr>
            <w:tcW w:w="2633" w:type="dxa"/>
          </w:tcPr>
          <w:p>
            <w:pPr>
              <w:pStyle w:val="TableParagraph"/>
              <w:spacing w:before="35"/>
              <w:ind w:left="701" w:right="691"/>
              <w:rPr>
                <w:rFonts w:ascii="Times New Roman"/>
                <w:sz w:val="21"/>
              </w:rPr>
            </w:pPr>
            <w:r>
              <w:rPr>
                <w:rFonts w:ascii="Times New Roman"/>
                <w:sz w:val="21"/>
              </w:rPr>
              <w:t>Azurion7M20</w:t>
            </w:r>
          </w:p>
        </w:tc>
        <w:tc>
          <w:tcPr>
            <w:tcW w:w="1215" w:type="dxa"/>
          </w:tcPr>
          <w:p>
            <w:pPr>
              <w:pStyle w:val="TableParagraph"/>
              <w:spacing w:before="35"/>
              <w:ind w:left="450"/>
              <w:jc w:val="left"/>
              <w:rPr>
                <w:rFonts w:ascii="Times New Roman"/>
                <w:sz w:val="21"/>
              </w:rPr>
            </w:pPr>
            <w:r>
              <w:rPr>
                <w:rFonts w:ascii="Times New Roman"/>
                <w:sz w:val="21"/>
              </w:rPr>
              <w:t>125</w:t>
            </w:r>
          </w:p>
        </w:tc>
        <w:tc>
          <w:tcPr>
            <w:tcW w:w="1215" w:type="dxa"/>
          </w:tcPr>
          <w:p>
            <w:pPr>
              <w:pStyle w:val="TableParagraph"/>
              <w:spacing w:before="35"/>
              <w:ind w:left="376" w:right="368"/>
              <w:rPr>
                <w:rFonts w:ascii="Times New Roman"/>
                <w:sz w:val="21"/>
              </w:rPr>
            </w:pPr>
            <w:r>
              <w:rPr>
                <w:rFonts w:ascii="Times New Roman"/>
                <w:sz w:val="21"/>
              </w:rPr>
              <w:t>1000</w:t>
            </w:r>
          </w:p>
        </w:tc>
        <w:tc>
          <w:tcPr>
            <w:tcW w:w="1188" w:type="dxa"/>
          </w:tcPr>
          <w:p>
            <w:pPr>
              <w:pStyle w:val="TableParagraph"/>
              <w:spacing w:before="21"/>
              <w:ind w:left="152" w:right="146"/>
              <w:rPr>
                <w:sz w:val="21"/>
              </w:rPr>
            </w:pPr>
            <w:r>
              <w:rPr>
                <w:sz w:val="21"/>
              </w:rPr>
              <w:t>介入治疗</w:t>
            </w:r>
          </w:p>
        </w:tc>
        <w:tc>
          <w:tcPr>
            <w:tcW w:w="1936" w:type="dxa"/>
          </w:tcPr>
          <w:p>
            <w:pPr>
              <w:pStyle w:val="TableParagraph"/>
              <w:spacing w:before="21"/>
              <w:ind w:left="500" w:right="493"/>
              <w:rPr>
                <w:sz w:val="21"/>
              </w:rPr>
            </w:pPr>
            <w:r>
              <w:rPr>
                <w:rFonts w:ascii="Times New Roman" w:eastAsia="Times New Roman"/>
                <w:sz w:val="21"/>
              </w:rPr>
              <w:t>DSA</w:t>
            </w:r>
            <w:r>
              <w:rPr>
                <w:rFonts w:ascii="Times New Roman" w:eastAsia="Times New Roman"/>
                <w:spacing w:val="-1"/>
                <w:sz w:val="21"/>
              </w:rPr>
              <w:t> </w:t>
            </w:r>
            <w:r>
              <w:rPr>
                <w:sz w:val="21"/>
              </w:rPr>
              <w:t>机房</w:t>
            </w:r>
          </w:p>
        </w:tc>
        <w:tc>
          <w:tcPr>
            <w:tcW w:w="1148" w:type="dxa"/>
          </w:tcPr>
          <w:p>
            <w:pPr>
              <w:pStyle w:val="TableParagraph"/>
              <w:spacing w:before="21"/>
              <w:ind w:left="131" w:right="126"/>
              <w:rPr>
                <w:sz w:val="21"/>
              </w:rPr>
            </w:pPr>
            <w:r>
              <w:rPr>
                <w:sz w:val="21"/>
              </w:rPr>
              <w:t>本次评价</w:t>
            </w:r>
          </w:p>
        </w:tc>
      </w:tr>
      <w:tr>
        <w:trPr>
          <w:trHeight w:val="312" w:hRule="atLeast"/>
        </w:trPr>
        <w:tc>
          <w:tcPr>
            <w:tcW w:w="511" w:type="dxa"/>
          </w:tcPr>
          <w:p>
            <w:pPr>
              <w:pStyle w:val="TableParagraph"/>
              <w:spacing w:before="35"/>
              <w:ind w:left="8"/>
              <w:rPr>
                <w:rFonts w:ascii="Times New Roman" w:hAnsi="Times New Roman"/>
                <w:sz w:val="21"/>
              </w:rPr>
            </w:pPr>
            <w:r>
              <w:rPr>
                <w:rFonts w:ascii="Times New Roman" w:hAnsi="Times New Roman"/>
                <w:w w:val="99"/>
                <w:sz w:val="21"/>
              </w:rPr>
              <w:t>—</w:t>
            </w:r>
          </w:p>
        </w:tc>
        <w:tc>
          <w:tcPr>
            <w:tcW w:w="2542" w:type="dxa"/>
          </w:tcPr>
          <w:p>
            <w:pPr>
              <w:pStyle w:val="TableParagraph"/>
              <w:spacing w:before="35"/>
              <w:ind w:left="8"/>
              <w:rPr>
                <w:rFonts w:ascii="Times New Roman" w:hAnsi="Times New Roman"/>
                <w:sz w:val="21"/>
              </w:rPr>
            </w:pPr>
            <w:r>
              <w:rPr>
                <w:rFonts w:ascii="Times New Roman" w:hAnsi="Times New Roman"/>
                <w:w w:val="99"/>
                <w:sz w:val="21"/>
              </w:rPr>
              <w:t>—</w:t>
            </w:r>
          </w:p>
        </w:tc>
        <w:tc>
          <w:tcPr>
            <w:tcW w:w="795" w:type="dxa"/>
          </w:tcPr>
          <w:p>
            <w:pPr>
              <w:pStyle w:val="TableParagraph"/>
              <w:spacing w:before="35"/>
              <w:ind w:left="7"/>
              <w:rPr>
                <w:rFonts w:ascii="Times New Roman" w:hAnsi="Times New Roman"/>
                <w:sz w:val="21"/>
              </w:rPr>
            </w:pPr>
            <w:r>
              <w:rPr>
                <w:rFonts w:ascii="Times New Roman" w:hAnsi="Times New Roman"/>
                <w:w w:val="99"/>
                <w:sz w:val="21"/>
              </w:rPr>
              <w:t>—</w:t>
            </w:r>
          </w:p>
        </w:tc>
        <w:tc>
          <w:tcPr>
            <w:tcW w:w="817" w:type="dxa"/>
          </w:tcPr>
          <w:p>
            <w:pPr>
              <w:pStyle w:val="TableParagraph"/>
              <w:spacing w:before="35"/>
              <w:ind w:left="8"/>
              <w:rPr>
                <w:rFonts w:ascii="Times New Roman" w:hAnsi="Times New Roman"/>
                <w:sz w:val="21"/>
              </w:rPr>
            </w:pPr>
            <w:r>
              <w:rPr>
                <w:rFonts w:ascii="Times New Roman" w:hAnsi="Times New Roman"/>
                <w:w w:val="99"/>
                <w:sz w:val="21"/>
              </w:rPr>
              <w:t>—</w:t>
            </w:r>
          </w:p>
        </w:tc>
        <w:tc>
          <w:tcPr>
            <w:tcW w:w="2633" w:type="dxa"/>
          </w:tcPr>
          <w:p>
            <w:pPr>
              <w:pStyle w:val="TableParagraph"/>
              <w:spacing w:before="35"/>
              <w:ind w:left="9"/>
              <w:rPr>
                <w:rFonts w:ascii="Times New Roman" w:hAnsi="Times New Roman"/>
                <w:sz w:val="21"/>
              </w:rPr>
            </w:pPr>
            <w:r>
              <w:rPr>
                <w:rFonts w:ascii="Times New Roman" w:hAnsi="Times New Roman"/>
                <w:w w:val="99"/>
                <w:sz w:val="21"/>
              </w:rPr>
              <w:t>—</w:t>
            </w:r>
          </w:p>
        </w:tc>
        <w:tc>
          <w:tcPr>
            <w:tcW w:w="1215" w:type="dxa"/>
          </w:tcPr>
          <w:p>
            <w:pPr>
              <w:pStyle w:val="TableParagraph"/>
              <w:spacing w:before="35"/>
              <w:ind w:left="501"/>
              <w:jc w:val="left"/>
              <w:rPr>
                <w:rFonts w:ascii="Times New Roman" w:hAnsi="Times New Roman"/>
                <w:sz w:val="21"/>
              </w:rPr>
            </w:pPr>
            <w:r>
              <w:rPr>
                <w:rFonts w:ascii="Times New Roman" w:hAnsi="Times New Roman"/>
                <w:w w:val="99"/>
                <w:sz w:val="21"/>
              </w:rPr>
              <w:t>—</w:t>
            </w:r>
          </w:p>
        </w:tc>
        <w:tc>
          <w:tcPr>
            <w:tcW w:w="1215" w:type="dxa"/>
          </w:tcPr>
          <w:p>
            <w:pPr>
              <w:pStyle w:val="TableParagraph"/>
              <w:spacing w:before="35"/>
              <w:ind w:left="5"/>
              <w:rPr>
                <w:rFonts w:ascii="Times New Roman" w:hAnsi="Times New Roman"/>
                <w:sz w:val="21"/>
              </w:rPr>
            </w:pPr>
            <w:r>
              <w:rPr>
                <w:rFonts w:ascii="Times New Roman" w:hAnsi="Times New Roman"/>
                <w:w w:val="99"/>
                <w:sz w:val="21"/>
              </w:rPr>
              <w:t>—</w:t>
            </w:r>
          </w:p>
        </w:tc>
        <w:tc>
          <w:tcPr>
            <w:tcW w:w="1188" w:type="dxa"/>
          </w:tcPr>
          <w:p>
            <w:pPr>
              <w:pStyle w:val="TableParagraph"/>
              <w:spacing w:before="35"/>
              <w:ind w:left="6"/>
              <w:rPr>
                <w:rFonts w:ascii="Times New Roman" w:hAnsi="Times New Roman"/>
                <w:sz w:val="21"/>
              </w:rPr>
            </w:pPr>
            <w:r>
              <w:rPr>
                <w:rFonts w:ascii="Times New Roman" w:hAnsi="Times New Roman"/>
                <w:w w:val="99"/>
                <w:sz w:val="21"/>
              </w:rPr>
              <w:t>—</w:t>
            </w:r>
          </w:p>
        </w:tc>
        <w:tc>
          <w:tcPr>
            <w:tcW w:w="1936" w:type="dxa"/>
          </w:tcPr>
          <w:p>
            <w:pPr>
              <w:pStyle w:val="TableParagraph"/>
              <w:spacing w:before="35"/>
              <w:ind w:left="7"/>
              <w:rPr>
                <w:rFonts w:ascii="Times New Roman" w:hAnsi="Times New Roman"/>
                <w:sz w:val="21"/>
              </w:rPr>
            </w:pPr>
            <w:r>
              <w:rPr>
                <w:rFonts w:ascii="Times New Roman" w:hAnsi="Times New Roman"/>
                <w:w w:val="99"/>
                <w:sz w:val="21"/>
              </w:rPr>
              <w:t>—</w:t>
            </w:r>
          </w:p>
        </w:tc>
        <w:tc>
          <w:tcPr>
            <w:tcW w:w="1148" w:type="dxa"/>
          </w:tcPr>
          <w:p>
            <w:pPr>
              <w:pStyle w:val="TableParagraph"/>
              <w:spacing w:before="35"/>
              <w:ind w:left="10"/>
              <w:rPr>
                <w:rFonts w:ascii="Times New Roman" w:hAnsi="Times New Roman"/>
                <w:sz w:val="21"/>
              </w:rPr>
            </w:pPr>
            <w:r>
              <w:rPr>
                <w:rFonts w:ascii="Times New Roman" w:hAnsi="Times New Roman"/>
                <w:w w:val="99"/>
                <w:sz w:val="21"/>
              </w:rPr>
              <w:t>—</w:t>
            </w:r>
          </w:p>
        </w:tc>
      </w:tr>
      <w:tr>
        <w:trPr>
          <w:trHeight w:val="311" w:hRule="atLeast"/>
        </w:trPr>
        <w:tc>
          <w:tcPr>
            <w:tcW w:w="511" w:type="dxa"/>
          </w:tcPr>
          <w:p>
            <w:pPr>
              <w:pStyle w:val="TableParagraph"/>
              <w:spacing w:before="35"/>
              <w:ind w:left="8"/>
              <w:rPr>
                <w:rFonts w:ascii="Times New Roman" w:hAnsi="Times New Roman"/>
                <w:sz w:val="21"/>
              </w:rPr>
            </w:pPr>
            <w:r>
              <w:rPr>
                <w:rFonts w:ascii="Times New Roman" w:hAnsi="Times New Roman"/>
                <w:w w:val="99"/>
                <w:sz w:val="21"/>
              </w:rPr>
              <w:t>—</w:t>
            </w:r>
          </w:p>
        </w:tc>
        <w:tc>
          <w:tcPr>
            <w:tcW w:w="2542" w:type="dxa"/>
          </w:tcPr>
          <w:p>
            <w:pPr>
              <w:pStyle w:val="TableParagraph"/>
              <w:spacing w:before="35"/>
              <w:ind w:left="8"/>
              <w:rPr>
                <w:rFonts w:ascii="Times New Roman" w:hAnsi="Times New Roman"/>
                <w:sz w:val="21"/>
              </w:rPr>
            </w:pPr>
            <w:r>
              <w:rPr>
                <w:rFonts w:ascii="Times New Roman" w:hAnsi="Times New Roman"/>
                <w:w w:val="99"/>
                <w:sz w:val="21"/>
              </w:rPr>
              <w:t>—</w:t>
            </w:r>
          </w:p>
        </w:tc>
        <w:tc>
          <w:tcPr>
            <w:tcW w:w="795" w:type="dxa"/>
          </w:tcPr>
          <w:p>
            <w:pPr>
              <w:pStyle w:val="TableParagraph"/>
              <w:spacing w:before="35"/>
              <w:ind w:left="7"/>
              <w:rPr>
                <w:rFonts w:ascii="Times New Roman" w:hAnsi="Times New Roman"/>
                <w:sz w:val="21"/>
              </w:rPr>
            </w:pPr>
            <w:r>
              <w:rPr>
                <w:rFonts w:ascii="Times New Roman" w:hAnsi="Times New Roman"/>
                <w:w w:val="99"/>
                <w:sz w:val="21"/>
              </w:rPr>
              <w:t>—</w:t>
            </w:r>
          </w:p>
        </w:tc>
        <w:tc>
          <w:tcPr>
            <w:tcW w:w="817" w:type="dxa"/>
          </w:tcPr>
          <w:p>
            <w:pPr>
              <w:pStyle w:val="TableParagraph"/>
              <w:spacing w:before="35"/>
              <w:ind w:left="8"/>
              <w:rPr>
                <w:rFonts w:ascii="Times New Roman" w:hAnsi="Times New Roman"/>
                <w:sz w:val="21"/>
              </w:rPr>
            </w:pPr>
            <w:r>
              <w:rPr>
                <w:rFonts w:ascii="Times New Roman" w:hAnsi="Times New Roman"/>
                <w:w w:val="99"/>
                <w:sz w:val="21"/>
              </w:rPr>
              <w:t>—</w:t>
            </w:r>
          </w:p>
        </w:tc>
        <w:tc>
          <w:tcPr>
            <w:tcW w:w="2633" w:type="dxa"/>
          </w:tcPr>
          <w:p>
            <w:pPr>
              <w:pStyle w:val="TableParagraph"/>
              <w:spacing w:before="35"/>
              <w:ind w:left="9"/>
              <w:rPr>
                <w:rFonts w:ascii="Times New Roman" w:hAnsi="Times New Roman"/>
                <w:sz w:val="21"/>
              </w:rPr>
            </w:pPr>
            <w:r>
              <w:rPr>
                <w:rFonts w:ascii="Times New Roman" w:hAnsi="Times New Roman"/>
                <w:w w:val="99"/>
                <w:sz w:val="21"/>
              </w:rPr>
              <w:t>—</w:t>
            </w:r>
          </w:p>
        </w:tc>
        <w:tc>
          <w:tcPr>
            <w:tcW w:w="1215" w:type="dxa"/>
          </w:tcPr>
          <w:p>
            <w:pPr>
              <w:pStyle w:val="TableParagraph"/>
              <w:spacing w:before="35"/>
              <w:ind w:left="501"/>
              <w:jc w:val="left"/>
              <w:rPr>
                <w:rFonts w:ascii="Times New Roman" w:hAnsi="Times New Roman"/>
                <w:sz w:val="21"/>
              </w:rPr>
            </w:pPr>
            <w:r>
              <w:rPr>
                <w:rFonts w:ascii="Times New Roman" w:hAnsi="Times New Roman"/>
                <w:w w:val="99"/>
                <w:sz w:val="21"/>
              </w:rPr>
              <w:t>—</w:t>
            </w:r>
          </w:p>
        </w:tc>
        <w:tc>
          <w:tcPr>
            <w:tcW w:w="1215" w:type="dxa"/>
          </w:tcPr>
          <w:p>
            <w:pPr>
              <w:pStyle w:val="TableParagraph"/>
              <w:spacing w:before="35"/>
              <w:ind w:left="5"/>
              <w:rPr>
                <w:rFonts w:ascii="Times New Roman" w:hAnsi="Times New Roman"/>
                <w:sz w:val="21"/>
              </w:rPr>
            </w:pPr>
            <w:r>
              <w:rPr>
                <w:rFonts w:ascii="Times New Roman" w:hAnsi="Times New Roman"/>
                <w:w w:val="99"/>
                <w:sz w:val="21"/>
              </w:rPr>
              <w:t>—</w:t>
            </w:r>
          </w:p>
        </w:tc>
        <w:tc>
          <w:tcPr>
            <w:tcW w:w="1188" w:type="dxa"/>
          </w:tcPr>
          <w:p>
            <w:pPr>
              <w:pStyle w:val="TableParagraph"/>
              <w:spacing w:before="35"/>
              <w:ind w:left="6"/>
              <w:rPr>
                <w:rFonts w:ascii="Times New Roman" w:hAnsi="Times New Roman"/>
                <w:sz w:val="21"/>
              </w:rPr>
            </w:pPr>
            <w:r>
              <w:rPr>
                <w:rFonts w:ascii="Times New Roman" w:hAnsi="Times New Roman"/>
                <w:w w:val="99"/>
                <w:sz w:val="21"/>
              </w:rPr>
              <w:t>—</w:t>
            </w:r>
          </w:p>
        </w:tc>
        <w:tc>
          <w:tcPr>
            <w:tcW w:w="1936" w:type="dxa"/>
          </w:tcPr>
          <w:p>
            <w:pPr>
              <w:pStyle w:val="TableParagraph"/>
              <w:spacing w:before="35"/>
              <w:ind w:left="7"/>
              <w:rPr>
                <w:rFonts w:ascii="Times New Roman" w:hAnsi="Times New Roman"/>
                <w:sz w:val="21"/>
              </w:rPr>
            </w:pPr>
            <w:r>
              <w:rPr>
                <w:rFonts w:ascii="Times New Roman" w:hAnsi="Times New Roman"/>
                <w:w w:val="99"/>
                <w:sz w:val="21"/>
              </w:rPr>
              <w:t>—</w:t>
            </w:r>
          </w:p>
        </w:tc>
        <w:tc>
          <w:tcPr>
            <w:tcW w:w="1148" w:type="dxa"/>
          </w:tcPr>
          <w:p>
            <w:pPr>
              <w:pStyle w:val="TableParagraph"/>
              <w:spacing w:before="35"/>
              <w:ind w:left="10"/>
              <w:rPr>
                <w:rFonts w:ascii="Times New Roman" w:hAnsi="Times New Roman"/>
                <w:sz w:val="21"/>
              </w:rPr>
            </w:pPr>
            <w:r>
              <w:rPr>
                <w:rFonts w:ascii="Times New Roman" w:hAnsi="Times New Roman"/>
                <w:w w:val="99"/>
                <w:sz w:val="21"/>
              </w:rPr>
              <w:t>—</w:t>
            </w:r>
          </w:p>
        </w:tc>
      </w:tr>
      <w:tr>
        <w:trPr>
          <w:trHeight w:val="312" w:hRule="atLeast"/>
        </w:trPr>
        <w:tc>
          <w:tcPr>
            <w:tcW w:w="511" w:type="dxa"/>
          </w:tcPr>
          <w:p>
            <w:pPr>
              <w:pStyle w:val="TableParagraph"/>
              <w:spacing w:before="34"/>
              <w:ind w:left="8"/>
              <w:rPr>
                <w:rFonts w:ascii="Times New Roman" w:hAnsi="Times New Roman"/>
                <w:sz w:val="21"/>
              </w:rPr>
            </w:pPr>
            <w:r>
              <w:rPr>
                <w:rFonts w:ascii="Times New Roman" w:hAnsi="Times New Roman"/>
                <w:w w:val="99"/>
                <w:sz w:val="21"/>
              </w:rPr>
              <w:t>—</w:t>
            </w:r>
          </w:p>
        </w:tc>
        <w:tc>
          <w:tcPr>
            <w:tcW w:w="2542" w:type="dxa"/>
          </w:tcPr>
          <w:p>
            <w:pPr>
              <w:pStyle w:val="TableParagraph"/>
              <w:spacing w:before="34"/>
              <w:ind w:left="8"/>
              <w:rPr>
                <w:rFonts w:ascii="Times New Roman" w:hAnsi="Times New Roman"/>
                <w:sz w:val="21"/>
              </w:rPr>
            </w:pPr>
            <w:r>
              <w:rPr>
                <w:rFonts w:ascii="Times New Roman" w:hAnsi="Times New Roman"/>
                <w:w w:val="99"/>
                <w:sz w:val="21"/>
              </w:rPr>
              <w:t>—</w:t>
            </w:r>
          </w:p>
        </w:tc>
        <w:tc>
          <w:tcPr>
            <w:tcW w:w="795" w:type="dxa"/>
          </w:tcPr>
          <w:p>
            <w:pPr>
              <w:pStyle w:val="TableParagraph"/>
              <w:spacing w:before="34"/>
              <w:ind w:left="7"/>
              <w:rPr>
                <w:rFonts w:ascii="Times New Roman" w:hAnsi="Times New Roman"/>
                <w:sz w:val="21"/>
              </w:rPr>
            </w:pPr>
            <w:r>
              <w:rPr>
                <w:rFonts w:ascii="Times New Roman" w:hAnsi="Times New Roman"/>
                <w:w w:val="99"/>
                <w:sz w:val="21"/>
              </w:rPr>
              <w:t>—</w:t>
            </w:r>
          </w:p>
        </w:tc>
        <w:tc>
          <w:tcPr>
            <w:tcW w:w="817" w:type="dxa"/>
          </w:tcPr>
          <w:p>
            <w:pPr>
              <w:pStyle w:val="TableParagraph"/>
              <w:spacing w:before="34"/>
              <w:ind w:left="8"/>
              <w:rPr>
                <w:rFonts w:ascii="Times New Roman" w:hAnsi="Times New Roman"/>
                <w:sz w:val="21"/>
              </w:rPr>
            </w:pPr>
            <w:r>
              <w:rPr>
                <w:rFonts w:ascii="Times New Roman" w:hAnsi="Times New Roman"/>
                <w:w w:val="99"/>
                <w:sz w:val="21"/>
              </w:rPr>
              <w:t>—</w:t>
            </w:r>
          </w:p>
        </w:tc>
        <w:tc>
          <w:tcPr>
            <w:tcW w:w="2633" w:type="dxa"/>
          </w:tcPr>
          <w:p>
            <w:pPr>
              <w:pStyle w:val="TableParagraph"/>
              <w:spacing w:before="34"/>
              <w:ind w:left="9"/>
              <w:rPr>
                <w:rFonts w:ascii="Times New Roman" w:hAnsi="Times New Roman"/>
                <w:sz w:val="21"/>
              </w:rPr>
            </w:pPr>
            <w:r>
              <w:rPr>
                <w:rFonts w:ascii="Times New Roman" w:hAnsi="Times New Roman"/>
                <w:w w:val="99"/>
                <w:sz w:val="21"/>
              </w:rPr>
              <w:t>—</w:t>
            </w:r>
          </w:p>
        </w:tc>
        <w:tc>
          <w:tcPr>
            <w:tcW w:w="1215" w:type="dxa"/>
          </w:tcPr>
          <w:p>
            <w:pPr>
              <w:pStyle w:val="TableParagraph"/>
              <w:spacing w:before="34"/>
              <w:ind w:left="501"/>
              <w:jc w:val="left"/>
              <w:rPr>
                <w:rFonts w:ascii="Times New Roman" w:hAnsi="Times New Roman"/>
                <w:sz w:val="21"/>
              </w:rPr>
            </w:pPr>
            <w:r>
              <w:rPr>
                <w:rFonts w:ascii="Times New Roman" w:hAnsi="Times New Roman"/>
                <w:w w:val="99"/>
                <w:sz w:val="21"/>
              </w:rPr>
              <w:t>—</w:t>
            </w:r>
          </w:p>
        </w:tc>
        <w:tc>
          <w:tcPr>
            <w:tcW w:w="1215" w:type="dxa"/>
          </w:tcPr>
          <w:p>
            <w:pPr>
              <w:pStyle w:val="TableParagraph"/>
              <w:spacing w:before="34"/>
              <w:ind w:left="5"/>
              <w:rPr>
                <w:rFonts w:ascii="Times New Roman" w:hAnsi="Times New Roman"/>
                <w:sz w:val="21"/>
              </w:rPr>
            </w:pPr>
            <w:r>
              <w:rPr>
                <w:rFonts w:ascii="Times New Roman" w:hAnsi="Times New Roman"/>
                <w:w w:val="99"/>
                <w:sz w:val="21"/>
              </w:rPr>
              <w:t>—</w:t>
            </w:r>
          </w:p>
        </w:tc>
        <w:tc>
          <w:tcPr>
            <w:tcW w:w="1188" w:type="dxa"/>
          </w:tcPr>
          <w:p>
            <w:pPr>
              <w:pStyle w:val="TableParagraph"/>
              <w:spacing w:before="34"/>
              <w:ind w:left="6"/>
              <w:rPr>
                <w:rFonts w:ascii="Times New Roman" w:hAnsi="Times New Roman"/>
                <w:sz w:val="21"/>
              </w:rPr>
            </w:pPr>
            <w:r>
              <w:rPr>
                <w:rFonts w:ascii="Times New Roman" w:hAnsi="Times New Roman"/>
                <w:w w:val="99"/>
                <w:sz w:val="21"/>
              </w:rPr>
              <w:t>—</w:t>
            </w:r>
          </w:p>
        </w:tc>
        <w:tc>
          <w:tcPr>
            <w:tcW w:w="1936" w:type="dxa"/>
          </w:tcPr>
          <w:p>
            <w:pPr>
              <w:pStyle w:val="TableParagraph"/>
              <w:spacing w:before="34"/>
              <w:ind w:left="7"/>
              <w:rPr>
                <w:rFonts w:ascii="Times New Roman" w:hAnsi="Times New Roman"/>
                <w:sz w:val="21"/>
              </w:rPr>
            </w:pPr>
            <w:r>
              <w:rPr>
                <w:rFonts w:ascii="Times New Roman" w:hAnsi="Times New Roman"/>
                <w:w w:val="99"/>
                <w:sz w:val="21"/>
              </w:rPr>
              <w:t>—</w:t>
            </w:r>
          </w:p>
        </w:tc>
        <w:tc>
          <w:tcPr>
            <w:tcW w:w="1148" w:type="dxa"/>
          </w:tcPr>
          <w:p>
            <w:pPr>
              <w:pStyle w:val="TableParagraph"/>
              <w:spacing w:before="34"/>
              <w:ind w:left="10"/>
              <w:rPr>
                <w:rFonts w:ascii="Times New Roman" w:hAnsi="Times New Roman"/>
                <w:sz w:val="21"/>
              </w:rPr>
            </w:pPr>
            <w:r>
              <w:rPr>
                <w:rFonts w:ascii="Times New Roman" w:hAnsi="Times New Roman"/>
                <w:w w:val="99"/>
                <w:sz w:val="21"/>
              </w:rPr>
              <w:t>—</w:t>
            </w:r>
          </w:p>
        </w:tc>
      </w:tr>
      <w:tr>
        <w:trPr>
          <w:trHeight w:val="312" w:hRule="atLeast"/>
        </w:trPr>
        <w:tc>
          <w:tcPr>
            <w:tcW w:w="511" w:type="dxa"/>
          </w:tcPr>
          <w:p>
            <w:pPr>
              <w:pStyle w:val="TableParagraph"/>
              <w:spacing w:before="34"/>
              <w:ind w:left="8"/>
              <w:rPr>
                <w:rFonts w:ascii="Times New Roman" w:hAnsi="Times New Roman"/>
                <w:sz w:val="21"/>
              </w:rPr>
            </w:pPr>
            <w:r>
              <w:rPr>
                <w:rFonts w:ascii="Times New Roman" w:hAnsi="Times New Roman"/>
                <w:w w:val="99"/>
                <w:sz w:val="21"/>
              </w:rPr>
              <w:t>—</w:t>
            </w:r>
          </w:p>
        </w:tc>
        <w:tc>
          <w:tcPr>
            <w:tcW w:w="2542" w:type="dxa"/>
          </w:tcPr>
          <w:p>
            <w:pPr>
              <w:pStyle w:val="TableParagraph"/>
              <w:spacing w:before="34"/>
              <w:ind w:left="8"/>
              <w:rPr>
                <w:rFonts w:ascii="Times New Roman" w:hAnsi="Times New Roman"/>
                <w:sz w:val="21"/>
              </w:rPr>
            </w:pPr>
            <w:r>
              <w:rPr>
                <w:rFonts w:ascii="Times New Roman" w:hAnsi="Times New Roman"/>
                <w:w w:val="99"/>
                <w:sz w:val="21"/>
              </w:rPr>
              <w:t>—</w:t>
            </w:r>
          </w:p>
        </w:tc>
        <w:tc>
          <w:tcPr>
            <w:tcW w:w="795" w:type="dxa"/>
          </w:tcPr>
          <w:p>
            <w:pPr>
              <w:pStyle w:val="TableParagraph"/>
              <w:spacing w:before="34"/>
              <w:ind w:left="7"/>
              <w:rPr>
                <w:rFonts w:ascii="Times New Roman" w:hAnsi="Times New Roman"/>
                <w:sz w:val="21"/>
              </w:rPr>
            </w:pPr>
            <w:r>
              <w:rPr>
                <w:rFonts w:ascii="Times New Roman" w:hAnsi="Times New Roman"/>
                <w:w w:val="99"/>
                <w:sz w:val="21"/>
              </w:rPr>
              <w:t>—</w:t>
            </w:r>
          </w:p>
        </w:tc>
        <w:tc>
          <w:tcPr>
            <w:tcW w:w="817" w:type="dxa"/>
          </w:tcPr>
          <w:p>
            <w:pPr>
              <w:pStyle w:val="TableParagraph"/>
              <w:spacing w:before="34"/>
              <w:ind w:left="8"/>
              <w:rPr>
                <w:rFonts w:ascii="Times New Roman" w:hAnsi="Times New Roman"/>
                <w:sz w:val="21"/>
              </w:rPr>
            </w:pPr>
            <w:r>
              <w:rPr>
                <w:rFonts w:ascii="Times New Roman" w:hAnsi="Times New Roman"/>
                <w:w w:val="99"/>
                <w:sz w:val="21"/>
              </w:rPr>
              <w:t>—</w:t>
            </w:r>
          </w:p>
        </w:tc>
        <w:tc>
          <w:tcPr>
            <w:tcW w:w="2633" w:type="dxa"/>
          </w:tcPr>
          <w:p>
            <w:pPr>
              <w:pStyle w:val="TableParagraph"/>
              <w:spacing w:before="34"/>
              <w:ind w:left="9"/>
              <w:rPr>
                <w:rFonts w:ascii="Times New Roman" w:hAnsi="Times New Roman"/>
                <w:sz w:val="21"/>
              </w:rPr>
            </w:pPr>
            <w:r>
              <w:rPr>
                <w:rFonts w:ascii="Times New Roman" w:hAnsi="Times New Roman"/>
                <w:w w:val="99"/>
                <w:sz w:val="21"/>
              </w:rPr>
              <w:t>—</w:t>
            </w:r>
          </w:p>
        </w:tc>
        <w:tc>
          <w:tcPr>
            <w:tcW w:w="1215" w:type="dxa"/>
          </w:tcPr>
          <w:p>
            <w:pPr>
              <w:pStyle w:val="TableParagraph"/>
              <w:spacing w:before="34"/>
              <w:ind w:left="501"/>
              <w:jc w:val="left"/>
              <w:rPr>
                <w:rFonts w:ascii="Times New Roman" w:hAnsi="Times New Roman"/>
                <w:sz w:val="21"/>
              </w:rPr>
            </w:pPr>
            <w:r>
              <w:rPr>
                <w:rFonts w:ascii="Times New Roman" w:hAnsi="Times New Roman"/>
                <w:w w:val="99"/>
                <w:sz w:val="21"/>
              </w:rPr>
              <w:t>—</w:t>
            </w:r>
          </w:p>
        </w:tc>
        <w:tc>
          <w:tcPr>
            <w:tcW w:w="1215" w:type="dxa"/>
          </w:tcPr>
          <w:p>
            <w:pPr>
              <w:pStyle w:val="TableParagraph"/>
              <w:spacing w:before="34"/>
              <w:ind w:left="5"/>
              <w:rPr>
                <w:rFonts w:ascii="Times New Roman" w:hAnsi="Times New Roman"/>
                <w:sz w:val="21"/>
              </w:rPr>
            </w:pPr>
            <w:r>
              <w:rPr>
                <w:rFonts w:ascii="Times New Roman" w:hAnsi="Times New Roman"/>
                <w:w w:val="99"/>
                <w:sz w:val="21"/>
              </w:rPr>
              <w:t>—</w:t>
            </w:r>
          </w:p>
        </w:tc>
        <w:tc>
          <w:tcPr>
            <w:tcW w:w="1188" w:type="dxa"/>
          </w:tcPr>
          <w:p>
            <w:pPr>
              <w:pStyle w:val="TableParagraph"/>
              <w:spacing w:before="34"/>
              <w:ind w:left="6"/>
              <w:rPr>
                <w:rFonts w:ascii="Times New Roman" w:hAnsi="Times New Roman"/>
                <w:sz w:val="21"/>
              </w:rPr>
            </w:pPr>
            <w:r>
              <w:rPr>
                <w:rFonts w:ascii="Times New Roman" w:hAnsi="Times New Roman"/>
                <w:w w:val="99"/>
                <w:sz w:val="21"/>
              </w:rPr>
              <w:t>—</w:t>
            </w:r>
          </w:p>
        </w:tc>
        <w:tc>
          <w:tcPr>
            <w:tcW w:w="1936" w:type="dxa"/>
          </w:tcPr>
          <w:p>
            <w:pPr>
              <w:pStyle w:val="TableParagraph"/>
              <w:spacing w:before="34"/>
              <w:ind w:left="7"/>
              <w:rPr>
                <w:rFonts w:ascii="Times New Roman" w:hAnsi="Times New Roman"/>
                <w:sz w:val="21"/>
              </w:rPr>
            </w:pPr>
            <w:r>
              <w:rPr>
                <w:rFonts w:ascii="Times New Roman" w:hAnsi="Times New Roman"/>
                <w:w w:val="99"/>
                <w:sz w:val="21"/>
              </w:rPr>
              <w:t>—</w:t>
            </w:r>
          </w:p>
        </w:tc>
        <w:tc>
          <w:tcPr>
            <w:tcW w:w="1148" w:type="dxa"/>
          </w:tcPr>
          <w:p>
            <w:pPr>
              <w:pStyle w:val="TableParagraph"/>
              <w:spacing w:before="34"/>
              <w:ind w:left="10"/>
              <w:rPr>
                <w:rFonts w:ascii="Times New Roman" w:hAnsi="Times New Roman"/>
                <w:sz w:val="21"/>
              </w:rPr>
            </w:pPr>
            <w:r>
              <w:rPr>
                <w:rFonts w:ascii="Times New Roman" w:hAnsi="Times New Roman"/>
                <w:w w:val="99"/>
                <w:sz w:val="21"/>
              </w:rPr>
              <w:t>—</w:t>
            </w:r>
          </w:p>
        </w:tc>
      </w:tr>
      <w:tr>
        <w:trPr>
          <w:trHeight w:val="311" w:hRule="atLeast"/>
        </w:trPr>
        <w:tc>
          <w:tcPr>
            <w:tcW w:w="511" w:type="dxa"/>
          </w:tcPr>
          <w:p>
            <w:pPr>
              <w:pStyle w:val="TableParagraph"/>
              <w:spacing w:before="36"/>
              <w:ind w:left="8"/>
              <w:rPr>
                <w:rFonts w:ascii="Times New Roman" w:hAnsi="Times New Roman"/>
                <w:sz w:val="21"/>
              </w:rPr>
            </w:pPr>
            <w:r>
              <w:rPr>
                <w:rFonts w:ascii="Times New Roman" w:hAnsi="Times New Roman"/>
                <w:w w:val="99"/>
                <w:sz w:val="21"/>
              </w:rPr>
              <w:t>—</w:t>
            </w:r>
          </w:p>
        </w:tc>
        <w:tc>
          <w:tcPr>
            <w:tcW w:w="2542" w:type="dxa"/>
          </w:tcPr>
          <w:p>
            <w:pPr>
              <w:pStyle w:val="TableParagraph"/>
              <w:spacing w:before="36"/>
              <w:ind w:left="8"/>
              <w:rPr>
                <w:rFonts w:ascii="Times New Roman" w:hAnsi="Times New Roman"/>
                <w:sz w:val="21"/>
              </w:rPr>
            </w:pPr>
            <w:r>
              <w:rPr>
                <w:rFonts w:ascii="Times New Roman" w:hAnsi="Times New Roman"/>
                <w:w w:val="99"/>
                <w:sz w:val="21"/>
              </w:rPr>
              <w:t>—</w:t>
            </w:r>
          </w:p>
        </w:tc>
        <w:tc>
          <w:tcPr>
            <w:tcW w:w="795" w:type="dxa"/>
          </w:tcPr>
          <w:p>
            <w:pPr>
              <w:pStyle w:val="TableParagraph"/>
              <w:spacing w:before="36"/>
              <w:ind w:left="7"/>
              <w:rPr>
                <w:rFonts w:ascii="Times New Roman" w:hAnsi="Times New Roman"/>
                <w:sz w:val="21"/>
              </w:rPr>
            </w:pPr>
            <w:r>
              <w:rPr>
                <w:rFonts w:ascii="Times New Roman" w:hAnsi="Times New Roman"/>
                <w:w w:val="99"/>
                <w:sz w:val="21"/>
              </w:rPr>
              <w:t>—</w:t>
            </w:r>
          </w:p>
        </w:tc>
        <w:tc>
          <w:tcPr>
            <w:tcW w:w="817" w:type="dxa"/>
          </w:tcPr>
          <w:p>
            <w:pPr>
              <w:pStyle w:val="TableParagraph"/>
              <w:spacing w:before="36"/>
              <w:ind w:left="8"/>
              <w:rPr>
                <w:rFonts w:ascii="Times New Roman" w:hAnsi="Times New Roman"/>
                <w:sz w:val="21"/>
              </w:rPr>
            </w:pPr>
            <w:r>
              <w:rPr>
                <w:rFonts w:ascii="Times New Roman" w:hAnsi="Times New Roman"/>
                <w:w w:val="99"/>
                <w:sz w:val="21"/>
              </w:rPr>
              <w:t>—</w:t>
            </w:r>
          </w:p>
        </w:tc>
        <w:tc>
          <w:tcPr>
            <w:tcW w:w="2633" w:type="dxa"/>
          </w:tcPr>
          <w:p>
            <w:pPr>
              <w:pStyle w:val="TableParagraph"/>
              <w:spacing w:before="36"/>
              <w:ind w:left="9"/>
              <w:rPr>
                <w:rFonts w:ascii="Times New Roman" w:hAnsi="Times New Roman"/>
                <w:sz w:val="21"/>
              </w:rPr>
            </w:pPr>
            <w:r>
              <w:rPr>
                <w:rFonts w:ascii="Times New Roman" w:hAnsi="Times New Roman"/>
                <w:w w:val="99"/>
                <w:sz w:val="21"/>
              </w:rPr>
              <w:t>—</w:t>
            </w:r>
          </w:p>
        </w:tc>
        <w:tc>
          <w:tcPr>
            <w:tcW w:w="1215" w:type="dxa"/>
          </w:tcPr>
          <w:p>
            <w:pPr>
              <w:pStyle w:val="TableParagraph"/>
              <w:spacing w:before="36"/>
              <w:ind w:left="501"/>
              <w:jc w:val="left"/>
              <w:rPr>
                <w:rFonts w:ascii="Times New Roman" w:hAnsi="Times New Roman"/>
                <w:sz w:val="21"/>
              </w:rPr>
            </w:pPr>
            <w:r>
              <w:rPr>
                <w:rFonts w:ascii="Times New Roman" w:hAnsi="Times New Roman"/>
                <w:w w:val="99"/>
                <w:sz w:val="21"/>
              </w:rPr>
              <w:t>—</w:t>
            </w:r>
          </w:p>
        </w:tc>
        <w:tc>
          <w:tcPr>
            <w:tcW w:w="1215" w:type="dxa"/>
          </w:tcPr>
          <w:p>
            <w:pPr>
              <w:pStyle w:val="TableParagraph"/>
              <w:spacing w:before="36"/>
              <w:ind w:left="5"/>
              <w:rPr>
                <w:rFonts w:ascii="Times New Roman" w:hAnsi="Times New Roman"/>
                <w:sz w:val="21"/>
              </w:rPr>
            </w:pPr>
            <w:r>
              <w:rPr>
                <w:rFonts w:ascii="Times New Roman" w:hAnsi="Times New Roman"/>
                <w:w w:val="99"/>
                <w:sz w:val="21"/>
              </w:rPr>
              <w:t>—</w:t>
            </w:r>
          </w:p>
        </w:tc>
        <w:tc>
          <w:tcPr>
            <w:tcW w:w="1188" w:type="dxa"/>
          </w:tcPr>
          <w:p>
            <w:pPr>
              <w:pStyle w:val="TableParagraph"/>
              <w:spacing w:before="36"/>
              <w:ind w:left="6"/>
              <w:rPr>
                <w:rFonts w:ascii="Times New Roman" w:hAnsi="Times New Roman"/>
                <w:sz w:val="21"/>
              </w:rPr>
            </w:pPr>
            <w:r>
              <w:rPr>
                <w:rFonts w:ascii="Times New Roman" w:hAnsi="Times New Roman"/>
                <w:w w:val="99"/>
                <w:sz w:val="21"/>
              </w:rPr>
              <w:t>—</w:t>
            </w:r>
          </w:p>
        </w:tc>
        <w:tc>
          <w:tcPr>
            <w:tcW w:w="1936" w:type="dxa"/>
          </w:tcPr>
          <w:p>
            <w:pPr>
              <w:pStyle w:val="TableParagraph"/>
              <w:spacing w:before="36"/>
              <w:ind w:left="7"/>
              <w:rPr>
                <w:rFonts w:ascii="Times New Roman" w:hAnsi="Times New Roman"/>
                <w:sz w:val="21"/>
              </w:rPr>
            </w:pPr>
            <w:r>
              <w:rPr>
                <w:rFonts w:ascii="Times New Roman" w:hAnsi="Times New Roman"/>
                <w:w w:val="99"/>
                <w:sz w:val="21"/>
              </w:rPr>
              <w:t>—</w:t>
            </w:r>
          </w:p>
        </w:tc>
        <w:tc>
          <w:tcPr>
            <w:tcW w:w="1148" w:type="dxa"/>
          </w:tcPr>
          <w:p>
            <w:pPr>
              <w:pStyle w:val="TableParagraph"/>
              <w:spacing w:before="36"/>
              <w:ind w:left="10"/>
              <w:rPr>
                <w:rFonts w:ascii="Times New Roman" w:hAnsi="Times New Roman"/>
                <w:sz w:val="21"/>
              </w:rPr>
            </w:pPr>
            <w:r>
              <w:rPr>
                <w:rFonts w:ascii="Times New Roman" w:hAnsi="Times New Roman"/>
                <w:w w:val="99"/>
                <w:sz w:val="21"/>
              </w:rPr>
              <w:t>—</w:t>
            </w:r>
          </w:p>
        </w:tc>
      </w:tr>
    </w:tbl>
    <w:p>
      <w:pPr>
        <w:pStyle w:val="Heading2"/>
        <w:spacing w:before="134"/>
        <w:ind w:left="540"/>
      </w:pPr>
      <w:r>
        <w:rPr/>
        <w:t>（三）中子发生器，包括中子管，但不包括放射性中子源</w:t>
      </w:r>
    </w:p>
    <w:p>
      <w:pPr>
        <w:pStyle w:val="BodyText"/>
        <w:spacing w:before="3"/>
        <w:rPr>
          <w:sz w:val="10"/>
        </w:rPr>
      </w:pPr>
    </w:p>
    <w:tbl>
      <w:tblPr>
        <w:tblW w:w="0" w:type="auto"/>
        <w:jc w:val="left"/>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3"/>
        <w:gridCol w:w="1140"/>
        <w:gridCol w:w="760"/>
        <w:gridCol w:w="740"/>
        <w:gridCol w:w="840"/>
        <w:gridCol w:w="1320"/>
        <w:gridCol w:w="1559"/>
        <w:gridCol w:w="1012"/>
        <w:gridCol w:w="769"/>
        <w:gridCol w:w="1257"/>
        <w:gridCol w:w="1013"/>
        <w:gridCol w:w="1013"/>
        <w:gridCol w:w="1013"/>
        <w:gridCol w:w="938"/>
      </w:tblGrid>
      <w:tr>
        <w:trPr>
          <w:trHeight w:val="462" w:hRule="atLeast"/>
        </w:trPr>
        <w:tc>
          <w:tcPr>
            <w:tcW w:w="643" w:type="dxa"/>
            <w:vMerge w:val="restart"/>
          </w:tcPr>
          <w:p>
            <w:pPr>
              <w:pStyle w:val="TableParagraph"/>
              <w:jc w:val="left"/>
              <w:rPr>
                <w:sz w:val="20"/>
              </w:rPr>
            </w:pPr>
          </w:p>
          <w:p>
            <w:pPr>
              <w:pStyle w:val="TableParagraph"/>
              <w:spacing w:before="163"/>
              <w:ind w:left="109"/>
              <w:jc w:val="left"/>
              <w:rPr>
                <w:sz w:val="21"/>
              </w:rPr>
            </w:pPr>
            <w:r>
              <w:rPr>
                <w:sz w:val="21"/>
              </w:rPr>
              <w:t>序号</w:t>
            </w:r>
          </w:p>
        </w:tc>
        <w:tc>
          <w:tcPr>
            <w:tcW w:w="1140" w:type="dxa"/>
            <w:vMerge w:val="restart"/>
          </w:tcPr>
          <w:p>
            <w:pPr>
              <w:pStyle w:val="TableParagraph"/>
              <w:jc w:val="left"/>
              <w:rPr>
                <w:sz w:val="20"/>
              </w:rPr>
            </w:pPr>
          </w:p>
          <w:p>
            <w:pPr>
              <w:pStyle w:val="TableParagraph"/>
              <w:spacing w:before="163"/>
              <w:ind w:left="359"/>
              <w:jc w:val="left"/>
              <w:rPr>
                <w:sz w:val="21"/>
              </w:rPr>
            </w:pPr>
            <w:r>
              <w:rPr>
                <w:sz w:val="21"/>
              </w:rPr>
              <w:t>名称</w:t>
            </w:r>
          </w:p>
        </w:tc>
        <w:tc>
          <w:tcPr>
            <w:tcW w:w="760" w:type="dxa"/>
            <w:vMerge w:val="restart"/>
          </w:tcPr>
          <w:p>
            <w:pPr>
              <w:pStyle w:val="TableParagraph"/>
              <w:jc w:val="left"/>
              <w:rPr>
                <w:sz w:val="20"/>
              </w:rPr>
            </w:pPr>
          </w:p>
          <w:p>
            <w:pPr>
              <w:pStyle w:val="TableParagraph"/>
              <w:spacing w:before="163"/>
              <w:ind w:left="169"/>
              <w:jc w:val="left"/>
              <w:rPr>
                <w:sz w:val="21"/>
              </w:rPr>
            </w:pPr>
            <w:r>
              <w:rPr>
                <w:sz w:val="21"/>
              </w:rPr>
              <w:t>类别</w:t>
            </w:r>
          </w:p>
        </w:tc>
        <w:tc>
          <w:tcPr>
            <w:tcW w:w="740" w:type="dxa"/>
            <w:vMerge w:val="restart"/>
          </w:tcPr>
          <w:p>
            <w:pPr>
              <w:pStyle w:val="TableParagraph"/>
              <w:jc w:val="left"/>
              <w:rPr>
                <w:sz w:val="20"/>
              </w:rPr>
            </w:pPr>
          </w:p>
          <w:p>
            <w:pPr>
              <w:pStyle w:val="TableParagraph"/>
              <w:spacing w:before="163"/>
              <w:ind w:left="158"/>
              <w:jc w:val="left"/>
              <w:rPr>
                <w:sz w:val="21"/>
              </w:rPr>
            </w:pPr>
            <w:r>
              <w:rPr>
                <w:sz w:val="21"/>
              </w:rPr>
              <w:t>数量</w:t>
            </w:r>
          </w:p>
        </w:tc>
        <w:tc>
          <w:tcPr>
            <w:tcW w:w="840" w:type="dxa"/>
            <w:vMerge w:val="restart"/>
          </w:tcPr>
          <w:p>
            <w:pPr>
              <w:pStyle w:val="TableParagraph"/>
              <w:jc w:val="left"/>
              <w:rPr>
                <w:sz w:val="20"/>
              </w:rPr>
            </w:pPr>
          </w:p>
          <w:p>
            <w:pPr>
              <w:pStyle w:val="TableParagraph"/>
              <w:spacing w:before="163"/>
              <w:ind w:left="210"/>
              <w:jc w:val="left"/>
              <w:rPr>
                <w:sz w:val="21"/>
              </w:rPr>
            </w:pPr>
            <w:r>
              <w:rPr>
                <w:sz w:val="21"/>
              </w:rPr>
              <w:t>型号</w:t>
            </w:r>
          </w:p>
        </w:tc>
        <w:tc>
          <w:tcPr>
            <w:tcW w:w="1320" w:type="dxa"/>
            <w:vMerge w:val="restart"/>
          </w:tcPr>
          <w:p>
            <w:pPr>
              <w:pStyle w:val="TableParagraph"/>
              <w:spacing w:before="7"/>
              <w:jc w:val="left"/>
              <w:rPr>
                <w:sz w:val="20"/>
              </w:rPr>
            </w:pPr>
          </w:p>
          <w:p>
            <w:pPr>
              <w:pStyle w:val="TableParagraph"/>
              <w:ind w:left="113" w:right="107"/>
              <w:rPr>
                <w:sz w:val="21"/>
              </w:rPr>
            </w:pPr>
            <w:r>
              <w:rPr>
                <w:sz w:val="21"/>
              </w:rPr>
              <w:t>最大管电压</w:t>
            </w:r>
          </w:p>
          <w:p>
            <w:pPr>
              <w:pStyle w:val="TableParagraph"/>
              <w:spacing w:before="43"/>
              <w:ind w:left="113" w:right="106"/>
              <w:rPr>
                <w:sz w:val="21"/>
              </w:rPr>
            </w:pPr>
            <w:r>
              <w:rPr>
                <w:sz w:val="21"/>
              </w:rPr>
              <w:t>（</w:t>
            </w:r>
            <w:r>
              <w:rPr>
                <w:rFonts w:ascii="Times New Roman" w:eastAsia="Times New Roman"/>
                <w:sz w:val="21"/>
              </w:rPr>
              <w:t>kV</w:t>
            </w:r>
            <w:r>
              <w:rPr>
                <w:sz w:val="21"/>
              </w:rPr>
              <w:t>）</w:t>
            </w:r>
          </w:p>
        </w:tc>
        <w:tc>
          <w:tcPr>
            <w:tcW w:w="1559" w:type="dxa"/>
            <w:vMerge w:val="restart"/>
          </w:tcPr>
          <w:p>
            <w:pPr>
              <w:pStyle w:val="TableParagraph"/>
              <w:spacing w:before="7"/>
              <w:jc w:val="left"/>
              <w:rPr>
                <w:sz w:val="20"/>
              </w:rPr>
            </w:pPr>
          </w:p>
          <w:p>
            <w:pPr>
              <w:pStyle w:val="TableParagraph"/>
              <w:ind w:left="233" w:right="226"/>
              <w:rPr>
                <w:sz w:val="21"/>
              </w:rPr>
            </w:pPr>
            <w:r>
              <w:rPr>
                <w:sz w:val="21"/>
              </w:rPr>
              <w:t>最大靶电流</w:t>
            </w:r>
          </w:p>
          <w:p>
            <w:pPr>
              <w:pStyle w:val="TableParagraph"/>
              <w:spacing w:before="43"/>
              <w:ind w:left="233" w:right="223"/>
              <w:rPr>
                <w:sz w:val="21"/>
              </w:rPr>
            </w:pPr>
            <w:r>
              <w:rPr>
                <w:sz w:val="21"/>
              </w:rPr>
              <w:t>（</w:t>
            </w:r>
            <w:r>
              <w:rPr>
                <w:rFonts w:ascii="Times New Roman" w:hAnsi="Times New Roman" w:eastAsia="Times New Roman"/>
                <w:sz w:val="21"/>
              </w:rPr>
              <w:t>μA</w:t>
            </w:r>
            <w:r>
              <w:rPr>
                <w:sz w:val="21"/>
              </w:rPr>
              <w:t>）</w:t>
            </w:r>
          </w:p>
        </w:tc>
        <w:tc>
          <w:tcPr>
            <w:tcW w:w="1012" w:type="dxa"/>
            <w:vMerge w:val="restart"/>
          </w:tcPr>
          <w:p>
            <w:pPr>
              <w:pStyle w:val="TableParagraph"/>
              <w:spacing w:before="7"/>
              <w:jc w:val="left"/>
              <w:rPr>
                <w:sz w:val="20"/>
              </w:rPr>
            </w:pPr>
          </w:p>
          <w:p>
            <w:pPr>
              <w:pStyle w:val="TableParagraph"/>
              <w:spacing w:line="278" w:lineRule="auto"/>
              <w:ind w:left="108" w:right="17" w:firstLine="81"/>
              <w:jc w:val="left"/>
              <w:rPr>
                <w:sz w:val="21"/>
              </w:rPr>
            </w:pPr>
            <w:r>
              <w:rPr>
                <w:sz w:val="21"/>
              </w:rPr>
              <w:t>中子强</w:t>
            </w:r>
            <w:r>
              <w:rPr>
                <w:spacing w:val="-1"/>
                <w:sz w:val="21"/>
              </w:rPr>
              <w:t>度（</w:t>
            </w:r>
            <w:r>
              <w:rPr>
                <w:rFonts w:ascii="Times New Roman" w:eastAsia="Times New Roman"/>
                <w:spacing w:val="-1"/>
                <w:sz w:val="21"/>
              </w:rPr>
              <w:t>n/s</w:t>
            </w:r>
            <w:r>
              <w:rPr>
                <w:spacing w:val="-1"/>
                <w:sz w:val="21"/>
              </w:rPr>
              <w:t>）</w:t>
            </w:r>
          </w:p>
        </w:tc>
        <w:tc>
          <w:tcPr>
            <w:tcW w:w="769" w:type="dxa"/>
            <w:vMerge w:val="restart"/>
          </w:tcPr>
          <w:p>
            <w:pPr>
              <w:pStyle w:val="TableParagraph"/>
              <w:jc w:val="left"/>
              <w:rPr>
                <w:sz w:val="20"/>
              </w:rPr>
            </w:pPr>
          </w:p>
          <w:p>
            <w:pPr>
              <w:pStyle w:val="TableParagraph"/>
              <w:spacing w:before="163"/>
              <w:ind w:left="174"/>
              <w:jc w:val="left"/>
              <w:rPr>
                <w:sz w:val="21"/>
              </w:rPr>
            </w:pPr>
            <w:r>
              <w:rPr>
                <w:sz w:val="21"/>
              </w:rPr>
              <w:t>用途</w:t>
            </w:r>
          </w:p>
        </w:tc>
        <w:tc>
          <w:tcPr>
            <w:tcW w:w="1257" w:type="dxa"/>
            <w:vMerge w:val="restart"/>
          </w:tcPr>
          <w:p>
            <w:pPr>
              <w:pStyle w:val="TableParagraph"/>
              <w:jc w:val="left"/>
              <w:rPr>
                <w:sz w:val="20"/>
              </w:rPr>
            </w:pPr>
          </w:p>
          <w:p>
            <w:pPr>
              <w:pStyle w:val="TableParagraph"/>
              <w:spacing w:before="163"/>
              <w:ind w:left="206"/>
              <w:jc w:val="left"/>
              <w:rPr>
                <w:sz w:val="21"/>
              </w:rPr>
            </w:pPr>
            <w:r>
              <w:rPr>
                <w:sz w:val="21"/>
              </w:rPr>
              <w:t>工作场所</w:t>
            </w:r>
          </w:p>
        </w:tc>
        <w:tc>
          <w:tcPr>
            <w:tcW w:w="3039" w:type="dxa"/>
            <w:gridSpan w:val="3"/>
          </w:tcPr>
          <w:p>
            <w:pPr>
              <w:pStyle w:val="TableParagraph"/>
              <w:spacing w:before="21"/>
              <w:ind w:left="1076" w:right="1072"/>
              <w:rPr>
                <w:sz w:val="21"/>
              </w:rPr>
            </w:pPr>
            <w:r>
              <w:rPr>
                <w:sz w:val="21"/>
              </w:rPr>
              <w:t>氚靶情况</w:t>
            </w:r>
          </w:p>
        </w:tc>
        <w:tc>
          <w:tcPr>
            <w:tcW w:w="938" w:type="dxa"/>
            <w:vMerge w:val="restart"/>
          </w:tcPr>
          <w:p>
            <w:pPr>
              <w:pStyle w:val="TableParagraph"/>
              <w:spacing w:before="21"/>
              <w:ind w:left="259"/>
              <w:jc w:val="left"/>
              <w:rPr>
                <w:sz w:val="21"/>
              </w:rPr>
            </w:pPr>
            <w:r>
              <w:rPr>
                <w:sz w:val="21"/>
              </w:rPr>
              <w:t>备注</w:t>
            </w:r>
          </w:p>
        </w:tc>
      </w:tr>
      <w:tr>
        <w:trPr>
          <w:trHeight w:val="637" w:hRule="atLeast"/>
        </w:trPr>
        <w:tc>
          <w:tcPr>
            <w:tcW w:w="643" w:type="dxa"/>
            <w:vMerge/>
            <w:tcBorders>
              <w:top w:val="nil"/>
            </w:tcBorders>
          </w:tcPr>
          <w:p>
            <w:pPr>
              <w:rPr>
                <w:sz w:val="2"/>
                <w:szCs w:val="2"/>
              </w:rPr>
            </w:pPr>
          </w:p>
        </w:tc>
        <w:tc>
          <w:tcPr>
            <w:tcW w:w="1140" w:type="dxa"/>
            <w:vMerge/>
            <w:tcBorders>
              <w:top w:val="nil"/>
            </w:tcBorders>
          </w:tcPr>
          <w:p>
            <w:pPr>
              <w:rPr>
                <w:sz w:val="2"/>
                <w:szCs w:val="2"/>
              </w:rPr>
            </w:pPr>
          </w:p>
        </w:tc>
        <w:tc>
          <w:tcPr>
            <w:tcW w:w="760" w:type="dxa"/>
            <w:vMerge/>
            <w:tcBorders>
              <w:top w:val="nil"/>
            </w:tcBorders>
          </w:tcPr>
          <w:p>
            <w:pPr>
              <w:rPr>
                <w:sz w:val="2"/>
                <w:szCs w:val="2"/>
              </w:rPr>
            </w:pPr>
          </w:p>
        </w:tc>
        <w:tc>
          <w:tcPr>
            <w:tcW w:w="740" w:type="dxa"/>
            <w:vMerge/>
            <w:tcBorders>
              <w:top w:val="nil"/>
            </w:tcBorders>
          </w:tcPr>
          <w:p>
            <w:pPr>
              <w:rPr>
                <w:sz w:val="2"/>
                <w:szCs w:val="2"/>
              </w:rPr>
            </w:pPr>
          </w:p>
        </w:tc>
        <w:tc>
          <w:tcPr>
            <w:tcW w:w="840" w:type="dxa"/>
            <w:vMerge/>
            <w:tcBorders>
              <w:top w:val="nil"/>
            </w:tcBorders>
          </w:tcPr>
          <w:p>
            <w:pPr>
              <w:rPr>
                <w:sz w:val="2"/>
                <w:szCs w:val="2"/>
              </w:rPr>
            </w:pPr>
          </w:p>
        </w:tc>
        <w:tc>
          <w:tcPr>
            <w:tcW w:w="1320" w:type="dxa"/>
            <w:vMerge/>
            <w:tcBorders>
              <w:top w:val="nil"/>
            </w:tcBorders>
          </w:tcPr>
          <w:p>
            <w:pPr>
              <w:rPr>
                <w:sz w:val="2"/>
                <w:szCs w:val="2"/>
              </w:rPr>
            </w:pPr>
          </w:p>
        </w:tc>
        <w:tc>
          <w:tcPr>
            <w:tcW w:w="1559" w:type="dxa"/>
            <w:vMerge/>
            <w:tcBorders>
              <w:top w:val="nil"/>
            </w:tcBorders>
          </w:tcPr>
          <w:p>
            <w:pPr>
              <w:rPr>
                <w:sz w:val="2"/>
                <w:szCs w:val="2"/>
              </w:rPr>
            </w:pPr>
          </w:p>
        </w:tc>
        <w:tc>
          <w:tcPr>
            <w:tcW w:w="1012" w:type="dxa"/>
            <w:vMerge/>
            <w:tcBorders>
              <w:top w:val="nil"/>
            </w:tcBorders>
          </w:tcPr>
          <w:p>
            <w:pPr>
              <w:rPr>
                <w:sz w:val="2"/>
                <w:szCs w:val="2"/>
              </w:rPr>
            </w:pPr>
          </w:p>
        </w:tc>
        <w:tc>
          <w:tcPr>
            <w:tcW w:w="769" w:type="dxa"/>
            <w:vMerge/>
            <w:tcBorders>
              <w:top w:val="nil"/>
            </w:tcBorders>
          </w:tcPr>
          <w:p>
            <w:pPr>
              <w:rPr>
                <w:sz w:val="2"/>
                <w:szCs w:val="2"/>
              </w:rPr>
            </w:pPr>
          </w:p>
        </w:tc>
        <w:tc>
          <w:tcPr>
            <w:tcW w:w="1257" w:type="dxa"/>
            <w:vMerge/>
            <w:tcBorders>
              <w:top w:val="nil"/>
            </w:tcBorders>
          </w:tcPr>
          <w:p>
            <w:pPr>
              <w:rPr>
                <w:sz w:val="2"/>
                <w:szCs w:val="2"/>
              </w:rPr>
            </w:pPr>
          </w:p>
        </w:tc>
        <w:tc>
          <w:tcPr>
            <w:tcW w:w="1013" w:type="dxa"/>
          </w:tcPr>
          <w:p>
            <w:pPr>
              <w:pStyle w:val="TableParagraph"/>
              <w:spacing w:before="22"/>
              <w:ind w:left="151" w:right="144"/>
              <w:rPr>
                <w:sz w:val="21"/>
              </w:rPr>
            </w:pPr>
            <w:r>
              <w:rPr>
                <w:sz w:val="21"/>
              </w:rPr>
              <w:t>活度</w:t>
            </w:r>
          </w:p>
          <w:p>
            <w:pPr>
              <w:pStyle w:val="TableParagraph"/>
              <w:spacing w:before="43"/>
              <w:ind w:left="153" w:right="144"/>
              <w:rPr>
                <w:sz w:val="21"/>
              </w:rPr>
            </w:pPr>
            <w:r>
              <w:rPr>
                <w:sz w:val="21"/>
              </w:rPr>
              <w:t>（</w:t>
            </w:r>
            <w:r>
              <w:rPr>
                <w:rFonts w:ascii="Times New Roman" w:eastAsia="Times New Roman"/>
                <w:sz w:val="21"/>
              </w:rPr>
              <w:t>Bq</w:t>
            </w:r>
            <w:r>
              <w:rPr>
                <w:sz w:val="21"/>
              </w:rPr>
              <w:t>）</w:t>
            </w:r>
          </w:p>
        </w:tc>
        <w:tc>
          <w:tcPr>
            <w:tcW w:w="1013" w:type="dxa"/>
          </w:tcPr>
          <w:p>
            <w:pPr>
              <w:pStyle w:val="TableParagraph"/>
              <w:spacing w:before="22"/>
              <w:ind w:left="295"/>
              <w:jc w:val="left"/>
              <w:rPr>
                <w:sz w:val="21"/>
              </w:rPr>
            </w:pPr>
            <w:r>
              <w:rPr>
                <w:w w:val="95"/>
                <w:sz w:val="21"/>
              </w:rPr>
              <w:t>贮存</w:t>
            </w:r>
          </w:p>
          <w:p>
            <w:pPr>
              <w:pStyle w:val="TableParagraph"/>
              <w:spacing w:before="43"/>
              <w:ind w:left="295"/>
              <w:jc w:val="left"/>
              <w:rPr>
                <w:sz w:val="21"/>
              </w:rPr>
            </w:pPr>
            <w:r>
              <w:rPr>
                <w:w w:val="95"/>
                <w:sz w:val="21"/>
              </w:rPr>
              <w:t>方式</w:t>
            </w:r>
          </w:p>
        </w:tc>
        <w:tc>
          <w:tcPr>
            <w:tcW w:w="1013" w:type="dxa"/>
          </w:tcPr>
          <w:p>
            <w:pPr>
              <w:pStyle w:val="TableParagraph"/>
              <w:spacing w:before="22"/>
              <w:ind w:left="150" w:right="144"/>
              <w:rPr>
                <w:sz w:val="21"/>
              </w:rPr>
            </w:pPr>
            <w:r>
              <w:rPr>
                <w:sz w:val="21"/>
              </w:rPr>
              <w:t>数量</w:t>
            </w:r>
          </w:p>
        </w:tc>
        <w:tc>
          <w:tcPr>
            <w:tcW w:w="938" w:type="dxa"/>
            <w:vMerge/>
            <w:tcBorders>
              <w:top w:val="nil"/>
            </w:tcBorders>
          </w:tcPr>
          <w:p>
            <w:pPr>
              <w:rPr>
                <w:sz w:val="2"/>
                <w:szCs w:val="2"/>
              </w:rPr>
            </w:pPr>
          </w:p>
        </w:tc>
      </w:tr>
      <w:tr>
        <w:trPr>
          <w:trHeight w:val="311" w:hRule="atLeast"/>
        </w:trPr>
        <w:tc>
          <w:tcPr>
            <w:tcW w:w="643" w:type="dxa"/>
          </w:tcPr>
          <w:p>
            <w:pPr>
              <w:pStyle w:val="TableParagraph"/>
              <w:spacing w:before="34"/>
              <w:ind w:left="215"/>
              <w:jc w:val="left"/>
              <w:rPr>
                <w:rFonts w:ascii="Times New Roman" w:hAnsi="Times New Roman"/>
                <w:sz w:val="21"/>
              </w:rPr>
            </w:pPr>
            <w:r>
              <w:rPr>
                <w:rFonts w:ascii="Times New Roman" w:hAnsi="Times New Roman"/>
                <w:w w:val="99"/>
                <w:sz w:val="21"/>
              </w:rPr>
              <w:t>—</w:t>
            </w:r>
          </w:p>
        </w:tc>
        <w:tc>
          <w:tcPr>
            <w:tcW w:w="1140" w:type="dxa"/>
          </w:tcPr>
          <w:p>
            <w:pPr>
              <w:pStyle w:val="TableParagraph"/>
              <w:spacing w:before="34"/>
              <w:ind w:left="9"/>
              <w:rPr>
                <w:rFonts w:ascii="Times New Roman" w:hAnsi="Times New Roman"/>
                <w:sz w:val="21"/>
              </w:rPr>
            </w:pPr>
            <w:r>
              <w:rPr>
                <w:rFonts w:ascii="Times New Roman" w:hAnsi="Times New Roman"/>
                <w:w w:val="99"/>
                <w:sz w:val="21"/>
              </w:rPr>
              <w:t>—</w:t>
            </w:r>
          </w:p>
        </w:tc>
        <w:tc>
          <w:tcPr>
            <w:tcW w:w="760" w:type="dxa"/>
          </w:tcPr>
          <w:p>
            <w:pPr>
              <w:pStyle w:val="TableParagraph"/>
              <w:spacing w:before="34"/>
              <w:ind w:left="10"/>
              <w:rPr>
                <w:rFonts w:ascii="Times New Roman" w:hAnsi="Times New Roman"/>
                <w:sz w:val="21"/>
              </w:rPr>
            </w:pPr>
            <w:r>
              <w:rPr>
                <w:rFonts w:ascii="Times New Roman" w:hAnsi="Times New Roman"/>
                <w:w w:val="99"/>
                <w:sz w:val="21"/>
              </w:rPr>
              <w:t>—</w:t>
            </w:r>
          </w:p>
        </w:tc>
        <w:tc>
          <w:tcPr>
            <w:tcW w:w="740" w:type="dxa"/>
          </w:tcPr>
          <w:p>
            <w:pPr>
              <w:pStyle w:val="TableParagraph"/>
              <w:spacing w:before="34"/>
              <w:ind w:left="7"/>
              <w:rPr>
                <w:rFonts w:ascii="Times New Roman" w:hAnsi="Times New Roman"/>
                <w:sz w:val="21"/>
              </w:rPr>
            </w:pPr>
            <w:r>
              <w:rPr>
                <w:rFonts w:ascii="Times New Roman" w:hAnsi="Times New Roman"/>
                <w:w w:val="99"/>
                <w:sz w:val="21"/>
              </w:rPr>
              <w:t>—</w:t>
            </w:r>
          </w:p>
        </w:tc>
        <w:tc>
          <w:tcPr>
            <w:tcW w:w="840" w:type="dxa"/>
          </w:tcPr>
          <w:p>
            <w:pPr>
              <w:pStyle w:val="TableParagraph"/>
              <w:spacing w:before="34"/>
              <w:ind w:left="6"/>
              <w:rPr>
                <w:rFonts w:ascii="Times New Roman" w:hAnsi="Times New Roman"/>
                <w:sz w:val="21"/>
              </w:rPr>
            </w:pPr>
            <w:r>
              <w:rPr>
                <w:rFonts w:ascii="Times New Roman" w:hAnsi="Times New Roman"/>
                <w:w w:val="99"/>
                <w:sz w:val="21"/>
              </w:rPr>
              <w:t>—</w:t>
            </w:r>
          </w:p>
        </w:tc>
        <w:tc>
          <w:tcPr>
            <w:tcW w:w="1320" w:type="dxa"/>
          </w:tcPr>
          <w:p>
            <w:pPr>
              <w:pStyle w:val="TableParagraph"/>
              <w:spacing w:before="34"/>
              <w:ind w:left="6"/>
              <w:rPr>
                <w:rFonts w:ascii="Times New Roman" w:hAnsi="Times New Roman"/>
                <w:sz w:val="21"/>
              </w:rPr>
            </w:pPr>
            <w:r>
              <w:rPr>
                <w:rFonts w:ascii="Times New Roman" w:hAnsi="Times New Roman"/>
                <w:w w:val="99"/>
                <w:sz w:val="21"/>
              </w:rPr>
              <w:t>—</w:t>
            </w:r>
          </w:p>
        </w:tc>
        <w:tc>
          <w:tcPr>
            <w:tcW w:w="1559" w:type="dxa"/>
          </w:tcPr>
          <w:p>
            <w:pPr>
              <w:pStyle w:val="TableParagraph"/>
              <w:spacing w:before="34"/>
              <w:ind w:left="7"/>
              <w:rPr>
                <w:rFonts w:ascii="Times New Roman" w:hAnsi="Times New Roman"/>
                <w:sz w:val="21"/>
              </w:rPr>
            </w:pPr>
            <w:r>
              <w:rPr>
                <w:rFonts w:ascii="Times New Roman" w:hAnsi="Times New Roman"/>
                <w:w w:val="99"/>
                <w:sz w:val="21"/>
              </w:rPr>
              <w:t>—</w:t>
            </w:r>
          </w:p>
        </w:tc>
        <w:tc>
          <w:tcPr>
            <w:tcW w:w="1012" w:type="dxa"/>
          </w:tcPr>
          <w:p>
            <w:pPr>
              <w:pStyle w:val="TableParagraph"/>
              <w:spacing w:before="34"/>
              <w:ind w:left="9"/>
              <w:rPr>
                <w:rFonts w:ascii="Times New Roman" w:hAnsi="Times New Roman"/>
                <w:sz w:val="21"/>
              </w:rPr>
            </w:pPr>
            <w:r>
              <w:rPr>
                <w:rFonts w:ascii="Times New Roman" w:hAnsi="Times New Roman"/>
                <w:w w:val="99"/>
                <w:sz w:val="21"/>
              </w:rPr>
              <w:t>—</w:t>
            </w:r>
          </w:p>
        </w:tc>
        <w:tc>
          <w:tcPr>
            <w:tcW w:w="769" w:type="dxa"/>
          </w:tcPr>
          <w:p>
            <w:pPr>
              <w:pStyle w:val="TableParagraph"/>
              <w:spacing w:before="34"/>
              <w:ind w:left="9"/>
              <w:rPr>
                <w:rFonts w:ascii="Times New Roman" w:hAnsi="Times New Roman"/>
                <w:sz w:val="21"/>
              </w:rPr>
            </w:pPr>
            <w:r>
              <w:rPr>
                <w:rFonts w:ascii="Times New Roman" w:hAnsi="Times New Roman"/>
                <w:w w:val="99"/>
                <w:sz w:val="21"/>
              </w:rPr>
              <w:t>—</w:t>
            </w:r>
          </w:p>
        </w:tc>
        <w:tc>
          <w:tcPr>
            <w:tcW w:w="1257" w:type="dxa"/>
          </w:tcPr>
          <w:p>
            <w:pPr>
              <w:pStyle w:val="TableParagraph"/>
              <w:spacing w:before="34"/>
              <w:ind w:left="9"/>
              <w:rPr>
                <w:rFonts w:ascii="Times New Roman" w:hAnsi="Times New Roman"/>
                <w:sz w:val="21"/>
              </w:rPr>
            </w:pPr>
            <w:r>
              <w:rPr>
                <w:rFonts w:ascii="Times New Roman" w:hAnsi="Times New Roman"/>
                <w:w w:val="99"/>
                <w:sz w:val="21"/>
              </w:rPr>
              <w:t>—</w:t>
            </w:r>
          </w:p>
        </w:tc>
        <w:tc>
          <w:tcPr>
            <w:tcW w:w="1013" w:type="dxa"/>
          </w:tcPr>
          <w:p>
            <w:pPr>
              <w:pStyle w:val="TableParagraph"/>
              <w:spacing w:before="34"/>
              <w:ind w:left="9"/>
              <w:rPr>
                <w:rFonts w:ascii="Times New Roman" w:hAnsi="Times New Roman"/>
                <w:sz w:val="21"/>
              </w:rPr>
            </w:pPr>
            <w:r>
              <w:rPr>
                <w:rFonts w:ascii="Times New Roman" w:hAnsi="Times New Roman"/>
                <w:w w:val="99"/>
                <w:sz w:val="21"/>
              </w:rPr>
              <w:t>—</w:t>
            </w:r>
          </w:p>
        </w:tc>
        <w:tc>
          <w:tcPr>
            <w:tcW w:w="1013" w:type="dxa"/>
          </w:tcPr>
          <w:p>
            <w:pPr>
              <w:pStyle w:val="TableParagraph"/>
              <w:spacing w:before="34"/>
              <w:ind w:left="9"/>
              <w:rPr>
                <w:rFonts w:ascii="Times New Roman" w:hAnsi="Times New Roman"/>
                <w:sz w:val="21"/>
              </w:rPr>
            </w:pPr>
            <w:r>
              <w:rPr>
                <w:rFonts w:ascii="Times New Roman" w:hAnsi="Times New Roman"/>
                <w:w w:val="99"/>
                <w:sz w:val="21"/>
              </w:rPr>
              <w:t>—</w:t>
            </w:r>
          </w:p>
        </w:tc>
        <w:tc>
          <w:tcPr>
            <w:tcW w:w="1013" w:type="dxa"/>
          </w:tcPr>
          <w:p>
            <w:pPr>
              <w:pStyle w:val="TableParagraph"/>
              <w:spacing w:before="34"/>
              <w:ind w:left="8"/>
              <w:rPr>
                <w:rFonts w:ascii="Times New Roman" w:hAnsi="Times New Roman"/>
                <w:sz w:val="21"/>
              </w:rPr>
            </w:pPr>
            <w:r>
              <w:rPr>
                <w:rFonts w:ascii="Times New Roman" w:hAnsi="Times New Roman"/>
                <w:w w:val="99"/>
                <w:sz w:val="21"/>
              </w:rPr>
              <w:t>—</w:t>
            </w:r>
          </w:p>
        </w:tc>
        <w:tc>
          <w:tcPr>
            <w:tcW w:w="938" w:type="dxa"/>
          </w:tcPr>
          <w:p>
            <w:pPr>
              <w:pStyle w:val="TableParagraph"/>
              <w:spacing w:before="34"/>
              <w:ind w:left="6"/>
              <w:rPr>
                <w:rFonts w:ascii="Times New Roman" w:hAnsi="Times New Roman"/>
                <w:sz w:val="21"/>
              </w:rPr>
            </w:pPr>
            <w:r>
              <w:rPr>
                <w:rFonts w:ascii="Times New Roman" w:hAnsi="Times New Roman"/>
                <w:w w:val="99"/>
                <w:sz w:val="21"/>
              </w:rPr>
              <w:t>—</w:t>
            </w:r>
          </w:p>
        </w:tc>
      </w:tr>
    </w:tbl>
    <w:p>
      <w:pPr>
        <w:spacing w:after="0"/>
        <w:rPr>
          <w:rFonts w:ascii="Times New Roman" w:hAnsi="Times New Roman"/>
          <w:sz w:val="21"/>
        </w:rPr>
        <w:sectPr>
          <w:pgSz w:w="16840" w:h="11910" w:orient="landscape"/>
          <w:pgMar w:header="0" w:footer="1235" w:top="1100" w:bottom="1420" w:left="900" w:right="1160"/>
        </w:sectPr>
      </w:pPr>
    </w:p>
    <w:p>
      <w:pPr>
        <w:pStyle w:val="BodyText"/>
        <w:rPr>
          <w:sz w:val="20"/>
        </w:rPr>
      </w:pPr>
    </w:p>
    <w:p>
      <w:pPr>
        <w:pStyle w:val="BodyText"/>
        <w:rPr>
          <w:sz w:val="20"/>
        </w:rPr>
      </w:pPr>
    </w:p>
    <w:p>
      <w:pPr>
        <w:pStyle w:val="BodyText"/>
        <w:spacing w:before="2"/>
        <w:rPr>
          <w:sz w:val="18"/>
        </w:rPr>
      </w:pPr>
    </w:p>
    <w:p>
      <w:pPr>
        <w:tabs>
          <w:tab w:pos="1365" w:val="left" w:leader="none"/>
        </w:tabs>
        <w:spacing w:before="70"/>
        <w:ind w:left="540" w:right="0" w:firstLine="0"/>
        <w:jc w:val="left"/>
        <w:rPr>
          <w:sz w:val="30"/>
        </w:rPr>
      </w:pPr>
      <w:bookmarkStart w:name="_TOC_250000" w:id="8"/>
      <w:bookmarkStart w:name="表5  废弃物（重点是放射性废弃物）" w:id="9"/>
      <w:r>
        <w:rPr/>
      </w:r>
      <w:r>
        <w:rPr>
          <w:sz w:val="30"/>
        </w:rPr>
        <w:t>表</w:t>
      </w:r>
      <w:r>
        <w:rPr>
          <w:spacing w:val="-76"/>
          <w:sz w:val="30"/>
        </w:rPr>
        <w:t> </w:t>
      </w:r>
      <w:r>
        <w:rPr>
          <w:rFonts w:ascii="Times New Roman" w:eastAsia="Times New Roman"/>
          <w:sz w:val="30"/>
        </w:rPr>
        <w:t>5</w:t>
        <w:tab/>
      </w:r>
      <w:bookmarkEnd w:id="8"/>
      <w:r>
        <w:rPr>
          <w:sz w:val="30"/>
        </w:rPr>
        <w:t>废弃物（重点是放射性废弃物）</w:t>
      </w:r>
    </w:p>
    <w:p>
      <w:pPr>
        <w:pStyle w:val="BodyText"/>
        <w:spacing w:before="3"/>
        <w:rPr>
          <w:sz w:val="9"/>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9"/>
        <w:gridCol w:w="1088"/>
        <w:gridCol w:w="1374"/>
        <w:gridCol w:w="1725"/>
        <w:gridCol w:w="1793"/>
        <w:gridCol w:w="1780"/>
        <w:gridCol w:w="1780"/>
        <w:gridCol w:w="1780"/>
        <w:gridCol w:w="1780"/>
      </w:tblGrid>
      <w:tr>
        <w:trPr>
          <w:trHeight w:val="343" w:hRule="atLeast"/>
        </w:trPr>
        <w:tc>
          <w:tcPr>
            <w:tcW w:w="1319" w:type="dxa"/>
          </w:tcPr>
          <w:p>
            <w:pPr>
              <w:pStyle w:val="TableParagraph"/>
              <w:spacing w:before="38"/>
              <w:ind w:left="427" w:right="421"/>
              <w:rPr>
                <w:sz w:val="21"/>
              </w:rPr>
            </w:pPr>
            <w:r>
              <w:rPr>
                <w:sz w:val="21"/>
              </w:rPr>
              <w:t>名称</w:t>
            </w:r>
          </w:p>
        </w:tc>
        <w:tc>
          <w:tcPr>
            <w:tcW w:w="1088" w:type="dxa"/>
          </w:tcPr>
          <w:p>
            <w:pPr>
              <w:pStyle w:val="TableParagraph"/>
              <w:spacing w:before="38"/>
              <w:ind w:left="313" w:right="305"/>
              <w:rPr>
                <w:sz w:val="21"/>
              </w:rPr>
            </w:pPr>
            <w:r>
              <w:rPr>
                <w:sz w:val="21"/>
              </w:rPr>
              <w:t>状态</w:t>
            </w:r>
          </w:p>
        </w:tc>
        <w:tc>
          <w:tcPr>
            <w:tcW w:w="1374" w:type="dxa"/>
          </w:tcPr>
          <w:p>
            <w:pPr>
              <w:pStyle w:val="TableParagraph"/>
              <w:spacing w:before="38"/>
              <w:ind w:left="245" w:right="239"/>
              <w:rPr>
                <w:sz w:val="21"/>
              </w:rPr>
            </w:pPr>
            <w:r>
              <w:rPr>
                <w:sz w:val="21"/>
              </w:rPr>
              <w:t>核素名称</w:t>
            </w:r>
          </w:p>
        </w:tc>
        <w:tc>
          <w:tcPr>
            <w:tcW w:w="1725" w:type="dxa"/>
          </w:tcPr>
          <w:p>
            <w:pPr>
              <w:pStyle w:val="TableParagraph"/>
              <w:spacing w:before="38"/>
              <w:ind w:left="630" w:right="624"/>
              <w:rPr>
                <w:sz w:val="21"/>
              </w:rPr>
            </w:pPr>
            <w:r>
              <w:rPr>
                <w:sz w:val="21"/>
              </w:rPr>
              <w:t>活度</w:t>
            </w:r>
          </w:p>
        </w:tc>
        <w:tc>
          <w:tcPr>
            <w:tcW w:w="1793" w:type="dxa"/>
          </w:tcPr>
          <w:p>
            <w:pPr>
              <w:pStyle w:val="TableParagraph"/>
              <w:spacing w:before="38"/>
              <w:ind w:left="454" w:right="448"/>
              <w:rPr>
                <w:sz w:val="21"/>
              </w:rPr>
            </w:pPr>
            <w:r>
              <w:rPr>
                <w:sz w:val="21"/>
              </w:rPr>
              <w:t>月排放量</w:t>
            </w:r>
          </w:p>
        </w:tc>
        <w:tc>
          <w:tcPr>
            <w:tcW w:w="1780" w:type="dxa"/>
          </w:tcPr>
          <w:p>
            <w:pPr>
              <w:pStyle w:val="TableParagraph"/>
              <w:spacing w:before="38"/>
              <w:ind w:left="343" w:right="336"/>
              <w:rPr>
                <w:sz w:val="21"/>
              </w:rPr>
            </w:pPr>
            <w:r>
              <w:rPr>
                <w:sz w:val="21"/>
              </w:rPr>
              <w:t>年排放量</w:t>
            </w:r>
          </w:p>
        </w:tc>
        <w:tc>
          <w:tcPr>
            <w:tcW w:w="1780" w:type="dxa"/>
          </w:tcPr>
          <w:p>
            <w:pPr>
              <w:pStyle w:val="TableParagraph"/>
              <w:spacing w:before="38"/>
              <w:ind w:left="344" w:right="336"/>
              <w:rPr>
                <w:sz w:val="21"/>
              </w:rPr>
            </w:pPr>
            <w:r>
              <w:rPr>
                <w:sz w:val="21"/>
              </w:rPr>
              <w:t>排放口浓度</w:t>
            </w:r>
          </w:p>
        </w:tc>
        <w:tc>
          <w:tcPr>
            <w:tcW w:w="1780" w:type="dxa"/>
          </w:tcPr>
          <w:p>
            <w:pPr>
              <w:pStyle w:val="TableParagraph"/>
              <w:spacing w:before="38"/>
              <w:ind w:left="341" w:right="336"/>
              <w:rPr>
                <w:sz w:val="21"/>
              </w:rPr>
            </w:pPr>
            <w:r>
              <w:rPr>
                <w:sz w:val="21"/>
              </w:rPr>
              <w:t>暂存情况</w:t>
            </w:r>
          </w:p>
        </w:tc>
        <w:tc>
          <w:tcPr>
            <w:tcW w:w="1780" w:type="dxa"/>
          </w:tcPr>
          <w:p>
            <w:pPr>
              <w:pStyle w:val="TableParagraph"/>
              <w:spacing w:before="38"/>
              <w:ind w:left="343" w:right="336"/>
              <w:rPr>
                <w:sz w:val="21"/>
              </w:rPr>
            </w:pPr>
            <w:r>
              <w:rPr>
                <w:sz w:val="21"/>
              </w:rPr>
              <w:t>最终去向</w:t>
            </w:r>
          </w:p>
        </w:tc>
      </w:tr>
      <w:tr>
        <w:trPr>
          <w:trHeight w:val="342" w:hRule="atLeast"/>
        </w:trPr>
        <w:tc>
          <w:tcPr>
            <w:tcW w:w="1319" w:type="dxa"/>
          </w:tcPr>
          <w:p>
            <w:pPr>
              <w:pStyle w:val="TableParagraph"/>
              <w:spacing w:before="46"/>
              <w:ind w:left="427" w:right="418"/>
              <w:rPr>
                <w:rFonts w:ascii="Times New Roman"/>
                <w:sz w:val="13"/>
              </w:rPr>
            </w:pPr>
            <w:r>
              <w:rPr>
                <w:rFonts w:ascii="Times New Roman"/>
                <w:position w:val="2"/>
                <w:sz w:val="21"/>
              </w:rPr>
              <w:t>O</w:t>
            </w:r>
            <w:r>
              <w:rPr>
                <w:rFonts w:ascii="Times New Roman"/>
                <w:sz w:val="13"/>
              </w:rPr>
              <w:t>3</w:t>
            </w:r>
          </w:p>
        </w:tc>
        <w:tc>
          <w:tcPr>
            <w:tcW w:w="1088" w:type="dxa"/>
          </w:tcPr>
          <w:p>
            <w:pPr>
              <w:pStyle w:val="TableParagraph"/>
              <w:spacing w:before="37"/>
              <w:ind w:left="313" w:right="305"/>
              <w:rPr>
                <w:sz w:val="21"/>
              </w:rPr>
            </w:pPr>
            <w:r>
              <w:rPr>
                <w:sz w:val="21"/>
              </w:rPr>
              <w:t>气态</w:t>
            </w:r>
          </w:p>
        </w:tc>
        <w:tc>
          <w:tcPr>
            <w:tcW w:w="1374" w:type="dxa"/>
          </w:tcPr>
          <w:p>
            <w:pPr>
              <w:pStyle w:val="TableParagraph"/>
              <w:spacing w:before="46"/>
              <w:ind w:left="245" w:right="237"/>
              <w:rPr>
                <w:rFonts w:ascii="Times New Roman"/>
                <w:sz w:val="13"/>
              </w:rPr>
            </w:pPr>
            <w:r>
              <w:rPr>
                <w:rFonts w:ascii="Times New Roman"/>
                <w:position w:val="2"/>
                <w:sz w:val="21"/>
              </w:rPr>
              <w:t>O</w:t>
            </w:r>
            <w:r>
              <w:rPr>
                <w:rFonts w:ascii="Times New Roman"/>
                <w:sz w:val="13"/>
              </w:rPr>
              <w:t>3</w:t>
            </w:r>
          </w:p>
        </w:tc>
        <w:tc>
          <w:tcPr>
            <w:tcW w:w="1725" w:type="dxa"/>
          </w:tcPr>
          <w:p>
            <w:pPr>
              <w:pStyle w:val="TableParagraph"/>
              <w:spacing w:before="49"/>
              <w:ind w:left="6"/>
              <w:rPr>
                <w:rFonts w:ascii="Times New Roman"/>
                <w:sz w:val="21"/>
              </w:rPr>
            </w:pPr>
            <w:r>
              <w:rPr>
                <w:rFonts w:ascii="Times New Roman"/>
                <w:w w:val="99"/>
                <w:sz w:val="21"/>
              </w:rPr>
              <w:t>/</w:t>
            </w:r>
          </w:p>
        </w:tc>
        <w:tc>
          <w:tcPr>
            <w:tcW w:w="1793" w:type="dxa"/>
          </w:tcPr>
          <w:p>
            <w:pPr>
              <w:pStyle w:val="TableParagraph"/>
              <w:spacing w:before="35"/>
              <w:ind w:left="454" w:right="448"/>
              <w:rPr>
                <w:sz w:val="21"/>
              </w:rPr>
            </w:pPr>
            <w:r>
              <w:rPr>
                <w:sz w:val="21"/>
              </w:rPr>
              <w:t>少量</w:t>
            </w:r>
          </w:p>
        </w:tc>
        <w:tc>
          <w:tcPr>
            <w:tcW w:w="1780" w:type="dxa"/>
          </w:tcPr>
          <w:p>
            <w:pPr>
              <w:pStyle w:val="TableParagraph"/>
              <w:spacing w:before="35"/>
              <w:ind w:left="340" w:right="336"/>
              <w:rPr>
                <w:sz w:val="21"/>
              </w:rPr>
            </w:pPr>
            <w:r>
              <w:rPr>
                <w:sz w:val="21"/>
              </w:rPr>
              <w:t>少量</w:t>
            </w:r>
          </w:p>
        </w:tc>
        <w:tc>
          <w:tcPr>
            <w:tcW w:w="1780" w:type="dxa"/>
          </w:tcPr>
          <w:p>
            <w:pPr>
              <w:pStyle w:val="TableParagraph"/>
              <w:spacing w:before="35"/>
              <w:ind w:left="342" w:right="336"/>
              <w:rPr>
                <w:sz w:val="21"/>
              </w:rPr>
            </w:pPr>
            <w:r>
              <w:rPr>
                <w:sz w:val="21"/>
              </w:rPr>
              <w:t>少量</w:t>
            </w:r>
          </w:p>
        </w:tc>
        <w:tc>
          <w:tcPr>
            <w:tcW w:w="1780" w:type="dxa"/>
          </w:tcPr>
          <w:p>
            <w:pPr>
              <w:pStyle w:val="TableParagraph"/>
              <w:spacing w:before="37"/>
              <w:ind w:left="344" w:right="336"/>
              <w:rPr>
                <w:sz w:val="21"/>
              </w:rPr>
            </w:pPr>
            <w:r>
              <w:rPr>
                <w:sz w:val="21"/>
              </w:rPr>
              <w:t>不暂存</w:t>
            </w:r>
          </w:p>
        </w:tc>
        <w:tc>
          <w:tcPr>
            <w:tcW w:w="1780" w:type="dxa"/>
          </w:tcPr>
          <w:p>
            <w:pPr>
              <w:pStyle w:val="TableParagraph"/>
              <w:spacing w:before="37"/>
              <w:ind w:left="343" w:right="336"/>
              <w:rPr>
                <w:sz w:val="21"/>
              </w:rPr>
            </w:pPr>
            <w:r>
              <w:rPr>
                <w:sz w:val="21"/>
              </w:rPr>
              <w:t>环境大气</w:t>
            </w:r>
          </w:p>
        </w:tc>
      </w:tr>
      <w:tr>
        <w:trPr>
          <w:trHeight w:val="343" w:hRule="atLeast"/>
        </w:trPr>
        <w:tc>
          <w:tcPr>
            <w:tcW w:w="1319" w:type="dxa"/>
          </w:tcPr>
          <w:p>
            <w:pPr>
              <w:pStyle w:val="TableParagraph"/>
              <w:spacing w:before="49"/>
              <w:ind w:left="8"/>
              <w:rPr>
                <w:rFonts w:ascii="Times New Roman" w:hAnsi="Times New Roman"/>
                <w:sz w:val="21"/>
              </w:rPr>
            </w:pPr>
            <w:r>
              <w:rPr>
                <w:rFonts w:ascii="Times New Roman" w:hAnsi="Times New Roman"/>
                <w:w w:val="99"/>
                <w:sz w:val="21"/>
              </w:rPr>
              <w:t>—</w:t>
            </w:r>
          </w:p>
        </w:tc>
        <w:tc>
          <w:tcPr>
            <w:tcW w:w="1088" w:type="dxa"/>
          </w:tcPr>
          <w:p>
            <w:pPr>
              <w:pStyle w:val="TableParagraph"/>
              <w:spacing w:before="49"/>
              <w:ind w:left="6"/>
              <w:rPr>
                <w:rFonts w:ascii="Times New Roman" w:hAnsi="Times New Roman"/>
                <w:sz w:val="21"/>
              </w:rPr>
            </w:pPr>
            <w:r>
              <w:rPr>
                <w:rFonts w:ascii="Times New Roman" w:hAnsi="Times New Roman"/>
                <w:w w:val="99"/>
                <w:sz w:val="21"/>
              </w:rPr>
              <w:t>—</w:t>
            </w:r>
          </w:p>
        </w:tc>
        <w:tc>
          <w:tcPr>
            <w:tcW w:w="1374" w:type="dxa"/>
          </w:tcPr>
          <w:p>
            <w:pPr>
              <w:pStyle w:val="TableParagraph"/>
              <w:spacing w:before="49"/>
              <w:ind w:left="6"/>
              <w:rPr>
                <w:rFonts w:ascii="Times New Roman" w:hAnsi="Times New Roman"/>
                <w:sz w:val="21"/>
              </w:rPr>
            </w:pPr>
            <w:r>
              <w:rPr>
                <w:rFonts w:ascii="Times New Roman" w:hAnsi="Times New Roman"/>
                <w:w w:val="99"/>
                <w:sz w:val="21"/>
              </w:rPr>
              <w:t>—</w:t>
            </w:r>
          </w:p>
        </w:tc>
        <w:tc>
          <w:tcPr>
            <w:tcW w:w="1725" w:type="dxa"/>
          </w:tcPr>
          <w:p>
            <w:pPr>
              <w:pStyle w:val="TableParagraph"/>
              <w:spacing w:before="49"/>
              <w:ind w:left="8"/>
              <w:rPr>
                <w:rFonts w:ascii="Times New Roman" w:hAnsi="Times New Roman"/>
                <w:sz w:val="21"/>
              </w:rPr>
            </w:pPr>
            <w:r>
              <w:rPr>
                <w:rFonts w:ascii="Times New Roman" w:hAnsi="Times New Roman"/>
                <w:w w:val="99"/>
                <w:sz w:val="21"/>
              </w:rPr>
              <w:t>—</w:t>
            </w:r>
          </w:p>
        </w:tc>
        <w:tc>
          <w:tcPr>
            <w:tcW w:w="1793" w:type="dxa"/>
          </w:tcPr>
          <w:p>
            <w:pPr>
              <w:pStyle w:val="TableParagraph"/>
              <w:spacing w:before="49"/>
              <w:ind w:left="9"/>
              <w:rPr>
                <w:rFonts w:ascii="Times New Roman" w:hAnsi="Times New Roman"/>
                <w:sz w:val="21"/>
              </w:rPr>
            </w:pPr>
            <w:r>
              <w:rPr>
                <w:rFonts w:ascii="Times New Roman" w:hAnsi="Times New Roman"/>
                <w:w w:val="99"/>
                <w:sz w:val="21"/>
              </w:rPr>
              <w:t>—</w:t>
            </w:r>
          </w:p>
        </w:tc>
        <w:tc>
          <w:tcPr>
            <w:tcW w:w="1780" w:type="dxa"/>
          </w:tcPr>
          <w:p>
            <w:pPr>
              <w:pStyle w:val="TableParagraph"/>
              <w:spacing w:before="49"/>
              <w:ind w:left="7"/>
              <w:rPr>
                <w:rFonts w:ascii="Times New Roman" w:hAnsi="Times New Roman"/>
                <w:sz w:val="21"/>
              </w:rPr>
            </w:pPr>
            <w:r>
              <w:rPr>
                <w:rFonts w:ascii="Times New Roman" w:hAnsi="Times New Roman"/>
                <w:w w:val="99"/>
                <w:sz w:val="21"/>
              </w:rPr>
              <w:t>—</w:t>
            </w:r>
          </w:p>
        </w:tc>
        <w:tc>
          <w:tcPr>
            <w:tcW w:w="1780" w:type="dxa"/>
          </w:tcPr>
          <w:p>
            <w:pPr>
              <w:pStyle w:val="TableParagraph"/>
              <w:spacing w:before="49"/>
              <w:ind w:left="8"/>
              <w:rPr>
                <w:rFonts w:ascii="Times New Roman" w:hAnsi="Times New Roman"/>
                <w:sz w:val="21"/>
              </w:rPr>
            </w:pPr>
            <w:r>
              <w:rPr>
                <w:rFonts w:ascii="Times New Roman" w:hAnsi="Times New Roman"/>
                <w:w w:val="99"/>
                <w:sz w:val="21"/>
              </w:rPr>
              <w:t>—</w:t>
            </w:r>
          </w:p>
        </w:tc>
        <w:tc>
          <w:tcPr>
            <w:tcW w:w="1780" w:type="dxa"/>
          </w:tcPr>
          <w:p>
            <w:pPr>
              <w:pStyle w:val="TableParagraph"/>
              <w:spacing w:before="49"/>
              <w:ind w:left="10"/>
              <w:rPr>
                <w:rFonts w:ascii="Times New Roman" w:hAnsi="Times New Roman"/>
                <w:sz w:val="21"/>
              </w:rPr>
            </w:pPr>
            <w:r>
              <w:rPr>
                <w:rFonts w:ascii="Times New Roman" w:hAnsi="Times New Roman"/>
                <w:w w:val="99"/>
                <w:sz w:val="21"/>
              </w:rPr>
              <w:t>—</w:t>
            </w:r>
          </w:p>
        </w:tc>
        <w:tc>
          <w:tcPr>
            <w:tcW w:w="1780" w:type="dxa"/>
          </w:tcPr>
          <w:p>
            <w:pPr>
              <w:pStyle w:val="TableParagraph"/>
              <w:spacing w:before="49"/>
              <w:ind w:left="7"/>
              <w:rPr>
                <w:rFonts w:ascii="Times New Roman" w:hAnsi="Times New Roman"/>
                <w:sz w:val="21"/>
              </w:rPr>
            </w:pPr>
            <w:r>
              <w:rPr>
                <w:rFonts w:ascii="Times New Roman" w:hAnsi="Times New Roman"/>
                <w:w w:val="99"/>
                <w:sz w:val="21"/>
              </w:rPr>
              <w:t>—</w:t>
            </w:r>
          </w:p>
        </w:tc>
      </w:tr>
    </w:tbl>
    <w:p>
      <w:pPr>
        <w:spacing w:before="126"/>
        <w:ind w:left="540" w:right="0" w:firstLine="0"/>
        <w:jc w:val="left"/>
        <w:rPr>
          <w:sz w:val="18"/>
        </w:rPr>
      </w:pPr>
      <w:r>
        <w:rPr>
          <w:spacing w:val="-1"/>
          <w:sz w:val="18"/>
        </w:rPr>
        <w:t>注：</w:t>
      </w:r>
      <w:r>
        <w:rPr>
          <w:rFonts w:ascii="Times New Roman" w:eastAsia="Times New Roman"/>
          <w:spacing w:val="-1"/>
          <w:sz w:val="18"/>
        </w:rPr>
        <w:t>1.</w:t>
      </w:r>
      <w:r>
        <w:rPr>
          <w:spacing w:val="-4"/>
          <w:sz w:val="18"/>
        </w:rPr>
        <w:t>常规废弃物排放浓度，对于液态单位为 </w:t>
      </w:r>
      <w:r>
        <w:rPr>
          <w:rFonts w:ascii="Times New Roman" w:eastAsia="Times New Roman"/>
          <w:sz w:val="18"/>
        </w:rPr>
        <w:t>mg/L</w:t>
      </w:r>
      <w:r>
        <w:rPr>
          <w:spacing w:val="-9"/>
          <w:sz w:val="18"/>
        </w:rPr>
        <w:t>，固体为 </w:t>
      </w:r>
      <w:r>
        <w:rPr>
          <w:rFonts w:ascii="Times New Roman" w:eastAsia="Times New Roman"/>
          <w:sz w:val="18"/>
        </w:rPr>
        <w:t>mg/kg</w:t>
      </w:r>
      <w:r>
        <w:rPr>
          <w:spacing w:val="-9"/>
          <w:sz w:val="18"/>
        </w:rPr>
        <w:t>，气态为 </w:t>
      </w:r>
      <w:r>
        <w:rPr>
          <w:rFonts w:ascii="Times New Roman" w:eastAsia="Times New Roman"/>
          <w:sz w:val="18"/>
        </w:rPr>
        <w:t>mg/m</w:t>
      </w:r>
      <w:r>
        <w:rPr>
          <w:rFonts w:ascii="Times New Roman" w:eastAsia="Times New Roman"/>
          <w:sz w:val="18"/>
          <w:vertAlign w:val="superscript"/>
        </w:rPr>
        <w:t>3</w:t>
      </w:r>
      <w:r>
        <w:rPr>
          <w:spacing w:val="-6"/>
          <w:sz w:val="18"/>
          <w:vertAlign w:val="baseline"/>
        </w:rPr>
        <w:t>，年排放总量为 </w:t>
      </w:r>
      <w:r>
        <w:rPr>
          <w:rFonts w:ascii="Times New Roman" w:eastAsia="Times New Roman"/>
          <w:sz w:val="18"/>
          <w:vertAlign w:val="baseline"/>
        </w:rPr>
        <w:t>kg</w:t>
      </w:r>
      <w:r>
        <w:rPr>
          <w:sz w:val="18"/>
          <w:vertAlign w:val="baseline"/>
        </w:rPr>
        <w:t>。</w:t>
      </w:r>
    </w:p>
    <w:p>
      <w:pPr>
        <w:spacing w:before="43"/>
        <w:ind w:left="808" w:right="0" w:firstLine="0"/>
        <w:jc w:val="left"/>
        <w:rPr>
          <w:sz w:val="18"/>
        </w:rPr>
      </w:pPr>
      <w:r>
        <w:rPr>
          <w:rFonts w:ascii="Times New Roman" w:eastAsia="Times New Roman"/>
          <w:spacing w:val="-1"/>
          <w:sz w:val="18"/>
        </w:rPr>
        <w:t>2</w:t>
      </w:r>
      <w:r>
        <w:rPr>
          <w:rFonts w:ascii="Times New Roman" w:eastAsia="Times New Roman"/>
          <w:sz w:val="18"/>
        </w:rPr>
        <w:t>. </w:t>
      </w:r>
      <w:r>
        <w:rPr>
          <w:spacing w:val="-1"/>
          <w:sz w:val="18"/>
        </w:rPr>
        <w:t>含有放射性的废物要注明其排放浓度、年排放总量分别用比活度</w:t>
      </w:r>
      <w:r>
        <w:rPr>
          <w:sz w:val="18"/>
        </w:rPr>
        <w:t>（</w:t>
      </w:r>
      <w:r>
        <w:rPr>
          <w:rFonts w:ascii="Times New Roman" w:eastAsia="Times New Roman"/>
          <w:sz w:val="18"/>
        </w:rPr>
        <w:t>Bq/L</w:t>
      </w:r>
      <w:r>
        <w:rPr>
          <w:rFonts w:ascii="Times New Roman" w:eastAsia="Times New Roman"/>
          <w:spacing w:val="-2"/>
          <w:sz w:val="18"/>
        </w:rPr>
        <w:t> </w:t>
      </w:r>
      <w:r>
        <w:rPr>
          <w:spacing w:val="-23"/>
          <w:sz w:val="18"/>
        </w:rPr>
        <w:t>或 </w:t>
      </w:r>
      <w:r>
        <w:rPr>
          <w:rFonts w:ascii="Times New Roman" w:eastAsia="Times New Roman"/>
          <w:sz w:val="18"/>
        </w:rPr>
        <w:t>Bq/kg</w:t>
      </w:r>
      <w:r>
        <w:rPr>
          <w:rFonts w:ascii="Times New Roman" w:eastAsia="Times New Roman"/>
          <w:spacing w:val="-1"/>
          <w:sz w:val="18"/>
        </w:rPr>
        <w:t> </w:t>
      </w:r>
      <w:r>
        <w:rPr>
          <w:spacing w:val="-23"/>
          <w:sz w:val="18"/>
        </w:rPr>
        <w:t>或 </w:t>
      </w:r>
      <w:r>
        <w:rPr>
          <w:rFonts w:ascii="Times New Roman" w:eastAsia="Times New Roman"/>
          <w:sz w:val="18"/>
        </w:rPr>
        <w:t>Bq/m</w:t>
      </w:r>
      <w:r>
        <w:rPr>
          <w:rFonts w:ascii="Times New Roman" w:eastAsia="Times New Roman"/>
          <w:sz w:val="18"/>
          <w:vertAlign w:val="superscript"/>
        </w:rPr>
        <w:t>3</w:t>
      </w:r>
      <w:r>
        <w:rPr>
          <w:sz w:val="18"/>
          <w:vertAlign w:val="baseline"/>
        </w:rPr>
        <w:t>）和活度（</w:t>
      </w:r>
      <w:r>
        <w:rPr>
          <w:rFonts w:ascii="Times New Roman" w:eastAsia="Times New Roman"/>
          <w:sz w:val="18"/>
          <w:vertAlign w:val="baseline"/>
        </w:rPr>
        <w:t>Bq</w:t>
      </w:r>
      <w:r>
        <w:rPr>
          <w:sz w:val="18"/>
          <w:vertAlign w:val="baseline"/>
        </w:rPr>
        <w:t>）</w:t>
      </w:r>
    </w:p>
    <w:p>
      <w:pPr>
        <w:spacing w:after="0"/>
        <w:jc w:val="left"/>
        <w:rPr>
          <w:sz w:val="18"/>
        </w:rPr>
        <w:sectPr>
          <w:pgSz w:w="16840" w:h="11910" w:orient="landscape"/>
          <w:pgMar w:header="0" w:footer="1235" w:top="1100" w:bottom="1420" w:left="900" w:right="1160"/>
        </w:sectPr>
      </w:pPr>
    </w:p>
    <w:p>
      <w:pPr>
        <w:pStyle w:val="BodyText"/>
        <w:spacing w:before="5"/>
        <w:rPr>
          <w:sz w:val="10"/>
        </w:rPr>
      </w:pPr>
    </w:p>
    <w:p>
      <w:pPr>
        <w:tabs>
          <w:tab w:pos="1385" w:val="left" w:leader="none"/>
        </w:tabs>
        <w:spacing w:before="70"/>
        <w:ind w:left="560" w:right="0" w:firstLine="0"/>
        <w:jc w:val="left"/>
        <w:rPr>
          <w:sz w:val="30"/>
        </w:rPr>
      </w:pPr>
      <w:bookmarkStart w:name="表6  评价依据" w:id="10"/>
      <w:bookmarkEnd w:id="10"/>
      <w:r>
        <w:rPr/>
      </w:r>
      <w:bookmarkStart w:name="_bookmark4" w:id="11"/>
      <w:bookmarkEnd w:id="11"/>
      <w:r>
        <w:rPr/>
      </w:r>
      <w:r>
        <w:rPr>
          <w:sz w:val="30"/>
        </w:rPr>
        <w:t>表</w:t>
      </w:r>
      <w:r>
        <w:rPr>
          <w:spacing w:val="-76"/>
          <w:sz w:val="30"/>
        </w:rPr>
        <w:t> </w:t>
      </w:r>
      <w:r>
        <w:rPr>
          <w:rFonts w:ascii="Times New Roman" w:eastAsia="Times New Roman"/>
          <w:sz w:val="30"/>
        </w:rPr>
        <w:t>6</w:t>
        <w:tab/>
      </w:r>
      <w:r>
        <w:rPr>
          <w:sz w:val="30"/>
        </w:rPr>
        <w:t>评价依据</w:t>
      </w:r>
    </w:p>
    <w:p>
      <w:pPr>
        <w:pStyle w:val="BodyText"/>
        <w:spacing w:before="11"/>
        <w:rPr>
          <w:sz w:val="19"/>
        </w:rPr>
      </w:pPr>
    </w:p>
    <w:p>
      <w:pPr>
        <w:spacing w:after="0"/>
        <w:rPr>
          <w:sz w:val="19"/>
        </w:rPr>
        <w:sectPr>
          <w:footerReference w:type="default" r:id="rId9"/>
          <w:pgSz w:w="11910" w:h="16840"/>
          <w:pgMar w:footer="1383" w:header="0" w:top="1580" w:bottom="1580" w:left="1240" w:right="1040"/>
        </w:sectPr>
      </w:pPr>
    </w:p>
    <w:p>
      <w:pPr>
        <w:pStyle w:val="BodyText"/>
      </w:pPr>
      <w:r>
        <w:rPr/>
        <w:pict>
          <v:shape style="position:absolute;margin-left:67.410004pt;margin-top:121.200027pt;width:459.5pt;height:632.450pt;mso-position-horizontal-relative:page;mso-position-vertical-relative:page;z-index:-20153856" coordorigin="1348,2424" coordsize="9190,12649" path="m1348,2429l10538,2429m1348,15073l10538,15073m1353,2424l1353,15068m2651,2424l2651,15068m10533,2424l10533,15068e" filled="false" stroked="true" strokeweight=".48pt" strokecolor="#000000">
            <v:path arrowok="t"/>
            <v:stroke dashstyle="solid"/>
            <w10:wrap type="none"/>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spacing w:before="1"/>
        <w:ind w:left="281"/>
      </w:pPr>
      <w:r>
        <w:rPr>
          <w:spacing w:val="-5"/>
        </w:rPr>
        <w:t>法规文件</w:t>
      </w:r>
    </w:p>
    <w:p>
      <w:pPr>
        <w:pStyle w:val="ListParagraph"/>
        <w:numPr>
          <w:ilvl w:val="0"/>
          <w:numId w:val="2"/>
        </w:numPr>
        <w:tabs>
          <w:tab w:pos="840" w:val="left" w:leader="none"/>
        </w:tabs>
        <w:spacing w:line="240" w:lineRule="auto" w:before="74" w:after="0"/>
        <w:ind w:left="839" w:right="0" w:hanging="602"/>
        <w:jc w:val="left"/>
        <w:rPr>
          <w:sz w:val="24"/>
        </w:rPr>
      </w:pPr>
      <w:r>
        <w:rPr>
          <w:sz w:val="24"/>
        </w:rPr>
        <w:br w:type="column"/>
      </w:r>
      <w:r>
        <w:rPr>
          <w:sz w:val="24"/>
        </w:rPr>
        <w:t>《中华人民共和国环境保护法》，</w:t>
      </w:r>
      <w:r>
        <w:rPr>
          <w:rFonts w:ascii="Times New Roman" w:eastAsia="Times New Roman"/>
          <w:sz w:val="24"/>
        </w:rPr>
        <w:t>2015 </w:t>
      </w:r>
      <w:r>
        <w:rPr>
          <w:spacing w:val="-30"/>
          <w:sz w:val="24"/>
        </w:rPr>
        <w:t>年 </w:t>
      </w:r>
      <w:r>
        <w:rPr>
          <w:rFonts w:ascii="Times New Roman" w:eastAsia="Times New Roman"/>
          <w:sz w:val="24"/>
        </w:rPr>
        <w:t>1 </w:t>
      </w:r>
      <w:r>
        <w:rPr>
          <w:spacing w:val="-30"/>
          <w:sz w:val="24"/>
        </w:rPr>
        <w:t>月 </w:t>
      </w:r>
      <w:r>
        <w:rPr>
          <w:rFonts w:ascii="Times New Roman" w:eastAsia="Times New Roman"/>
          <w:sz w:val="24"/>
        </w:rPr>
        <w:t>1 </w:t>
      </w:r>
      <w:r>
        <w:rPr>
          <w:sz w:val="24"/>
        </w:rPr>
        <w:t>日实施；</w:t>
      </w:r>
    </w:p>
    <w:p>
      <w:pPr>
        <w:pStyle w:val="ListParagraph"/>
        <w:numPr>
          <w:ilvl w:val="0"/>
          <w:numId w:val="2"/>
        </w:numPr>
        <w:tabs>
          <w:tab w:pos="840" w:val="left" w:leader="none"/>
        </w:tabs>
        <w:spacing w:line="240" w:lineRule="auto" w:before="160" w:after="0"/>
        <w:ind w:left="839" w:right="0" w:hanging="602"/>
        <w:jc w:val="left"/>
        <w:rPr>
          <w:sz w:val="24"/>
        </w:rPr>
      </w:pPr>
      <w:r>
        <w:rPr>
          <w:w w:val="95"/>
          <w:sz w:val="24"/>
        </w:rPr>
        <w:t>《中华人民共和国环境影响评价法》，</w:t>
      </w:r>
      <w:r>
        <w:rPr>
          <w:rFonts w:ascii="Times New Roman" w:eastAsia="Times New Roman"/>
          <w:w w:val="95"/>
          <w:sz w:val="24"/>
        </w:rPr>
        <w:t>2018</w:t>
      </w:r>
      <w:r>
        <w:rPr>
          <w:rFonts w:ascii="Times New Roman" w:eastAsia="Times New Roman"/>
          <w:spacing w:val="167"/>
          <w:sz w:val="24"/>
        </w:rPr>
        <w:t> </w:t>
      </w:r>
      <w:r>
        <w:rPr>
          <w:w w:val="95"/>
          <w:sz w:val="24"/>
        </w:rPr>
        <w:t>年 </w:t>
      </w:r>
      <w:r>
        <w:rPr>
          <w:rFonts w:ascii="Times New Roman" w:eastAsia="Times New Roman"/>
          <w:w w:val="95"/>
          <w:sz w:val="24"/>
        </w:rPr>
        <w:t>12</w:t>
      </w:r>
      <w:r>
        <w:rPr>
          <w:rFonts w:ascii="Times New Roman" w:eastAsia="Times New Roman"/>
          <w:spacing w:val="54"/>
          <w:sz w:val="24"/>
        </w:rPr>
        <w:t> </w:t>
      </w:r>
      <w:r>
        <w:rPr>
          <w:w w:val="95"/>
          <w:sz w:val="24"/>
        </w:rPr>
        <w:t>月 </w:t>
      </w:r>
      <w:r>
        <w:rPr>
          <w:rFonts w:ascii="Times New Roman" w:eastAsia="Times New Roman"/>
          <w:w w:val="95"/>
          <w:sz w:val="24"/>
        </w:rPr>
        <w:t>29</w:t>
      </w:r>
      <w:r>
        <w:rPr>
          <w:rFonts w:ascii="Times New Roman" w:eastAsia="Times New Roman"/>
          <w:spacing w:val="54"/>
          <w:sz w:val="24"/>
        </w:rPr>
        <w:t> </w:t>
      </w:r>
      <w:r>
        <w:rPr>
          <w:w w:val="95"/>
          <w:sz w:val="24"/>
        </w:rPr>
        <w:t>日修订；</w:t>
      </w:r>
    </w:p>
    <w:p>
      <w:pPr>
        <w:pStyle w:val="ListParagraph"/>
        <w:numPr>
          <w:ilvl w:val="0"/>
          <w:numId w:val="2"/>
        </w:numPr>
        <w:tabs>
          <w:tab w:pos="840" w:val="left" w:leader="none"/>
        </w:tabs>
        <w:spacing w:line="240" w:lineRule="auto" w:before="161" w:after="0"/>
        <w:ind w:left="839" w:right="0" w:hanging="602"/>
        <w:jc w:val="left"/>
        <w:rPr>
          <w:sz w:val="24"/>
        </w:rPr>
      </w:pPr>
      <w:r>
        <w:rPr>
          <w:w w:val="95"/>
          <w:sz w:val="24"/>
        </w:rPr>
        <w:t>《中华人民共和国放射性污染防治法》，</w:t>
      </w:r>
      <w:r>
        <w:rPr>
          <w:rFonts w:ascii="Times New Roman" w:eastAsia="Times New Roman"/>
          <w:w w:val="95"/>
          <w:sz w:val="24"/>
        </w:rPr>
        <w:t>2003</w:t>
      </w:r>
      <w:r>
        <w:rPr>
          <w:rFonts w:ascii="Times New Roman" w:eastAsia="Times New Roman"/>
          <w:spacing w:val="65"/>
          <w:sz w:val="24"/>
        </w:rPr>
        <w:t> </w:t>
      </w:r>
      <w:r>
        <w:rPr>
          <w:spacing w:val="6"/>
          <w:w w:val="95"/>
          <w:sz w:val="24"/>
        </w:rPr>
        <w:t>年 </w:t>
      </w:r>
      <w:r>
        <w:rPr>
          <w:rFonts w:ascii="Times New Roman" w:eastAsia="Times New Roman"/>
          <w:w w:val="95"/>
          <w:sz w:val="24"/>
        </w:rPr>
        <w:t>10</w:t>
      </w:r>
      <w:r>
        <w:rPr>
          <w:rFonts w:ascii="Times New Roman" w:eastAsia="Times New Roman"/>
          <w:spacing w:val="66"/>
          <w:sz w:val="24"/>
        </w:rPr>
        <w:t> </w:t>
      </w:r>
      <w:r>
        <w:rPr>
          <w:spacing w:val="6"/>
          <w:w w:val="95"/>
          <w:sz w:val="24"/>
        </w:rPr>
        <w:t>月 </w:t>
      </w:r>
      <w:r>
        <w:rPr>
          <w:rFonts w:ascii="Times New Roman" w:eastAsia="Times New Roman"/>
          <w:w w:val="95"/>
          <w:sz w:val="24"/>
        </w:rPr>
        <w:t>1</w:t>
      </w:r>
      <w:r>
        <w:rPr>
          <w:rFonts w:ascii="Times New Roman" w:eastAsia="Times New Roman"/>
          <w:spacing w:val="66"/>
          <w:sz w:val="24"/>
        </w:rPr>
        <w:t> </w:t>
      </w:r>
      <w:r>
        <w:rPr>
          <w:w w:val="95"/>
          <w:sz w:val="24"/>
        </w:rPr>
        <w:t>日实施；</w:t>
      </w:r>
    </w:p>
    <w:p>
      <w:pPr>
        <w:pStyle w:val="ListParagraph"/>
        <w:numPr>
          <w:ilvl w:val="0"/>
          <w:numId w:val="2"/>
        </w:numPr>
        <w:tabs>
          <w:tab w:pos="840" w:val="left" w:leader="none"/>
        </w:tabs>
        <w:spacing w:line="240" w:lineRule="auto" w:before="160" w:after="0"/>
        <w:ind w:left="839" w:right="0" w:hanging="602"/>
        <w:jc w:val="left"/>
        <w:rPr>
          <w:sz w:val="24"/>
        </w:rPr>
      </w:pPr>
      <w:r>
        <w:rPr>
          <w:w w:val="95"/>
          <w:sz w:val="24"/>
        </w:rPr>
        <w:t>《建设项目环境保护管理条例》，国务院令第 </w:t>
      </w:r>
      <w:r>
        <w:rPr>
          <w:rFonts w:ascii="Times New Roman" w:eastAsia="Times New Roman"/>
          <w:w w:val="95"/>
          <w:sz w:val="24"/>
        </w:rPr>
        <w:t>682</w:t>
      </w:r>
      <w:r>
        <w:rPr>
          <w:rFonts w:ascii="Times New Roman" w:eastAsia="Times New Roman"/>
          <w:spacing w:val="59"/>
          <w:sz w:val="24"/>
        </w:rPr>
        <w:t> </w:t>
      </w:r>
      <w:r>
        <w:rPr>
          <w:w w:val="95"/>
          <w:sz w:val="24"/>
        </w:rPr>
        <w:t>号，</w:t>
      </w:r>
      <w:r>
        <w:rPr>
          <w:rFonts w:ascii="Times New Roman" w:eastAsia="Times New Roman"/>
          <w:w w:val="95"/>
          <w:sz w:val="24"/>
        </w:rPr>
        <w:t>2017</w:t>
      </w:r>
      <w:r>
        <w:rPr>
          <w:rFonts w:ascii="Times New Roman" w:eastAsia="Times New Roman"/>
          <w:spacing w:val="60"/>
          <w:sz w:val="24"/>
        </w:rPr>
        <w:t> </w:t>
      </w:r>
      <w:r>
        <w:rPr>
          <w:spacing w:val="2"/>
          <w:w w:val="95"/>
          <w:sz w:val="24"/>
        </w:rPr>
        <w:t>年 </w:t>
      </w:r>
      <w:r>
        <w:rPr>
          <w:rFonts w:ascii="Times New Roman" w:eastAsia="Times New Roman"/>
          <w:w w:val="95"/>
          <w:sz w:val="24"/>
        </w:rPr>
        <w:t>10</w:t>
      </w:r>
      <w:r>
        <w:rPr>
          <w:rFonts w:ascii="Times New Roman" w:eastAsia="Times New Roman"/>
          <w:spacing w:val="59"/>
          <w:sz w:val="24"/>
        </w:rPr>
        <w:t> </w:t>
      </w:r>
      <w:r>
        <w:rPr>
          <w:w w:val="95"/>
          <w:sz w:val="24"/>
        </w:rPr>
        <w:t>月</w:t>
      </w:r>
    </w:p>
    <w:p>
      <w:pPr>
        <w:pStyle w:val="BodyText"/>
        <w:spacing w:before="161"/>
        <w:ind w:left="238"/>
      </w:pPr>
      <w:r>
        <w:rPr>
          <w:rFonts w:ascii="Times New Roman" w:eastAsia="Times New Roman"/>
        </w:rPr>
        <w:t>1 </w:t>
      </w:r>
      <w:r>
        <w:rPr/>
        <w:t>日实施；</w:t>
      </w:r>
    </w:p>
    <w:p>
      <w:pPr>
        <w:pStyle w:val="ListParagraph"/>
        <w:numPr>
          <w:ilvl w:val="0"/>
          <w:numId w:val="2"/>
        </w:numPr>
        <w:tabs>
          <w:tab w:pos="840" w:val="left" w:leader="none"/>
        </w:tabs>
        <w:spacing w:line="240" w:lineRule="auto" w:before="160" w:after="0"/>
        <w:ind w:left="839" w:right="0" w:hanging="602"/>
        <w:jc w:val="left"/>
        <w:rPr>
          <w:sz w:val="24"/>
        </w:rPr>
      </w:pPr>
      <w:r>
        <w:rPr>
          <w:w w:val="95"/>
          <w:sz w:val="24"/>
        </w:rPr>
        <w:t>《放射性同位素与射线装置安全和防护条例》，国务院第</w:t>
      </w:r>
      <w:r>
        <w:rPr>
          <w:spacing w:val="112"/>
          <w:sz w:val="24"/>
        </w:rPr>
        <w:t> </w:t>
      </w:r>
      <w:r>
        <w:rPr>
          <w:rFonts w:ascii="Times New Roman" w:eastAsia="Times New Roman"/>
          <w:w w:val="95"/>
          <w:sz w:val="24"/>
        </w:rPr>
        <w:t>449</w:t>
      </w:r>
      <w:r>
        <w:rPr>
          <w:rFonts w:ascii="Times New Roman" w:eastAsia="Times New Roman"/>
          <w:spacing w:val="56"/>
          <w:sz w:val="24"/>
        </w:rPr>
        <w:t>  </w:t>
      </w:r>
      <w:r>
        <w:rPr>
          <w:w w:val="95"/>
          <w:sz w:val="24"/>
        </w:rPr>
        <w:t>号令，</w:t>
      </w:r>
    </w:p>
    <w:p>
      <w:pPr>
        <w:pStyle w:val="BodyText"/>
        <w:spacing w:before="161"/>
        <w:ind w:left="238"/>
      </w:pPr>
      <w:r>
        <w:rPr>
          <w:rFonts w:ascii="Times New Roman" w:eastAsia="Times New Roman"/>
        </w:rPr>
        <w:t>2005 </w:t>
      </w:r>
      <w:r>
        <w:rPr>
          <w:spacing w:val="-30"/>
        </w:rPr>
        <w:t>年 </w:t>
      </w:r>
      <w:r>
        <w:rPr>
          <w:rFonts w:ascii="Times New Roman" w:eastAsia="Times New Roman"/>
        </w:rPr>
        <w:t>8 </w:t>
      </w:r>
      <w:r>
        <w:rPr>
          <w:spacing w:val="-30"/>
        </w:rPr>
        <w:t>月 </w:t>
      </w:r>
      <w:r>
        <w:rPr>
          <w:rFonts w:ascii="Times New Roman" w:eastAsia="Times New Roman"/>
        </w:rPr>
        <w:t>31 </w:t>
      </w:r>
      <w:r>
        <w:rPr>
          <w:spacing w:val="-10"/>
        </w:rPr>
        <w:t>日国务院第 </w:t>
      </w:r>
      <w:r>
        <w:rPr>
          <w:rFonts w:ascii="Times New Roman" w:eastAsia="Times New Roman"/>
        </w:rPr>
        <w:t>104 </w:t>
      </w:r>
      <w:r>
        <w:rPr>
          <w:spacing w:val="-6"/>
        </w:rPr>
        <w:t>次常务会议通过，自 </w:t>
      </w:r>
      <w:r>
        <w:rPr>
          <w:rFonts w:ascii="Times New Roman" w:eastAsia="Times New Roman"/>
        </w:rPr>
        <w:t>2005 </w:t>
      </w:r>
      <w:r>
        <w:rPr>
          <w:spacing w:val="-30"/>
        </w:rPr>
        <w:t>年 </w:t>
      </w:r>
      <w:r>
        <w:rPr>
          <w:rFonts w:ascii="Times New Roman" w:eastAsia="Times New Roman"/>
        </w:rPr>
        <w:t>12 </w:t>
      </w:r>
      <w:r>
        <w:rPr>
          <w:spacing w:val="-30"/>
        </w:rPr>
        <w:t>月 </w:t>
      </w:r>
      <w:r>
        <w:rPr>
          <w:rFonts w:ascii="Times New Roman" w:eastAsia="Times New Roman"/>
        </w:rPr>
        <w:t>1 </w:t>
      </w:r>
      <w:r>
        <w:rPr/>
        <w:t>日起</w:t>
      </w:r>
    </w:p>
    <w:p>
      <w:pPr>
        <w:pStyle w:val="BodyText"/>
        <w:spacing w:line="364" w:lineRule="auto" w:before="160"/>
        <w:ind w:left="238" w:right="545"/>
      </w:pPr>
      <w:r>
        <w:rPr>
          <w:spacing w:val="-11"/>
        </w:rPr>
        <w:t>施行，根据 </w:t>
      </w:r>
      <w:r>
        <w:rPr>
          <w:rFonts w:ascii="Times New Roman" w:eastAsia="Times New Roman"/>
          <w:spacing w:val="-1"/>
        </w:rPr>
        <w:t>2019</w:t>
      </w:r>
      <w:r>
        <w:rPr>
          <w:rFonts w:ascii="Times New Roman" w:eastAsia="Times New Roman"/>
        </w:rPr>
        <w:t> </w:t>
      </w:r>
      <w:r>
        <w:rPr>
          <w:spacing w:val="-31"/>
        </w:rPr>
        <w:t>年 </w:t>
      </w:r>
      <w:r>
        <w:rPr>
          <w:rFonts w:ascii="Times New Roman" w:eastAsia="Times New Roman"/>
          <w:spacing w:val="-1"/>
        </w:rPr>
        <w:t>3</w:t>
      </w:r>
      <w:r>
        <w:rPr>
          <w:rFonts w:ascii="Times New Roman" w:eastAsia="Times New Roman"/>
        </w:rPr>
        <w:t> </w:t>
      </w:r>
      <w:r>
        <w:rPr>
          <w:spacing w:val="-31"/>
        </w:rPr>
        <w:t>月 </w:t>
      </w:r>
      <w:r>
        <w:rPr>
          <w:rFonts w:ascii="Times New Roman" w:eastAsia="Times New Roman"/>
          <w:spacing w:val="-1"/>
        </w:rPr>
        <w:t>2</w:t>
      </w:r>
      <w:r>
        <w:rPr>
          <w:rFonts w:ascii="Times New Roman" w:eastAsia="Times New Roman"/>
        </w:rPr>
        <w:t> </w:t>
      </w:r>
      <w:r>
        <w:rPr>
          <w:spacing w:val="-1"/>
        </w:rPr>
        <w:t>日《国务院关于修改部分行政法规的决定》第</w:t>
      </w:r>
      <w:r>
        <w:rPr/>
        <w:t>二次修订；</w:t>
      </w:r>
    </w:p>
    <w:p>
      <w:pPr>
        <w:pStyle w:val="ListParagraph"/>
        <w:numPr>
          <w:ilvl w:val="0"/>
          <w:numId w:val="2"/>
        </w:numPr>
        <w:tabs>
          <w:tab w:pos="840" w:val="left" w:leader="none"/>
        </w:tabs>
        <w:spacing w:line="364" w:lineRule="auto" w:before="1" w:after="0"/>
        <w:ind w:left="238" w:right="545" w:firstLine="0"/>
        <w:jc w:val="left"/>
        <w:rPr>
          <w:sz w:val="24"/>
        </w:rPr>
      </w:pPr>
      <w:r>
        <w:rPr>
          <w:spacing w:val="-1"/>
          <w:sz w:val="24"/>
        </w:rPr>
        <w:t>《四川省辐射污染防治条例》，四川省第十二届人民代表大会常务</w:t>
      </w:r>
      <w:r>
        <w:rPr>
          <w:spacing w:val="-9"/>
          <w:sz w:val="24"/>
        </w:rPr>
        <w:t>委员会公告第 </w:t>
      </w:r>
      <w:r>
        <w:rPr>
          <w:rFonts w:ascii="Times New Roman" w:eastAsia="Times New Roman"/>
          <w:sz w:val="24"/>
        </w:rPr>
        <w:t>63 </w:t>
      </w:r>
      <w:r>
        <w:rPr>
          <w:sz w:val="24"/>
        </w:rPr>
        <w:t>号，</w:t>
      </w:r>
      <w:r>
        <w:rPr>
          <w:rFonts w:ascii="Times New Roman" w:eastAsia="Times New Roman"/>
          <w:sz w:val="24"/>
        </w:rPr>
        <w:t>2016 </w:t>
      </w:r>
      <w:r>
        <w:rPr>
          <w:spacing w:val="-30"/>
          <w:sz w:val="24"/>
        </w:rPr>
        <w:t>年 </w:t>
      </w:r>
      <w:r>
        <w:rPr>
          <w:rFonts w:ascii="Times New Roman" w:eastAsia="Times New Roman"/>
          <w:sz w:val="24"/>
        </w:rPr>
        <w:t>6 </w:t>
      </w:r>
      <w:r>
        <w:rPr>
          <w:spacing w:val="-30"/>
          <w:sz w:val="24"/>
        </w:rPr>
        <w:t>月 </w:t>
      </w:r>
      <w:r>
        <w:rPr>
          <w:rFonts w:ascii="Times New Roman" w:eastAsia="Times New Roman"/>
          <w:sz w:val="24"/>
        </w:rPr>
        <w:t>1 </w:t>
      </w:r>
      <w:r>
        <w:rPr>
          <w:sz w:val="24"/>
        </w:rPr>
        <w:t>日实施；</w:t>
      </w:r>
    </w:p>
    <w:p>
      <w:pPr>
        <w:pStyle w:val="ListParagraph"/>
        <w:numPr>
          <w:ilvl w:val="0"/>
          <w:numId w:val="2"/>
        </w:numPr>
        <w:tabs>
          <w:tab w:pos="840" w:val="left" w:leader="none"/>
        </w:tabs>
        <w:spacing w:line="364" w:lineRule="auto" w:before="1" w:after="0"/>
        <w:ind w:left="238" w:right="485" w:firstLine="0"/>
        <w:jc w:val="left"/>
        <w:rPr>
          <w:sz w:val="24"/>
        </w:rPr>
      </w:pPr>
      <w:r>
        <w:rPr>
          <w:sz w:val="24"/>
        </w:rPr>
        <w:t>《建设项目环境影响评价分类管理名录（</w:t>
      </w:r>
      <w:r>
        <w:rPr>
          <w:rFonts w:ascii="Times New Roman" w:eastAsia="Times New Roman"/>
          <w:sz w:val="24"/>
        </w:rPr>
        <w:t>2021</w:t>
      </w:r>
      <w:r>
        <w:rPr>
          <w:rFonts w:ascii="Times New Roman" w:eastAsia="Times New Roman"/>
          <w:spacing w:val="-14"/>
          <w:sz w:val="24"/>
        </w:rPr>
        <w:t> </w:t>
      </w:r>
      <w:r>
        <w:rPr>
          <w:sz w:val="24"/>
        </w:rPr>
        <w:t>版）》（（生态环境</w:t>
      </w:r>
      <w:r>
        <w:rPr>
          <w:spacing w:val="-30"/>
          <w:sz w:val="24"/>
        </w:rPr>
        <w:t>部 </w:t>
      </w:r>
      <w:r>
        <w:rPr>
          <w:rFonts w:ascii="Times New Roman" w:eastAsia="Times New Roman"/>
          <w:sz w:val="24"/>
        </w:rPr>
        <w:t>16 </w:t>
      </w:r>
      <w:r>
        <w:rPr>
          <w:sz w:val="24"/>
        </w:rPr>
        <w:t>号部令，</w:t>
      </w:r>
      <w:r>
        <w:rPr>
          <w:rFonts w:ascii="Times New Roman" w:eastAsia="Times New Roman"/>
          <w:sz w:val="24"/>
        </w:rPr>
        <w:t>2021 </w:t>
      </w:r>
      <w:r>
        <w:rPr>
          <w:spacing w:val="-30"/>
          <w:sz w:val="24"/>
        </w:rPr>
        <w:t>年 </w:t>
      </w:r>
      <w:r>
        <w:rPr>
          <w:rFonts w:ascii="Times New Roman" w:eastAsia="Times New Roman"/>
          <w:sz w:val="24"/>
        </w:rPr>
        <w:t>1 </w:t>
      </w:r>
      <w:r>
        <w:rPr>
          <w:spacing w:val="-30"/>
          <w:sz w:val="24"/>
        </w:rPr>
        <w:t>月 </w:t>
      </w:r>
      <w:r>
        <w:rPr>
          <w:rFonts w:ascii="Times New Roman" w:eastAsia="Times New Roman"/>
          <w:sz w:val="24"/>
        </w:rPr>
        <w:t>1 </w:t>
      </w:r>
      <w:r>
        <w:rPr>
          <w:sz w:val="24"/>
        </w:rPr>
        <w:t>日起施行）；</w:t>
      </w:r>
    </w:p>
    <w:p>
      <w:pPr>
        <w:pStyle w:val="ListParagraph"/>
        <w:numPr>
          <w:ilvl w:val="0"/>
          <w:numId w:val="2"/>
        </w:numPr>
        <w:tabs>
          <w:tab w:pos="840" w:val="left" w:leader="none"/>
        </w:tabs>
        <w:spacing w:line="364" w:lineRule="auto" w:before="2" w:after="0"/>
        <w:ind w:left="238" w:right="545" w:firstLine="0"/>
        <w:jc w:val="left"/>
        <w:rPr>
          <w:sz w:val="24"/>
        </w:rPr>
      </w:pPr>
      <w:r>
        <w:rPr>
          <w:spacing w:val="-1"/>
          <w:sz w:val="24"/>
        </w:rPr>
        <w:t>《放射性同位素与射线装置安全许可管理办法》，原国家环境保护</w:t>
      </w:r>
      <w:r>
        <w:rPr>
          <w:spacing w:val="-15"/>
          <w:sz w:val="24"/>
        </w:rPr>
        <w:t>总局第 </w:t>
      </w:r>
      <w:r>
        <w:rPr>
          <w:rFonts w:ascii="Times New Roman" w:eastAsia="Times New Roman"/>
          <w:sz w:val="24"/>
        </w:rPr>
        <w:t>31 </w:t>
      </w:r>
      <w:r>
        <w:rPr>
          <w:sz w:val="24"/>
        </w:rPr>
        <w:t>号令，</w:t>
      </w:r>
      <w:r>
        <w:rPr>
          <w:rFonts w:ascii="Times New Roman" w:eastAsia="Times New Roman"/>
          <w:sz w:val="24"/>
        </w:rPr>
        <w:t>2021 </w:t>
      </w:r>
      <w:r>
        <w:rPr>
          <w:spacing w:val="-30"/>
          <w:sz w:val="24"/>
        </w:rPr>
        <w:t>年 </w:t>
      </w:r>
      <w:r>
        <w:rPr>
          <w:rFonts w:ascii="Times New Roman" w:eastAsia="Times New Roman"/>
          <w:sz w:val="24"/>
        </w:rPr>
        <w:t>1 </w:t>
      </w:r>
      <w:r>
        <w:rPr>
          <w:spacing w:val="-30"/>
          <w:sz w:val="24"/>
        </w:rPr>
        <w:t>月 </w:t>
      </w:r>
      <w:r>
        <w:rPr>
          <w:rFonts w:ascii="Times New Roman" w:eastAsia="Times New Roman"/>
          <w:sz w:val="24"/>
        </w:rPr>
        <w:t>4 </w:t>
      </w:r>
      <w:r>
        <w:rPr>
          <w:sz w:val="24"/>
        </w:rPr>
        <w:t>日修订）；</w:t>
      </w:r>
    </w:p>
    <w:p>
      <w:pPr>
        <w:pStyle w:val="ListParagraph"/>
        <w:numPr>
          <w:ilvl w:val="0"/>
          <w:numId w:val="2"/>
        </w:numPr>
        <w:tabs>
          <w:tab w:pos="840" w:val="left" w:leader="none"/>
        </w:tabs>
        <w:spacing w:line="364" w:lineRule="auto" w:before="1" w:after="0"/>
        <w:ind w:left="238" w:right="545" w:firstLine="0"/>
        <w:jc w:val="left"/>
        <w:rPr>
          <w:sz w:val="24"/>
        </w:rPr>
      </w:pPr>
      <w:r>
        <w:rPr>
          <w:spacing w:val="-1"/>
          <w:sz w:val="24"/>
        </w:rPr>
        <w:t>《放射性同位素与射线装置安全和防护管理办法》，原环境保护部</w:t>
      </w:r>
      <w:r>
        <w:rPr>
          <w:spacing w:val="-21"/>
          <w:sz w:val="24"/>
        </w:rPr>
        <w:t>令第 </w:t>
      </w:r>
      <w:r>
        <w:rPr>
          <w:rFonts w:ascii="Times New Roman" w:eastAsia="Times New Roman"/>
          <w:spacing w:val="-1"/>
          <w:sz w:val="24"/>
        </w:rPr>
        <w:t>18</w:t>
      </w:r>
      <w:r>
        <w:rPr>
          <w:rFonts w:ascii="Times New Roman" w:eastAsia="Times New Roman"/>
          <w:sz w:val="24"/>
        </w:rPr>
        <w:t> </w:t>
      </w:r>
      <w:r>
        <w:rPr>
          <w:spacing w:val="-1"/>
          <w:sz w:val="24"/>
        </w:rPr>
        <w:t>号，</w:t>
      </w:r>
      <w:r>
        <w:rPr>
          <w:rFonts w:ascii="Times New Roman" w:eastAsia="Times New Roman"/>
          <w:spacing w:val="-1"/>
          <w:sz w:val="24"/>
        </w:rPr>
        <w:t>2011</w:t>
      </w:r>
      <w:r>
        <w:rPr>
          <w:rFonts w:ascii="Times New Roman" w:eastAsia="Times New Roman"/>
          <w:spacing w:val="-3"/>
          <w:sz w:val="24"/>
        </w:rPr>
        <w:t> </w:t>
      </w:r>
      <w:r>
        <w:rPr>
          <w:spacing w:val="-30"/>
          <w:sz w:val="24"/>
        </w:rPr>
        <w:t>年 </w:t>
      </w:r>
      <w:r>
        <w:rPr>
          <w:rFonts w:ascii="Times New Roman" w:eastAsia="Times New Roman"/>
          <w:sz w:val="24"/>
        </w:rPr>
        <w:t>5 </w:t>
      </w:r>
      <w:r>
        <w:rPr>
          <w:spacing w:val="-30"/>
          <w:sz w:val="24"/>
        </w:rPr>
        <w:t>月 </w:t>
      </w:r>
      <w:r>
        <w:rPr>
          <w:rFonts w:ascii="Times New Roman" w:eastAsia="Times New Roman"/>
          <w:sz w:val="24"/>
        </w:rPr>
        <w:t>1 </w:t>
      </w:r>
      <w:r>
        <w:rPr>
          <w:sz w:val="24"/>
        </w:rPr>
        <w:t>日起实施；</w:t>
      </w:r>
    </w:p>
    <w:p>
      <w:pPr>
        <w:pStyle w:val="ListParagraph"/>
        <w:numPr>
          <w:ilvl w:val="0"/>
          <w:numId w:val="2"/>
        </w:numPr>
        <w:tabs>
          <w:tab w:pos="960" w:val="left" w:leader="none"/>
        </w:tabs>
        <w:spacing w:line="240" w:lineRule="auto" w:before="1" w:after="0"/>
        <w:ind w:left="959" w:right="0" w:hanging="722"/>
        <w:jc w:val="left"/>
        <w:rPr>
          <w:rFonts w:ascii="Times New Roman" w:eastAsia="Times New Roman"/>
          <w:sz w:val="24"/>
        </w:rPr>
      </w:pPr>
      <w:r>
        <w:rPr>
          <w:spacing w:val="-16"/>
          <w:sz w:val="24"/>
        </w:rPr>
        <w:t>《射线装置分类》，原环保部、国家卫生和计划生育委员会公告 </w:t>
      </w:r>
      <w:r>
        <w:rPr>
          <w:rFonts w:ascii="Times New Roman" w:eastAsia="Times New Roman"/>
          <w:sz w:val="24"/>
        </w:rPr>
        <w:t>2017</w:t>
      </w:r>
    </w:p>
    <w:p>
      <w:pPr>
        <w:pStyle w:val="BodyText"/>
        <w:spacing w:before="161"/>
        <w:ind w:left="238"/>
      </w:pPr>
      <w:r>
        <w:rPr>
          <w:spacing w:val="-20"/>
        </w:rPr>
        <w:t>年第 </w:t>
      </w:r>
      <w:r>
        <w:rPr>
          <w:rFonts w:ascii="Times New Roman" w:eastAsia="Times New Roman"/>
        </w:rPr>
        <w:t>66 </w:t>
      </w:r>
      <w:r>
        <w:rPr/>
        <w:t>号令；</w:t>
      </w:r>
    </w:p>
    <w:p>
      <w:pPr>
        <w:pStyle w:val="ListParagraph"/>
        <w:numPr>
          <w:ilvl w:val="0"/>
          <w:numId w:val="2"/>
        </w:numPr>
        <w:tabs>
          <w:tab w:pos="950" w:val="left" w:leader="none"/>
        </w:tabs>
        <w:spacing w:line="364" w:lineRule="auto" w:before="160" w:after="0"/>
        <w:ind w:left="238" w:right="318" w:firstLine="0"/>
        <w:jc w:val="left"/>
        <w:rPr>
          <w:sz w:val="24"/>
        </w:rPr>
      </w:pPr>
      <w:r>
        <w:rPr>
          <w:sz w:val="24"/>
        </w:rPr>
        <w:t>《关于建立放射性同位素与射线装置辐射事故分级处理和报告制度</w:t>
      </w:r>
      <w:r>
        <w:rPr>
          <w:spacing w:val="-15"/>
          <w:sz w:val="24"/>
        </w:rPr>
        <w:t>的通知》，环发</w:t>
      </w:r>
      <w:r>
        <w:rPr>
          <w:rFonts w:ascii="Times New Roman" w:eastAsia="Times New Roman"/>
          <w:sz w:val="24"/>
        </w:rPr>
        <w:t>[2006]145 </w:t>
      </w:r>
      <w:r>
        <w:rPr>
          <w:spacing w:val="-15"/>
          <w:sz w:val="24"/>
        </w:rPr>
        <w:t>号，原国家环境保护总局、公安部、卫生部文件，</w:t>
      </w:r>
      <w:r>
        <w:rPr>
          <w:spacing w:val="-117"/>
          <w:sz w:val="24"/>
        </w:rPr>
        <w:t> </w:t>
      </w:r>
      <w:r>
        <w:rPr>
          <w:rFonts w:ascii="Times New Roman" w:eastAsia="Times New Roman"/>
          <w:sz w:val="24"/>
        </w:rPr>
        <w:t>2006 </w:t>
      </w:r>
      <w:r>
        <w:rPr>
          <w:spacing w:val="-30"/>
          <w:sz w:val="24"/>
        </w:rPr>
        <w:t>年 </w:t>
      </w:r>
      <w:r>
        <w:rPr>
          <w:rFonts w:ascii="Times New Roman" w:eastAsia="Times New Roman"/>
          <w:sz w:val="24"/>
        </w:rPr>
        <w:t>9 </w:t>
      </w:r>
      <w:r>
        <w:rPr>
          <w:spacing w:val="-30"/>
          <w:sz w:val="24"/>
        </w:rPr>
        <w:t>月 </w:t>
      </w:r>
      <w:r>
        <w:rPr>
          <w:rFonts w:ascii="Times New Roman" w:eastAsia="Times New Roman"/>
          <w:sz w:val="24"/>
        </w:rPr>
        <w:t>26 </w:t>
      </w:r>
      <w:r>
        <w:rPr>
          <w:sz w:val="24"/>
        </w:rPr>
        <w:t>日；</w:t>
      </w:r>
    </w:p>
    <w:p>
      <w:pPr>
        <w:pStyle w:val="ListParagraph"/>
        <w:numPr>
          <w:ilvl w:val="0"/>
          <w:numId w:val="2"/>
        </w:numPr>
        <w:tabs>
          <w:tab w:pos="960" w:val="left" w:leader="none"/>
        </w:tabs>
        <w:spacing w:line="240" w:lineRule="auto" w:before="2" w:after="0"/>
        <w:ind w:left="959" w:right="0" w:hanging="722"/>
        <w:jc w:val="left"/>
        <w:rPr>
          <w:sz w:val="24"/>
        </w:rPr>
      </w:pPr>
      <w:r>
        <w:rPr>
          <w:spacing w:val="-1"/>
          <w:sz w:val="24"/>
        </w:rPr>
        <w:t>《关于进一步加强环境影响评价管理防范环境风险的通知》，环发</w:t>
      </w:r>
    </w:p>
    <w:p>
      <w:pPr>
        <w:pStyle w:val="BodyText"/>
        <w:spacing w:before="160"/>
        <w:ind w:left="238"/>
      </w:pPr>
      <w:r>
        <w:rPr>
          <w:rFonts w:ascii="Times New Roman" w:eastAsia="Times New Roman"/>
          <w:w w:val="95"/>
        </w:rPr>
        <w:t>[2012]77</w:t>
      </w:r>
      <w:r>
        <w:rPr>
          <w:rFonts w:ascii="Times New Roman" w:eastAsia="Times New Roman"/>
          <w:spacing w:val="33"/>
          <w:w w:val="95"/>
        </w:rPr>
        <w:t> </w:t>
      </w:r>
      <w:r>
        <w:rPr>
          <w:w w:val="95"/>
        </w:rPr>
        <w:t>号，原环境保护部文件，</w:t>
      </w:r>
      <w:r>
        <w:rPr>
          <w:rFonts w:ascii="Times New Roman" w:eastAsia="Times New Roman"/>
          <w:w w:val="95"/>
        </w:rPr>
        <w:t>2012</w:t>
      </w:r>
      <w:r>
        <w:rPr>
          <w:rFonts w:ascii="Times New Roman" w:eastAsia="Times New Roman"/>
          <w:spacing w:val="39"/>
          <w:w w:val="95"/>
        </w:rPr>
        <w:t> </w:t>
      </w:r>
      <w:r>
        <w:rPr>
          <w:spacing w:val="-10"/>
          <w:w w:val="95"/>
        </w:rPr>
        <w:t>年 </w:t>
      </w:r>
      <w:r>
        <w:rPr>
          <w:rFonts w:ascii="Times New Roman" w:eastAsia="Times New Roman"/>
          <w:w w:val="95"/>
        </w:rPr>
        <w:t>7</w:t>
      </w:r>
      <w:r>
        <w:rPr>
          <w:rFonts w:ascii="Times New Roman" w:eastAsia="Times New Roman"/>
          <w:spacing w:val="39"/>
          <w:w w:val="95"/>
        </w:rPr>
        <w:t> </w:t>
      </w:r>
      <w:r>
        <w:rPr>
          <w:spacing w:val="-9"/>
          <w:w w:val="95"/>
        </w:rPr>
        <w:t>月 </w:t>
      </w:r>
      <w:r>
        <w:rPr>
          <w:rFonts w:ascii="Times New Roman" w:eastAsia="Times New Roman"/>
          <w:w w:val="95"/>
        </w:rPr>
        <w:t>3</w:t>
      </w:r>
      <w:r>
        <w:rPr>
          <w:rFonts w:ascii="Times New Roman" w:eastAsia="Times New Roman"/>
          <w:spacing w:val="39"/>
          <w:w w:val="95"/>
        </w:rPr>
        <w:t> </w:t>
      </w:r>
      <w:r>
        <w:rPr>
          <w:w w:val="95"/>
        </w:rPr>
        <w:t>日；</w:t>
      </w:r>
    </w:p>
    <w:p>
      <w:pPr>
        <w:pStyle w:val="ListParagraph"/>
        <w:numPr>
          <w:ilvl w:val="0"/>
          <w:numId w:val="2"/>
        </w:numPr>
        <w:tabs>
          <w:tab w:pos="960" w:val="left" w:leader="none"/>
        </w:tabs>
        <w:spacing w:line="240" w:lineRule="auto" w:before="161" w:after="0"/>
        <w:ind w:left="959" w:right="0" w:hanging="722"/>
        <w:jc w:val="left"/>
        <w:rPr>
          <w:sz w:val="24"/>
        </w:rPr>
      </w:pPr>
      <w:r>
        <w:rPr>
          <w:sz w:val="24"/>
        </w:rPr>
        <w:t>《建设项目环境影响评价信息公开机制方案》，环发</w:t>
      </w:r>
      <w:r>
        <w:rPr>
          <w:rFonts w:ascii="Times New Roman" w:eastAsia="Times New Roman"/>
          <w:sz w:val="24"/>
        </w:rPr>
        <w:t>[2015]162</w:t>
      </w:r>
      <w:r>
        <w:rPr>
          <w:rFonts w:ascii="Times New Roman" w:eastAsia="Times New Roman"/>
          <w:spacing w:val="-3"/>
          <w:sz w:val="24"/>
        </w:rPr>
        <w:t> </w:t>
      </w:r>
      <w:r>
        <w:rPr>
          <w:sz w:val="24"/>
        </w:rPr>
        <w:t>号；</w:t>
      </w:r>
    </w:p>
    <w:p>
      <w:pPr>
        <w:pStyle w:val="ListParagraph"/>
        <w:numPr>
          <w:ilvl w:val="0"/>
          <w:numId w:val="2"/>
        </w:numPr>
        <w:tabs>
          <w:tab w:pos="960" w:val="left" w:leader="none"/>
        </w:tabs>
        <w:spacing w:line="364" w:lineRule="auto" w:before="160" w:after="0"/>
        <w:ind w:left="238" w:right="438" w:firstLine="0"/>
        <w:jc w:val="left"/>
        <w:rPr>
          <w:sz w:val="24"/>
        </w:rPr>
      </w:pPr>
      <w:r>
        <w:rPr>
          <w:sz w:val="24"/>
        </w:rPr>
        <w:t>《关于核技术利用辐射安全与防护培训和考核有关事项的公告</w:t>
      </w:r>
      <w:r>
        <w:rPr>
          <w:spacing w:val="-125"/>
          <w:sz w:val="24"/>
        </w:rPr>
        <w:t>》</w:t>
      </w:r>
      <w:r>
        <w:rPr>
          <w:sz w:val="24"/>
        </w:rPr>
        <w:t>（</w:t>
      </w:r>
      <w:r>
        <w:rPr>
          <w:spacing w:val="-117"/>
          <w:sz w:val="24"/>
        </w:rPr>
        <w:t> </w:t>
      </w:r>
      <w:r>
        <w:rPr>
          <w:spacing w:val="-7"/>
          <w:sz w:val="24"/>
        </w:rPr>
        <w:t>生态环境部公告 公告 </w:t>
      </w:r>
      <w:r>
        <w:rPr>
          <w:rFonts w:ascii="Times New Roman" w:eastAsia="Times New Roman"/>
          <w:spacing w:val="-1"/>
          <w:sz w:val="24"/>
        </w:rPr>
        <w:t>2019</w:t>
      </w:r>
      <w:r>
        <w:rPr>
          <w:rFonts w:ascii="Times New Roman" w:eastAsia="Times New Roman"/>
          <w:sz w:val="24"/>
        </w:rPr>
        <w:t> </w:t>
      </w:r>
      <w:r>
        <w:rPr>
          <w:spacing w:val="-21"/>
          <w:sz w:val="24"/>
        </w:rPr>
        <w:t>年第 </w:t>
      </w:r>
      <w:r>
        <w:rPr>
          <w:rFonts w:ascii="Times New Roman" w:eastAsia="Times New Roman"/>
          <w:spacing w:val="-1"/>
          <w:sz w:val="24"/>
        </w:rPr>
        <w:t>57</w:t>
      </w:r>
      <w:r>
        <w:rPr>
          <w:rFonts w:ascii="Times New Roman" w:eastAsia="Times New Roman"/>
          <w:sz w:val="24"/>
        </w:rPr>
        <w:t> </w:t>
      </w:r>
      <w:r>
        <w:rPr>
          <w:sz w:val="24"/>
        </w:rPr>
        <w:t>号）。</w:t>
      </w:r>
    </w:p>
    <w:p>
      <w:pPr>
        <w:spacing w:after="0" w:line="364" w:lineRule="auto"/>
        <w:jc w:val="left"/>
        <w:rPr>
          <w:sz w:val="24"/>
        </w:rPr>
        <w:sectPr>
          <w:type w:val="continuous"/>
          <w:pgSz w:w="11910" w:h="16840"/>
          <w:pgMar w:top="1580" w:bottom="280" w:left="1240" w:right="1040"/>
          <w:cols w:num="2" w:equalWidth="0">
            <w:col w:w="1242" w:space="40"/>
            <w:col w:w="8348"/>
          </w:cols>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8"/>
        <w:gridCol w:w="7882"/>
      </w:tblGrid>
      <w:tr>
        <w:trPr>
          <w:trHeight w:val="5148" w:hRule="atLeast"/>
        </w:trPr>
        <w:tc>
          <w:tcPr>
            <w:tcW w:w="1298"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1"/>
              <w:jc w:val="left"/>
              <w:rPr>
                <w:sz w:val="20"/>
              </w:rPr>
            </w:pPr>
          </w:p>
          <w:p>
            <w:pPr>
              <w:pStyle w:val="TableParagraph"/>
              <w:ind w:left="148" w:right="140"/>
              <w:rPr>
                <w:sz w:val="24"/>
              </w:rPr>
            </w:pPr>
            <w:r>
              <w:rPr>
                <w:sz w:val="24"/>
              </w:rPr>
              <w:t>技术标准</w:t>
            </w:r>
          </w:p>
        </w:tc>
        <w:tc>
          <w:tcPr>
            <w:tcW w:w="7882" w:type="dxa"/>
          </w:tcPr>
          <w:p>
            <w:pPr>
              <w:pStyle w:val="TableParagraph"/>
              <w:numPr>
                <w:ilvl w:val="0"/>
                <w:numId w:val="3"/>
              </w:numPr>
              <w:tabs>
                <w:tab w:pos="710" w:val="left" w:leader="none"/>
              </w:tabs>
              <w:spacing w:line="364" w:lineRule="auto" w:before="80" w:after="0"/>
              <w:ind w:left="108" w:right="201" w:firstLine="0"/>
              <w:jc w:val="left"/>
              <w:rPr>
                <w:sz w:val="24"/>
              </w:rPr>
            </w:pPr>
            <w:r>
              <w:rPr>
                <w:spacing w:val="-2"/>
                <w:sz w:val="24"/>
              </w:rPr>
              <w:t>《辐射环境保护管理导则 核技术利用建设项目 环境影响评价文件</w:t>
            </w:r>
            <w:r>
              <w:rPr>
                <w:sz w:val="24"/>
              </w:rPr>
              <w:t>的内容与格式》（</w:t>
            </w:r>
            <w:r>
              <w:rPr>
                <w:rFonts w:ascii="Times New Roman" w:eastAsia="Times New Roman"/>
                <w:sz w:val="24"/>
              </w:rPr>
              <w:t>HJ10.1</w:t>
            </w:r>
            <w:r>
              <w:rPr>
                <w:sz w:val="24"/>
              </w:rPr>
              <w:t>－</w:t>
            </w:r>
            <w:r>
              <w:rPr>
                <w:rFonts w:ascii="Times New Roman" w:eastAsia="Times New Roman"/>
                <w:sz w:val="24"/>
              </w:rPr>
              <w:t>2016)</w:t>
            </w:r>
            <w:r>
              <w:rPr>
                <w:sz w:val="24"/>
              </w:rPr>
              <w:t>；</w:t>
            </w:r>
          </w:p>
          <w:p>
            <w:pPr>
              <w:pStyle w:val="TableParagraph"/>
              <w:numPr>
                <w:ilvl w:val="0"/>
                <w:numId w:val="3"/>
              </w:numPr>
              <w:tabs>
                <w:tab w:pos="710" w:val="left" w:leader="none"/>
              </w:tabs>
              <w:spacing w:line="240" w:lineRule="auto" w:before="1" w:after="0"/>
              <w:ind w:left="709" w:right="0" w:hanging="602"/>
              <w:jc w:val="left"/>
              <w:rPr>
                <w:sz w:val="24"/>
              </w:rPr>
            </w:pPr>
            <w:r>
              <w:rPr>
                <w:spacing w:val="-1"/>
                <w:sz w:val="24"/>
              </w:rPr>
              <w:t>《电离辐射防护与辐射源安全基本标准》</w:t>
            </w:r>
            <w:r>
              <w:rPr>
                <w:sz w:val="24"/>
              </w:rPr>
              <w:t>（</w:t>
            </w:r>
            <w:r>
              <w:rPr>
                <w:rFonts w:ascii="Times New Roman" w:eastAsia="Times New Roman"/>
                <w:sz w:val="24"/>
              </w:rPr>
              <w:t>GB18871-2002</w:t>
            </w:r>
            <w:r>
              <w:rPr>
                <w:sz w:val="24"/>
              </w:rPr>
              <w:t>）；</w:t>
            </w:r>
          </w:p>
          <w:p>
            <w:pPr>
              <w:pStyle w:val="TableParagraph"/>
              <w:numPr>
                <w:ilvl w:val="0"/>
                <w:numId w:val="3"/>
              </w:numPr>
              <w:tabs>
                <w:tab w:pos="710" w:val="left" w:leader="none"/>
              </w:tabs>
              <w:spacing w:line="240" w:lineRule="auto" w:before="160" w:after="0"/>
              <w:ind w:left="709" w:right="0" w:hanging="602"/>
              <w:jc w:val="left"/>
              <w:rPr>
                <w:sz w:val="24"/>
              </w:rPr>
            </w:pPr>
            <w:r>
              <w:rPr>
                <w:spacing w:val="-1"/>
                <w:sz w:val="24"/>
              </w:rPr>
              <w:t>《环境</w:t>
            </w:r>
            <w:r>
              <w:rPr>
                <w:rFonts w:ascii="Times New Roman" w:hAnsi="Times New Roman" w:eastAsia="Times New Roman"/>
                <w:spacing w:val="-1"/>
                <w:sz w:val="24"/>
              </w:rPr>
              <w:t>γ</w:t>
            </w:r>
            <w:r>
              <w:rPr>
                <w:spacing w:val="-1"/>
                <w:sz w:val="24"/>
              </w:rPr>
              <w:t>辐射剂量率测量技术规范》</w:t>
            </w:r>
            <w:r>
              <w:rPr>
                <w:sz w:val="24"/>
              </w:rPr>
              <w:t>（</w:t>
            </w:r>
            <w:r>
              <w:rPr>
                <w:rFonts w:ascii="Times New Roman" w:hAnsi="Times New Roman" w:eastAsia="Times New Roman"/>
                <w:sz w:val="24"/>
              </w:rPr>
              <w:t>HJ1157-2021</w:t>
            </w:r>
            <w:r>
              <w:rPr>
                <w:sz w:val="24"/>
              </w:rPr>
              <w:t>）；</w:t>
            </w:r>
          </w:p>
          <w:p>
            <w:pPr>
              <w:pStyle w:val="TableParagraph"/>
              <w:numPr>
                <w:ilvl w:val="0"/>
                <w:numId w:val="3"/>
              </w:numPr>
              <w:tabs>
                <w:tab w:pos="710" w:val="left" w:leader="none"/>
              </w:tabs>
              <w:spacing w:line="240" w:lineRule="auto" w:before="161" w:after="0"/>
              <w:ind w:left="709" w:right="0" w:hanging="602"/>
              <w:jc w:val="left"/>
              <w:rPr>
                <w:sz w:val="24"/>
              </w:rPr>
            </w:pPr>
            <w:r>
              <w:rPr>
                <w:spacing w:val="-1"/>
                <w:sz w:val="24"/>
              </w:rPr>
              <w:t>《辐射环境监测技术规范》</w:t>
            </w:r>
            <w:r>
              <w:rPr>
                <w:sz w:val="24"/>
              </w:rPr>
              <w:t>（</w:t>
            </w:r>
            <w:r>
              <w:rPr>
                <w:rFonts w:ascii="Times New Roman" w:eastAsia="Times New Roman"/>
                <w:sz w:val="24"/>
              </w:rPr>
              <w:t>HJ61-2021</w:t>
            </w:r>
            <w:r>
              <w:rPr>
                <w:sz w:val="24"/>
              </w:rPr>
              <w:t>）；</w:t>
            </w:r>
          </w:p>
          <w:p>
            <w:pPr>
              <w:pStyle w:val="TableParagraph"/>
              <w:numPr>
                <w:ilvl w:val="0"/>
                <w:numId w:val="3"/>
              </w:numPr>
              <w:tabs>
                <w:tab w:pos="710" w:val="left" w:leader="none"/>
              </w:tabs>
              <w:spacing w:line="240" w:lineRule="auto" w:before="160" w:after="0"/>
              <w:ind w:left="709" w:right="0" w:hanging="602"/>
              <w:jc w:val="left"/>
              <w:rPr>
                <w:sz w:val="24"/>
              </w:rPr>
            </w:pPr>
            <w:r>
              <w:rPr>
                <w:spacing w:val="-1"/>
                <w:sz w:val="24"/>
              </w:rPr>
              <w:t>《放射诊断放射防护要求》</w:t>
            </w:r>
            <w:r>
              <w:rPr>
                <w:sz w:val="24"/>
              </w:rPr>
              <w:t>（</w:t>
            </w:r>
            <w:r>
              <w:rPr>
                <w:rFonts w:ascii="Times New Roman" w:eastAsia="Times New Roman"/>
                <w:sz w:val="24"/>
              </w:rPr>
              <w:t>GBZ130-2020</w:t>
            </w:r>
            <w:r>
              <w:rPr>
                <w:sz w:val="24"/>
              </w:rPr>
              <w:t>）；</w:t>
            </w:r>
          </w:p>
          <w:p>
            <w:pPr>
              <w:pStyle w:val="TableParagraph"/>
              <w:numPr>
                <w:ilvl w:val="0"/>
                <w:numId w:val="3"/>
              </w:numPr>
              <w:tabs>
                <w:tab w:pos="710" w:val="left" w:leader="none"/>
              </w:tabs>
              <w:spacing w:line="240" w:lineRule="auto" w:before="161" w:after="0"/>
              <w:ind w:left="709" w:right="0" w:hanging="602"/>
              <w:jc w:val="left"/>
              <w:rPr>
                <w:sz w:val="24"/>
              </w:rPr>
            </w:pPr>
            <w:r>
              <w:rPr>
                <w:spacing w:val="-1"/>
                <w:sz w:val="24"/>
              </w:rPr>
              <w:t>《职业性外照射个人监测规范》</w:t>
            </w:r>
            <w:r>
              <w:rPr>
                <w:sz w:val="24"/>
              </w:rPr>
              <w:t>（</w:t>
            </w:r>
            <w:r>
              <w:rPr>
                <w:rFonts w:ascii="Times New Roman" w:eastAsia="Times New Roman"/>
                <w:sz w:val="24"/>
              </w:rPr>
              <w:t>GBZ128-2019</w:t>
            </w:r>
            <w:r>
              <w:rPr>
                <w:sz w:val="24"/>
              </w:rPr>
              <w:t>）；</w:t>
            </w:r>
          </w:p>
          <w:p>
            <w:pPr>
              <w:pStyle w:val="TableParagraph"/>
              <w:numPr>
                <w:ilvl w:val="0"/>
                <w:numId w:val="3"/>
              </w:numPr>
              <w:tabs>
                <w:tab w:pos="710" w:val="left" w:leader="none"/>
              </w:tabs>
              <w:spacing w:line="240" w:lineRule="auto" w:before="160" w:after="0"/>
              <w:ind w:left="709" w:right="0" w:hanging="602"/>
              <w:jc w:val="left"/>
              <w:rPr>
                <w:sz w:val="24"/>
              </w:rPr>
            </w:pPr>
            <w:r>
              <w:rPr>
                <w:spacing w:val="-1"/>
                <w:sz w:val="24"/>
              </w:rPr>
              <w:t>《电离辐射所致皮肤剂量估算方法》</w:t>
            </w:r>
            <w:r>
              <w:rPr>
                <w:sz w:val="24"/>
              </w:rPr>
              <w:t>（</w:t>
            </w:r>
            <w:r>
              <w:rPr>
                <w:rFonts w:ascii="Times New Roman" w:eastAsia="Times New Roman"/>
                <w:sz w:val="24"/>
              </w:rPr>
              <w:t>GBZ/T244-2017</w:t>
            </w:r>
            <w:r>
              <w:rPr>
                <w:sz w:val="24"/>
              </w:rPr>
              <w:t>）；</w:t>
            </w:r>
          </w:p>
          <w:p>
            <w:pPr>
              <w:pStyle w:val="TableParagraph"/>
              <w:numPr>
                <w:ilvl w:val="0"/>
                <w:numId w:val="3"/>
              </w:numPr>
              <w:tabs>
                <w:tab w:pos="710" w:val="left" w:leader="none"/>
              </w:tabs>
              <w:spacing w:line="240" w:lineRule="auto" w:before="161" w:after="0"/>
              <w:ind w:left="709" w:right="0" w:hanging="602"/>
              <w:jc w:val="left"/>
              <w:rPr>
                <w:sz w:val="24"/>
              </w:rPr>
            </w:pPr>
            <w:r>
              <w:rPr>
                <w:w w:val="95"/>
                <w:sz w:val="24"/>
              </w:rPr>
              <w:t>《工作场所有害因素职业接触限值</w:t>
            </w:r>
            <w:r>
              <w:rPr>
                <w:spacing w:val="158"/>
                <w:sz w:val="24"/>
              </w:rPr>
              <w:t> </w:t>
            </w:r>
            <w:r>
              <w:rPr>
                <w:spacing w:val="13"/>
                <w:w w:val="95"/>
                <w:sz w:val="24"/>
              </w:rPr>
              <w:t>第 </w:t>
            </w:r>
            <w:r>
              <w:rPr>
                <w:rFonts w:ascii="Times New Roman" w:eastAsia="Times New Roman"/>
                <w:w w:val="95"/>
                <w:sz w:val="24"/>
              </w:rPr>
              <w:t>1</w:t>
            </w:r>
            <w:r>
              <w:rPr>
                <w:rFonts w:ascii="Times New Roman" w:eastAsia="Times New Roman"/>
                <w:spacing w:val="79"/>
                <w:sz w:val="24"/>
              </w:rPr>
              <w:t> </w:t>
            </w:r>
            <w:r>
              <w:rPr>
                <w:w w:val="95"/>
                <w:sz w:val="24"/>
              </w:rPr>
              <w:t>部分：化学有害因素》</w:t>
            </w:r>
          </w:p>
          <w:p>
            <w:pPr>
              <w:pStyle w:val="TableParagraph"/>
              <w:spacing w:before="160"/>
              <w:ind w:left="108"/>
              <w:jc w:val="left"/>
              <w:rPr>
                <w:sz w:val="24"/>
              </w:rPr>
            </w:pPr>
            <w:r>
              <w:rPr>
                <w:sz w:val="24"/>
              </w:rPr>
              <w:t>（</w:t>
            </w:r>
            <w:r>
              <w:rPr>
                <w:rFonts w:ascii="Times New Roman" w:eastAsia="Times New Roman"/>
                <w:sz w:val="24"/>
              </w:rPr>
              <w:t>GBZ2.1-2019</w:t>
            </w:r>
            <w:r>
              <w:rPr>
                <w:sz w:val="24"/>
              </w:rPr>
              <w:t>）。</w:t>
            </w:r>
          </w:p>
        </w:tc>
      </w:tr>
      <w:tr>
        <w:trPr>
          <w:trHeight w:val="7332" w:hRule="atLeast"/>
        </w:trPr>
        <w:tc>
          <w:tcPr>
            <w:tcW w:w="1298" w:type="dxa"/>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3"/>
              <w:jc w:val="left"/>
              <w:rPr>
                <w:sz w:val="34"/>
              </w:rPr>
            </w:pPr>
          </w:p>
          <w:p>
            <w:pPr>
              <w:pStyle w:val="TableParagraph"/>
              <w:ind w:left="148" w:right="140"/>
              <w:rPr>
                <w:sz w:val="24"/>
              </w:rPr>
            </w:pPr>
            <w:r>
              <w:rPr>
                <w:sz w:val="24"/>
              </w:rPr>
              <w:t>其他</w:t>
            </w:r>
          </w:p>
        </w:tc>
        <w:tc>
          <w:tcPr>
            <w:tcW w:w="7882" w:type="dxa"/>
          </w:tcPr>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10"/>
              <w:jc w:val="left"/>
              <w:rPr>
                <w:sz w:val="25"/>
              </w:rPr>
            </w:pPr>
          </w:p>
          <w:p>
            <w:pPr>
              <w:pStyle w:val="TableParagraph"/>
              <w:numPr>
                <w:ilvl w:val="0"/>
                <w:numId w:val="4"/>
              </w:numPr>
              <w:tabs>
                <w:tab w:pos="710" w:val="left" w:leader="none"/>
              </w:tabs>
              <w:spacing w:line="240" w:lineRule="auto" w:before="0" w:after="0"/>
              <w:ind w:left="709" w:right="-29" w:hanging="602"/>
              <w:jc w:val="left"/>
              <w:rPr>
                <w:sz w:val="24"/>
              </w:rPr>
            </w:pPr>
            <w:r>
              <w:rPr>
                <w:spacing w:val="-15"/>
                <w:sz w:val="24"/>
              </w:rPr>
              <w:t>《辐射防护手册》</w:t>
            </w:r>
            <w:r>
              <w:rPr>
                <w:sz w:val="24"/>
              </w:rPr>
              <w:t>（第一分册</w:t>
            </w:r>
            <w:r>
              <w:rPr>
                <w:rFonts w:ascii="Times New Roman" w:hAnsi="Times New Roman" w:eastAsia="Times New Roman"/>
                <w:sz w:val="24"/>
              </w:rPr>
              <w:t>—</w:t>
            </w:r>
            <w:r>
              <w:rPr>
                <w:spacing w:val="-8"/>
                <w:sz w:val="24"/>
              </w:rPr>
              <w:t>辐射源与屏蔽，原子能出版社</w:t>
            </w:r>
            <w:r>
              <w:rPr>
                <w:spacing w:val="-65"/>
                <w:sz w:val="24"/>
              </w:rPr>
              <w:t>，</w:t>
            </w:r>
            <w:r>
              <w:rPr>
                <w:rFonts w:ascii="Times New Roman" w:hAnsi="Times New Roman" w:eastAsia="Times New Roman"/>
                <w:spacing w:val="-2"/>
                <w:sz w:val="24"/>
              </w:rPr>
              <w:t>1987</w:t>
            </w:r>
            <w:r>
              <w:rPr>
                <w:spacing w:val="-122"/>
                <w:sz w:val="24"/>
              </w:rPr>
              <w:t>）</w:t>
            </w:r>
            <w:r>
              <w:rPr>
                <w:spacing w:val="-2"/>
                <w:sz w:val="24"/>
              </w:rPr>
              <w:t>；</w:t>
            </w:r>
          </w:p>
          <w:p>
            <w:pPr>
              <w:pStyle w:val="TableParagraph"/>
              <w:numPr>
                <w:ilvl w:val="0"/>
                <w:numId w:val="4"/>
              </w:numPr>
              <w:tabs>
                <w:tab w:pos="710" w:val="left" w:leader="none"/>
              </w:tabs>
              <w:spacing w:line="240" w:lineRule="auto" w:before="161" w:after="0"/>
              <w:ind w:left="709" w:right="0" w:hanging="602"/>
              <w:jc w:val="left"/>
              <w:rPr>
                <w:sz w:val="24"/>
              </w:rPr>
            </w:pPr>
            <w:r>
              <w:rPr>
                <w:sz w:val="24"/>
              </w:rPr>
              <w:t>院方提供的工程设计图纸及相关技术参数资料；</w:t>
            </w:r>
          </w:p>
          <w:p>
            <w:pPr>
              <w:pStyle w:val="TableParagraph"/>
              <w:numPr>
                <w:ilvl w:val="0"/>
                <w:numId w:val="4"/>
              </w:numPr>
              <w:tabs>
                <w:tab w:pos="710" w:val="left" w:leader="none"/>
              </w:tabs>
              <w:spacing w:line="364" w:lineRule="auto" w:before="160" w:after="0"/>
              <w:ind w:left="108" w:right="95" w:firstLine="0"/>
              <w:jc w:val="left"/>
              <w:rPr>
                <w:sz w:val="24"/>
              </w:rPr>
            </w:pPr>
            <w:r>
              <w:rPr>
                <w:sz w:val="24"/>
              </w:rPr>
              <w:t>《环境保护部辐射安全与防护监督检查技术程序（第三版）》</w:t>
            </w:r>
            <w:r>
              <w:rPr>
                <w:spacing w:val="-2"/>
                <w:sz w:val="24"/>
              </w:rPr>
              <w:t>（</w:t>
            </w:r>
            <w:r>
              <w:rPr>
                <w:rFonts w:ascii="Times New Roman" w:eastAsia="Times New Roman"/>
                <w:spacing w:val="-2"/>
                <w:sz w:val="24"/>
              </w:rPr>
              <w:t>2012</w:t>
            </w:r>
            <w:r>
              <w:rPr>
                <w:spacing w:val="-31"/>
                <w:sz w:val="24"/>
              </w:rPr>
              <w:t>年 </w:t>
            </w:r>
            <w:r>
              <w:rPr>
                <w:rFonts w:ascii="Times New Roman" w:eastAsia="Times New Roman"/>
                <w:spacing w:val="-1"/>
                <w:sz w:val="24"/>
              </w:rPr>
              <w:t>3</w:t>
            </w:r>
            <w:r>
              <w:rPr>
                <w:rFonts w:ascii="Times New Roman" w:eastAsia="Times New Roman"/>
                <w:sz w:val="24"/>
              </w:rPr>
              <w:t> </w:t>
            </w:r>
            <w:r>
              <w:rPr>
                <w:spacing w:val="-1"/>
                <w:sz w:val="24"/>
              </w:rPr>
              <w:t>月）；</w:t>
            </w:r>
          </w:p>
          <w:p>
            <w:pPr>
              <w:pStyle w:val="TableParagraph"/>
              <w:numPr>
                <w:ilvl w:val="0"/>
                <w:numId w:val="4"/>
              </w:numPr>
              <w:tabs>
                <w:tab w:pos="710" w:val="left" w:leader="none"/>
              </w:tabs>
              <w:spacing w:line="240" w:lineRule="auto" w:before="1" w:after="0"/>
              <w:ind w:left="709" w:right="0" w:hanging="602"/>
              <w:jc w:val="left"/>
              <w:rPr>
                <w:sz w:val="24"/>
              </w:rPr>
            </w:pPr>
            <w:r>
              <w:rPr>
                <w:sz w:val="24"/>
              </w:rPr>
              <w:t>《四川省核技术利用辐射安全监督检查大纲（</w:t>
            </w:r>
            <w:r>
              <w:rPr>
                <w:rFonts w:ascii="Times New Roman" w:eastAsia="Times New Roman"/>
                <w:sz w:val="24"/>
              </w:rPr>
              <w:t>2016</w:t>
            </w:r>
            <w:r>
              <w:rPr>
                <w:sz w:val="24"/>
              </w:rPr>
              <w:t>）》（川环函</w:t>
            </w:r>
          </w:p>
          <w:p>
            <w:pPr>
              <w:pStyle w:val="TableParagraph"/>
              <w:spacing w:before="161"/>
              <w:ind w:left="108"/>
              <w:jc w:val="left"/>
              <w:rPr>
                <w:sz w:val="24"/>
              </w:rPr>
            </w:pPr>
            <w:r>
              <w:rPr>
                <w:rFonts w:ascii="Times New Roman" w:eastAsia="Times New Roman"/>
                <w:sz w:val="24"/>
              </w:rPr>
              <w:t>[2016]1400</w:t>
            </w:r>
            <w:r>
              <w:rPr>
                <w:rFonts w:ascii="Times New Roman" w:eastAsia="Times New Roman"/>
                <w:spacing w:val="-3"/>
                <w:sz w:val="24"/>
              </w:rPr>
              <w:t> </w:t>
            </w:r>
            <w:r>
              <w:rPr>
                <w:sz w:val="24"/>
              </w:rPr>
              <w:t>号；</w:t>
            </w:r>
          </w:p>
          <w:p>
            <w:pPr>
              <w:pStyle w:val="TableParagraph"/>
              <w:numPr>
                <w:ilvl w:val="0"/>
                <w:numId w:val="4"/>
              </w:numPr>
              <w:tabs>
                <w:tab w:pos="710" w:val="left" w:leader="none"/>
              </w:tabs>
              <w:spacing w:line="240" w:lineRule="auto" w:before="160" w:after="0"/>
              <w:ind w:left="709" w:right="-29" w:hanging="602"/>
              <w:jc w:val="left"/>
              <w:rPr>
                <w:sz w:val="24"/>
              </w:rPr>
            </w:pPr>
            <w:r>
              <w:rPr>
                <w:spacing w:val="-1"/>
                <w:sz w:val="24"/>
              </w:rPr>
              <w:t>《建设项目竣工环境保护验收暂行办法》</w:t>
            </w:r>
            <w:r>
              <w:rPr>
                <w:sz w:val="24"/>
              </w:rPr>
              <w:t>（国环规环评</w:t>
            </w:r>
            <w:r>
              <w:rPr>
                <w:rFonts w:ascii="Times New Roman" w:eastAsia="Times New Roman"/>
                <w:sz w:val="24"/>
              </w:rPr>
              <w:t>[2017]4</w:t>
            </w:r>
            <w:r>
              <w:rPr>
                <w:rFonts w:ascii="Times New Roman" w:eastAsia="Times New Roman"/>
                <w:spacing w:val="-15"/>
                <w:sz w:val="24"/>
              </w:rPr>
              <w:t> </w:t>
            </w:r>
            <w:r>
              <w:rPr>
                <w:sz w:val="24"/>
              </w:rPr>
              <w:t>号）</w:t>
            </w:r>
            <w:r>
              <w:rPr>
                <w:spacing w:val="1"/>
                <w:sz w:val="24"/>
              </w:rPr>
              <w:t> </w:t>
            </w:r>
            <w:r>
              <w:rPr>
                <w:sz w:val="24"/>
              </w:rPr>
              <w:t>。</w:t>
            </w:r>
          </w:p>
        </w:tc>
      </w:tr>
    </w:tbl>
    <w:p>
      <w:pPr>
        <w:pStyle w:val="BodyText"/>
      </w:pPr>
      <w:bookmarkStart w:name="表7  保护目标与评价标准" w:id="12"/>
      <w:bookmarkEnd w:id="12"/>
      <w:r>
        <w:rPr/>
      </w:r>
      <w:bookmarkStart w:name="_bookmark5" w:id="13"/>
      <w:bookmarkEnd w:id="13"/>
      <w:r>
        <w:rPr/>
      </w:r>
      <w:r>
        <w:rPr/>
      </w:r>
    </w:p>
    <w:p>
      <w:pPr>
        <w:spacing w:after="0"/>
        <w:sectPr>
          <w:pgSz w:w="11910" w:h="16840"/>
          <w:pgMar w:header="0" w:footer="1383" w:top="1420" w:bottom="1580" w:left="1240" w:right="1040"/>
        </w:sectPr>
      </w:pPr>
    </w:p>
    <w:p>
      <w:pPr>
        <w:pStyle w:val="BodyText"/>
        <w:spacing w:before="5"/>
        <w:rPr>
          <w:sz w:val="10"/>
        </w:rPr>
      </w:pPr>
      <w:r>
        <w:rPr/>
        <w:pict>
          <v:shape style="position:absolute;margin-left:84.360001pt;margin-top:121.200027pt;width:426.6pt;height:627.050pt;mso-position-horizontal-relative:page;mso-position-vertical-relative:page;z-index:-20153344" coordorigin="1687,2424" coordsize="8532,12541" path="m1687,2429l10219,2429m1687,14965l10219,14965m1692,2424l1692,14960m10214,2424l10214,14960e" filled="false" stroked="true" strokeweight=".48pt" strokecolor="#000000">
            <v:path arrowok="t"/>
            <v:stroke dashstyle="solid"/>
            <w10:wrap type="none"/>
          </v:shape>
        </w:pict>
      </w:r>
    </w:p>
    <w:p>
      <w:pPr>
        <w:tabs>
          <w:tab w:pos="1385" w:val="left" w:leader="none"/>
        </w:tabs>
        <w:spacing w:before="70"/>
        <w:ind w:left="560" w:right="0" w:firstLine="0"/>
        <w:jc w:val="left"/>
        <w:rPr>
          <w:sz w:val="30"/>
        </w:rPr>
      </w:pPr>
      <w:r>
        <w:rPr>
          <w:sz w:val="30"/>
        </w:rPr>
        <w:t>表</w:t>
      </w:r>
      <w:r>
        <w:rPr>
          <w:spacing w:val="-76"/>
          <w:sz w:val="30"/>
        </w:rPr>
        <w:t> </w:t>
      </w:r>
      <w:r>
        <w:rPr>
          <w:rFonts w:ascii="Times New Roman" w:eastAsia="Times New Roman"/>
          <w:sz w:val="30"/>
        </w:rPr>
        <w:t>7</w:t>
        <w:tab/>
      </w:r>
      <w:r>
        <w:rPr>
          <w:sz w:val="30"/>
        </w:rPr>
        <w:t>保护目标与评价标准</w:t>
      </w:r>
    </w:p>
    <w:p>
      <w:pPr>
        <w:pStyle w:val="BodyText"/>
        <w:spacing w:before="3"/>
        <w:rPr>
          <w:sz w:val="34"/>
        </w:rPr>
      </w:pPr>
    </w:p>
    <w:p>
      <w:pPr>
        <w:pStyle w:val="Heading2"/>
        <w:spacing w:before="1"/>
        <w:ind w:left="560"/>
      </w:pPr>
      <w:r>
        <w:rPr/>
        <w:t>评价范围</w:t>
      </w:r>
    </w:p>
    <w:p>
      <w:pPr>
        <w:pStyle w:val="BodyText"/>
        <w:spacing w:line="364" w:lineRule="auto" w:before="211"/>
        <w:ind w:left="560" w:right="755" w:firstLine="465"/>
        <w:jc w:val="both"/>
      </w:pPr>
      <w:r>
        <w:rPr>
          <w:spacing w:val="-3"/>
        </w:rPr>
        <w:t>根据本项目医用射线装置的特点和应用内容，按照《辐射环境保护管理导则</w:t>
      </w:r>
      <w:r>
        <w:rPr/>
        <w:t>核技术利用建设项目环境影响评价文件的内容和格式》（</w:t>
      </w:r>
      <w:r>
        <w:rPr>
          <w:rFonts w:ascii="Times New Roman" w:eastAsia="Times New Roman"/>
        </w:rPr>
        <w:t>HJ10.1-2016</w:t>
      </w:r>
      <w:r>
        <w:rPr/>
        <w:t>）要求，</w:t>
      </w:r>
      <w:r>
        <w:rPr>
          <w:spacing w:val="-118"/>
        </w:rPr>
        <w:t> </w:t>
      </w:r>
      <w:r>
        <w:rPr/>
        <w:t>参照《辐射环境监测技术规范》（</w:t>
      </w:r>
      <w:r>
        <w:rPr>
          <w:rFonts w:ascii="Times New Roman" w:eastAsia="Times New Roman"/>
        </w:rPr>
        <w:t>HJ61-2021</w:t>
      </w:r>
      <w:r>
        <w:rPr/>
        <w:t>）对射线装置应用的辐射监测技术</w:t>
      </w:r>
      <w:r>
        <w:rPr>
          <w:spacing w:val="-6"/>
        </w:rPr>
        <w:t>要求，确定辐射环境影响评价的范围：以 </w:t>
      </w:r>
      <w:r>
        <w:rPr>
          <w:rFonts w:ascii="Times New Roman" w:eastAsia="Times New Roman"/>
          <w:spacing w:val="-2"/>
        </w:rPr>
        <w:t>DSA</w:t>
      </w:r>
      <w:r>
        <w:rPr>
          <w:rFonts w:ascii="Times New Roman" w:eastAsia="Times New Roman"/>
          <w:spacing w:val="1"/>
        </w:rPr>
        <w:t> </w:t>
      </w:r>
      <w:r>
        <w:rPr>
          <w:spacing w:val="-7"/>
        </w:rPr>
        <w:t>机房建筑实体边界外 </w:t>
      </w:r>
      <w:r>
        <w:rPr>
          <w:rFonts w:ascii="Times New Roman" w:eastAsia="Times New Roman"/>
          <w:spacing w:val="-1"/>
        </w:rPr>
        <w:t>50m</w:t>
      </w:r>
      <w:r>
        <w:rPr>
          <w:rFonts w:ascii="Times New Roman" w:eastAsia="Times New Roman"/>
        </w:rPr>
        <w:t> </w:t>
      </w:r>
      <w:r>
        <w:rPr>
          <w:spacing w:val="-1"/>
        </w:rPr>
        <w:t>区域作</w:t>
      </w:r>
      <w:r>
        <w:rPr/>
        <w:t>为评价范围。</w:t>
      </w:r>
    </w:p>
    <w:p>
      <w:pPr>
        <w:pStyle w:val="Heading2"/>
        <w:spacing w:before="57"/>
        <w:ind w:left="560"/>
      </w:pPr>
      <w:r>
        <w:rPr/>
        <w:t>保护目标</w:t>
      </w:r>
    </w:p>
    <w:p>
      <w:pPr>
        <w:pStyle w:val="BodyText"/>
        <w:spacing w:line="364" w:lineRule="auto" w:before="211"/>
        <w:ind w:left="560" w:right="757" w:firstLine="465"/>
        <w:jc w:val="both"/>
      </w:pPr>
      <w:r>
        <w:rPr>
          <w:spacing w:val="-7"/>
        </w:rPr>
        <w:t>本项目保护目标主要有：以 </w:t>
      </w:r>
      <w:r>
        <w:rPr>
          <w:rFonts w:ascii="Times New Roman" w:eastAsia="Times New Roman"/>
          <w:spacing w:val="-1"/>
        </w:rPr>
        <w:t>DSA</w:t>
      </w:r>
      <w:r>
        <w:rPr>
          <w:rFonts w:ascii="Times New Roman" w:eastAsia="Times New Roman"/>
          <w:spacing w:val="1"/>
        </w:rPr>
        <w:t> </w:t>
      </w:r>
      <w:r>
        <w:rPr>
          <w:spacing w:val="-6"/>
        </w:rPr>
        <w:t>机房的建筑实体为边界，半径 </w:t>
      </w:r>
      <w:r>
        <w:rPr>
          <w:rFonts w:ascii="Times New Roman" w:eastAsia="Times New Roman"/>
          <w:spacing w:val="-1"/>
        </w:rPr>
        <w:t>50m</w:t>
      </w:r>
      <w:r>
        <w:rPr>
          <w:rFonts w:ascii="Times New Roman" w:eastAsia="Times New Roman"/>
          <w:spacing w:val="-2"/>
        </w:rPr>
        <w:t> </w:t>
      </w:r>
      <w:r>
        <w:rPr>
          <w:spacing w:val="-1"/>
        </w:rPr>
        <w:t>内辐射</w:t>
      </w:r>
      <w:r>
        <w:rPr/>
        <w:t>工作人员和公众。主要包括：</w:t>
      </w:r>
      <w:r>
        <w:rPr>
          <w:rFonts w:ascii="Times New Roman" w:eastAsia="Times New Roman"/>
        </w:rPr>
        <w:t>DSA</w:t>
      </w:r>
      <w:r>
        <w:rPr>
          <w:rFonts w:ascii="Times New Roman" w:eastAsia="Times New Roman"/>
          <w:spacing w:val="51"/>
        </w:rPr>
        <w:t> </w:t>
      </w:r>
      <w:r>
        <w:rPr/>
        <w:t>机房的四周配套房间内工作人员及公众，以及楼外流动公众等。</w:t>
      </w:r>
    </w:p>
    <w:p>
      <w:pPr>
        <w:pStyle w:val="BodyText"/>
        <w:spacing w:line="364" w:lineRule="auto" w:before="2"/>
        <w:ind w:left="560" w:right="757" w:firstLine="465"/>
        <w:jc w:val="both"/>
      </w:pPr>
      <w:r>
        <w:rPr>
          <w:spacing w:val="-6"/>
        </w:rPr>
        <w:t>由于电离辐射水平随着距离的增加而衰减，因此在进行预测时选取离辐射工</w:t>
      </w:r>
      <w:r>
        <w:rPr>
          <w:spacing w:val="-3"/>
        </w:rPr>
        <w:t>作场所较近、有代表性的环境保护目标进行分析，具体环境保护目标见表 </w:t>
      </w:r>
      <w:r>
        <w:rPr>
          <w:rFonts w:ascii="Times New Roman" w:eastAsia="Times New Roman"/>
        </w:rPr>
        <w:t>7-1</w:t>
      </w:r>
      <w:r>
        <w:rPr/>
        <w:t>。</w:t>
      </w:r>
    </w:p>
    <w:p>
      <w:pPr>
        <w:tabs>
          <w:tab w:pos="751" w:val="left" w:leader="none"/>
        </w:tabs>
        <w:spacing w:line="211" w:lineRule="exact" w:before="0"/>
        <w:ind w:left="0" w:right="190" w:firstLine="0"/>
        <w:jc w:val="center"/>
        <w:rPr>
          <w:sz w:val="21"/>
        </w:rPr>
      </w:pPr>
      <w:r>
        <w:rPr>
          <w:w w:val="95"/>
          <w:sz w:val="21"/>
        </w:rPr>
        <w:t>表</w:t>
      </w:r>
      <w:r>
        <w:rPr>
          <w:spacing w:val="-42"/>
          <w:w w:val="95"/>
          <w:sz w:val="21"/>
        </w:rPr>
        <w:t> </w:t>
      </w:r>
      <w:r>
        <w:rPr>
          <w:rFonts w:ascii="Times New Roman" w:eastAsia="Times New Roman"/>
          <w:b/>
          <w:w w:val="95"/>
          <w:sz w:val="21"/>
        </w:rPr>
        <w:t>7-1</w:t>
        <w:tab/>
      </w:r>
      <w:r>
        <w:rPr>
          <w:sz w:val="21"/>
        </w:rPr>
        <w:t>本项目环境保护目标一览表</w:t>
      </w:r>
    </w:p>
    <w:p>
      <w:pPr>
        <w:pStyle w:val="BodyText"/>
        <w:spacing w:before="3" w:after="1"/>
        <w:rPr>
          <w:sz w:val="16"/>
        </w:rPr>
      </w:pPr>
    </w:p>
    <w:tbl>
      <w:tblPr>
        <w:tblW w:w="0" w:type="auto"/>
        <w:jc w:val="left"/>
        <w:tblInd w:w="5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7"/>
        <w:gridCol w:w="843"/>
        <w:gridCol w:w="2800"/>
        <w:gridCol w:w="1188"/>
        <w:gridCol w:w="820"/>
        <w:gridCol w:w="817"/>
        <w:gridCol w:w="1226"/>
      </w:tblGrid>
      <w:tr>
        <w:trPr>
          <w:trHeight w:val="936" w:hRule="atLeast"/>
        </w:trPr>
        <w:tc>
          <w:tcPr>
            <w:tcW w:w="647" w:type="dxa"/>
            <w:tcBorders>
              <w:left w:val="nil"/>
              <w:right w:val="single" w:sz="4" w:space="0" w:color="000000"/>
            </w:tcBorders>
          </w:tcPr>
          <w:p>
            <w:pPr>
              <w:pStyle w:val="TableParagraph"/>
              <w:spacing w:line="278" w:lineRule="auto" w:before="177"/>
              <w:ind w:left="128" w:right="93"/>
              <w:jc w:val="left"/>
              <w:rPr>
                <w:sz w:val="21"/>
              </w:rPr>
            </w:pPr>
            <w:r>
              <w:rPr>
                <w:spacing w:val="-3"/>
                <w:sz w:val="21"/>
              </w:rPr>
              <w:t>项目位置</w:t>
            </w:r>
          </w:p>
        </w:tc>
        <w:tc>
          <w:tcPr>
            <w:tcW w:w="3643" w:type="dxa"/>
            <w:gridSpan w:val="2"/>
            <w:tcBorders>
              <w:left w:val="single" w:sz="4" w:space="0" w:color="000000"/>
              <w:right w:val="single" w:sz="4" w:space="0" w:color="000000"/>
            </w:tcBorders>
          </w:tcPr>
          <w:p>
            <w:pPr>
              <w:pStyle w:val="TableParagraph"/>
              <w:jc w:val="left"/>
              <w:rPr>
                <w:sz w:val="26"/>
              </w:rPr>
            </w:pPr>
          </w:p>
          <w:p>
            <w:pPr>
              <w:pStyle w:val="TableParagraph"/>
              <w:ind w:left="1389" w:right="1363"/>
              <w:rPr>
                <w:sz w:val="21"/>
              </w:rPr>
            </w:pPr>
            <w:r>
              <w:rPr>
                <w:sz w:val="21"/>
              </w:rPr>
              <w:t>保护目标</w:t>
            </w:r>
          </w:p>
        </w:tc>
        <w:tc>
          <w:tcPr>
            <w:tcW w:w="1188" w:type="dxa"/>
            <w:tcBorders>
              <w:left w:val="single" w:sz="4" w:space="0" w:color="000000"/>
              <w:right w:val="single" w:sz="4" w:space="0" w:color="000000"/>
            </w:tcBorders>
          </w:tcPr>
          <w:p>
            <w:pPr>
              <w:pStyle w:val="TableParagraph"/>
              <w:spacing w:line="278" w:lineRule="auto" w:before="21"/>
              <w:ind w:left="182" w:right="156"/>
              <w:rPr>
                <w:sz w:val="21"/>
              </w:rPr>
            </w:pPr>
            <w:r>
              <w:rPr>
                <w:spacing w:val="-2"/>
                <w:sz w:val="21"/>
              </w:rPr>
              <w:t>与射线装置最近距</w:t>
            </w:r>
          </w:p>
          <w:p>
            <w:pPr>
              <w:pStyle w:val="TableParagraph"/>
              <w:spacing w:line="269" w:lineRule="exact"/>
              <w:ind w:left="152" w:right="124"/>
              <w:rPr>
                <w:rFonts w:ascii="Times New Roman" w:eastAsia="Times New Roman"/>
                <w:sz w:val="21"/>
              </w:rPr>
            </w:pPr>
            <w:r>
              <w:rPr>
                <w:sz w:val="21"/>
              </w:rPr>
              <w:t>离</w:t>
            </w:r>
            <w:r>
              <w:rPr>
                <w:rFonts w:ascii="Times New Roman" w:eastAsia="Times New Roman"/>
                <w:sz w:val="21"/>
              </w:rPr>
              <w:t>(m)</w:t>
            </w:r>
          </w:p>
        </w:tc>
        <w:tc>
          <w:tcPr>
            <w:tcW w:w="820" w:type="dxa"/>
            <w:tcBorders>
              <w:left w:val="single" w:sz="4" w:space="0" w:color="000000"/>
              <w:right w:val="single" w:sz="4" w:space="0" w:color="000000"/>
            </w:tcBorders>
          </w:tcPr>
          <w:p>
            <w:pPr>
              <w:pStyle w:val="TableParagraph"/>
              <w:spacing w:line="278" w:lineRule="auto" w:before="21"/>
              <w:ind w:left="117" w:right="89" w:firstLine="91"/>
              <w:jc w:val="left"/>
              <w:rPr>
                <w:sz w:val="21"/>
              </w:rPr>
            </w:pPr>
            <w:r>
              <w:rPr>
                <w:sz w:val="21"/>
              </w:rPr>
              <w:t>人流</w:t>
            </w:r>
            <w:r>
              <w:rPr>
                <w:spacing w:val="-5"/>
                <w:w w:val="95"/>
                <w:sz w:val="21"/>
              </w:rPr>
              <w:t>量（人</w:t>
            </w:r>
          </w:p>
          <w:p>
            <w:pPr>
              <w:pStyle w:val="TableParagraph"/>
              <w:spacing w:line="269" w:lineRule="exact"/>
              <w:ind w:left="127"/>
              <w:jc w:val="left"/>
              <w:rPr>
                <w:sz w:val="21"/>
              </w:rPr>
            </w:pPr>
            <w:r>
              <w:rPr>
                <w:w w:val="95"/>
                <w:sz w:val="21"/>
              </w:rPr>
              <w:t>次</w:t>
            </w:r>
            <w:r>
              <w:rPr>
                <w:rFonts w:ascii="Times New Roman" w:eastAsia="Times New Roman"/>
                <w:w w:val="95"/>
                <w:sz w:val="21"/>
              </w:rPr>
              <w:t>/d</w:t>
            </w:r>
            <w:r>
              <w:rPr>
                <w:w w:val="95"/>
                <w:sz w:val="21"/>
              </w:rPr>
              <w:t>）</w:t>
            </w:r>
          </w:p>
        </w:tc>
        <w:tc>
          <w:tcPr>
            <w:tcW w:w="817" w:type="dxa"/>
            <w:tcBorders>
              <w:left w:val="single" w:sz="4" w:space="0" w:color="000000"/>
              <w:right w:val="single" w:sz="4" w:space="0" w:color="000000"/>
            </w:tcBorders>
          </w:tcPr>
          <w:p>
            <w:pPr>
              <w:pStyle w:val="TableParagraph"/>
              <w:spacing w:line="278" w:lineRule="auto" w:before="177"/>
              <w:ind w:left="207" w:right="180"/>
              <w:jc w:val="left"/>
              <w:rPr>
                <w:sz w:val="21"/>
              </w:rPr>
            </w:pPr>
            <w:r>
              <w:rPr>
                <w:spacing w:val="-4"/>
                <w:sz w:val="21"/>
              </w:rPr>
              <w:t>照射类型</w:t>
            </w:r>
          </w:p>
        </w:tc>
        <w:tc>
          <w:tcPr>
            <w:tcW w:w="1226" w:type="dxa"/>
            <w:tcBorders>
              <w:left w:val="single" w:sz="4" w:space="0" w:color="000000"/>
              <w:right w:val="nil"/>
            </w:tcBorders>
          </w:tcPr>
          <w:p>
            <w:pPr>
              <w:pStyle w:val="TableParagraph"/>
              <w:spacing w:line="278" w:lineRule="auto" w:before="21"/>
              <w:ind w:left="191" w:right="165" w:hanging="6"/>
              <w:rPr>
                <w:rFonts w:ascii="Times New Roman" w:eastAsia="Times New Roman"/>
                <w:sz w:val="21"/>
              </w:rPr>
            </w:pPr>
            <w:r>
              <w:rPr>
                <w:sz w:val="21"/>
              </w:rPr>
              <w:t>剂量约束</w:t>
            </w:r>
            <w:r>
              <w:rPr>
                <w:spacing w:val="-1"/>
                <w:sz w:val="21"/>
              </w:rPr>
              <w:t>值（</w:t>
            </w:r>
            <w:r>
              <w:rPr>
                <w:rFonts w:ascii="Times New Roman" w:eastAsia="Times New Roman"/>
                <w:spacing w:val="-1"/>
                <w:sz w:val="21"/>
              </w:rPr>
              <w:t>mSv/</w:t>
            </w:r>
          </w:p>
          <w:p>
            <w:pPr>
              <w:pStyle w:val="TableParagraph"/>
              <w:spacing w:line="269" w:lineRule="exact"/>
              <w:ind w:left="391" w:right="370"/>
              <w:rPr>
                <w:sz w:val="21"/>
              </w:rPr>
            </w:pPr>
            <w:r>
              <w:rPr>
                <w:sz w:val="21"/>
              </w:rPr>
              <w:t>年）</w:t>
            </w:r>
          </w:p>
        </w:tc>
      </w:tr>
      <w:tr>
        <w:trPr>
          <w:trHeight w:val="473" w:hRule="atLeast"/>
        </w:trPr>
        <w:tc>
          <w:tcPr>
            <w:tcW w:w="647" w:type="dxa"/>
            <w:vMerge w:val="restart"/>
            <w:tcBorders>
              <w:left w:val="nil"/>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2"/>
              <w:jc w:val="left"/>
              <w:rPr>
                <w:sz w:val="17"/>
              </w:rPr>
            </w:pPr>
          </w:p>
          <w:p>
            <w:pPr>
              <w:pStyle w:val="TableParagraph"/>
              <w:spacing w:before="1"/>
              <w:ind w:left="123"/>
              <w:jc w:val="left"/>
              <w:rPr>
                <w:rFonts w:ascii="Times New Roman"/>
                <w:sz w:val="21"/>
              </w:rPr>
            </w:pPr>
            <w:r>
              <w:rPr>
                <w:rFonts w:ascii="Times New Roman"/>
                <w:sz w:val="21"/>
              </w:rPr>
              <w:t>DSA</w:t>
            </w:r>
          </w:p>
          <w:p>
            <w:pPr>
              <w:pStyle w:val="TableParagraph"/>
              <w:spacing w:before="56"/>
              <w:ind w:left="128"/>
              <w:jc w:val="left"/>
              <w:rPr>
                <w:sz w:val="21"/>
              </w:rPr>
            </w:pPr>
            <w:r>
              <w:rPr>
                <w:w w:val="95"/>
                <w:sz w:val="21"/>
              </w:rPr>
              <w:t>机房</w:t>
            </w:r>
          </w:p>
        </w:tc>
        <w:tc>
          <w:tcPr>
            <w:tcW w:w="843" w:type="dxa"/>
            <w:vMerge w:val="restart"/>
            <w:tcBorders>
              <w:left w:val="single" w:sz="4" w:space="0" w:color="000000"/>
              <w:bottom w:val="single" w:sz="4" w:space="0" w:color="000000"/>
              <w:right w:val="single" w:sz="4" w:space="0" w:color="000000"/>
            </w:tcBorders>
          </w:tcPr>
          <w:p>
            <w:pPr>
              <w:pStyle w:val="TableParagraph"/>
              <w:spacing w:line="278" w:lineRule="auto" w:before="106"/>
              <w:ind w:left="326" w:right="192" w:hanging="106"/>
              <w:jc w:val="left"/>
              <w:rPr>
                <w:sz w:val="21"/>
              </w:rPr>
            </w:pPr>
            <w:r>
              <w:rPr>
                <w:spacing w:val="-3"/>
                <w:sz w:val="21"/>
              </w:rPr>
              <w:t>机房</w:t>
            </w:r>
            <w:r>
              <w:rPr>
                <w:sz w:val="21"/>
              </w:rPr>
              <w:t>内</w:t>
            </w:r>
          </w:p>
        </w:tc>
        <w:tc>
          <w:tcPr>
            <w:tcW w:w="2800" w:type="dxa"/>
            <w:tcBorders>
              <w:left w:val="single" w:sz="4" w:space="0" w:color="000000"/>
              <w:bottom w:val="single" w:sz="4" w:space="0" w:color="000000"/>
              <w:right w:val="single" w:sz="4" w:space="0" w:color="000000"/>
            </w:tcBorders>
          </w:tcPr>
          <w:p>
            <w:pPr>
              <w:pStyle w:val="TableParagraph"/>
              <w:spacing w:before="101"/>
              <w:ind w:left="543"/>
              <w:jc w:val="left"/>
              <w:rPr>
                <w:sz w:val="21"/>
              </w:rPr>
            </w:pPr>
            <w:r>
              <w:rPr>
                <w:rFonts w:ascii="Times New Roman" w:eastAsia="Times New Roman"/>
                <w:sz w:val="21"/>
              </w:rPr>
              <w:t>DSA</w:t>
            </w:r>
            <w:r>
              <w:rPr>
                <w:rFonts w:ascii="Times New Roman" w:eastAsia="Times New Roman"/>
                <w:spacing w:val="-4"/>
                <w:sz w:val="21"/>
              </w:rPr>
              <w:t> </w:t>
            </w:r>
            <w:r>
              <w:rPr>
                <w:sz w:val="21"/>
              </w:rPr>
              <w:t>机房内的医生</w:t>
            </w:r>
          </w:p>
        </w:tc>
        <w:tc>
          <w:tcPr>
            <w:tcW w:w="1188" w:type="dxa"/>
            <w:tcBorders>
              <w:left w:val="single" w:sz="4" w:space="0" w:color="000000"/>
              <w:bottom w:val="single" w:sz="4" w:space="0" w:color="000000"/>
              <w:right w:val="single" w:sz="4" w:space="0" w:color="000000"/>
            </w:tcBorders>
          </w:tcPr>
          <w:p>
            <w:pPr>
              <w:pStyle w:val="TableParagraph"/>
              <w:spacing w:before="115"/>
              <w:ind w:left="152" w:right="125"/>
              <w:rPr>
                <w:rFonts w:ascii="Times New Roman"/>
                <w:sz w:val="21"/>
              </w:rPr>
            </w:pPr>
            <w:r>
              <w:rPr>
                <w:rFonts w:ascii="Times New Roman"/>
                <w:sz w:val="21"/>
              </w:rPr>
              <w:t>0.3</w:t>
            </w:r>
          </w:p>
        </w:tc>
        <w:tc>
          <w:tcPr>
            <w:tcW w:w="820" w:type="dxa"/>
            <w:tcBorders>
              <w:left w:val="single" w:sz="4" w:space="0" w:color="000000"/>
              <w:bottom w:val="single" w:sz="4" w:space="0" w:color="000000"/>
              <w:right w:val="single" w:sz="4" w:space="0" w:color="000000"/>
            </w:tcBorders>
          </w:tcPr>
          <w:p>
            <w:pPr>
              <w:pStyle w:val="TableParagraph"/>
              <w:spacing w:before="115"/>
              <w:ind w:left="183" w:right="155"/>
              <w:rPr>
                <w:rFonts w:ascii="Times New Roman" w:hAnsi="Times New Roman"/>
                <w:sz w:val="21"/>
              </w:rPr>
            </w:pPr>
            <w:r>
              <w:rPr>
                <w:rFonts w:ascii="Times New Roman" w:hAnsi="Times New Roman"/>
                <w:sz w:val="21"/>
              </w:rPr>
              <w:t>≤10</w:t>
            </w:r>
          </w:p>
        </w:tc>
        <w:tc>
          <w:tcPr>
            <w:tcW w:w="817" w:type="dxa"/>
            <w:tcBorders>
              <w:left w:val="single" w:sz="4" w:space="0" w:color="000000"/>
              <w:bottom w:val="single" w:sz="4" w:space="0" w:color="000000"/>
              <w:right w:val="single" w:sz="4" w:space="0" w:color="000000"/>
            </w:tcBorders>
          </w:tcPr>
          <w:p>
            <w:pPr>
              <w:pStyle w:val="TableParagraph"/>
              <w:spacing w:before="101"/>
              <w:ind w:left="176" w:right="152"/>
              <w:rPr>
                <w:sz w:val="21"/>
              </w:rPr>
            </w:pPr>
            <w:r>
              <w:rPr>
                <w:sz w:val="21"/>
              </w:rPr>
              <w:t>职业</w:t>
            </w:r>
          </w:p>
        </w:tc>
        <w:tc>
          <w:tcPr>
            <w:tcW w:w="1226" w:type="dxa"/>
            <w:tcBorders>
              <w:left w:val="single" w:sz="4" w:space="0" w:color="000000"/>
              <w:bottom w:val="single" w:sz="4" w:space="0" w:color="000000"/>
              <w:right w:val="nil"/>
            </w:tcBorders>
          </w:tcPr>
          <w:p>
            <w:pPr>
              <w:pStyle w:val="TableParagraph"/>
              <w:spacing w:before="115"/>
              <w:ind w:left="391" w:right="366"/>
              <w:rPr>
                <w:rFonts w:ascii="Times New Roman"/>
                <w:sz w:val="21"/>
              </w:rPr>
            </w:pPr>
            <w:r>
              <w:rPr>
                <w:rFonts w:ascii="Times New Roman"/>
                <w:sz w:val="21"/>
              </w:rPr>
              <w:t>5.0</w:t>
            </w:r>
          </w:p>
        </w:tc>
      </w:tr>
      <w:tr>
        <w:trPr>
          <w:trHeight w:val="312"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bottom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before="21"/>
              <w:ind w:left="543"/>
              <w:jc w:val="left"/>
              <w:rPr>
                <w:sz w:val="21"/>
              </w:rPr>
            </w:pPr>
            <w:r>
              <w:rPr>
                <w:rFonts w:ascii="Times New Roman" w:eastAsia="Times New Roman"/>
                <w:sz w:val="21"/>
              </w:rPr>
              <w:t>DSA</w:t>
            </w:r>
            <w:r>
              <w:rPr>
                <w:rFonts w:ascii="Times New Roman" w:eastAsia="Times New Roman"/>
                <w:spacing w:val="-4"/>
                <w:sz w:val="21"/>
              </w:rPr>
              <w:t> </w:t>
            </w:r>
            <w:r>
              <w:rPr>
                <w:sz w:val="21"/>
              </w:rPr>
              <w:t>机房内的护士</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35"/>
              <w:ind w:left="152" w:right="122"/>
              <w:rPr>
                <w:rFonts w:ascii="Times New Roman"/>
                <w:sz w:val="21"/>
              </w:rPr>
            </w:pPr>
            <w:r>
              <w:rPr>
                <w:rFonts w:ascii="Times New Roman"/>
                <w:sz w:val="21"/>
              </w:rPr>
              <w:t>1.0</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5"/>
              <w:ind w:left="183" w:right="155"/>
              <w:rPr>
                <w:rFonts w:ascii="Times New Roman" w:hAnsi="Times New Roman"/>
                <w:sz w:val="21"/>
              </w:rPr>
            </w:pPr>
            <w:r>
              <w:rPr>
                <w:rFonts w:ascii="Times New Roman" w:hAnsi="Times New Roman"/>
                <w:sz w:val="21"/>
              </w:rPr>
              <w:t>≤3</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6" w:right="152"/>
              <w:rPr>
                <w:sz w:val="21"/>
              </w:rPr>
            </w:pPr>
            <w:r>
              <w:rPr>
                <w:sz w:val="21"/>
              </w:rPr>
              <w:t>职业</w:t>
            </w:r>
          </w:p>
        </w:tc>
        <w:tc>
          <w:tcPr>
            <w:tcW w:w="1226" w:type="dxa"/>
            <w:tcBorders>
              <w:top w:val="single" w:sz="4" w:space="0" w:color="000000"/>
              <w:left w:val="single" w:sz="4" w:space="0" w:color="000000"/>
              <w:bottom w:val="single" w:sz="4" w:space="0" w:color="000000"/>
              <w:right w:val="nil"/>
            </w:tcBorders>
          </w:tcPr>
          <w:p>
            <w:pPr>
              <w:pStyle w:val="TableParagraph"/>
              <w:spacing w:before="35"/>
              <w:ind w:left="391" w:right="366"/>
              <w:rPr>
                <w:rFonts w:ascii="Times New Roman"/>
                <w:sz w:val="21"/>
              </w:rPr>
            </w:pPr>
            <w:r>
              <w:rPr>
                <w:rFonts w:ascii="Times New Roman"/>
                <w:sz w:val="21"/>
              </w:rPr>
              <w:t>5.0</w:t>
            </w:r>
          </w:p>
        </w:tc>
      </w:tr>
      <w:tr>
        <w:trPr>
          <w:trHeight w:val="311"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28"/>
              </w:rPr>
            </w:pPr>
          </w:p>
          <w:p>
            <w:pPr>
              <w:pStyle w:val="TableParagraph"/>
              <w:spacing w:line="278" w:lineRule="auto"/>
              <w:ind w:left="220" w:right="192"/>
              <w:jc w:val="left"/>
              <w:rPr>
                <w:sz w:val="21"/>
              </w:rPr>
            </w:pPr>
            <w:r>
              <w:rPr>
                <w:spacing w:val="-3"/>
                <w:sz w:val="21"/>
              </w:rPr>
              <w:t>医技楼内</w:t>
            </w: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before="21"/>
              <w:ind w:left="150"/>
              <w:jc w:val="left"/>
              <w:rPr>
                <w:sz w:val="21"/>
              </w:rPr>
            </w:pPr>
            <w:r>
              <w:rPr>
                <w:sz w:val="21"/>
              </w:rPr>
              <w:t>操作间内的技师（西北侧）</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35"/>
              <w:ind w:left="152" w:right="125"/>
              <w:rPr>
                <w:rFonts w:ascii="Times New Roman" w:hAnsi="Times New Roman"/>
                <w:sz w:val="21"/>
              </w:rPr>
            </w:pPr>
            <w:r>
              <w:rPr>
                <w:rFonts w:ascii="Times New Roman" w:hAnsi="Times New Roman"/>
                <w:sz w:val="21"/>
              </w:rPr>
              <w:t>≥3.5</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5"/>
              <w:ind w:left="183" w:right="155"/>
              <w:rPr>
                <w:rFonts w:ascii="Times New Roman" w:hAnsi="Times New Roman"/>
                <w:sz w:val="21"/>
              </w:rPr>
            </w:pPr>
            <w:r>
              <w:rPr>
                <w:rFonts w:ascii="Times New Roman" w:hAnsi="Times New Roman"/>
                <w:sz w:val="21"/>
              </w:rPr>
              <w:t>≤3</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6" w:right="152"/>
              <w:rPr>
                <w:sz w:val="21"/>
              </w:rPr>
            </w:pPr>
            <w:r>
              <w:rPr>
                <w:sz w:val="21"/>
              </w:rPr>
              <w:t>职业</w:t>
            </w:r>
          </w:p>
        </w:tc>
        <w:tc>
          <w:tcPr>
            <w:tcW w:w="1226" w:type="dxa"/>
            <w:tcBorders>
              <w:top w:val="single" w:sz="4" w:space="0" w:color="000000"/>
              <w:left w:val="single" w:sz="4" w:space="0" w:color="000000"/>
              <w:bottom w:val="single" w:sz="4" w:space="0" w:color="000000"/>
              <w:right w:val="nil"/>
            </w:tcBorders>
          </w:tcPr>
          <w:p>
            <w:pPr>
              <w:pStyle w:val="TableParagraph"/>
              <w:spacing w:before="35"/>
              <w:ind w:left="391" w:right="366"/>
              <w:rPr>
                <w:rFonts w:ascii="Times New Roman"/>
                <w:sz w:val="21"/>
              </w:rPr>
            </w:pPr>
            <w:r>
              <w:rPr>
                <w:rFonts w:ascii="Times New Roman"/>
                <w:sz w:val="21"/>
              </w:rPr>
              <w:t>5.0</w:t>
            </w:r>
          </w:p>
        </w:tc>
      </w:tr>
      <w:tr>
        <w:trPr>
          <w:trHeight w:val="936"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bottom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before="20"/>
              <w:ind w:left="150" w:hanging="27"/>
              <w:jc w:val="left"/>
              <w:rPr>
                <w:sz w:val="21"/>
              </w:rPr>
            </w:pPr>
            <w:r>
              <w:rPr>
                <w:rFonts w:ascii="Times New Roman" w:eastAsia="Times New Roman"/>
                <w:sz w:val="21"/>
              </w:rPr>
              <w:t>DSA</w:t>
            </w:r>
            <w:r>
              <w:rPr>
                <w:rFonts w:ascii="Times New Roman" w:eastAsia="Times New Roman"/>
                <w:spacing w:val="-5"/>
                <w:sz w:val="21"/>
              </w:rPr>
              <w:t> </w:t>
            </w:r>
            <w:r>
              <w:rPr>
                <w:sz w:val="21"/>
              </w:rPr>
              <w:t>配套房间（医生通道、</w:t>
            </w:r>
          </w:p>
          <w:p>
            <w:pPr>
              <w:pStyle w:val="TableParagraph"/>
              <w:spacing w:line="310" w:lineRule="atLeast" w:before="2"/>
              <w:ind w:left="1093" w:right="121" w:hanging="944"/>
              <w:jc w:val="left"/>
              <w:rPr>
                <w:sz w:val="21"/>
              </w:rPr>
            </w:pPr>
            <w:r>
              <w:rPr>
                <w:spacing w:val="-1"/>
                <w:sz w:val="21"/>
              </w:rPr>
              <w:t>办公休息室、更衣室</w:t>
            </w:r>
            <w:r>
              <w:rPr>
                <w:sz w:val="21"/>
              </w:rPr>
              <w:t>）（西南侧）</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jc w:val="left"/>
              <w:rPr>
                <w:sz w:val="27"/>
              </w:rPr>
            </w:pPr>
          </w:p>
          <w:p>
            <w:pPr>
              <w:pStyle w:val="TableParagraph"/>
              <w:ind w:left="152" w:right="122"/>
              <w:rPr>
                <w:rFonts w:ascii="Times New Roman" w:hAnsi="Times New Roman"/>
                <w:sz w:val="21"/>
              </w:rPr>
            </w:pPr>
            <w:r>
              <w:rPr>
                <w:rFonts w:ascii="Times New Roman" w:hAnsi="Times New Roman"/>
                <w:sz w:val="21"/>
              </w:rPr>
              <w:t>≥3.5</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jc w:val="left"/>
              <w:rPr>
                <w:sz w:val="27"/>
              </w:rPr>
            </w:pPr>
          </w:p>
          <w:p>
            <w:pPr>
              <w:pStyle w:val="TableParagraph"/>
              <w:ind w:left="183" w:right="155"/>
              <w:rPr>
                <w:rFonts w:ascii="Times New Roman" w:hAnsi="Times New Roman"/>
                <w:sz w:val="21"/>
              </w:rPr>
            </w:pPr>
            <w:r>
              <w:rPr>
                <w:rFonts w:ascii="Times New Roman" w:hAnsi="Times New Roman"/>
                <w:sz w:val="21"/>
              </w:rPr>
              <w:t>≤16</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before="12"/>
              <w:jc w:val="left"/>
              <w:rPr>
                <w:sz w:val="25"/>
              </w:rPr>
            </w:pPr>
          </w:p>
          <w:p>
            <w:pPr>
              <w:pStyle w:val="TableParagraph"/>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jc w:val="left"/>
              <w:rPr>
                <w:sz w:val="27"/>
              </w:rPr>
            </w:pPr>
          </w:p>
          <w:p>
            <w:pPr>
              <w:pStyle w:val="TableParagraph"/>
              <w:ind w:left="391" w:right="366"/>
              <w:rPr>
                <w:rFonts w:ascii="Times New Roman"/>
                <w:sz w:val="21"/>
              </w:rPr>
            </w:pPr>
            <w:r>
              <w:rPr>
                <w:rFonts w:ascii="Times New Roman"/>
                <w:sz w:val="21"/>
              </w:rPr>
              <w:t>0.1</w:t>
            </w:r>
          </w:p>
        </w:tc>
      </w:tr>
      <w:tr>
        <w:trPr>
          <w:trHeight w:val="935"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bottom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before="20"/>
              <w:ind w:left="150"/>
              <w:jc w:val="left"/>
              <w:rPr>
                <w:sz w:val="21"/>
              </w:rPr>
            </w:pPr>
            <w:r>
              <w:rPr>
                <w:sz w:val="21"/>
              </w:rPr>
              <w:t>设备间、家属等候区、后处</w:t>
            </w:r>
          </w:p>
          <w:p>
            <w:pPr>
              <w:pStyle w:val="TableParagraph"/>
              <w:spacing w:line="310" w:lineRule="atLeast" w:before="2"/>
              <w:ind w:left="779" w:right="120" w:hanging="629"/>
              <w:jc w:val="left"/>
              <w:rPr>
                <w:sz w:val="21"/>
              </w:rPr>
            </w:pPr>
            <w:r>
              <w:rPr>
                <w:spacing w:val="-1"/>
                <w:sz w:val="21"/>
              </w:rPr>
              <w:t>理室、其他机房及配套用房</w:t>
            </w:r>
            <w:r>
              <w:rPr>
                <w:sz w:val="21"/>
              </w:rPr>
              <w:t>等（东南侧）</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jc w:val="left"/>
              <w:rPr>
                <w:sz w:val="27"/>
              </w:rPr>
            </w:pPr>
          </w:p>
          <w:p>
            <w:pPr>
              <w:pStyle w:val="TableParagraph"/>
              <w:ind w:left="152" w:right="122"/>
              <w:rPr>
                <w:rFonts w:ascii="Times New Roman" w:hAnsi="Times New Roman"/>
                <w:sz w:val="21"/>
              </w:rPr>
            </w:pPr>
            <w:r>
              <w:rPr>
                <w:rFonts w:ascii="Times New Roman" w:hAnsi="Times New Roman"/>
                <w:sz w:val="21"/>
              </w:rPr>
              <w:t>≥3.5</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jc w:val="left"/>
              <w:rPr>
                <w:sz w:val="27"/>
              </w:rPr>
            </w:pPr>
          </w:p>
          <w:p>
            <w:pPr>
              <w:pStyle w:val="TableParagraph"/>
              <w:ind w:left="183" w:right="155"/>
              <w:rPr>
                <w:rFonts w:ascii="Times New Roman" w:hAnsi="Times New Roman"/>
                <w:sz w:val="21"/>
              </w:rPr>
            </w:pPr>
            <w:r>
              <w:rPr>
                <w:rFonts w:ascii="Times New Roman" w:hAnsi="Times New Roman"/>
                <w:sz w:val="21"/>
              </w:rPr>
              <w:t>≤50</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before="11"/>
              <w:jc w:val="left"/>
              <w:rPr>
                <w:sz w:val="25"/>
              </w:rPr>
            </w:pPr>
          </w:p>
          <w:p>
            <w:pPr>
              <w:pStyle w:val="TableParagraph"/>
              <w:spacing w:before="1"/>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jc w:val="left"/>
              <w:rPr>
                <w:sz w:val="27"/>
              </w:rPr>
            </w:pPr>
          </w:p>
          <w:p>
            <w:pPr>
              <w:pStyle w:val="TableParagraph"/>
              <w:ind w:left="391" w:right="366"/>
              <w:rPr>
                <w:rFonts w:ascii="Times New Roman"/>
                <w:sz w:val="21"/>
              </w:rPr>
            </w:pPr>
            <w:r>
              <w:rPr>
                <w:rFonts w:ascii="Times New Roman"/>
                <w:sz w:val="21"/>
              </w:rPr>
              <w:t>0.1</w:t>
            </w:r>
          </w:p>
        </w:tc>
      </w:tr>
      <w:tr>
        <w:trPr>
          <w:trHeight w:val="312"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bottom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before="22"/>
              <w:ind w:left="385"/>
              <w:jc w:val="left"/>
              <w:rPr>
                <w:sz w:val="21"/>
              </w:rPr>
            </w:pPr>
            <w:r>
              <w:rPr>
                <w:rFonts w:ascii="Times New Roman" w:eastAsia="Times New Roman"/>
                <w:sz w:val="21"/>
              </w:rPr>
              <w:t>2</w:t>
            </w:r>
            <w:r>
              <w:rPr>
                <w:rFonts w:ascii="Times New Roman" w:eastAsia="Times New Roman"/>
                <w:spacing w:val="-4"/>
                <w:sz w:val="21"/>
              </w:rPr>
              <w:t> </w:t>
            </w:r>
            <w:r>
              <w:rPr>
                <w:sz w:val="21"/>
              </w:rPr>
              <w:t>楼更衣室（正上方）</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36"/>
              <w:ind w:left="152" w:right="122"/>
              <w:rPr>
                <w:rFonts w:ascii="Times New Roman" w:hAnsi="Times New Roman"/>
                <w:sz w:val="21"/>
              </w:rPr>
            </w:pPr>
            <w:r>
              <w:rPr>
                <w:rFonts w:ascii="Times New Roman" w:hAnsi="Times New Roman"/>
                <w:sz w:val="21"/>
              </w:rPr>
              <w:t>≥3.5</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6"/>
              <w:ind w:left="183" w:right="155"/>
              <w:rPr>
                <w:rFonts w:ascii="Times New Roman" w:hAnsi="Times New Roman"/>
                <w:sz w:val="21"/>
              </w:rPr>
            </w:pPr>
            <w:r>
              <w:rPr>
                <w:rFonts w:ascii="Times New Roman" w:hAnsi="Times New Roman"/>
                <w:sz w:val="21"/>
              </w:rPr>
              <w:t>≤10</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before="22"/>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spacing w:before="36"/>
              <w:ind w:left="391" w:right="366"/>
              <w:rPr>
                <w:rFonts w:ascii="Times New Roman"/>
                <w:sz w:val="21"/>
              </w:rPr>
            </w:pPr>
            <w:r>
              <w:rPr>
                <w:rFonts w:ascii="Times New Roman"/>
                <w:sz w:val="21"/>
              </w:rPr>
              <w:t>0.1</w:t>
            </w:r>
          </w:p>
        </w:tc>
      </w:tr>
      <w:tr>
        <w:trPr>
          <w:trHeight w:val="312"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bottom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before="21"/>
              <w:ind w:left="119" w:right="-29"/>
              <w:jc w:val="left"/>
              <w:rPr>
                <w:sz w:val="21"/>
              </w:rPr>
            </w:pPr>
            <w:r>
              <w:rPr>
                <w:rFonts w:ascii="Times New Roman" w:eastAsia="Times New Roman"/>
                <w:sz w:val="21"/>
              </w:rPr>
              <w:t>-1</w:t>
            </w:r>
            <w:r>
              <w:rPr>
                <w:rFonts w:ascii="Times New Roman" w:eastAsia="Times New Roman"/>
                <w:spacing w:val="-8"/>
                <w:sz w:val="21"/>
              </w:rPr>
              <w:t> </w:t>
            </w:r>
            <w:r>
              <w:rPr>
                <w:spacing w:val="-8"/>
                <w:sz w:val="21"/>
              </w:rPr>
              <w:t>楼预留变配电室</w:t>
            </w:r>
            <w:r>
              <w:rPr>
                <w:sz w:val="21"/>
              </w:rPr>
              <w:t>（正下方）</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35"/>
              <w:ind w:left="152" w:right="122"/>
              <w:rPr>
                <w:rFonts w:ascii="Times New Roman" w:hAnsi="Times New Roman"/>
                <w:sz w:val="21"/>
              </w:rPr>
            </w:pPr>
            <w:r>
              <w:rPr>
                <w:rFonts w:ascii="Times New Roman" w:hAnsi="Times New Roman"/>
                <w:sz w:val="21"/>
              </w:rPr>
              <w:t>≥3.5</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5"/>
              <w:ind w:left="183" w:right="155"/>
              <w:rPr>
                <w:rFonts w:ascii="Times New Roman" w:hAnsi="Times New Roman"/>
                <w:sz w:val="21"/>
              </w:rPr>
            </w:pPr>
            <w:r>
              <w:rPr>
                <w:rFonts w:ascii="Times New Roman" w:hAnsi="Times New Roman"/>
                <w:sz w:val="21"/>
              </w:rPr>
              <w:t>≤2</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before="21"/>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spacing w:before="35"/>
              <w:ind w:left="391" w:right="366"/>
              <w:rPr>
                <w:rFonts w:ascii="Times New Roman"/>
                <w:sz w:val="21"/>
              </w:rPr>
            </w:pPr>
            <w:r>
              <w:rPr>
                <w:rFonts w:ascii="Times New Roman"/>
                <w:sz w:val="21"/>
              </w:rPr>
              <w:t>0.1</w:t>
            </w:r>
          </w:p>
        </w:tc>
      </w:tr>
      <w:tr>
        <w:trPr>
          <w:trHeight w:val="302"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val="restart"/>
            <w:tcBorders>
              <w:top w:val="single" w:sz="4" w:space="0" w:color="000000"/>
              <w:left w:val="single" w:sz="4" w:space="0" w:color="000000"/>
              <w:right w:val="single" w:sz="4" w:space="0" w:color="000000"/>
            </w:tcBorders>
          </w:tcPr>
          <w:p>
            <w:pPr>
              <w:pStyle w:val="TableParagraph"/>
              <w:spacing w:before="1"/>
              <w:jc w:val="left"/>
              <w:rPr>
                <w:sz w:val="27"/>
              </w:rPr>
            </w:pPr>
          </w:p>
          <w:p>
            <w:pPr>
              <w:pStyle w:val="TableParagraph"/>
              <w:spacing w:line="278" w:lineRule="auto" w:before="1"/>
              <w:ind w:left="220" w:right="192"/>
              <w:jc w:val="left"/>
              <w:rPr>
                <w:sz w:val="21"/>
              </w:rPr>
            </w:pPr>
            <w:r>
              <w:rPr>
                <w:spacing w:val="-3"/>
                <w:sz w:val="21"/>
              </w:rPr>
              <w:t>医技楼外</w:t>
            </w: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21"/>
              <w:ind w:left="464"/>
              <w:jc w:val="left"/>
              <w:rPr>
                <w:sz w:val="21"/>
              </w:rPr>
            </w:pPr>
            <w:r>
              <w:rPr>
                <w:sz w:val="21"/>
              </w:rPr>
              <w:t>医疗中心（西北侧）</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35"/>
              <w:ind w:left="152" w:right="125"/>
              <w:rPr>
                <w:rFonts w:ascii="Times New Roman"/>
                <w:sz w:val="21"/>
              </w:rPr>
            </w:pPr>
            <w:r>
              <w:rPr>
                <w:rFonts w:ascii="Times New Roman"/>
                <w:sz w:val="21"/>
              </w:rPr>
              <w:t>6.5~50</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35"/>
              <w:ind w:left="183" w:right="155"/>
              <w:rPr>
                <w:rFonts w:ascii="Times New Roman" w:hAnsi="Times New Roman"/>
                <w:sz w:val="21"/>
              </w:rPr>
            </w:pPr>
            <w:r>
              <w:rPr>
                <w:rFonts w:ascii="Times New Roman" w:hAnsi="Times New Roman"/>
                <w:sz w:val="21"/>
              </w:rPr>
              <w:t>≤100</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21"/>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spacing w:before="35"/>
              <w:ind w:left="391" w:right="366"/>
              <w:rPr>
                <w:rFonts w:ascii="Times New Roman"/>
                <w:sz w:val="21"/>
              </w:rPr>
            </w:pPr>
            <w:r>
              <w:rPr>
                <w:rFonts w:ascii="Times New Roman"/>
                <w:sz w:val="21"/>
              </w:rPr>
              <w:t>0.1</w:t>
            </w:r>
          </w:p>
        </w:tc>
      </w:tr>
      <w:tr>
        <w:trPr>
          <w:trHeight w:val="291"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1"/>
              <w:ind w:left="464"/>
              <w:jc w:val="left"/>
              <w:rPr>
                <w:sz w:val="21"/>
              </w:rPr>
            </w:pPr>
            <w:r>
              <w:rPr>
                <w:sz w:val="21"/>
              </w:rPr>
              <w:t>康复理疗楼（北侧）</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25"/>
              <w:ind w:left="152" w:right="125"/>
              <w:rPr>
                <w:rFonts w:ascii="Times New Roman"/>
                <w:sz w:val="21"/>
              </w:rPr>
            </w:pPr>
            <w:r>
              <w:rPr>
                <w:rFonts w:ascii="Times New Roman"/>
                <w:sz w:val="21"/>
              </w:rPr>
              <w:t>18~50</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25"/>
              <w:ind w:left="183" w:right="155"/>
              <w:rPr>
                <w:rFonts w:ascii="Times New Roman" w:hAnsi="Times New Roman"/>
                <w:sz w:val="21"/>
              </w:rPr>
            </w:pPr>
            <w:r>
              <w:rPr>
                <w:rFonts w:ascii="Times New Roman" w:hAnsi="Times New Roman"/>
                <w:sz w:val="21"/>
              </w:rPr>
              <w:t>≤100</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1"/>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spacing w:before="25"/>
              <w:ind w:left="391" w:right="366"/>
              <w:rPr>
                <w:rFonts w:ascii="Times New Roman"/>
                <w:sz w:val="21"/>
              </w:rPr>
            </w:pPr>
            <w:r>
              <w:rPr>
                <w:rFonts w:ascii="Times New Roman"/>
                <w:sz w:val="21"/>
              </w:rPr>
              <w:t>0.1</w:t>
            </w:r>
          </w:p>
        </w:tc>
      </w:tr>
      <w:tr>
        <w:trPr>
          <w:trHeight w:val="292"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right w:val="single" w:sz="4" w:space="0" w:color="000000"/>
            </w:tcBorders>
          </w:tcPr>
          <w:p>
            <w:pPr>
              <w:rPr>
                <w:sz w:val="2"/>
                <w:szCs w:val="2"/>
              </w:rPr>
            </w:pPr>
          </w:p>
        </w:tc>
        <w:tc>
          <w:tcPr>
            <w:tcW w:w="280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570"/>
              <w:jc w:val="left"/>
              <w:rPr>
                <w:sz w:val="21"/>
              </w:rPr>
            </w:pPr>
            <w:r>
              <w:rPr>
                <w:sz w:val="21"/>
              </w:rPr>
              <w:t>门诊楼（东北侧）</w:t>
            </w:r>
          </w:p>
        </w:tc>
        <w:tc>
          <w:tcPr>
            <w:tcW w:w="1188" w:type="dxa"/>
            <w:tcBorders>
              <w:top w:val="single" w:sz="4" w:space="0" w:color="000000"/>
              <w:left w:val="single" w:sz="4" w:space="0" w:color="000000"/>
              <w:bottom w:val="single" w:sz="4" w:space="0" w:color="000000"/>
              <w:right w:val="single" w:sz="4" w:space="0" w:color="000000"/>
            </w:tcBorders>
          </w:tcPr>
          <w:p>
            <w:pPr>
              <w:pStyle w:val="TableParagraph"/>
              <w:spacing w:before="24"/>
              <w:ind w:left="152" w:right="125"/>
              <w:rPr>
                <w:rFonts w:ascii="Times New Roman"/>
                <w:sz w:val="21"/>
              </w:rPr>
            </w:pPr>
            <w:r>
              <w:rPr>
                <w:rFonts w:ascii="Times New Roman"/>
                <w:sz w:val="21"/>
              </w:rPr>
              <w:t>20~50</w:t>
            </w:r>
          </w:p>
        </w:tc>
        <w:tc>
          <w:tcPr>
            <w:tcW w:w="820" w:type="dxa"/>
            <w:tcBorders>
              <w:top w:val="single" w:sz="4" w:space="0" w:color="000000"/>
              <w:left w:val="single" w:sz="4" w:space="0" w:color="000000"/>
              <w:bottom w:val="single" w:sz="4" w:space="0" w:color="000000"/>
              <w:right w:val="single" w:sz="4" w:space="0" w:color="000000"/>
            </w:tcBorders>
          </w:tcPr>
          <w:p>
            <w:pPr>
              <w:pStyle w:val="TableParagraph"/>
              <w:spacing w:before="24"/>
              <w:ind w:left="183" w:right="155"/>
              <w:rPr>
                <w:rFonts w:ascii="Times New Roman" w:hAnsi="Times New Roman"/>
                <w:sz w:val="21"/>
              </w:rPr>
            </w:pPr>
            <w:r>
              <w:rPr>
                <w:rFonts w:ascii="Times New Roman" w:hAnsi="Times New Roman"/>
                <w:sz w:val="21"/>
              </w:rPr>
              <w:t>≤100</w:t>
            </w:r>
          </w:p>
        </w:tc>
        <w:tc>
          <w:tcPr>
            <w:tcW w:w="817"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76" w:right="152"/>
              <w:rPr>
                <w:sz w:val="21"/>
              </w:rPr>
            </w:pPr>
            <w:r>
              <w:rPr>
                <w:sz w:val="21"/>
              </w:rPr>
              <w:t>公众</w:t>
            </w:r>
          </w:p>
        </w:tc>
        <w:tc>
          <w:tcPr>
            <w:tcW w:w="1226" w:type="dxa"/>
            <w:tcBorders>
              <w:top w:val="single" w:sz="4" w:space="0" w:color="000000"/>
              <w:left w:val="single" w:sz="4" w:space="0" w:color="000000"/>
              <w:bottom w:val="single" w:sz="4" w:space="0" w:color="000000"/>
              <w:right w:val="nil"/>
            </w:tcBorders>
          </w:tcPr>
          <w:p>
            <w:pPr>
              <w:pStyle w:val="TableParagraph"/>
              <w:spacing w:before="24"/>
              <w:ind w:left="391" w:right="366"/>
              <w:rPr>
                <w:rFonts w:ascii="Times New Roman"/>
                <w:sz w:val="21"/>
              </w:rPr>
            </w:pPr>
            <w:r>
              <w:rPr>
                <w:rFonts w:ascii="Times New Roman"/>
                <w:sz w:val="21"/>
              </w:rPr>
              <w:t>0.1</w:t>
            </w:r>
          </w:p>
        </w:tc>
      </w:tr>
      <w:tr>
        <w:trPr>
          <w:trHeight w:val="301" w:hRule="atLeast"/>
        </w:trPr>
        <w:tc>
          <w:tcPr>
            <w:tcW w:w="647" w:type="dxa"/>
            <w:vMerge/>
            <w:tcBorders>
              <w:top w:val="nil"/>
              <w:left w:val="nil"/>
              <w:bottom w:val="single" w:sz="4" w:space="0" w:color="000000"/>
              <w:right w:val="single" w:sz="4" w:space="0" w:color="000000"/>
            </w:tcBorders>
          </w:tcPr>
          <w:p>
            <w:pPr>
              <w:rPr>
                <w:sz w:val="2"/>
                <w:szCs w:val="2"/>
              </w:rPr>
            </w:pPr>
          </w:p>
        </w:tc>
        <w:tc>
          <w:tcPr>
            <w:tcW w:w="843" w:type="dxa"/>
            <w:vMerge/>
            <w:tcBorders>
              <w:top w:val="nil"/>
              <w:left w:val="single" w:sz="4" w:space="0" w:color="000000"/>
              <w:right w:val="single" w:sz="4" w:space="0" w:color="000000"/>
            </w:tcBorders>
          </w:tcPr>
          <w:p>
            <w:pPr>
              <w:rPr>
                <w:sz w:val="2"/>
                <w:szCs w:val="2"/>
              </w:rPr>
            </w:pPr>
          </w:p>
        </w:tc>
        <w:tc>
          <w:tcPr>
            <w:tcW w:w="2800" w:type="dxa"/>
            <w:tcBorders>
              <w:top w:val="single" w:sz="4" w:space="0" w:color="000000"/>
              <w:left w:val="single" w:sz="4" w:space="0" w:color="000000"/>
              <w:right w:val="single" w:sz="4" w:space="0" w:color="000000"/>
            </w:tcBorders>
          </w:tcPr>
          <w:p>
            <w:pPr>
              <w:pStyle w:val="TableParagraph"/>
              <w:spacing w:before="10"/>
              <w:ind w:left="116" w:right="-29"/>
              <w:jc w:val="left"/>
              <w:rPr>
                <w:sz w:val="21"/>
              </w:rPr>
            </w:pPr>
            <w:r>
              <w:rPr>
                <w:spacing w:val="-3"/>
                <w:sz w:val="21"/>
              </w:rPr>
              <w:t>疑难病症诊治中心</w:t>
            </w:r>
            <w:r>
              <w:rPr>
                <w:spacing w:val="-2"/>
                <w:sz w:val="21"/>
              </w:rPr>
              <w:t>（西南侧）</w:t>
            </w:r>
          </w:p>
        </w:tc>
        <w:tc>
          <w:tcPr>
            <w:tcW w:w="1188" w:type="dxa"/>
            <w:tcBorders>
              <w:top w:val="single" w:sz="4" w:space="0" w:color="000000"/>
              <w:left w:val="single" w:sz="4" w:space="0" w:color="000000"/>
              <w:right w:val="single" w:sz="4" w:space="0" w:color="000000"/>
            </w:tcBorders>
          </w:tcPr>
          <w:p>
            <w:pPr>
              <w:pStyle w:val="TableParagraph"/>
              <w:spacing w:before="24"/>
              <w:ind w:left="152" w:right="125"/>
              <w:rPr>
                <w:rFonts w:ascii="Times New Roman"/>
                <w:sz w:val="21"/>
              </w:rPr>
            </w:pPr>
            <w:r>
              <w:rPr>
                <w:rFonts w:ascii="Times New Roman"/>
                <w:sz w:val="21"/>
              </w:rPr>
              <w:t>35~50</w:t>
            </w:r>
          </w:p>
        </w:tc>
        <w:tc>
          <w:tcPr>
            <w:tcW w:w="820" w:type="dxa"/>
            <w:tcBorders>
              <w:top w:val="single" w:sz="4" w:space="0" w:color="000000"/>
              <w:left w:val="single" w:sz="4" w:space="0" w:color="000000"/>
              <w:right w:val="single" w:sz="4" w:space="0" w:color="000000"/>
            </w:tcBorders>
          </w:tcPr>
          <w:p>
            <w:pPr>
              <w:pStyle w:val="TableParagraph"/>
              <w:spacing w:before="24"/>
              <w:ind w:left="183" w:right="155"/>
              <w:rPr>
                <w:rFonts w:ascii="Times New Roman" w:hAnsi="Times New Roman"/>
                <w:sz w:val="21"/>
              </w:rPr>
            </w:pPr>
            <w:r>
              <w:rPr>
                <w:rFonts w:ascii="Times New Roman" w:hAnsi="Times New Roman"/>
                <w:sz w:val="21"/>
              </w:rPr>
              <w:t>≤100</w:t>
            </w:r>
          </w:p>
        </w:tc>
        <w:tc>
          <w:tcPr>
            <w:tcW w:w="817" w:type="dxa"/>
            <w:tcBorders>
              <w:top w:val="single" w:sz="4" w:space="0" w:color="000000"/>
              <w:left w:val="single" w:sz="4" w:space="0" w:color="000000"/>
              <w:right w:val="single" w:sz="4" w:space="0" w:color="000000"/>
            </w:tcBorders>
          </w:tcPr>
          <w:p>
            <w:pPr>
              <w:pStyle w:val="TableParagraph"/>
              <w:spacing w:before="10"/>
              <w:ind w:left="176" w:right="152"/>
              <w:rPr>
                <w:sz w:val="21"/>
              </w:rPr>
            </w:pPr>
            <w:r>
              <w:rPr>
                <w:sz w:val="21"/>
              </w:rPr>
              <w:t>公众</w:t>
            </w:r>
          </w:p>
        </w:tc>
        <w:tc>
          <w:tcPr>
            <w:tcW w:w="1226" w:type="dxa"/>
            <w:tcBorders>
              <w:top w:val="single" w:sz="4" w:space="0" w:color="000000"/>
              <w:left w:val="single" w:sz="4" w:space="0" w:color="000000"/>
              <w:right w:val="nil"/>
            </w:tcBorders>
          </w:tcPr>
          <w:p>
            <w:pPr>
              <w:pStyle w:val="TableParagraph"/>
              <w:spacing w:before="24"/>
              <w:ind w:left="391" w:right="366"/>
              <w:rPr>
                <w:rFonts w:ascii="Times New Roman"/>
                <w:sz w:val="21"/>
              </w:rPr>
            </w:pPr>
            <w:r>
              <w:rPr>
                <w:rFonts w:ascii="Times New Roman"/>
                <w:sz w:val="21"/>
              </w:rPr>
              <w:t>0.1</w:t>
            </w:r>
          </w:p>
        </w:tc>
      </w:tr>
    </w:tbl>
    <w:p>
      <w:pPr>
        <w:spacing w:after="0"/>
        <w:rPr>
          <w:rFonts w:ascii="Times New Roman"/>
          <w:sz w:val="21"/>
        </w:rPr>
        <w:sectPr>
          <w:pgSz w:w="11910" w:h="16840"/>
          <w:pgMar w:header="0" w:footer="1383" w:top="1580" w:bottom="1580" w:left="1240" w:right="1040"/>
        </w:sectPr>
      </w:pPr>
    </w:p>
    <w:p>
      <w:pPr>
        <w:pStyle w:val="BodyText"/>
        <w:spacing w:before="149"/>
        <w:ind w:left="560"/>
      </w:pPr>
      <w:r>
        <w:rPr/>
        <w:pict>
          <v:shape style="position:absolute;margin-left:84.360001pt;margin-top:72.000023pt;width:426.6pt;height:674.8pt;mso-position-horizontal-relative:page;mso-position-vertical-relative:page;z-index:-20152832" coordorigin="1687,1440" coordsize="8532,13496" path="m1687,1445l10219,1445m1687,14936l10219,14936m1692,1440l1692,14931m10214,1440l10214,14931e" filled="false" stroked="true" strokeweight=".48pt" strokecolor="#000000">
            <v:path arrowok="t"/>
            <v:stroke dashstyle="solid"/>
            <w10:wrap type="none"/>
          </v:shape>
        </w:pict>
      </w:r>
      <w:r>
        <w:rPr/>
        <w:t>评价标准</w:t>
      </w:r>
    </w:p>
    <w:p>
      <w:pPr>
        <w:pStyle w:val="BodyText"/>
        <w:spacing w:before="161"/>
        <w:ind w:left="560"/>
      </w:pPr>
      <w:r>
        <w:rPr>
          <w:rFonts w:ascii="Times New Roman" w:eastAsia="Times New Roman"/>
          <w:b/>
        </w:rPr>
        <w:t>1</w:t>
      </w:r>
      <w:r>
        <w:rPr/>
        <w:t>、环境质量标准</w:t>
      </w:r>
    </w:p>
    <w:p>
      <w:pPr>
        <w:pStyle w:val="BodyText"/>
        <w:spacing w:line="364" w:lineRule="auto" w:before="160"/>
        <w:ind w:left="1040" w:right="637"/>
      </w:pPr>
      <w:r>
        <w:rPr>
          <w:spacing w:val="-6"/>
        </w:rPr>
        <w:t>环境空气质量执行国家《环境空气质量标准》</w:t>
      </w:r>
      <w:r>
        <w:rPr>
          <w:spacing w:val="-2"/>
        </w:rPr>
        <w:t>（</w:t>
      </w:r>
      <w:r>
        <w:rPr>
          <w:rFonts w:ascii="Times New Roman" w:hAnsi="Times New Roman" w:eastAsia="Times New Roman"/>
          <w:spacing w:val="-2"/>
        </w:rPr>
        <w:t>GB3095-2012</w:t>
      </w:r>
      <w:r>
        <w:rPr>
          <w:spacing w:val="-2"/>
        </w:rPr>
        <w:t>）中二级标准；</w:t>
      </w:r>
      <w:r>
        <w:rPr>
          <w:spacing w:val="-117"/>
        </w:rPr>
        <w:t> </w:t>
      </w:r>
      <w:r>
        <w:rPr/>
        <w:t>地表水环境质量执行国家《地表水环境质量标准》（</w:t>
      </w:r>
      <w:r>
        <w:rPr>
          <w:rFonts w:ascii="Times New Roman" w:hAnsi="Times New Roman" w:eastAsia="Times New Roman"/>
        </w:rPr>
        <w:t>GB3838-2002</w:t>
      </w:r>
      <w:r>
        <w:rPr/>
        <w:t>）中</w:t>
      </w:r>
      <w:r>
        <w:rPr>
          <w:rFonts w:ascii="Times New Roman" w:hAnsi="Times New Roman" w:eastAsia="Times New Roman"/>
        </w:rPr>
        <w:t>Ⅲ</w:t>
      </w:r>
      <w:r>
        <w:rPr/>
        <w:t>类</w:t>
      </w:r>
    </w:p>
    <w:p>
      <w:pPr>
        <w:pStyle w:val="BodyText"/>
        <w:spacing w:before="1"/>
        <w:ind w:left="560"/>
      </w:pPr>
      <w:r>
        <w:rPr/>
        <w:t>标准；</w:t>
      </w:r>
    </w:p>
    <w:p>
      <w:pPr>
        <w:pStyle w:val="BodyText"/>
        <w:spacing w:before="161"/>
        <w:ind w:left="1040"/>
      </w:pPr>
      <w:r>
        <w:rPr>
          <w:spacing w:val="-1"/>
        </w:rPr>
        <w:t>声环境质量执行国家《声环境质量标准》</w:t>
      </w:r>
      <w:r>
        <w:rPr/>
        <w:t>（</w:t>
      </w:r>
      <w:r>
        <w:rPr>
          <w:rFonts w:ascii="Times New Roman" w:eastAsia="Times New Roman"/>
        </w:rPr>
        <w:t>GB3096-2008</w:t>
      </w:r>
      <w:r>
        <w:rPr/>
        <w:t>）</w:t>
      </w:r>
      <w:r>
        <w:rPr>
          <w:spacing w:val="-30"/>
        </w:rPr>
        <w:t>中 </w:t>
      </w:r>
      <w:r>
        <w:rPr>
          <w:rFonts w:ascii="Times New Roman" w:eastAsia="Times New Roman"/>
        </w:rPr>
        <w:t>2</w:t>
      </w:r>
      <w:r>
        <w:rPr>
          <w:rFonts w:ascii="Times New Roman" w:eastAsia="Times New Roman"/>
          <w:spacing w:val="1"/>
        </w:rPr>
        <w:t> </w:t>
      </w:r>
      <w:r>
        <w:rPr/>
        <w:t>类标准。</w:t>
      </w:r>
    </w:p>
    <w:p>
      <w:pPr>
        <w:pStyle w:val="BodyText"/>
        <w:spacing w:before="160"/>
        <w:ind w:left="560"/>
      </w:pPr>
      <w:r>
        <w:rPr>
          <w:rFonts w:ascii="Times New Roman" w:eastAsia="Times New Roman"/>
          <w:b/>
        </w:rPr>
        <w:t>2</w:t>
      </w:r>
      <w:r>
        <w:rPr/>
        <w:t>、污染物排放标准</w:t>
      </w:r>
    </w:p>
    <w:p>
      <w:pPr>
        <w:pStyle w:val="BodyText"/>
        <w:spacing w:line="364" w:lineRule="auto" w:before="161"/>
        <w:ind w:left="1040" w:right="755"/>
      </w:pPr>
      <w:r>
        <w:rPr/>
        <w:t>废气执行《大气污染物综合排放标准》（</w:t>
      </w:r>
      <w:r>
        <w:rPr>
          <w:rFonts w:ascii="Times New Roman" w:eastAsia="Times New Roman"/>
        </w:rPr>
        <w:t>GB16297-1996</w:t>
      </w:r>
      <w:r>
        <w:rPr/>
        <w:t>）中二级标准；</w:t>
      </w:r>
      <w:r>
        <w:rPr>
          <w:spacing w:val="1"/>
        </w:rPr>
        <w:t> </w:t>
      </w:r>
      <w:r>
        <w:rPr/>
        <w:t>废水排放执行《医疗机构水污染物排放标准》（</w:t>
      </w:r>
      <w:r>
        <w:rPr>
          <w:rFonts w:ascii="Times New Roman" w:eastAsia="Times New Roman"/>
        </w:rPr>
        <w:t>GB18466-2005</w:t>
      </w:r>
      <w:r>
        <w:rPr/>
        <w:t>）</w:t>
      </w:r>
      <w:r>
        <w:rPr>
          <w:spacing w:val="-15"/>
        </w:rPr>
        <w:t>表 </w:t>
      </w:r>
      <w:r>
        <w:rPr>
          <w:rFonts w:ascii="Times New Roman" w:eastAsia="Times New Roman"/>
        </w:rPr>
        <w:t>2</w:t>
      </w:r>
      <w:r>
        <w:rPr>
          <w:rFonts w:ascii="Times New Roman" w:eastAsia="Times New Roman"/>
          <w:spacing w:val="35"/>
        </w:rPr>
        <w:t> </w:t>
      </w:r>
      <w:r>
        <w:rPr/>
        <w:t>中的</w:t>
      </w:r>
    </w:p>
    <w:p>
      <w:pPr>
        <w:pStyle w:val="BodyText"/>
        <w:spacing w:before="1"/>
        <w:ind w:left="560"/>
      </w:pPr>
      <w:r>
        <w:rPr/>
        <w:t>预处理排放标准；</w:t>
      </w:r>
    </w:p>
    <w:p>
      <w:pPr>
        <w:pStyle w:val="BodyText"/>
        <w:spacing w:line="364" w:lineRule="auto" w:before="160"/>
        <w:ind w:left="560" w:right="635" w:firstLine="480"/>
      </w:pPr>
      <w:r>
        <w:rPr>
          <w:spacing w:val="-14"/>
        </w:rPr>
        <w:t>噪声执行 ①施工期：《建筑施工场界环境噪声排放标准》</w:t>
      </w:r>
      <w:r>
        <w:rPr/>
        <w:t>（</w:t>
      </w:r>
      <w:r>
        <w:rPr>
          <w:rFonts w:ascii="Times New Roman" w:hAnsi="Times New Roman" w:eastAsia="Times New Roman"/>
        </w:rPr>
        <w:t>GB12523-2011</w:t>
      </w:r>
      <w:r>
        <w:rPr/>
        <w:t>）</w:t>
      </w:r>
      <w:r>
        <w:rPr>
          <w:spacing w:val="-117"/>
        </w:rPr>
        <w:t> </w:t>
      </w:r>
      <w:r>
        <w:rPr>
          <w:spacing w:val="-2"/>
        </w:rPr>
        <w:t>标准；②运营期：《工业企业厂界环境噪声排放标准》</w:t>
      </w:r>
      <w:r>
        <w:rPr>
          <w:spacing w:val="-1"/>
        </w:rPr>
        <w:t>（</w:t>
      </w:r>
      <w:r>
        <w:rPr>
          <w:rFonts w:ascii="Times New Roman" w:hAnsi="Times New Roman" w:eastAsia="Times New Roman"/>
          <w:spacing w:val="-1"/>
        </w:rPr>
        <w:t>GB12348-2008</w:t>
      </w:r>
      <w:r>
        <w:rPr>
          <w:spacing w:val="-1"/>
        </w:rPr>
        <w:t>）</w:t>
      </w:r>
      <w:r>
        <w:rPr>
          <w:rFonts w:ascii="Times New Roman" w:hAnsi="Times New Roman" w:eastAsia="Times New Roman"/>
          <w:spacing w:val="-1"/>
        </w:rPr>
        <w:t>2</w:t>
      </w:r>
      <w:r>
        <w:rPr>
          <w:rFonts w:ascii="Times New Roman" w:hAnsi="Times New Roman" w:eastAsia="Times New Roman"/>
          <w:spacing w:val="-14"/>
        </w:rPr>
        <w:t> </w:t>
      </w:r>
      <w:r>
        <w:rPr>
          <w:spacing w:val="-1"/>
        </w:rPr>
        <w:t>类标</w:t>
      </w:r>
      <w:r>
        <w:rPr/>
        <w:t>准；</w:t>
      </w:r>
    </w:p>
    <w:p>
      <w:pPr>
        <w:pStyle w:val="BodyText"/>
        <w:spacing w:before="2"/>
        <w:ind w:left="1040"/>
      </w:pPr>
      <w:r>
        <w:rPr>
          <w:spacing w:val="30"/>
        </w:rPr>
        <w:t>— 般固废执行《 一般工业固体废物贮存和填埋污染控制标准》</w:t>
      </w:r>
    </w:p>
    <w:p>
      <w:pPr>
        <w:pStyle w:val="BodyText"/>
        <w:spacing w:line="364" w:lineRule="auto" w:before="161"/>
        <w:ind w:left="560" w:right="755"/>
        <w:jc w:val="both"/>
      </w:pPr>
      <w:r>
        <w:rPr/>
        <w:t>（</w:t>
      </w:r>
      <w:r>
        <w:rPr>
          <w:rFonts w:ascii="Times New Roman" w:eastAsia="Times New Roman"/>
        </w:rPr>
        <w:t>GB18599-2020</w:t>
      </w:r>
      <w:r>
        <w:rPr/>
        <w:t>）；《危险废物贮存污染控制标准》（</w:t>
      </w:r>
      <w:r>
        <w:rPr>
          <w:rFonts w:ascii="Times New Roman" w:eastAsia="Times New Roman"/>
        </w:rPr>
        <w:t>GB18597-2001</w:t>
      </w:r>
      <w:r>
        <w:rPr/>
        <w:t>）及原环保部公告【</w:t>
      </w:r>
      <w:r>
        <w:rPr>
          <w:rFonts w:ascii="Times New Roman" w:eastAsia="Times New Roman"/>
        </w:rPr>
        <w:t>2013</w:t>
      </w:r>
      <w:r>
        <w:rPr>
          <w:spacing w:val="-20"/>
        </w:rPr>
        <w:t>】第 </w:t>
      </w:r>
      <w:r>
        <w:rPr>
          <w:rFonts w:ascii="Times New Roman" w:eastAsia="Times New Roman"/>
        </w:rPr>
        <w:t>36</w:t>
      </w:r>
      <w:r>
        <w:rPr>
          <w:rFonts w:ascii="Times New Roman" w:eastAsia="Times New Roman"/>
          <w:spacing w:val="6"/>
        </w:rPr>
        <w:t> </w:t>
      </w:r>
      <w:r>
        <w:rPr/>
        <w:t>号修改单；医疗废物执行医疗废物处理处置污染控制标准（</w:t>
      </w:r>
      <w:r>
        <w:rPr>
          <w:rFonts w:ascii="Times New Roman" w:eastAsia="Times New Roman"/>
        </w:rPr>
        <w:t>GB39707-2020</w:t>
      </w:r>
      <w:r>
        <w:rPr/>
        <w:t>）。</w:t>
      </w:r>
    </w:p>
    <w:p>
      <w:pPr>
        <w:pStyle w:val="BodyText"/>
        <w:spacing w:before="2"/>
        <w:ind w:left="560"/>
      </w:pPr>
      <w:r>
        <w:rPr>
          <w:rFonts w:ascii="Times New Roman" w:eastAsia="Times New Roman"/>
          <w:b/>
        </w:rPr>
        <w:t>3</w:t>
      </w:r>
      <w:r>
        <w:rPr/>
        <w:t>、剂量约束值</w:t>
      </w:r>
    </w:p>
    <w:p>
      <w:pPr>
        <w:pStyle w:val="BodyText"/>
        <w:spacing w:line="364" w:lineRule="auto" w:before="160"/>
        <w:ind w:left="1040" w:right="635"/>
      </w:pPr>
      <w:r>
        <w:rPr>
          <w:spacing w:val="-1"/>
        </w:rPr>
        <w:t>电离辐射执行《电离辐射防护与辐射源安全基本标准》（</w:t>
      </w:r>
      <w:r>
        <w:rPr>
          <w:rFonts w:ascii="Times New Roman" w:eastAsia="Times New Roman"/>
          <w:spacing w:val="-1"/>
        </w:rPr>
        <w:t>GB18871-2002</w:t>
      </w:r>
      <w:r>
        <w:rPr>
          <w:spacing w:val="-1"/>
        </w:rPr>
        <w:t>）</w:t>
      </w:r>
      <w:r>
        <w:rPr/>
        <w:t>。</w:t>
      </w:r>
      <w:r>
        <w:rPr>
          <w:spacing w:val="-2"/>
        </w:rPr>
        <w:t>职业照射：根据《电离辐射防护与辐射源安全基本标准》</w:t>
      </w:r>
      <w:r>
        <w:rPr>
          <w:spacing w:val="-1"/>
        </w:rPr>
        <w:t>（</w:t>
      </w:r>
      <w:r>
        <w:rPr>
          <w:rFonts w:ascii="Times New Roman" w:eastAsia="Times New Roman"/>
          <w:spacing w:val="-1"/>
        </w:rPr>
        <w:t>GB18871-2002</w:t>
      </w:r>
      <w:r>
        <w:rPr>
          <w:spacing w:val="-1"/>
        </w:rPr>
        <w:t>）</w:t>
      </w:r>
    </w:p>
    <w:p>
      <w:pPr>
        <w:pStyle w:val="BodyText"/>
        <w:spacing w:before="1"/>
        <w:ind w:right="757"/>
        <w:jc w:val="right"/>
      </w:pPr>
      <w:r>
        <w:rPr>
          <w:spacing w:val="-13"/>
        </w:rPr>
        <w:t>第 </w:t>
      </w:r>
      <w:r>
        <w:rPr>
          <w:rFonts w:ascii="Times New Roman" w:eastAsia="Times New Roman"/>
        </w:rPr>
        <w:t>4.3.2.1</w:t>
      </w:r>
      <w:r>
        <w:rPr>
          <w:rFonts w:ascii="Times New Roman" w:eastAsia="Times New Roman"/>
          <w:spacing w:val="36"/>
        </w:rPr>
        <w:t> </w:t>
      </w:r>
      <w:r>
        <w:rPr/>
        <w:t>条的规定，对任何工作人员，由来自各项获准实践的综合照射所致的</w:t>
      </w:r>
    </w:p>
    <w:p>
      <w:pPr>
        <w:pStyle w:val="BodyText"/>
        <w:spacing w:line="364" w:lineRule="auto" w:before="161"/>
        <w:ind w:left="560" w:right="757"/>
        <w:jc w:val="right"/>
      </w:pPr>
      <w:r>
        <w:rPr>
          <w:spacing w:val="-4"/>
        </w:rPr>
        <w:t>个人总有效剂量不超过由审管部门决定的连续 </w:t>
      </w:r>
      <w:r>
        <w:rPr>
          <w:rFonts w:ascii="Times New Roman" w:eastAsia="Times New Roman"/>
        </w:rPr>
        <w:t>5 </w:t>
      </w:r>
      <w:r>
        <w:rPr>
          <w:spacing w:val="-11"/>
        </w:rPr>
        <w:t>年的年平均有效剂量</w:t>
      </w:r>
      <w:r>
        <w:rPr/>
        <w:t>（但不可作</w:t>
      </w:r>
      <w:r>
        <w:rPr>
          <w:spacing w:val="-1"/>
        </w:rPr>
        <w:t>任何追溯平均</w:t>
      </w:r>
      <w:r>
        <w:rPr/>
        <w:t>）</w:t>
      </w:r>
      <w:r>
        <w:rPr>
          <w:rFonts w:ascii="Times New Roman" w:eastAsia="Times New Roman"/>
        </w:rPr>
        <w:t>20mSv</w:t>
      </w:r>
      <w:r>
        <w:rPr/>
        <w:t>。四肢（手和足）</w:t>
      </w:r>
      <w:r>
        <w:rPr>
          <w:spacing w:val="-5"/>
        </w:rPr>
        <w:t>或皮肤的年当量剂量不超过 </w:t>
      </w:r>
      <w:r>
        <w:rPr>
          <w:rFonts w:ascii="Times New Roman" w:eastAsia="Times New Roman"/>
        </w:rPr>
        <w:t>500mSv</w:t>
      </w:r>
      <w:r>
        <w:rPr/>
        <w:t>。</w:t>
      </w:r>
      <w:r>
        <w:rPr>
          <w:spacing w:val="-8"/>
        </w:rPr>
        <w:t>公众照射：第 </w:t>
      </w:r>
      <w:r>
        <w:rPr>
          <w:rFonts w:ascii="Times New Roman" w:eastAsia="Times New Roman"/>
        </w:rPr>
        <w:t>B1.2.1</w:t>
      </w:r>
      <w:r>
        <w:rPr>
          <w:rFonts w:ascii="Times New Roman" w:eastAsia="Times New Roman"/>
          <w:spacing w:val="12"/>
        </w:rPr>
        <w:t> </w:t>
      </w:r>
      <w:r>
        <w:rPr/>
        <w:t>条的规定，实践使公众中有关关键人群组的成员所受</w:t>
      </w:r>
    </w:p>
    <w:p>
      <w:pPr>
        <w:pStyle w:val="BodyText"/>
        <w:spacing w:before="2"/>
        <w:ind w:left="560"/>
        <w:jc w:val="both"/>
      </w:pPr>
      <w:r>
        <w:rPr>
          <w:spacing w:val="-5"/>
        </w:rPr>
        <w:t>到的平均剂量估计值不应超过年有效剂量 </w:t>
      </w:r>
      <w:r>
        <w:rPr>
          <w:rFonts w:ascii="Times New Roman" w:eastAsia="Times New Roman"/>
        </w:rPr>
        <w:t>1mSv</w:t>
      </w:r>
      <w:r>
        <w:rPr/>
        <w:t>。</w:t>
      </w:r>
    </w:p>
    <w:p>
      <w:pPr>
        <w:spacing w:line="364" w:lineRule="auto" w:before="160"/>
        <w:ind w:left="560" w:right="731" w:firstLine="480"/>
        <w:jc w:val="both"/>
        <w:rPr>
          <w:sz w:val="24"/>
        </w:rPr>
      </w:pPr>
      <w:r>
        <w:rPr>
          <w:spacing w:val="20"/>
          <w:sz w:val="24"/>
        </w:rPr>
        <w:t>本评价按上述标准中规定的职业照射年平均有效剂量的 </w:t>
      </w:r>
      <w:r>
        <w:rPr>
          <w:rFonts w:ascii="Times New Roman" w:eastAsia="Times New Roman"/>
          <w:b/>
          <w:sz w:val="24"/>
        </w:rPr>
        <w:t>1/4</w:t>
      </w:r>
      <w:r>
        <w:rPr>
          <w:rFonts w:ascii="Times New Roman" w:eastAsia="Times New Roman"/>
          <w:b/>
          <w:spacing w:val="24"/>
          <w:sz w:val="24"/>
        </w:rPr>
        <w:t> </w:t>
      </w:r>
      <w:r>
        <w:rPr>
          <w:spacing w:val="-10"/>
          <w:sz w:val="24"/>
        </w:rPr>
        <w:t>执行， 即</w:t>
      </w:r>
      <w:r>
        <w:rPr>
          <w:rFonts w:ascii="Times New Roman" w:eastAsia="Times New Roman"/>
          <w:b/>
          <w:spacing w:val="-1"/>
          <w:sz w:val="24"/>
        </w:rPr>
        <w:t>5mSv/a</w:t>
      </w:r>
      <w:r>
        <w:rPr>
          <w:spacing w:val="-1"/>
          <w:sz w:val="24"/>
        </w:rPr>
        <w:t>，四肢（手和足）</w:t>
      </w:r>
      <w:r>
        <w:rPr>
          <w:spacing w:val="-5"/>
          <w:sz w:val="24"/>
        </w:rPr>
        <w:t>或皮肤的年当量剂量约束限值为 </w:t>
      </w:r>
      <w:r>
        <w:rPr>
          <w:rFonts w:ascii="Times New Roman" w:eastAsia="Times New Roman"/>
          <w:b/>
          <w:spacing w:val="-1"/>
          <w:sz w:val="24"/>
        </w:rPr>
        <w:t>125mSv</w:t>
      </w:r>
      <w:r>
        <w:rPr>
          <w:spacing w:val="-1"/>
          <w:sz w:val="24"/>
        </w:rPr>
        <w:t>；公众照射按</w:t>
      </w:r>
      <w:r>
        <w:rPr>
          <w:spacing w:val="-5"/>
          <w:sz w:val="24"/>
        </w:rPr>
        <w:t>照标准中规定的年有效剂量的 </w:t>
      </w:r>
      <w:r>
        <w:rPr>
          <w:rFonts w:ascii="Times New Roman" w:eastAsia="Times New Roman"/>
          <w:b/>
          <w:sz w:val="24"/>
        </w:rPr>
        <w:t>1/10</w:t>
      </w:r>
      <w:r>
        <w:rPr>
          <w:rFonts w:ascii="Times New Roman" w:eastAsia="Times New Roman"/>
          <w:b/>
          <w:spacing w:val="-3"/>
          <w:sz w:val="24"/>
        </w:rPr>
        <w:t> </w:t>
      </w:r>
      <w:r>
        <w:rPr>
          <w:spacing w:val="-12"/>
          <w:sz w:val="24"/>
        </w:rPr>
        <w:t>执行，即 </w:t>
      </w:r>
      <w:r>
        <w:rPr>
          <w:rFonts w:ascii="Times New Roman" w:eastAsia="Times New Roman"/>
          <w:b/>
          <w:sz w:val="24"/>
        </w:rPr>
        <w:t>0.1mSv/a</w:t>
      </w:r>
      <w:r>
        <w:rPr>
          <w:sz w:val="24"/>
        </w:rPr>
        <w:t>。</w:t>
      </w:r>
    </w:p>
    <w:p>
      <w:pPr>
        <w:spacing w:after="0" w:line="364" w:lineRule="auto"/>
        <w:jc w:val="both"/>
        <w:rPr>
          <w:sz w:val="24"/>
        </w:rPr>
        <w:sectPr>
          <w:pgSz w:w="11910" w:h="16840"/>
          <w:pgMar w:header="0" w:footer="1383" w:top="1420" w:bottom="1660" w:left="1240" w:right="1040"/>
        </w:sectPr>
      </w:pPr>
    </w:p>
    <w:p>
      <w:pPr>
        <w:pStyle w:val="BodyText"/>
        <w:spacing w:before="149"/>
        <w:ind w:left="560"/>
      </w:pPr>
      <w:r>
        <w:rPr/>
        <w:pict>
          <v:shape style="position:absolute;margin-left:84.360001pt;margin-top:72.000023pt;width:426.6pt;height:682.2pt;mso-position-horizontal-relative:page;mso-position-vertical-relative:page;z-index:-20152320" coordorigin="1687,1440" coordsize="8532,13644" path="m1687,1445l10219,1445m1687,15084l10219,15084m1692,1440l1692,15079m10214,1440l10214,15079e" filled="false" stroked="true" strokeweight=".48pt" strokecolor="#000000">
            <v:path arrowok="t"/>
            <v:stroke dashstyle="solid"/>
            <w10:wrap type="none"/>
          </v:shape>
        </w:pict>
      </w:r>
      <w:bookmarkStart w:name="表8  环境质量和辐射现状" w:id="14"/>
      <w:bookmarkEnd w:id="14"/>
      <w:r>
        <w:rPr/>
      </w:r>
      <w:bookmarkStart w:name="_bookmark6" w:id="15"/>
      <w:bookmarkEnd w:id="15"/>
      <w:r>
        <w:rPr/>
      </w:r>
      <w:r>
        <w:rPr>
          <w:rFonts w:ascii="Times New Roman" w:eastAsia="Times New Roman"/>
          <w:b/>
        </w:rPr>
        <w:t>4</w:t>
      </w:r>
      <w:r>
        <w:rPr/>
        <w:t>、放射工作场所边界周围剂量率控制水平</w:t>
      </w:r>
    </w:p>
    <w:p>
      <w:pPr>
        <w:pStyle w:val="BodyText"/>
        <w:spacing w:before="161"/>
        <w:ind w:left="1040"/>
      </w:pPr>
      <w:r>
        <w:rPr>
          <w:spacing w:val="11"/>
        </w:rPr>
        <w:t>放射工作场所边界周围剂量率控制水平参照《放射诊断放射防护要求》</w:t>
      </w:r>
    </w:p>
    <w:p>
      <w:pPr>
        <w:pStyle w:val="BodyText"/>
        <w:spacing w:line="364" w:lineRule="auto" w:before="160"/>
        <w:ind w:left="560" w:right="757"/>
      </w:pPr>
      <w:r>
        <w:rPr>
          <w:spacing w:val="-2"/>
        </w:rPr>
        <w:t>（</w:t>
      </w:r>
      <w:r>
        <w:rPr>
          <w:rFonts w:ascii="Times New Roman" w:hAnsi="Times New Roman" w:eastAsia="Times New Roman"/>
          <w:spacing w:val="-2"/>
        </w:rPr>
        <w:t>GBZ130-2020</w:t>
      </w:r>
      <w:r>
        <w:rPr>
          <w:spacing w:val="-2"/>
        </w:rPr>
        <w:t>）有关规定，本项目医用射线装置使用场所在距离机房屏蔽体外</w:t>
      </w:r>
      <w:r>
        <w:rPr>
          <w:spacing w:val="-21"/>
        </w:rPr>
        <w:t>表面 </w:t>
      </w:r>
      <w:r>
        <w:rPr>
          <w:rFonts w:ascii="Times New Roman" w:hAnsi="Times New Roman" w:eastAsia="Times New Roman"/>
          <w:spacing w:val="-1"/>
        </w:rPr>
        <w:t>30cm</w:t>
      </w:r>
      <w:r>
        <w:rPr>
          <w:rFonts w:ascii="Times New Roman" w:hAnsi="Times New Roman" w:eastAsia="Times New Roman"/>
        </w:rPr>
        <w:t> </w:t>
      </w:r>
      <w:r>
        <w:rPr>
          <w:spacing w:val="-3"/>
        </w:rPr>
        <w:t>外，周围辐射剂量率应满足：控制目标值不大于 </w:t>
      </w:r>
      <w:r>
        <w:rPr>
          <w:rFonts w:ascii="Times New Roman" w:hAnsi="Times New Roman" w:eastAsia="Times New Roman"/>
        </w:rPr>
        <w:t>2.5µSv/h</w:t>
      </w:r>
      <w:r>
        <w:rPr/>
        <w:t>。</w:t>
      </w:r>
    </w:p>
    <w:p>
      <w:pPr>
        <w:pStyle w:val="BodyText"/>
        <w:spacing w:before="1"/>
        <w:ind w:left="560"/>
      </w:pPr>
      <w:r>
        <w:rPr>
          <w:rFonts w:ascii="Times New Roman" w:eastAsia="Times New Roman"/>
          <w:b/>
        </w:rPr>
        <w:t>5</w:t>
      </w:r>
      <w:r>
        <w:rPr/>
        <w:t>、臭氧的排放标准</w:t>
      </w:r>
    </w:p>
    <w:p>
      <w:pPr>
        <w:pStyle w:val="BodyText"/>
        <w:spacing w:before="161"/>
        <w:ind w:left="1040"/>
      </w:pPr>
      <w:r>
        <w:rPr>
          <w:spacing w:val="18"/>
        </w:rPr>
        <w:t>根据《工作场所有害因素职业接触限值 第 </w:t>
      </w:r>
      <w:r>
        <w:rPr>
          <w:rFonts w:ascii="Times New Roman" w:eastAsia="Times New Roman"/>
        </w:rPr>
        <w:t>1</w:t>
      </w:r>
      <w:r>
        <w:rPr>
          <w:rFonts w:ascii="Times New Roman" w:eastAsia="Times New Roman"/>
          <w:spacing w:val="26"/>
        </w:rPr>
        <w:t> </w:t>
      </w:r>
      <w:r>
        <w:rPr>
          <w:spacing w:val="7"/>
        </w:rPr>
        <w:t>部分： 化学有害因素》</w:t>
      </w:r>
    </w:p>
    <w:p>
      <w:pPr>
        <w:pStyle w:val="BodyText"/>
        <w:spacing w:line="364" w:lineRule="auto" w:before="160"/>
        <w:ind w:left="560" w:right="632"/>
      </w:pPr>
      <w:r>
        <w:rPr>
          <w:spacing w:val="-2"/>
        </w:rPr>
        <w:t>（</w:t>
      </w:r>
      <w:r>
        <w:rPr>
          <w:rFonts w:ascii="Times New Roman" w:eastAsia="Times New Roman"/>
          <w:spacing w:val="-2"/>
        </w:rPr>
        <w:t>GBZ2.1-2019</w:t>
      </w:r>
      <w:r>
        <w:rPr>
          <w:spacing w:val="-2"/>
        </w:rPr>
        <w:t>）</w:t>
      </w:r>
      <w:r>
        <w:rPr>
          <w:spacing w:val="-6"/>
        </w:rPr>
        <w:t>室内臭氧符合最高允许浓度 </w:t>
      </w:r>
      <w:r>
        <w:rPr>
          <w:rFonts w:ascii="Times New Roman" w:eastAsia="Times New Roman"/>
          <w:spacing w:val="-1"/>
        </w:rPr>
        <w:t>0.30mg/m</w:t>
      </w:r>
      <w:r>
        <w:rPr>
          <w:rFonts w:ascii="Times New Roman" w:eastAsia="Times New Roman"/>
          <w:spacing w:val="-1"/>
          <w:vertAlign w:val="superscript"/>
        </w:rPr>
        <w:t>3</w:t>
      </w:r>
      <w:r>
        <w:rPr>
          <w:rFonts w:ascii="Times New Roman" w:eastAsia="Times New Roman"/>
          <w:spacing w:val="-20"/>
          <w:vertAlign w:val="baseline"/>
        </w:rPr>
        <w:t> </w:t>
      </w:r>
      <w:r>
        <w:rPr>
          <w:spacing w:val="-6"/>
          <w:vertAlign w:val="baseline"/>
        </w:rPr>
        <w:t>的要求； 根据《环境空</w:t>
      </w:r>
      <w:r>
        <w:rPr>
          <w:vertAlign w:val="baseline"/>
        </w:rPr>
        <w:t>气质量标准</w:t>
      </w:r>
      <w:r>
        <w:rPr>
          <w:spacing w:val="-200"/>
          <w:vertAlign w:val="baseline"/>
        </w:rPr>
        <w:t>》</w:t>
      </w:r>
      <w:r>
        <w:rPr>
          <w:spacing w:val="-3"/>
          <w:vertAlign w:val="baseline"/>
        </w:rPr>
        <w:t>（</w:t>
      </w:r>
      <w:r>
        <w:rPr>
          <w:rFonts w:ascii="Times New Roman" w:eastAsia="Times New Roman"/>
          <w:spacing w:val="-1"/>
          <w:vertAlign w:val="baseline"/>
        </w:rPr>
        <w:t>G</w:t>
      </w:r>
      <w:r>
        <w:rPr>
          <w:rFonts w:ascii="Times New Roman" w:eastAsia="Times New Roman"/>
          <w:spacing w:val="-2"/>
          <w:vertAlign w:val="baseline"/>
        </w:rPr>
        <w:t>B</w:t>
      </w:r>
      <w:r>
        <w:rPr>
          <w:rFonts w:ascii="Times New Roman" w:eastAsia="Times New Roman"/>
          <w:vertAlign w:val="baseline"/>
        </w:rPr>
        <w:t>309</w:t>
      </w:r>
      <w:r>
        <w:rPr>
          <w:rFonts w:ascii="Times New Roman" w:eastAsia="Times New Roman"/>
          <w:spacing w:val="2"/>
          <w:vertAlign w:val="baseline"/>
        </w:rPr>
        <w:t>5</w:t>
      </w:r>
      <w:r>
        <w:rPr>
          <w:vertAlign w:val="baseline"/>
        </w:rPr>
        <w:t>－</w:t>
      </w:r>
      <w:r>
        <w:rPr>
          <w:rFonts w:ascii="Times New Roman" w:eastAsia="Times New Roman"/>
          <w:vertAlign w:val="baseline"/>
        </w:rPr>
        <w:t>2012</w:t>
      </w:r>
      <w:r>
        <w:rPr>
          <w:spacing w:val="-101"/>
          <w:vertAlign w:val="baseline"/>
        </w:rPr>
        <w:t>）</w:t>
      </w:r>
      <w:r>
        <w:rPr>
          <w:spacing w:val="-7"/>
          <w:vertAlign w:val="baseline"/>
        </w:rPr>
        <w:t>室外臭氧小时平均浓度符合二级标准</w:t>
      </w:r>
      <w:r>
        <w:rPr>
          <w:spacing w:val="-5"/>
          <w:vertAlign w:val="baseline"/>
        </w:rPr>
        <w:t>（</w:t>
      </w:r>
      <w:r>
        <w:rPr>
          <w:rFonts w:ascii="Times New Roman" w:eastAsia="Times New Roman"/>
          <w:spacing w:val="-2"/>
          <w:vertAlign w:val="baseline"/>
        </w:rPr>
        <w:t>0.20m</w:t>
      </w:r>
      <w:r>
        <w:rPr>
          <w:rFonts w:ascii="Times New Roman" w:eastAsia="Times New Roman"/>
          <w:spacing w:val="-5"/>
          <w:vertAlign w:val="baseline"/>
        </w:rPr>
        <w:t>g</w:t>
      </w:r>
      <w:r>
        <w:rPr>
          <w:rFonts w:ascii="Times New Roman" w:eastAsia="Times New Roman"/>
          <w:spacing w:val="-2"/>
          <w:vertAlign w:val="baseline"/>
        </w:rPr>
        <w:t>/</w:t>
      </w:r>
      <w:r>
        <w:rPr>
          <w:rFonts w:ascii="Times New Roman" w:eastAsia="Times New Roman"/>
          <w:spacing w:val="0"/>
          <w:vertAlign w:val="baseline"/>
        </w:rPr>
        <w:t>m</w:t>
      </w:r>
      <w:r>
        <w:rPr>
          <w:rFonts w:ascii="Times New Roman" w:eastAsia="Times New Roman"/>
          <w:spacing w:val="-4"/>
          <w:w w:val="101"/>
          <w:vertAlign w:val="superscript"/>
        </w:rPr>
        <w:t>3</w:t>
      </w:r>
      <w:r>
        <w:rPr>
          <w:spacing w:val="-2"/>
          <w:vertAlign w:val="baseline"/>
        </w:rPr>
        <w:t>）</w:t>
      </w:r>
      <w:r>
        <w:rPr>
          <w:vertAlign w:val="baseline"/>
        </w:rPr>
        <w:t>的要求。</w:t>
      </w:r>
    </w:p>
    <w:p>
      <w:pPr>
        <w:spacing w:after="0" w:line="364" w:lineRule="auto"/>
        <w:sectPr>
          <w:pgSz w:w="11910" w:h="16840"/>
          <w:pgMar w:header="0" w:footer="1383" w:top="1420" w:bottom="1660" w:left="1240" w:right="1040"/>
        </w:sectPr>
      </w:pPr>
    </w:p>
    <w:p>
      <w:pPr>
        <w:pStyle w:val="BodyText"/>
        <w:spacing w:before="5"/>
        <w:rPr>
          <w:sz w:val="10"/>
        </w:rPr>
      </w:pPr>
      <w:r>
        <w:rPr/>
        <w:pict>
          <v:shape style="position:absolute;margin-left:70.959999pt;margin-top:121.200027pt;width:456.1pt;height:609.2pt;mso-position-horizontal-relative:page;mso-position-vertical-relative:page;z-index:-20151296" coordorigin="1419,2424" coordsize="9122,12184" path="m1419,2429l10541,2429m1419,14608l10541,14608m1424,2424l1424,14603m10536,2424l10536,14603e" filled="false" stroked="true" strokeweight=".48pt" strokecolor="#000000">
            <v:path arrowok="t"/>
            <v:stroke dashstyle="solid"/>
            <w10:wrap type="none"/>
          </v:shape>
        </w:pict>
      </w:r>
    </w:p>
    <w:p>
      <w:pPr>
        <w:tabs>
          <w:tab w:pos="1385" w:val="left" w:leader="none"/>
        </w:tabs>
        <w:spacing w:before="70"/>
        <w:ind w:left="560" w:right="0" w:firstLine="0"/>
        <w:jc w:val="left"/>
        <w:rPr>
          <w:sz w:val="30"/>
        </w:rPr>
      </w:pPr>
      <w:r>
        <w:rPr>
          <w:sz w:val="30"/>
        </w:rPr>
        <w:t>表</w:t>
      </w:r>
      <w:r>
        <w:rPr>
          <w:spacing w:val="-76"/>
          <w:sz w:val="30"/>
        </w:rPr>
        <w:t> </w:t>
      </w:r>
      <w:r>
        <w:rPr>
          <w:rFonts w:ascii="Times New Roman" w:eastAsia="Times New Roman"/>
          <w:sz w:val="30"/>
        </w:rPr>
        <w:t>8</w:t>
        <w:tab/>
      </w:r>
      <w:r>
        <w:rPr>
          <w:sz w:val="30"/>
        </w:rPr>
        <w:t>环境质量和辐射现状</w:t>
      </w:r>
    </w:p>
    <w:p>
      <w:pPr>
        <w:pStyle w:val="BodyText"/>
        <w:spacing w:before="10"/>
        <w:rPr>
          <w:sz w:val="29"/>
        </w:rPr>
      </w:pPr>
    </w:p>
    <w:p>
      <w:pPr>
        <w:pStyle w:val="Heading2"/>
        <w:ind w:left="291"/>
      </w:pPr>
      <w:r>
        <w:rPr/>
        <w:t>环境质量和辐射现状</w:t>
      </w:r>
    </w:p>
    <w:p>
      <w:pPr>
        <w:pStyle w:val="BodyText"/>
        <w:spacing w:before="9"/>
        <w:rPr>
          <w:sz w:val="20"/>
        </w:rPr>
      </w:pPr>
    </w:p>
    <w:p>
      <w:pPr>
        <w:pStyle w:val="Heading2"/>
        <w:ind w:left="291"/>
      </w:pPr>
      <w:r>
        <w:rPr/>
        <w:t>一、项目地理和场所位置</w:t>
      </w:r>
    </w:p>
    <w:p>
      <w:pPr>
        <w:pStyle w:val="BodyText"/>
        <w:spacing w:line="364" w:lineRule="auto" w:before="135"/>
        <w:ind w:left="291" w:right="317" w:firstLine="561"/>
      </w:pPr>
      <w:r>
        <w:rPr>
          <w:spacing w:val="-3"/>
        </w:rPr>
        <w:t>本项目选址位于资阳市雁江区仁德西路 </w:t>
      </w:r>
      <w:r>
        <w:rPr>
          <w:rFonts w:ascii="Times New Roman" w:eastAsia="Times New Roman"/>
        </w:rPr>
        <w:t>66</w:t>
      </w:r>
      <w:r>
        <w:rPr>
          <w:rFonts w:ascii="Times New Roman" w:eastAsia="Times New Roman"/>
          <w:spacing w:val="12"/>
        </w:rPr>
        <w:t> </w:t>
      </w:r>
      <w:r>
        <w:rPr/>
        <w:t>号资阳市第一人民医院医技楼一层西北侧。根据现场踏勘，医技楼位于医院中部，西北侧为医疗中心（</w:t>
      </w:r>
      <w:r>
        <w:rPr>
          <w:rFonts w:ascii="Times New Roman" w:eastAsia="Times New Roman"/>
        </w:rPr>
        <w:t>6.5m~50m</w:t>
      </w:r>
      <w:r>
        <w:rPr/>
        <w:t>），北侧为康复理疗楼（</w:t>
      </w:r>
      <w:r>
        <w:rPr>
          <w:rFonts w:ascii="Times New Roman" w:eastAsia="Times New Roman"/>
        </w:rPr>
        <w:t>18m~50m</w:t>
      </w:r>
      <w:r>
        <w:rPr/>
        <w:t>），南侧为内科住院楼（</w:t>
      </w:r>
      <w:r>
        <w:rPr>
          <w:rFonts w:ascii="Times New Roman" w:eastAsia="Times New Roman"/>
        </w:rPr>
        <w:t>55m</w:t>
      </w:r>
      <w:r>
        <w:rPr/>
        <w:t>），西南侧为疑难病症诊治中心（</w:t>
      </w:r>
      <w:r>
        <w:rPr>
          <w:rFonts w:ascii="Times New Roman" w:eastAsia="Times New Roman"/>
        </w:rPr>
        <w:t>35~50m</w:t>
      </w:r>
      <w:r>
        <w:rPr/>
        <w:t>），东北侧为门诊楼（</w:t>
      </w:r>
      <w:r>
        <w:rPr>
          <w:rFonts w:ascii="Times New Roman" w:eastAsia="Times New Roman"/>
        </w:rPr>
        <w:t>20m~50m</w:t>
      </w:r>
      <w:r>
        <w:rPr/>
        <w:t>）</w:t>
      </w:r>
      <w:r>
        <w:rPr>
          <w:spacing w:val="-4"/>
        </w:rPr>
        <w:t>。本项目辐射工作场所的 </w:t>
      </w:r>
      <w:r>
        <w:rPr>
          <w:rFonts w:ascii="Times New Roman" w:eastAsia="Times New Roman"/>
        </w:rPr>
        <w:t>50m</w:t>
      </w:r>
      <w:r>
        <w:rPr>
          <w:rFonts w:ascii="Times New Roman" w:eastAsia="Times New Roman"/>
          <w:spacing w:val="18"/>
        </w:rPr>
        <w:t> </w:t>
      </w:r>
      <w:r>
        <w:rPr/>
        <w:t>范围均</w:t>
      </w:r>
      <w:r>
        <w:rPr>
          <w:spacing w:val="-9"/>
        </w:rPr>
        <w:t>在医院范围内，不存在自然保护区、保护文物、风景名胜区、饮用水源保护区、学校、</w:t>
      </w:r>
      <w:r>
        <w:rPr/>
        <w:t>集中居民小区等生态敏感目标和环境敏感目标，周围无明显环境制约因素。</w:t>
      </w:r>
    </w:p>
    <w:p>
      <w:pPr>
        <w:pStyle w:val="BodyText"/>
        <w:spacing w:line="364" w:lineRule="auto" w:before="75"/>
        <w:ind w:left="291" w:right="436" w:firstLine="480"/>
      </w:pPr>
      <w:r>
        <w:rPr/>
        <w:drawing>
          <wp:anchor distT="0" distB="0" distL="0" distR="0" allowOverlap="1" layoutInCell="1" locked="0" behindDoc="1" simplePos="0" relativeHeight="483164672">
            <wp:simplePos x="0" y="0"/>
            <wp:positionH relativeFrom="page">
              <wp:posOffset>2781300</wp:posOffset>
            </wp:positionH>
            <wp:positionV relativeFrom="paragraph">
              <wp:posOffset>621537</wp:posOffset>
            </wp:positionV>
            <wp:extent cx="2031492" cy="2709672"/>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2031492" cy="2709672"/>
                    </a:xfrm>
                    <a:prstGeom prst="rect">
                      <a:avLst/>
                    </a:prstGeom>
                  </pic:spPr>
                </pic:pic>
              </a:graphicData>
            </a:graphic>
          </wp:anchor>
        </w:drawing>
      </w:r>
      <w:r>
        <w:rPr/>
        <w:t>在接受本项目环境影响评价委托后，我公司技术人员对项目所在区域进行了踏</w:t>
      </w:r>
      <w:r>
        <w:rPr>
          <w:spacing w:val="1"/>
        </w:rPr>
        <w:t> </w:t>
      </w:r>
      <w:r>
        <w:rPr/>
        <w:t>勘，本项目现状见图</w:t>
      </w:r>
      <w:r>
        <w:rPr>
          <w:rFonts w:ascii="Times New Roman" w:eastAsia="Times New Roman"/>
        </w:rPr>
        <w:t>8-1</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0"/>
        </w:rPr>
      </w:pPr>
    </w:p>
    <w:p>
      <w:pPr>
        <w:spacing w:before="0"/>
        <w:ind w:left="0" w:right="147" w:firstLine="0"/>
        <w:jc w:val="center"/>
        <w:rPr>
          <w:sz w:val="21"/>
        </w:rPr>
      </w:pPr>
      <w:r>
        <w:rPr>
          <w:sz w:val="21"/>
        </w:rPr>
        <w:t>图8-1</w:t>
      </w:r>
      <w:r>
        <w:rPr>
          <w:spacing w:val="24"/>
          <w:sz w:val="21"/>
        </w:rPr>
        <w:t> 本项目</w:t>
      </w:r>
      <w:r>
        <w:rPr>
          <w:sz w:val="21"/>
        </w:rPr>
        <w:t>DSA拟改建区域位置</w:t>
      </w:r>
    </w:p>
    <w:p>
      <w:pPr>
        <w:pStyle w:val="BodyText"/>
        <w:spacing w:before="1"/>
        <w:rPr>
          <w:sz w:val="18"/>
        </w:rPr>
      </w:pPr>
    </w:p>
    <w:p>
      <w:pPr>
        <w:pStyle w:val="Heading2"/>
        <w:ind w:left="291"/>
      </w:pPr>
      <w:r>
        <w:rPr/>
        <w:t>二、本项目主要环境影响</w:t>
      </w:r>
    </w:p>
    <w:p>
      <w:pPr>
        <w:pStyle w:val="BodyText"/>
        <w:spacing w:line="364" w:lineRule="auto" w:before="214"/>
        <w:ind w:left="291" w:right="317" w:firstLine="480"/>
      </w:pPr>
      <w:r>
        <w:rPr/>
        <w:t>本项目主要污染因子为电离辐射，对环境空气、地表水及地下水影响较小，因此</w:t>
      </w:r>
      <w:r>
        <w:rPr>
          <w:spacing w:val="-8"/>
        </w:rPr>
        <w:t>本次评价没有对区域环境空气质量、土壤、地表水和地下水环境质量等进行监测评价，</w:t>
      </w:r>
      <w:r>
        <w:rPr>
          <w:spacing w:val="-117"/>
        </w:rPr>
        <w:t> </w:t>
      </w:r>
      <w:r>
        <w:rPr/>
        <w:t>重点对评价区域开展了辐射环境现状监测评价。</w:t>
      </w:r>
    </w:p>
    <w:p>
      <w:pPr>
        <w:spacing w:after="0" w:line="364" w:lineRule="auto"/>
        <w:sectPr>
          <w:pgSz w:w="11910" w:h="16840"/>
          <w:pgMar w:header="0" w:footer="1383" w:top="1580" w:bottom="1660" w:left="1240" w:right="1040"/>
        </w:sectPr>
      </w:pPr>
    </w:p>
    <w:p>
      <w:pPr>
        <w:pStyle w:val="Heading2"/>
        <w:spacing w:before="145"/>
        <w:ind w:left="291"/>
      </w:pPr>
      <w:r>
        <w:rPr/>
        <w:pict>
          <v:shape style="position:absolute;margin-left:70.959999pt;margin-top:72.000023pt;width:456.1pt;height:681.75pt;mso-position-horizontal-relative:page;mso-position-vertical-relative:page;z-index:-20150784" coordorigin="1419,1440" coordsize="9122,13635" path="m1419,1445l10541,1445m1419,15075l10541,15075m1424,1440l1424,15070m10536,1440l10536,15070e" filled="false" stroked="true" strokeweight=".48pt" strokecolor="#000000">
            <v:path arrowok="t"/>
            <v:stroke dashstyle="solid"/>
            <w10:wrap type="none"/>
          </v:shape>
        </w:pict>
      </w:r>
      <w:r>
        <w:rPr>
          <w:spacing w:val="-8"/>
        </w:rPr>
        <w:t>三、本项目所在地 </w:t>
      </w:r>
      <w:r>
        <w:rPr>
          <w:rFonts w:ascii="Times New Roman" w:hAnsi="Times New Roman" w:eastAsia="Times New Roman"/>
          <w:b/>
        </w:rPr>
        <w:t>X-γ</w:t>
      </w:r>
      <w:r>
        <w:rPr/>
        <w:t>辐射空气吸收剂量现状监测</w:t>
      </w:r>
    </w:p>
    <w:p>
      <w:pPr>
        <w:pStyle w:val="BodyText"/>
        <w:spacing w:line="364" w:lineRule="auto" w:before="212"/>
        <w:ind w:left="291" w:right="436" w:firstLine="480"/>
        <w:jc w:val="both"/>
      </w:pPr>
      <w:r>
        <w:rPr/>
        <w:t>为掌握项目所在地的辐射环境现状，本次评价过程中，四川中环康源卫生技术服</w:t>
      </w:r>
      <w:r>
        <w:rPr>
          <w:spacing w:val="-1"/>
        </w:rPr>
        <w:t>务有限公司对项目拟建场所及周边进行了 </w:t>
      </w:r>
      <w:r>
        <w:rPr>
          <w:rFonts w:ascii="Times New Roman" w:hAnsi="Times New Roman" w:eastAsia="Times New Roman"/>
        </w:rPr>
        <w:t>X-γ</w:t>
      </w:r>
      <w:r>
        <w:rPr/>
        <w:t>辐射环境剂量率的布点监测。其监测项</w:t>
      </w:r>
      <w:r>
        <w:rPr>
          <w:spacing w:val="-6"/>
        </w:rPr>
        <w:t>目、分析方法及来源见表 </w:t>
      </w:r>
      <w:r>
        <w:rPr>
          <w:rFonts w:ascii="Times New Roman" w:hAnsi="Times New Roman" w:eastAsia="Times New Roman"/>
        </w:rPr>
        <w:t>8-1</w:t>
      </w:r>
      <w:r>
        <w:rPr/>
        <w:t>。</w:t>
      </w:r>
    </w:p>
    <w:p>
      <w:pPr>
        <w:spacing w:before="20"/>
        <w:ind w:left="3209" w:right="0" w:firstLine="0"/>
        <w:jc w:val="both"/>
        <w:rPr>
          <w:sz w:val="21"/>
        </w:rPr>
      </w:pPr>
      <w:r>
        <w:rPr>
          <w:spacing w:val="-13"/>
          <w:w w:val="95"/>
          <w:sz w:val="21"/>
        </w:rPr>
        <w:t>表 </w:t>
      </w:r>
      <w:r>
        <w:rPr>
          <w:rFonts w:ascii="Times New Roman" w:eastAsia="Times New Roman"/>
          <w:w w:val="95"/>
          <w:sz w:val="21"/>
        </w:rPr>
        <w:t>8-1</w:t>
      </w:r>
      <w:r>
        <w:rPr>
          <w:rFonts w:ascii="Times New Roman" w:eastAsia="Times New Roman"/>
          <w:spacing w:val="49"/>
          <w:sz w:val="21"/>
        </w:rPr>
        <w:t>   </w:t>
      </w:r>
      <w:r>
        <w:rPr>
          <w:w w:val="95"/>
          <w:sz w:val="21"/>
        </w:rPr>
        <w:t>监测项目、方法及方法来源表</w:t>
      </w:r>
    </w:p>
    <w:p>
      <w:pPr>
        <w:pStyle w:val="BodyText"/>
        <w:spacing w:before="11"/>
        <w:rPr>
          <w:sz w:val="7"/>
        </w:rPr>
      </w:pPr>
    </w:p>
    <w:tbl>
      <w:tblPr>
        <w:tblW w:w="0" w:type="auto"/>
        <w:jc w:val="left"/>
        <w:tblInd w:w="2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11"/>
        <w:gridCol w:w="3367"/>
        <w:gridCol w:w="1875"/>
        <w:gridCol w:w="1939"/>
      </w:tblGrid>
      <w:tr>
        <w:trPr>
          <w:trHeight w:val="400" w:hRule="atLeast"/>
        </w:trPr>
        <w:tc>
          <w:tcPr>
            <w:tcW w:w="1711" w:type="dxa"/>
            <w:tcBorders>
              <w:left w:val="nil"/>
              <w:right w:val="single" w:sz="8" w:space="0" w:color="000000"/>
            </w:tcBorders>
          </w:tcPr>
          <w:p>
            <w:pPr>
              <w:pStyle w:val="TableParagraph"/>
              <w:spacing w:line="268" w:lineRule="exact" w:before="111"/>
              <w:ind w:left="443"/>
              <w:jc w:val="left"/>
              <w:rPr>
                <w:sz w:val="21"/>
              </w:rPr>
            </w:pPr>
            <w:r>
              <w:rPr>
                <w:w w:val="95"/>
                <w:sz w:val="21"/>
              </w:rPr>
              <w:t>监测项目</w:t>
            </w:r>
          </w:p>
        </w:tc>
        <w:tc>
          <w:tcPr>
            <w:tcW w:w="3367" w:type="dxa"/>
            <w:tcBorders>
              <w:left w:val="single" w:sz="8" w:space="0" w:color="000000"/>
              <w:right w:val="single" w:sz="8" w:space="0" w:color="000000"/>
            </w:tcBorders>
          </w:tcPr>
          <w:p>
            <w:pPr>
              <w:pStyle w:val="TableParagraph"/>
              <w:spacing w:line="268" w:lineRule="exact" w:before="111"/>
              <w:ind w:left="45" w:right="17"/>
              <w:rPr>
                <w:sz w:val="21"/>
              </w:rPr>
            </w:pPr>
            <w:r>
              <w:rPr>
                <w:w w:val="95"/>
                <w:sz w:val="21"/>
              </w:rPr>
              <w:t>监测方法</w:t>
            </w:r>
          </w:p>
        </w:tc>
        <w:tc>
          <w:tcPr>
            <w:tcW w:w="1875" w:type="dxa"/>
            <w:tcBorders>
              <w:left w:val="single" w:sz="8" w:space="0" w:color="000000"/>
              <w:right w:val="single" w:sz="8" w:space="0" w:color="000000"/>
            </w:tcBorders>
          </w:tcPr>
          <w:p>
            <w:pPr>
              <w:pStyle w:val="TableParagraph"/>
              <w:spacing w:line="268" w:lineRule="exact" w:before="111"/>
              <w:ind w:left="327" w:right="299"/>
              <w:rPr>
                <w:sz w:val="21"/>
              </w:rPr>
            </w:pPr>
            <w:r>
              <w:rPr>
                <w:w w:val="95"/>
                <w:sz w:val="21"/>
              </w:rPr>
              <w:t>方法来源</w:t>
            </w:r>
          </w:p>
        </w:tc>
        <w:tc>
          <w:tcPr>
            <w:tcW w:w="1939" w:type="dxa"/>
            <w:tcBorders>
              <w:left w:val="single" w:sz="8" w:space="0" w:color="000000"/>
              <w:right w:val="nil"/>
            </w:tcBorders>
          </w:tcPr>
          <w:p>
            <w:pPr>
              <w:pStyle w:val="TableParagraph"/>
              <w:spacing w:line="268" w:lineRule="exact" w:before="111"/>
              <w:ind w:left="663"/>
              <w:jc w:val="left"/>
              <w:rPr>
                <w:sz w:val="21"/>
              </w:rPr>
            </w:pPr>
            <w:r>
              <w:rPr>
                <w:w w:val="95"/>
                <w:sz w:val="21"/>
              </w:rPr>
              <w:t>检出限</w:t>
            </w:r>
          </w:p>
        </w:tc>
      </w:tr>
      <w:tr>
        <w:trPr>
          <w:trHeight w:val="395" w:hRule="atLeast"/>
        </w:trPr>
        <w:tc>
          <w:tcPr>
            <w:tcW w:w="1711" w:type="dxa"/>
            <w:vMerge w:val="restart"/>
            <w:tcBorders>
              <w:left w:val="nil"/>
              <w:right w:val="single" w:sz="8" w:space="0" w:color="000000"/>
            </w:tcBorders>
          </w:tcPr>
          <w:p>
            <w:pPr>
              <w:pStyle w:val="TableParagraph"/>
              <w:spacing w:line="400" w:lineRule="atLeast" w:before="6"/>
              <w:ind w:left="549" w:right="48" w:hanging="471"/>
              <w:jc w:val="left"/>
              <w:rPr>
                <w:sz w:val="21"/>
              </w:rPr>
            </w:pPr>
            <w:r>
              <w:rPr>
                <w:rFonts w:ascii="Times New Roman" w:hAnsi="Times New Roman" w:eastAsia="Times New Roman"/>
                <w:spacing w:val="-1"/>
                <w:sz w:val="21"/>
              </w:rPr>
              <w:t>X-γ</w:t>
            </w:r>
            <w:r>
              <w:rPr>
                <w:spacing w:val="-1"/>
                <w:sz w:val="21"/>
              </w:rPr>
              <w:t>辐射空气吸收</w:t>
            </w:r>
            <w:r>
              <w:rPr>
                <w:sz w:val="21"/>
              </w:rPr>
              <w:t>剂量率</w:t>
            </w:r>
          </w:p>
        </w:tc>
        <w:tc>
          <w:tcPr>
            <w:tcW w:w="3367" w:type="dxa"/>
            <w:tcBorders>
              <w:left w:val="single" w:sz="8" w:space="0" w:color="000000"/>
              <w:bottom w:val="single" w:sz="8" w:space="0" w:color="000000"/>
              <w:right w:val="single" w:sz="8" w:space="0" w:color="000000"/>
            </w:tcBorders>
          </w:tcPr>
          <w:p>
            <w:pPr>
              <w:pStyle w:val="TableParagraph"/>
              <w:spacing w:line="264" w:lineRule="exact" w:before="111"/>
              <w:ind w:left="45" w:right="19"/>
              <w:rPr>
                <w:sz w:val="21"/>
              </w:rPr>
            </w:pPr>
            <w:r>
              <w:rPr>
                <w:sz w:val="21"/>
              </w:rPr>
              <w:t>《环境</w:t>
            </w:r>
            <w:r>
              <w:rPr>
                <w:rFonts w:ascii="Times New Roman" w:hAnsi="Times New Roman" w:eastAsia="Times New Roman"/>
                <w:sz w:val="21"/>
              </w:rPr>
              <w:t>γ</w:t>
            </w:r>
            <w:r>
              <w:rPr>
                <w:sz w:val="21"/>
              </w:rPr>
              <w:t>辐射剂量率测量技术规范》</w:t>
            </w:r>
          </w:p>
        </w:tc>
        <w:tc>
          <w:tcPr>
            <w:tcW w:w="1875" w:type="dxa"/>
            <w:tcBorders>
              <w:left w:val="single" w:sz="8" w:space="0" w:color="000000"/>
              <w:bottom w:val="single" w:sz="8" w:space="0" w:color="000000"/>
              <w:right w:val="single" w:sz="8" w:space="0" w:color="000000"/>
            </w:tcBorders>
          </w:tcPr>
          <w:p>
            <w:pPr>
              <w:pStyle w:val="TableParagraph"/>
              <w:spacing w:before="125"/>
              <w:ind w:left="328" w:right="299"/>
              <w:rPr>
                <w:rFonts w:ascii="Times New Roman"/>
                <w:sz w:val="21"/>
              </w:rPr>
            </w:pPr>
            <w:r>
              <w:rPr>
                <w:rFonts w:ascii="Times New Roman"/>
                <w:sz w:val="21"/>
              </w:rPr>
              <w:t>HJ</w:t>
            </w:r>
            <w:r>
              <w:rPr>
                <w:rFonts w:ascii="Times New Roman"/>
                <w:spacing w:val="-8"/>
                <w:sz w:val="21"/>
              </w:rPr>
              <w:t> </w:t>
            </w:r>
            <w:r>
              <w:rPr>
                <w:rFonts w:ascii="Times New Roman"/>
                <w:sz w:val="21"/>
              </w:rPr>
              <w:t>1157-2021</w:t>
            </w:r>
          </w:p>
        </w:tc>
        <w:tc>
          <w:tcPr>
            <w:tcW w:w="1939" w:type="dxa"/>
            <w:vMerge w:val="restart"/>
            <w:tcBorders>
              <w:left w:val="single" w:sz="8" w:space="0" w:color="000000"/>
              <w:right w:val="nil"/>
            </w:tcBorders>
          </w:tcPr>
          <w:p>
            <w:pPr>
              <w:pStyle w:val="TableParagraph"/>
              <w:spacing w:before="4"/>
              <w:jc w:val="left"/>
              <w:rPr>
                <w:sz w:val="27"/>
              </w:rPr>
            </w:pPr>
          </w:p>
          <w:p>
            <w:pPr>
              <w:pStyle w:val="TableParagraph"/>
              <w:ind w:left="522"/>
              <w:jc w:val="left"/>
              <w:rPr>
                <w:rFonts w:ascii="Times New Roman" w:hAnsi="Times New Roman"/>
                <w:sz w:val="21"/>
              </w:rPr>
            </w:pPr>
            <w:r>
              <w:rPr>
                <w:rFonts w:ascii="Times New Roman" w:hAnsi="Times New Roman"/>
                <w:sz w:val="21"/>
              </w:rPr>
              <w:t>0.01</w:t>
            </w:r>
            <w:r>
              <w:rPr>
                <w:rFonts w:ascii="Times New Roman" w:hAnsi="Times New Roman"/>
                <w:spacing w:val="-4"/>
                <w:sz w:val="21"/>
              </w:rPr>
              <w:t> </w:t>
            </w:r>
            <w:r>
              <w:rPr>
                <w:rFonts w:ascii="Times New Roman" w:hAnsi="Times New Roman"/>
                <w:sz w:val="21"/>
              </w:rPr>
              <w:t>μSv/h</w:t>
            </w:r>
          </w:p>
        </w:tc>
      </w:tr>
      <w:tr>
        <w:trPr>
          <w:trHeight w:val="428" w:hRule="atLeast"/>
        </w:trPr>
        <w:tc>
          <w:tcPr>
            <w:tcW w:w="1711" w:type="dxa"/>
            <w:vMerge/>
            <w:tcBorders>
              <w:top w:val="nil"/>
              <w:left w:val="nil"/>
              <w:right w:val="single" w:sz="8" w:space="0" w:color="000000"/>
            </w:tcBorders>
          </w:tcPr>
          <w:p>
            <w:pPr>
              <w:rPr>
                <w:sz w:val="2"/>
                <w:szCs w:val="2"/>
              </w:rPr>
            </w:pPr>
          </w:p>
        </w:tc>
        <w:tc>
          <w:tcPr>
            <w:tcW w:w="3367" w:type="dxa"/>
            <w:tcBorders>
              <w:top w:val="single" w:sz="8" w:space="0" w:color="000000"/>
              <w:left w:val="single" w:sz="8" w:space="0" w:color="000000"/>
              <w:right w:val="single" w:sz="8" w:space="0" w:color="000000"/>
            </w:tcBorders>
          </w:tcPr>
          <w:p>
            <w:pPr>
              <w:pStyle w:val="TableParagraph"/>
              <w:spacing w:before="122"/>
              <w:ind w:left="42" w:right="19"/>
              <w:rPr>
                <w:sz w:val="21"/>
              </w:rPr>
            </w:pPr>
            <w:r>
              <w:rPr>
                <w:sz w:val="21"/>
              </w:rPr>
              <w:t>《辐射环境监测技术规范》</w:t>
            </w:r>
          </w:p>
        </w:tc>
        <w:tc>
          <w:tcPr>
            <w:tcW w:w="1875" w:type="dxa"/>
            <w:tcBorders>
              <w:top w:val="single" w:sz="8" w:space="0" w:color="000000"/>
              <w:left w:val="single" w:sz="8" w:space="0" w:color="000000"/>
              <w:right w:val="single" w:sz="8" w:space="0" w:color="000000"/>
            </w:tcBorders>
          </w:tcPr>
          <w:p>
            <w:pPr>
              <w:pStyle w:val="TableParagraph"/>
              <w:spacing w:before="136"/>
              <w:ind w:left="328" w:right="297"/>
              <w:rPr>
                <w:rFonts w:ascii="Times New Roman"/>
                <w:sz w:val="21"/>
              </w:rPr>
            </w:pPr>
            <w:r>
              <w:rPr>
                <w:rFonts w:ascii="Times New Roman"/>
                <w:sz w:val="21"/>
              </w:rPr>
              <w:t>HJ</w:t>
            </w:r>
            <w:r>
              <w:rPr>
                <w:rFonts w:ascii="Times New Roman"/>
                <w:spacing w:val="-2"/>
                <w:sz w:val="21"/>
              </w:rPr>
              <w:t> </w:t>
            </w:r>
            <w:r>
              <w:rPr>
                <w:rFonts w:ascii="Times New Roman"/>
                <w:sz w:val="21"/>
              </w:rPr>
              <w:t>61-2021</w:t>
            </w:r>
          </w:p>
        </w:tc>
        <w:tc>
          <w:tcPr>
            <w:tcW w:w="1939" w:type="dxa"/>
            <w:vMerge/>
            <w:tcBorders>
              <w:top w:val="nil"/>
              <w:left w:val="single" w:sz="8" w:space="0" w:color="000000"/>
              <w:right w:val="nil"/>
            </w:tcBorders>
          </w:tcPr>
          <w:p>
            <w:pPr>
              <w:rPr>
                <w:sz w:val="2"/>
                <w:szCs w:val="2"/>
              </w:rPr>
            </w:pPr>
          </w:p>
        </w:tc>
      </w:tr>
    </w:tbl>
    <w:p>
      <w:pPr>
        <w:pStyle w:val="BodyText"/>
        <w:spacing w:before="81"/>
        <w:ind w:left="771"/>
      </w:pPr>
      <w:r>
        <w:rPr>
          <w:spacing w:val="-6"/>
        </w:rPr>
        <w:t>监测使用仪器及环境条件见表 </w:t>
      </w:r>
      <w:r>
        <w:rPr>
          <w:rFonts w:ascii="Times New Roman" w:eastAsia="Times New Roman"/>
        </w:rPr>
        <w:t>8-2</w:t>
      </w:r>
      <w:r>
        <w:rPr/>
        <w:t>。</w:t>
      </w:r>
    </w:p>
    <w:p>
      <w:pPr>
        <w:tabs>
          <w:tab w:pos="1026" w:val="left" w:leader="none"/>
        </w:tabs>
        <w:spacing w:before="178"/>
        <w:ind w:left="273" w:right="0" w:firstLine="0"/>
        <w:jc w:val="center"/>
        <w:rPr>
          <w:sz w:val="21"/>
        </w:rPr>
      </w:pPr>
      <w:r>
        <w:rPr>
          <w:w w:val="95"/>
          <w:sz w:val="21"/>
        </w:rPr>
        <w:t>表</w:t>
      </w:r>
      <w:r>
        <w:rPr>
          <w:spacing w:val="-43"/>
          <w:w w:val="95"/>
          <w:sz w:val="21"/>
        </w:rPr>
        <w:t> </w:t>
      </w:r>
      <w:r>
        <w:rPr>
          <w:rFonts w:ascii="Times New Roman" w:eastAsia="Times New Roman"/>
          <w:w w:val="95"/>
          <w:sz w:val="21"/>
        </w:rPr>
        <w:t>8-2</w:t>
        <w:tab/>
      </w:r>
      <w:r>
        <w:rPr>
          <w:w w:val="95"/>
          <w:sz w:val="21"/>
        </w:rPr>
        <w:t>监测使用仪器表</w:t>
      </w:r>
    </w:p>
    <w:p>
      <w:pPr>
        <w:pStyle w:val="BodyText"/>
        <w:spacing w:before="11" w:after="1"/>
        <w:rPr>
          <w:sz w:val="7"/>
        </w:rPr>
      </w:pP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9"/>
        <w:gridCol w:w="1564"/>
        <w:gridCol w:w="2536"/>
        <w:gridCol w:w="3052"/>
        <w:gridCol w:w="703"/>
      </w:tblGrid>
      <w:tr>
        <w:trPr>
          <w:trHeight w:val="395" w:hRule="atLeast"/>
        </w:trPr>
        <w:tc>
          <w:tcPr>
            <w:tcW w:w="1039" w:type="dxa"/>
            <w:vMerge w:val="restart"/>
            <w:tcBorders>
              <w:left w:val="nil"/>
              <w:right w:val="single" w:sz="8" w:space="0" w:color="000000"/>
            </w:tcBorders>
          </w:tcPr>
          <w:p>
            <w:pPr>
              <w:pStyle w:val="TableParagraph"/>
              <w:spacing w:line="398" w:lineRule="exact" w:before="14"/>
              <w:ind w:left="427" w:right="176" w:hanging="209"/>
              <w:jc w:val="left"/>
              <w:rPr>
                <w:sz w:val="21"/>
              </w:rPr>
            </w:pPr>
            <w:r>
              <w:rPr>
                <w:spacing w:val="-1"/>
                <w:sz w:val="21"/>
              </w:rPr>
              <w:t>监测项</w:t>
            </w:r>
            <w:r>
              <w:rPr>
                <w:sz w:val="21"/>
              </w:rPr>
              <w:t>目</w:t>
            </w:r>
          </w:p>
        </w:tc>
        <w:tc>
          <w:tcPr>
            <w:tcW w:w="7152" w:type="dxa"/>
            <w:gridSpan w:val="3"/>
            <w:tcBorders>
              <w:left w:val="single" w:sz="8" w:space="0" w:color="000000"/>
              <w:bottom w:val="single" w:sz="8" w:space="0" w:color="000000"/>
              <w:right w:val="single" w:sz="8" w:space="0" w:color="000000"/>
            </w:tcBorders>
          </w:tcPr>
          <w:p>
            <w:pPr>
              <w:pStyle w:val="TableParagraph"/>
              <w:spacing w:line="264" w:lineRule="exact" w:before="111"/>
              <w:ind w:left="3163" w:right="3131"/>
              <w:rPr>
                <w:sz w:val="21"/>
              </w:rPr>
            </w:pPr>
            <w:r>
              <w:rPr>
                <w:w w:val="95"/>
                <w:sz w:val="21"/>
              </w:rPr>
              <w:t>监测仪器</w:t>
            </w:r>
          </w:p>
        </w:tc>
        <w:tc>
          <w:tcPr>
            <w:tcW w:w="703" w:type="dxa"/>
            <w:vMerge w:val="restart"/>
            <w:tcBorders>
              <w:left w:val="single" w:sz="8" w:space="0" w:color="000000"/>
              <w:bottom w:val="single" w:sz="8" w:space="0" w:color="000000"/>
              <w:right w:val="nil"/>
            </w:tcBorders>
          </w:tcPr>
          <w:p>
            <w:pPr>
              <w:pStyle w:val="TableParagraph"/>
              <w:spacing w:before="4"/>
              <w:jc w:val="left"/>
              <w:rPr>
                <w:sz w:val="25"/>
              </w:rPr>
            </w:pPr>
          </w:p>
          <w:p>
            <w:pPr>
              <w:pStyle w:val="TableParagraph"/>
              <w:spacing w:before="1"/>
              <w:ind w:left="144"/>
              <w:jc w:val="left"/>
              <w:rPr>
                <w:sz w:val="21"/>
              </w:rPr>
            </w:pPr>
            <w:r>
              <w:rPr>
                <w:sz w:val="21"/>
              </w:rPr>
              <w:t>备注</w:t>
            </w:r>
          </w:p>
        </w:tc>
      </w:tr>
      <w:tr>
        <w:trPr>
          <w:trHeight w:val="404" w:hRule="atLeast"/>
        </w:trPr>
        <w:tc>
          <w:tcPr>
            <w:tcW w:w="1039" w:type="dxa"/>
            <w:vMerge/>
            <w:tcBorders>
              <w:top w:val="nil"/>
              <w:left w:val="nil"/>
              <w:right w:val="single" w:sz="8" w:space="0" w:color="000000"/>
            </w:tcBorders>
          </w:tcPr>
          <w:p>
            <w:pPr>
              <w:rPr>
                <w:sz w:val="2"/>
                <w:szCs w:val="2"/>
              </w:rPr>
            </w:pPr>
          </w:p>
        </w:tc>
        <w:tc>
          <w:tcPr>
            <w:tcW w:w="1564" w:type="dxa"/>
            <w:tcBorders>
              <w:top w:val="single" w:sz="8" w:space="0" w:color="000000"/>
              <w:left w:val="single" w:sz="8" w:space="0" w:color="000000"/>
              <w:right w:val="single" w:sz="8" w:space="0" w:color="000000"/>
            </w:tcBorders>
          </w:tcPr>
          <w:p>
            <w:pPr>
              <w:pStyle w:val="TableParagraph"/>
              <w:spacing w:line="269" w:lineRule="exact" w:before="116"/>
              <w:ind w:left="261"/>
              <w:jc w:val="left"/>
              <w:rPr>
                <w:sz w:val="21"/>
              </w:rPr>
            </w:pPr>
            <w:r>
              <w:rPr>
                <w:w w:val="95"/>
                <w:sz w:val="21"/>
              </w:rPr>
              <w:t>名称及编号</w:t>
            </w:r>
          </w:p>
        </w:tc>
        <w:tc>
          <w:tcPr>
            <w:tcW w:w="2536" w:type="dxa"/>
            <w:tcBorders>
              <w:top w:val="single" w:sz="8" w:space="0" w:color="000000"/>
              <w:left w:val="single" w:sz="8" w:space="0" w:color="000000"/>
              <w:right w:val="single" w:sz="8" w:space="0" w:color="000000"/>
            </w:tcBorders>
          </w:tcPr>
          <w:p>
            <w:pPr>
              <w:pStyle w:val="TableParagraph"/>
              <w:spacing w:line="269" w:lineRule="exact" w:before="116"/>
              <w:ind w:left="853"/>
              <w:jc w:val="left"/>
              <w:rPr>
                <w:sz w:val="21"/>
              </w:rPr>
            </w:pPr>
            <w:r>
              <w:rPr>
                <w:w w:val="95"/>
                <w:sz w:val="21"/>
              </w:rPr>
              <w:t>技术参数</w:t>
            </w:r>
          </w:p>
        </w:tc>
        <w:tc>
          <w:tcPr>
            <w:tcW w:w="3052" w:type="dxa"/>
            <w:tcBorders>
              <w:top w:val="single" w:sz="8" w:space="0" w:color="000000"/>
              <w:left w:val="single" w:sz="8" w:space="0" w:color="000000"/>
              <w:right w:val="single" w:sz="8" w:space="0" w:color="000000"/>
            </w:tcBorders>
          </w:tcPr>
          <w:p>
            <w:pPr>
              <w:pStyle w:val="TableParagraph"/>
              <w:spacing w:line="269" w:lineRule="exact" w:before="116"/>
              <w:ind w:left="112" w:right="80"/>
              <w:rPr>
                <w:sz w:val="21"/>
              </w:rPr>
            </w:pPr>
            <w:r>
              <w:rPr>
                <w:w w:val="95"/>
                <w:sz w:val="21"/>
              </w:rPr>
              <w:t>检定情况</w:t>
            </w:r>
          </w:p>
        </w:tc>
        <w:tc>
          <w:tcPr>
            <w:tcW w:w="703" w:type="dxa"/>
            <w:vMerge/>
            <w:tcBorders>
              <w:top w:val="nil"/>
              <w:left w:val="single" w:sz="8" w:space="0" w:color="000000"/>
              <w:bottom w:val="single" w:sz="8" w:space="0" w:color="000000"/>
              <w:right w:val="nil"/>
            </w:tcBorders>
          </w:tcPr>
          <w:p>
            <w:pPr>
              <w:rPr>
                <w:sz w:val="2"/>
                <w:szCs w:val="2"/>
              </w:rPr>
            </w:pPr>
          </w:p>
        </w:tc>
      </w:tr>
      <w:tr>
        <w:trPr>
          <w:trHeight w:val="2200" w:hRule="atLeast"/>
        </w:trPr>
        <w:tc>
          <w:tcPr>
            <w:tcW w:w="1039" w:type="dxa"/>
            <w:tcBorders>
              <w:left w:val="nil"/>
              <w:right w:val="single" w:sz="8" w:space="0" w:color="000000"/>
            </w:tcBorders>
          </w:tcPr>
          <w:p>
            <w:pPr>
              <w:pStyle w:val="TableParagraph"/>
              <w:jc w:val="left"/>
              <w:rPr>
                <w:sz w:val="20"/>
              </w:rPr>
            </w:pPr>
          </w:p>
          <w:p>
            <w:pPr>
              <w:pStyle w:val="TableParagraph"/>
              <w:spacing w:line="357" w:lineRule="auto" w:before="154"/>
              <w:ind w:left="166" w:right="128"/>
              <w:rPr>
                <w:sz w:val="21"/>
              </w:rPr>
            </w:pPr>
            <w:r>
              <w:rPr>
                <w:rFonts w:ascii="Times New Roman" w:hAnsi="Times New Roman" w:eastAsia="Times New Roman"/>
                <w:spacing w:val="-2"/>
                <w:sz w:val="21"/>
              </w:rPr>
              <w:t>X-γ</w:t>
            </w:r>
            <w:r>
              <w:rPr>
                <w:spacing w:val="-1"/>
                <w:sz w:val="21"/>
              </w:rPr>
              <w:t>辐射</w:t>
            </w:r>
            <w:r>
              <w:rPr>
                <w:sz w:val="21"/>
              </w:rPr>
              <w:t>空气吸收剂量率</w:t>
            </w:r>
          </w:p>
        </w:tc>
        <w:tc>
          <w:tcPr>
            <w:tcW w:w="1564" w:type="dxa"/>
            <w:tcBorders>
              <w:left w:val="single" w:sz="8" w:space="0" w:color="000000"/>
              <w:right w:val="single" w:sz="8" w:space="0" w:color="000000"/>
            </w:tcBorders>
          </w:tcPr>
          <w:p>
            <w:pPr>
              <w:pStyle w:val="TableParagraph"/>
              <w:spacing w:before="6"/>
              <w:jc w:val="left"/>
              <w:rPr>
                <w:sz w:val="16"/>
              </w:rPr>
            </w:pPr>
          </w:p>
          <w:p>
            <w:pPr>
              <w:pStyle w:val="TableParagraph"/>
              <w:ind w:left="105" w:right="79"/>
              <w:rPr>
                <w:sz w:val="21"/>
              </w:rPr>
            </w:pPr>
            <w:r>
              <w:rPr>
                <w:rFonts w:ascii="Times New Roman" w:eastAsia="Times New Roman"/>
                <w:sz w:val="21"/>
              </w:rPr>
              <w:t>BH3103B</w:t>
            </w:r>
            <w:r>
              <w:rPr>
                <w:rFonts w:ascii="Times New Roman" w:eastAsia="Times New Roman"/>
                <w:spacing w:val="-5"/>
                <w:sz w:val="21"/>
              </w:rPr>
              <w:t> </w:t>
            </w:r>
            <w:r>
              <w:rPr>
                <w:sz w:val="21"/>
              </w:rPr>
              <w:t>型便</w:t>
            </w:r>
          </w:p>
          <w:p>
            <w:pPr>
              <w:pStyle w:val="TableParagraph"/>
              <w:spacing w:line="357" w:lineRule="auto" w:before="130"/>
              <w:ind w:left="185" w:right="154"/>
              <w:rPr>
                <w:sz w:val="21"/>
              </w:rPr>
            </w:pPr>
            <w:r>
              <w:rPr>
                <w:spacing w:val="-8"/>
                <w:w w:val="95"/>
                <w:sz w:val="21"/>
              </w:rPr>
              <w:t>携式 </w:t>
            </w:r>
            <w:r>
              <w:rPr>
                <w:rFonts w:ascii="Times New Roman" w:hAnsi="Times New Roman" w:eastAsia="Times New Roman"/>
                <w:w w:val="95"/>
                <w:sz w:val="21"/>
              </w:rPr>
              <w:t>X-γ</w:t>
            </w:r>
            <w:r>
              <w:rPr>
                <w:w w:val="95"/>
                <w:sz w:val="21"/>
              </w:rPr>
              <w:t>剂量</w:t>
            </w:r>
            <w:r>
              <w:rPr>
                <w:sz w:val="21"/>
              </w:rPr>
              <w:t>率仪</w:t>
            </w:r>
          </w:p>
          <w:p>
            <w:pPr>
              <w:pStyle w:val="TableParagraph"/>
              <w:spacing w:line="269" w:lineRule="exact"/>
              <w:ind w:left="105" w:right="79"/>
              <w:rPr>
                <w:sz w:val="21"/>
              </w:rPr>
            </w:pPr>
            <w:r>
              <w:rPr>
                <w:sz w:val="21"/>
              </w:rPr>
              <w:t>编号：</w:t>
            </w:r>
          </w:p>
          <w:p>
            <w:pPr>
              <w:pStyle w:val="TableParagraph"/>
              <w:spacing w:before="143"/>
              <w:ind w:left="105" w:right="75"/>
              <w:rPr>
                <w:rFonts w:ascii="Times New Roman"/>
                <w:sz w:val="21"/>
              </w:rPr>
            </w:pPr>
            <w:r>
              <w:rPr>
                <w:rFonts w:ascii="Times New Roman"/>
                <w:sz w:val="21"/>
              </w:rPr>
              <w:t>YQ19032</w:t>
            </w:r>
          </w:p>
        </w:tc>
        <w:tc>
          <w:tcPr>
            <w:tcW w:w="2536" w:type="dxa"/>
            <w:tcBorders>
              <w:left w:val="single" w:sz="8" w:space="0" w:color="000000"/>
              <w:right w:val="single" w:sz="8" w:space="0" w:color="000000"/>
            </w:tcBorders>
          </w:tcPr>
          <w:p>
            <w:pPr>
              <w:pStyle w:val="TableParagraph"/>
              <w:spacing w:before="142"/>
              <w:ind w:left="111"/>
              <w:jc w:val="left"/>
              <w:rPr>
                <w:sz w:val="21"/>
              </w:rPr>
            </w:pPr>
            <w:r>
              <w:rPr>
                <w:spacing w:val="18"/>
                <w:w w:val="95"/>
                <w:sz w:val="21"/>
              </w:rPr>
              <w:t>测量范围：</w:t>
            </w:r>
            <w:r>
              <w:rPr>
                <w:spacing w:val="10"/>
                <w:w w:val="95"/>
                <w:sz w:val="21"/>
              </w:rPr>
              <w:t>（</w:t>
            </w:r>
            <w:r>
              <w:rPr>
                <w:spacing w:val="-57"/>
                <w:w w:val="95"/>
                <w:sz w:val="21"/>
              </w:rPr>
              <w:t> </w:t>
            </w:r>
            <w:r>
              <w:rPr>
                <w:rFonts w:ascii="Times New Roman" w:eastAsia="Times New Roman"/>
                <w:w w:val="95"/>
                <w:sz w:val="21"/>
              </w:rPr>
              <w:t>1-10000</w:t>
            </w:r>
            <w:r>
              <w:rPr>
                <w:rFonts w:ascii="Times New Roman" w:eastAsia="Times New Roman"/>
                <w:spacing w:val="-12"/>
                <w:w w:val="95"/>
                <w:sz w:val="21"/>
              </w:rPr>
              <w:t> </w:t>
            </w:r>
            <w:r>
              <w:rPr>
                <w:w w:val="95"/>
                <w:sz w:val="21"/>
              </w:rPr>
              <w:t>）</w:t>
            </w:r>
          </w:p>
          <w:p>
            <w:pPr>
              <w:pStyle w:val="TableParagraph"/>
              <w:spacing w:before="186"/>
              <w:ind w:left="111"/>
              <w:jc w:val="left"/>
              <w:rPr>
                <w:rFonts w:ascii="Times New Roman" w:hAnsi="Times New Roman"/>
                <w:sz w:val="21"/>
              </w:rPr>
            </w:pPr>
            <w:r>
              <w:rPr>
                <w:rFonts w:ascii="Times New Roman" w:hAnsi="Times New Roman"/>
                <w:sz w:val="21"/>
              </w:rPr>
              <w:t>×10</w:t>
            </w:r>
            <w:r>
              <w:rPr>
                <w:rFonts w:ascii="Times New Roman" w:hAnsi="Times New Roman"/>
                <w:sz w:val="21"/>
                <w:vertAlign w:val="superscript"/>
              </w:rPr>
              <w:t>-8</w:t>
            </w:r>
            <w:r>
              <w:rPr>
                <w:rFonts w:ascii="Times New Roman" w:hAnsi="Times New Roman"/>
                <w:sz w:val="21"/>
                <w:vertAlign w:val="baseline"/>
              </w:rPr>
              <w:t>Gy/h</w:t>
            </w:r>
          </w:p>
          <w:p>
            <w:pPr>
              <w:pStyle w:val="TableParagraph"/>
              <w:spacing w:line="403" w:lineRule="auto" w:before="184"/>
              <w:ind w:left="111" w:right="331"/>
              <w:jc w:val="left"/>
              <w:rPr>
                <w:rFonts w:ascii="Times New Roman" w:eastAsia="Times New Roman"/>
                <w:sz w:val="21"/>
              </w:rPr>
            </w:pPr>
            <w:r>
              <w:rPr>
                <w:spacing w:val="-1"/>
                <w:sz w:val="21"/>
              </w:rPr>
              <w:t>能响范围：</w:t>
            </w:r>
            <w:r>
              <w:rPr>
                <w:rFonts w:ascii="Times New Roman" w:eastAsia="Times New Roman"/>
                <w:spacing w:val="-1"/>
                <w:sz w:val="21"/>
              </w:rPr>
              <w:t>0.025MeV~</w:t>
            </w:r>
            <w:r>
              <w:rPr>
                <w:rFonts w:ascii="Times New Roman" w:eastAsia="Times New Roman"/>
                <w:spacing w:val="-50"/>
                <w:sz w:val="21"/>
              </w:rPr>
              <w:t> </w:t>
            </w:r>
            <w:r>
              <w:rPr>
                <w:rFonts w:ascii="Times New Roman" w:eastAsia="Times New Roman"/>
                <w:sz w:val="21"/>
              </w:rPr>
              <w:t>3MeV</w:t>
            </w:r>
          </w:p>
          <w:p>
            <w:pPr>
              <w:pStyle w:val="TableParagraph"/>
              <w:spacing w:before="23"/>
              <w:ind w:left="111"/>
              <w:jc w:val="left"/>
              <w:rPr>
                <w:rFonts w:ascii="Times New Roman" w:eastAsia="Times New Roman"/>
                <w:sz w:val="21"/>
              </w:rPr>
            </w:pPr>
            <w:r>
              <w:rPr>
                <w:sz w:val="21"/>
              </w:rPr>
              <w:t>修正因子：</w:t>
            </w:r>
            <w:r>
              <w:rPr>
                <w:rFonts w:ascii="Times New Roman" w:eastAsia="Times New Roman"/>
                <w:sz w:val="21"/>
              </w:rPr>
              <w:t>0.90</w:t>
            </w:r>
          </w:p>
        </w:tc>
        <w:tc>
          <w:tcPr>
            <w:tcW w:w="3052" w:type="dxa"/>
            <w:tcBorders>
              <w:left w:val="single" w:sz="8" w:space="0" w:color="000000"/>
              <w:right w:val="single" w:sz="8" w:space="0" w:color="000000"/>
            </w:tcBorders>
          </w:tcPr>
          <w:p>
            <w:pPr>
              <w:pStyle w:val="TableParagraph"/>
              <w:spacing w:before="6"/>
              <w:jc w:val="left"/>
              <w:rPr>
                <w:sz w:val="16"/>
              </w:rPr>
            </w:pPr>
          </w:p>
          <w:p>
            <w:pPr>
              <w:pStyle w:val="TableParagraph"/>
              <w:spacing w:line="355" w:lineRule="auto"/>
              <w:ind w:left="112" w:right="84"/>
              <w:rPr>
                <w:sz w:val="21"/>
              </w:rPr>
            </w:pPr>
            <w:r>
              <w:rPr>
                <w:spacing w:val="-11"/>
                <w:w w:val="95"/>
                <w:sz w:val="21"/>
              </w:rPr>
              <w:t>校准单位：中国测试技术研究院</w:t>
            </w:r>
            <w:r>
              <w:rPr>
                <w:sz w:val="21"/>
              </w:rPr>
              <w:t>校准有效期：</w:t>
            </w:r>
          </w:p>
          <w:p>
            <w:pPr>
              <w:pStyle w:val="TableParagraph"/>
              <w:spacing w:before="17"/>
              <w:ind w:left="112" w:right="84"/>
              <w:rPr>
                <w:rFonts w:ascii="Times New Roman"/>
                <w:sz w:val="21"/>
              </w:rPr>
            </w:pPr>
            <w:r>
              <w:rPr>
                <w:rFonts w:ascii="Times New Roman"/>
                <w:sz w:val="21"/>
              </w:rPr>
              <w:t>2021/10/14-2022/10/13</w:t>
            </w:r>
          </w:p>
          <w:p>
            <w:pPr>
              <w:pStyle w:val="TableParagraph"/>
              <w:spacing w:before="145"/>
              <w:ind w:left="111" w:right="84"/>
              <w:rPr>
                <w:sz w:val="21"/>
              </w:rPr>
            </w:pPr>
            <w:r>
              <w:rPr>
                <w:sz w:val="21"/>
              </w:rPr>
              <w:t>校准证书：校准字第</w:t>
            </w:r>
          </w:p>
          <w:p>
            <w:pPr>
              <w:pStyle w:val="TableParagraph"/>
              <w:spacing w:before="130"/>
              <w:ind w:left="111" w:right="84"/>
              <w:rPr>
                <w:sz w:val="21"/>
              </w:rPr>
            </w:pPr>
            <w:r>
              <w:rPr>
                <w:rFonts w:ascii="Times New Roman" w:eastAsia="Times New Roman"/>
                <w:sz w:val="21"/>
              </w:rPr>
              <w:t>202110001659</w:t>
            </w:r>
            <w:r>
              <w:rPr>
                <w:rFonts w:ascii="Times New Roman" w:eastAsia="Times New Roman"/>
                <w:spacing w:val="-6"/>
                <w:sz w:val="21"/>
              </w:rPr>
              <w:t> </w:t>
            </w:r>
            <w:r>
              <w:rPr>
                <w:sz w:val="21"/>
              </w:rPr>
              <w:t>号</w:t>
            </w:r>
          </w:p>
        </w:tc>
        <w:tc>
          <w:tcPr>
            <w:tcW w:w="703" w:type="dxa"/>
            <w:tcBorders>
              <w:top w:val="single" w:sz="8" w:space="0" w:color="000000"/>
              <w:left w:val="single" w:sz="8" w:space="0" w:color="000000"/>
              <w:right w:val="nil"/>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79"/>
              <w:ind w:left="17"/>
              <w:rPr>
                <w:rFonts w:ascii="Times New Roman"/>
                <w:sz w:val="21"/>
              </w:rPr>
            </w:pPr>
            <w:r>
              <w:rPr>
                <w:rFonts w:ascii="Times New Roman"/>
                <w:w w:val="99"/>
                <w:sz w:val="21"/>
              </w:rPr>
              <w:t>_</w:t>
            </w:r>
          </w:p>
        </w:tc>
      </w:tr>
    </w:tbl>
    <w:p>
      <w:pPr>
        <w:tabs>
          <w:tab w:pos="1024" w:val="left" w:leader="none"/>
        </w:tabs>
        <w:spacing w:before="99"/>
        <w:ind w:left="270" w:right="0" w:firstLine="0"/>
        <w:jc w:val="center"/>
        <w:rPr>
          <w:sz w:val="21"/>
        </w:rPr>
      </w:pPr>
      <w:r>
        <w:rPr>
          <w:w w:val="95"/>
          <w:sz w:val="21"/>
        </w:rPr>
        <w:t>表</w:t>
      </w:r>
      <w:r>
        <w:rPr>
          <w:spacing w:val="-42"/>
          <w:w w:val="95"/>
          <w:sz w:val="21"/>
        </w:rPr>
        <w:t> </w:t>
      </w:r>
      <w:r>
        <w:rPr>
          <w:rFonts w:ascii="Times New Roman" w:eastAsia="Times New Roman"/>
          <w:w w:val="95"/>
          <w:sz w:val="21"/>
        </w:rPr>
        <w:t>8-3</w:t>
        <w:tab/>
      </w:r>
      <w:r>
        <w:rPr>
          <w:w w:val="95"/>
          <w:sz w:val="21"/>
        </w:rPr>
        <w:t>监测时环境状况</w:t>
      </w:r>
    </w:p>
    <w:p>
      <w:pPr>
        <w:pStyle w:val="BodyText"/>
        <w:spacing w:before="11"/>
        <w:rPr>
          <w:sz w:val="7"/>
        </w:rPr>
      </w:pPr>
    </w:p>
    <w:tbl>
      <w:tblPr>
        <w:tblW w:w="0" w:type="auto"/>
        <w:jc w:val="left"/>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65"/>
        <w:gridCol w:w="2363"/>
        <w:gridCol w:w="2083"/>
        <w:gridCol w:w="2083"/>
      </w:tblGrid>
      <w:tr>
        <w:trPr>
          <w:trHeight w:val="400" w:hRule="atLeast"/>
        </w:trPr>
        <w:tc>
          <w:tcPr>
            <w:tcW w:w="2365" w:type="dxa"/>
            <w:tcBorders>
              <w:left w:val="nil"/>
              <w:bottom w:val="single" w:sz="8" w:space="0" w:color="000000"/>
              <w:right w:val="single" w:sz="8" w:space="0" w:color="000000"/>
            </w:tcBorders>
          </w:tcPr>
          <w:p>
            <w:pPr>
              <w:pStyle w:val="TableParagraph"/>
              <w:spacing w:line="269" w:lineRule="exact" w:before="111"/>
              <w:ind w:left="773" w:right="744"/>
              <w:rPr>
                <w:sz w:val="21"/>
              </w:rPr>
            </w:pPr>
            <w:r>
              <w:rPr>
                <w:w w:val="95"/>
                <w:sz w:val="21"/>
              </w:rPr>
              <w:t>环境温度</w:t>
            </w:r>
          </w:p>
        </w:tc>
        <w:tc>
          <w:tcPr>
            <w:tcW w:w="2363" w:type="dxa"/>
            <w:tcBorders>
              <w:left w:val="single" w:sz="8" w:space="0" w:color="000000"/>
              <w:bottom w:val="single" w:sz="8" w:space="0" w:color="000000"/>
              <w:right w:val="single" w:sz="8" w:space="0" w:color="000000"/>
            </w:tcBorders>
          </w:tcPr>
          <w:p>
            <w:pPr>
              <w:pStyle w:val="TableParagraph"/>
              <w:spacing w:line="269" w:lineRule="exact" w:before="111"/>
              <w:ind w:left="767" w:right="738"/>
              <w:rPr>
                <w:sz w:val="21"/>
              </w:rPr>
            </w:pPr>
            <w:r>
              <w:rPr>
                <w:w w:val="95"/>
                <w:sz w:val="21"/>
              </w:rPr>
              <w:t>环境湿度</w:t>
            </w:r>
          </w:p>
        </w:tc>
        <w:tc>
          <w:tcPr>
            <w:tcW w:w="2083" w:type="dxa"/>
            <w:tcBorders>
              <w:left w:val="single" w:sz="8" w:space="0" w:color="000000"/>
              <w:bottom w:val="single" w:sz="8" w:space="0" w:color="000000"/>
              <w:right w:val="single" w:sz="4" w:space="0" w:color="000000"/>
            </w:tcBorders>
          </w:tcPr>
          <w:p>
            <w:pPr>
              <w:pStyle w:val="TableParagraph"/>
              <w:spacing w:line="269" w:lineRule="exact" w:before="111"/>
              <w:ind w:left="530" w:right="500"/>
              <w:rPr>
                <w:sz w:val="21"/>
              </w:rPr>
            </w:pPr>
            <w:r>
              <w:rPr>
                <w:w w:val="95"/>
                <w:sz w:val="21"/>
              </w:rPr>
              <w:t>环境大气压</w:t>
            </w:r>
          </w:p>
        </w:tc>
        <w:tc>
          <w:tcPr>
            <w:tcW w:w="2083" w:type="dxa"/>
            <w:tcBorders>
              <w:left w:val="single" w:sz="4" w:space="0" w:color="000000"/>
              <w:bottom w:val="single" w:sz="8" w:space="0" w:color="000000"/>
              <w:right w:val="nil"/>
            </w:tcBorders>
          </w:tcPr>
          <w:p>
            <w:pPr>
              <w:pStyle w:val="TableParagraph"/>
              <w:spacing w:line="269" w:lineRule="exact" w:before="111"/>
              <w:ind w:left="636" w:right="604"/>
              <w:rPr>
                <w:sz w:val="21"/>
              </w:rPr>
            </w:pPr>
            <w:r>
              <w:rPr>
                <w:w w:val="95"/>
                <w:sz w:val="21"/>
              </w:rPr>
              <w:t>天气状况</w:t>
            </w:r>
          </w:p>
        </w:tc>
      </w:tr>
      <w:tr>
        <w:trPr>
          <w:trHeight w:val="399" w:hRule="atLeast"/>
        </w:trPr>
        <w:tc>
          <w:tcPr>
            <w:tcW w:w="2365" w:type="dxa"/>
            <w:tcBorders>
              <w:top w:val="single" w:sz="8" w:space="0" w:color="000000"/>
              <w:left w:val="nil"/>
              <w:right w:val="single" w:sz="8" w:space="0" w:color="000000"/>
            </w:tcBorders>
          </w:tcPr>
          <w:p>
            <w:pPr>
              <w:pStyle w:val="TableParagraph"/>
              <w:spacing w:before="125"/>
              <w:ind w:left="771" w:right="744"/>
              <w:rPr>
                <w:rFonts w:ascii="Times New Roman" w:hAnsi="Times New Roman"/>
                <w:sz w:val="21"/>
              </w:rPr>
            </w:pPr>
            <w:r>
              <w:rPr>
                <w:rFonts w:ascii="Times New Roman" w:hAnsi="Times New Roman"/>
                <w:sz w:val="21"/>
              </w:rPr>
              <w:t>7°C</w:t>
            </w:r>
          </w:p>
        </w:tc>
        <w:tc>
          <w:tcPr>
            <w:tcW w:w="2363" w:type="dxa"/>
            <w:tcBorders>
              <w:top w:val="single" w:sz="8" w:space="0" w:color="000000"/>
              <w:left w:val="single" w:sz="8" w:space="0" w:color="000000"/>
              <w:right w:val="single" w:sz="8" w:space="0" w:color="000000"/>
            </w:tcBorders>
          </w:tcPr>
          <w:p>
            <w:pPr>
              <w:pStyle w:val="TableParagraph"/>
              <w:spacing w:before="125"/>
              <w:ind w:left="766" w:right="738"/>
              <w:rPr>
                <w:rFonts w:ascii="Times New Roman"/>
                <w:sz w:val="21"/>
              </w:rPr>
            </w:pPr>
            <w:r>
              <w:rPr>
                <w:rFonts w:ascii="Times New Roman"/>
                <w:sz w:val="21"/>
              </w:rPr>
              <w:t>69%RH</w:t>
            </w:r>
          </w:p>
        </w:tc>
        <w:tc>
          <w:tcPr>
            <w:tcW w:w="2083" w:type="dxa"/>
            <w:tcBorders>
              <w:top w:val="single" w:sz="8" w:space="0" w:color="000000"/>
              <w:left w:val="single" w:sz="8" w:space="0" w:color="000000"/>
              <w:right w:val="single" w:sz="4" w:space="0" w:color="000000"/>
            </w:tcBorders>
          </w:tcPr>
          <w:p>
            <w:pPr>
              <w:pStyle w:val="TableParagraph"/>
              <w:spacing w:before="125"/>
              <w:ind w:left="681"/>
              <w:jc w:val="left"/>
              <w:rPr>
                <w:rFonts w:ascii="Times New Roman"/>
                <w:sz w:val="21"/>
              </w:rPr>
            </w:pPr>
            <w:r>
              <w:rPr>
                <w:rFonts w:ascii="Times New Roman"/>
                <w:sz w:val="21"/>
              </w:rPr>
              <w:t>96.4</w:t>
            </w:r>
            <w:r>
              <w:rPr>
                <w:rFonts w:ascii="Times New Roman"/>
                <w:spacing w:val="-2"/>
                <w:sz w:val="21"/>
              </w:rPr>
              <w:t> </w:t>
            </w:r>
            <w:r>
              <w:rPr>
                <w:rFonts w:ascii="Times New Roman"/>
                <w:sz w:val="21"/>
              </w:rPr>
              <w:t>kPa</w:t>
            </w:r>
          </w:p>
        </w:tc>
        <w:tc>
          <w:tcPr>
            <w:tcW w:w="2083" w:type="dxa"/>
            <w:tcBorders>
              <w:top w:val="single" w:sz="8" w:space="0" w:color="000000"/>
              <w:left w:val="single" w:sz="4" w:space="0" w:color="000000"/>
              <w:right w:val="nil"/>
            </w:tcBorders>
          </w:tcPr>
          <w:p>
            <w:pPr>
              <w:pStyle w:val="TableParagraph"/>
              <w:spacing w:line="268" w:lineRule="exact" w:before="111"/>
              <w:ind w:left="629" w:right="604"/>
              <w:rPr>
                <w:sz w:val="21"/>
              </w:rPr>
            </w:pPr>
            <w:r>
              <w:rPr>
                <w:sz w:val="21"/>
              </w:rPr>
              <w:t>多云</w:t>
            </w:r>
          </w:p>
        </w:tc>
      </w:tr>
    </w:tbl>
    <w:p>
      <w:pPr>
        <w:pStyle w:val="Heading2"/>
        <w:spacing w:before="133"/>
        <w:ind w:left="291"/>
      </w:pPr>
      <w:r>
        <w:rPr/>
        <w:t>四、质量保证</w:t>
      </w:r>
    </w:p>
    <w:p>
      <w:pPr>
        <w:pStyle w:val="BodyText"/>
        <w:spacing w:line="364" w:lineRule="auto" w:before="214"/>
        <w:ind w:left="291" w:right="317" w:firstLine="480"/>
      </w:pPr>
      <w:r>
        <w:rPr>
          <w:spacing w:val="-5"/>
        </w:rPr>
        <w:t>本项目环境现状监测单位四川中环康源卫生技术服务有限公司，通过了计量认证，</w:t>
      </w:r>
      <w:r>
        <w:rPr>
          <w:spacing w:val="-117"/>
        </w:rPr>
        <w:t> </w:t>
      </w:r>
      <w:r>
        <w:rPr/>
        <w:t>具备完整、有效的质量控制体系。</w:t>
      </w:r>
    </w:p>
    <w:p>
      <w:pPr>
        <w:pStyle w:val="ListParagraph"/>
        <w:numPr>
          <w:ilvl w:val="1"/>
          <w:numId w:val="2"/>
        </w:numPr>
        <w:tabs>
          <w:tab w:pos="1373" w:val="left" w:leader="none"/>
        </w:tabs>
        <w:spacing w:line="240" w:lineRule="auto" w:before="1" w:after="0"/>
        <w:ind w:left="1372" w:right="0" w:hanging="602"/>
        <w:jc w:val="left"/>
        <w:rPr>
          <w:sz w:val="24"/>
        </w:rPr>
      </w:pPr>
      <w:r>
        <w:rPr>
          <w:sz w:val="24"/>
        </w:rPr>
        <w:t>计量认证</w:t>
      </w:r>
    </w:p>
    <w:p>
      <w:pPr>
        <w:pStyle w:val="BodyText"/>
        <w:spacing w:line="364" w:lineRule="auto" w:before="160"/>
        <w:ind w:left="291" w:right="452" w:firstLine="480"/>
      </w:pPr>
      <w:r>
        <w:rPr>
          <w:spacing w:val="-1"/>
        </w:rPr>
        <w:t>从事监测的单位四川中环康源卫生技术服务有限公司通过了原四川省质量技术监</w:t>
      </w:r>
      <w:r>
        <w:rPr/>
        <w:t>督局的计量认证（计量认证号：</w:t>
      </w:r>
      <w:r>
        <w:rPr>
          <w:rFonts w:ascii="Times New Roman" w:eastAsia="Times New Roman"/>
        </w:rPr>
        <w:t>212303100255</w:t>
      </w:r>
      <w:r>
        <w:rPr/>
        <w:t>）。</w:t>
      </w:r>
    </w:p>
    <w:p>
      <w:pPr>
        <w:pStyle w:val="ListParagraph"/>
        <w:numPr>
          <w:ilvl w:val="1"/>
          <w:numId w:val="2"/>
        </w:numPr>
        <w:tabs>
          <w:tab w:pos="1373" w:val="left" w:leader="none"/>
        </w:tabs>
        <w:spacing w:line="240" w:lineRule="auto" w:before="2" w:after="0"/>
        <w:ind w:left="1372" w:right="0" w:hanging="602"/>
        <w:jc w:val="left"/>
        <w:rPr>
          <w:sz w:val="24"/>
        </w:rPr>
      </w:pPr>
      <w:r>
        <w:rPr>
          <w:sz w:val="24"/>
        </w:rPr>
        <w:t>仪器设备管理</w:t>
      </w:r>
    </w:p>
    <w:p>
      <w:pPr>
        <w:pStyle w:val="BodyText"/>
        <w:spacing w:before="160"/>
        <w:ind w:left="771"/>
      </w:pPr>
      <w:r>
        <w:rPr/>
        <w:t>①管理与标准化；②计量器具的标准化；③计量器具、仪器设备的检定。</w:t>
      </w:r>
    </w:p>
    <w:p>
      <w:pPr>
        <w:pStyle w:val="ListParagraph"/>
        <w:numPr>
          <w:ilvl w:val="1"/>
          <w:numId w:val="2"/>
        </w:numPr>
        <w:tabs>
          <w:tab w:pos="1373" w:val="left" w:leader="none"/>
        </w:tabs>
        <w:spacing w:line="240" w:lineRule="auto" w:before="161" w:after="0"/>
        <w:ind w:left="1372" w:right="0" w:hanging="602"/>
        <w:jc w:val="left"/>
        <w:rPr>
          <w:sz w:val="24"/>
        </w:rPr>
      </w:pPr>
      <w:r>
        <w:rPr>
          <w:sz w:val="24"/>
        </w:rPr>
        <w:t>记录与报告</w:t>
      </w:r>
    </w:p>
    <w:p>
      <w:pPr>
        <w:spacing w:after="0" w:line="240" w:lineRule="auto"/>
        <w:jc w:val="left"/>
        <w:rPr>
          <w:sz w:val="24"/>
        </w:rPr>
        <w:sectPr>
          <w:pgSz w:w="11910" w:h="16840"/>
          <w:pgMar w:header="0" w:footer="1383" w:top="1420" w:bottom="1660" w:left="1240" w:right="1040"/>
        </w:sectPr>
      </w:pP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
        <w:gridCol w:w="722"/>
        <w:gridCol w:w="3742"/>
        <w:gridCol w:w="1275"/>
        <w:gridCol w:w="1565"/>
        <w:gridCol w:w="1475"/>
        <w:gridCol w:w="167"/>
      </w:tblGrid>
      <w:tr>
        <w:trPr>
          <w:trHeight w:val="9827" w:hRule="atLeast"/>
        </w:trPr>
        <w:tc>
          <w:tcPr>
            <w:tcW w:w="9112" w:type="dxa"/>
            <w:gridSpan w:val="7"/>
            <w:tcBorders>
              <w:bottom w:val="nil"/>
            </w:tcBorders>
          </w:tcPr>
          <w:p>
            <w:pPr>
              <w:pStyle w:val="TableParagraph"/>
              <w:spacing w:line="364" w:lineRule="auto" w:before="80"/>
              <w:ind w:left="106" w:right="96" w:firstLine="480"/>
              <w:jc w:val="left"/>
              <w:rPr>
                <w:sz w:val="24"/>
              </w:rPr>
            </w:pPr>
            <w:r>
              <w:rPr>
                <w:sz w:val="24"/>
              </w:rPr>
              <w:t>①数据记录制度；②报告质量控制；③监测人员均经具有相应资质的部门培训，</w:t>
            </w:r>
            <w:r>
              <w:rPr>
                <w:spacing w:val="-117"/>
                <w:sz w:val="24"/>
              </w:rPr>
              <w:t> </w:t>
            </w:r>
            <w:r>
              <w:rPr>
                <w:sz w:val="24"/>
              </w:rPr>
              <w:t>考核合格持证上岗。</w:t>
            </w:r>
          </w:p>
          <w:p>
            <w:pPr>
              <w:pStyle w:val="TableParagraph"/>
              <w:spacing w:before="55"/>
              <w:ind w:left="106"/>
              <w:jc w:val="left"/>
              <w:rPr>
                <w:sz w:val="28"/>
              </w:rPr>
            </w:pPr>
            <w:r>
              <w:rPr>
                <w:sz w:val="28"/>
              </w:rPr>
              <w:t>五、监测布点原则及监测点布置</w:t>
            </w:r>
          </w:p>
          <w:p>
            <w:pPr>
              <w:pStyle w:val="TableParagraph"/>
              <w:spacing w:line="364" w:lineRule="auto" w:before="211"/>
              <w:ind w:left="106" w:right="96" w:firstLine="480"/>
              <w:jc w:val="both"/>
              <w:rPr>
                <w:sz w:val="24"/>
              </w:rPr>
            </w:pPr>
            <w:r>
              <w:rPr>
                <w:spacing w:val="-12"/>
                <w:sz w:val="24"/>
              </w:rPr>
              <w:t>本项目在正常运行时，对环境影响的污染因子，主要为 </w:t>
            </w:r>
            <w:r>
              <w:rPr>
                <w:rFonts w:ascii="Times New Roman" w:hAnsi="Times New Roman" w:eastAsia="Times New Roman"/>
                <w:sz w:val="24"/>
              </w:rPr>
              <w:t>DSA</w:t>
            </w:r>
            <w:r>
              <w:rPr>
                <w:rFonts w:ascii="Times New Roman" w:hAnsi="Times New Roman" w:eastAsia="Times New Roman"/>
                <w:spacing w:val="-1"/>
                <w:sz w:val="24"/>
              </w:rPr>
              <w:t> </w:t>
            </w:r>
            <w:r>
              <w:rPr>
                <w:sz w:val="24"/>
              </w:rPr>
              <w:t>曝光时高压射线管发</w:t>
            </w:r>
            <w:r>
              <w:rPr>
                <w:spacing w:val="-21"/>
                <w:sz w:val="24"/>
              </w:rPr>
              <w:t>出的 </w:t>
            </w:r>
            <w:r>
              <w:rPr>
                <w:rFonts w:ascii="Times New Roman" w:hAnsi="Times New Roman" w:eastAsia="Times New Roman"/>
                <w:sz w:val="24"/>
              </w:rPr>
              <w:t>X</w:t>
            </w:r>
            <w:r>
              <w:rPr>
                <w:rFonts w:ascii="Times New Roman" w:hAnsi="Times New Roman" w:eastAsia="Times New Roman"/>
                <w:spacing w:val="-1"/>
                <w:sz w:val="24"/>
              </w:rPr>
              <w:t> </w:t>
            </w:r>
            <w:r>
              <w:rPr>
                <w:spacing w:val="-4"/>
                <w:sz w:val="24"/>
              </w:rPr>
              <w:t>射线，由此确定本项目现状监测因子为 </w:t>
            </w:r>
            <w:r>
              <w:rPr>
                <w:rFonts w:ascii="Times New Roman" w:hAnsi="Times New Roman" w:eastAsia="Times New Roman"/>
                <w:sz w:val="24"/>
              </w:rPr>
              <w:t>X-γ</w:t>
            </w:r>
            <w:r>
              <w:rPr>
                <w:sz w:val="24"/>
              </w:rPr>
              <w:t>辐射空气吸收剂量率。</w:t>
            </w:r>
          </w:p>
          <w:p>
            <w:pPr>
              <w:pStyle w:val="TableParagraph"/>
              <w:spacing w:line="364" w:lineRule="auto" w:before="1"/>
              <w:ind w:left="106" w:right="96" w:firstLine="480"/>
              <w:jc w:val="both"/>
              <w:rPr>
                <w:sz w:val="24"/>
              </w:rPr>
            </w:pPr>
            <w:r>
              <w:rPr>
                <w:spacing w:val="-1"/>
                <w:sz w:val="24"/>
              </w:rPr>
              <w:t>根据现场实际情况，</w:t>
            </w:r>
            <w:r>
              <w:rPr>
                <w:rFonts w:ascii="Times New Roman" w:hAnsi="Times New Roman" w:eastAsia="Times New Roman"/>
                <w:sz w:val="24"/>
              </w:rPr>
              <w:t>X-γ</w:t>
            </w:r>
            <w:r>
              <w:rPr>
                <w:spacing w:val="-4"/>
                <w:sz w:val="24"/>
              </w:rPr>
              <w:t>辐射空气吸收剂量率监测点位主要包括 </w:t>
            </w:r>
            <w:r>
              <w:rPr>
                <w:rFonts w:ascii="Times New Roman" w:hAnsi="Times New Roman" w:eastAsia="Times New Roman"/>
                <w:sz w:val="24"/>
              </w:rPr>
              <w:t>DSA</w:t>
            </w:r>
            <w:r>
              <w:rPr>
                <w:rFonts w:ascii="Times New Roman" w:hAnsi="Times New Roman" w:eastAsia="Times New Roman"/>
                <w:spacing w:val="-1"/>
                <w:sz w:val="24"/>
              </w:rPr>
              <w:t> </w:t>
            </w:r>
            <w:r>
              <w:rPr>
                <w:sz w:val="24"/>
              </w:rPr>
              <w:t>机房及其配</w:t>
            </w:r>
            <w:r>
              <w:rPr>
                <w:spacing w:val="-3"/>
                <w:sz w:val="24"/>
              </w:rPr>
              <w:t>套用房、</w:t>
            </w:r>
            <w:r>
              <w:rPr>
                <w:rFonts w:ascii="Times New Roman" w:hAnsi="Times New Roman" w:eastAsia="Times New Roman"/>
                <w:spacing w:val="-3"/>
                <w:sz w:val="24"/>
              </w:rPr>
              <w:t>DSA</w:t>
            </w:r>
            <w:r>
              <w:rPr>
                <w:rFonts w:ascii="Times New Roman" w:hAnsi="Times New Roman" w:eastAsia="Times New Roman"/>
                <w:spacing w:val="-12"/>
                <w:sz w:val="24"/>
              </w:rPr>
              <w:t> </w:t>
            </w:r>
            <w:r>
              <w:rPr>
                <w:spacing w:val="-3"/>
                <w:sz w:val="24"/>
              </w:rPr>
              <w:t>机房楼上、</w:t>
            </w:r>
            <w:r>
              <w:rPr>
                <w:rFonts w:ascii="Times New Roman" w:hAnsi="Times New Roman" w:eastAsia="Times New Roman"/>
                <w:spacing w:val="-3"/>
                <w:sz w:val="24"/>
              </w:rPr>
              <w:t>DSA</w:t>
            </w:r>
            <w:r>
              <w:rPr>
                <w:rFonts w:ascii="Times New Roman" w:hAnsi="Times New Roman" w:eastAsia="Times New Roman"/>
                <w:spacing w:val="-12"/>
                <w:sz w:val="24"/>
              </w:rPr>
              <w:t> </w:t>
            </w:r>
            <w:r>
              <w:rPr>
                <w:spacing w:val="-2"/>
                <w:sz w:val="24"/>
              </w:rPr>
              <w:t>机房楼下、医疗中心、康复理疗楼、门诊楼、疑难病症</w:t>
            </w:r>
            <w:r>
              <w:rPr>
                <w:spacing w:val="-6"/>
                <w:sz w:val="24"/>
              </w:rPr>
              <w:t>诊治中心，监测点位包含为 </w:t>
            </w:r>
            <w:r>
              <w:rPr>
                <w:rFonts w:ascii="Times New Roman" w:hAnsi="Times New Roman" w:eastAsia="Times New Roman"/>
                <w:sz w:val="24"/>
              </w:rPr>
              <w:t>DSA</w:t>
            </w:r>
            <w:r>
              <w:rPr>
                <w:rFonts w:ascii="Times New Roman" w:hAnsi="Times New Roman" w:eastAsia="Times New Roman"/>
                <w:spacing w:val="-1"/>
                <w:sz w:val="24"/>
              </w:rPr>
              <w:t> </w:t>
            </w:r>
            <w:r>
              <w:rPr>
                <w:spacing w:val="-8"/>
                <w:sz w:val="24"/>
              </w:rPr>
              <w:t>机房四周区域及 </w:t>
            </w:r>
            <w:r>
              <w:rPr>
                <w:rFonts w:ascii="Times New Roman" w:hAnsi="Times New Roman" w:eastAsia="Times New Roman"/>
                <w:sz w:val="24"/>
              </w:rPr>
              <w:t>50m </w:t>
            </w:r>
            <w:r>
              <w:rPr>
                <w:sz w:val="24"/>
              </w:rPr>
              <w:t>范围内的保护目标，根据电离辐射水平随着距离的增加而衰减的规律，以上监测布点能够科学的反映该射线装置工作场所周围的辐射水平及人员受照射情况，点位布设符合技术规范要求。监测布点示意图如下：</w:t>
            </w:r>
          </w:p>
          <w:p>
            <w:pPr>
              <w:pStyle w:val="TableParagraph"/>
              <w:spacing w:before="3"/>
              <w:jc w:val="left"/>
              <w:rPr>
                <w:sz w:val="32"/>
              </w:rPr>
            </w:pPr>
          </w:p>
          <w:p>
            <w:pPr>
              <w:pStyle w:val="TableParagraph"/>
              <w:ind w:left="3601" w:right="3171"/>
              <w:rPr>
                <w:sz w:val="21"/>
              </w:rPr>
            </w:pPr>
            <w:r>
              <w:rPr>
                <w:spacing w:val="-12"/>
                <w:w w:val="95"/>
                <w:sz w:val="21"/>
              </w:rPr>
              <w:t>图 </w:t>
            </w:r>
            <w:r>
              <w:rPr>
                <w:w w:val="95"/>
                <w:sz w:val="21"/>
              </w:rPr>
              <w:t>8-2</w:t>
            </w:r>
            <w:r>
              <w:rPr>
                <w:spacing w:val="2"/>
                <w:w w:val="95"/>
                <w:sz w:val="21"/>
              </w:rPr>
              <w:t> 监测布点示意图 </w:t>
            </w:r>
            <w:r>
              <w:rPr>
                <w:w w:val="95"/>
                <w:sz w:val="21"/>
              </w:rPr>
              <w:t>1</w:t>
            </w:r>
          </w:p>
          <w:p>
            <w:pPr>
              <w:pStyle w:val="TableParagraph"/>
              <w:jc w:val="left"/>
              <w:rPr>
                <w:sz w:val="20"/>
              </w:rPr>
            </w:pPr>
          </w:p>
          <w:p>
            <w:pPr>
              <w:pStyle w:val="TableParagraph"/>
              <w:jc w:val="left"/>
              <w:rPr>
                <w:sz w:val="20"/>
              </w:rPr>
            </w:pPr>
          </w:p>
          <w:p>
            <w:pPr>
              <w:pStyle w:val="TableParagraph"/>
              <w:spacing w:before="155"/>
              <w:ind w:left="3601" w:right="3171"/>
              <w:rPr>
                <w:sz w:val="21"/>
              </w:rPr>
            </w:pPr>
            <w:r>
              <w:rPr>
                <w:spacing w:val="-12"/>
                <w:w w:val="95"/>
                <w:sz w:val="21"/>
              </w:rPr>
              <w:t>图 </w:t>
            </w:r>
            <w:r>
              <w:rPr>
                <w:w w:val="95"/>
                <w:sz w:val="21"/>
              </w:rPr>
              <w:t>8-3</w:t>
            </w:r>
            <w:r>
              <w:rPr>
                <w:spacing w:val="2"/>
                <w:w w:val="95"/>
                <w:sz w:val="21"/>
              </w:rPr>
              <w:t> 监测布点示意图 </w:t>
            </w:r>
            <w:r>
              <w:rPr>
                <w:w w:val="95"/>
                <w:sz w:val="21"/>
              </w:rPr>
              <w:t>2</w:t>
            </w:r>
          </w:p>
          <w:p>
            <w:pPr>
              <w:pStyle w:val="TableParagraph"/>
              <w:spacing w:before="155"/>
              <w:ind w:left="106"/>
              <w:jc w:val="left"/>
              <w:rPr>
                <w:sz w:val="28"/>
              </w:rPr>
            </w:pPr>
            <w:r>
              <w:rPr>
                <w:sz w:val="28"/>
              </w:rPr>
              <w:t>六、环境现状监测与评价</w:t>
            </w:r>
          </w:p>
          <w:p>
            <w:pPr>
              <w:pStyle w:val="TableParagraph"/>
              <w:spacing w:line="364" w:lineRule="auto" w:before="212"/>
              <w:ind w:left="106" w:right="-29" w:firstLine="480"/>
              <w:jc w:val="left"/>
              <w:rPr>
                <w:sz w:val="24"/>
              </w:rPr>
            </w:pPr>
            <w:r>
              <w:rPr>
                <w:spacing w:val="-7"/>
                <w:sz w:val="24"/>
              </w:rPr>
              <w:t>监测所用仪器已由计量部门年检，且在有效期内；测量方法按国家相关标准实施；</w:t>
            </w:r>
            <w:r>
              <w:rPr>
                <w:spacing w:val="-117"/>
                <w:sz w:val="24"/>
              </w:rPr>
              <w:t> </w:t>
            </w:r>
            <w:r>
              <w:rPr>
                <w:sz w:val="24"/>
              </w:rPr>
              <w:t>测量不确定度符合统计学要求；布点合理、人员合格、结果可信，能够反映出辐射工作场所的客观辐射水平，可以作为本次评价的科学依据。</w:t>
            </w:r>
          </w:p>
          <w:p>
            <w:pPr>
              <w:pStyle w:val="TableParagraph"/>
              <w:spacing w:before="1"/>
              <w:ind w:left="668"/>
              <w:jc w:val="left"/>
              <w:rPr>
                <w:sz w:val="24"/>
              </w:rPr>
            </w:pPr>
            <w:r>
              <w:rPr>
                <w:sz w:val="24"/>
              </w:rPr>
              <w:t>具体监测结果如下：</w:t>
            </w:r>
          </w:p>
          <w:p>
            <w:pPr>
              <w:pStyle w:val="TableParagraph"/>
              <w:tabs>
                <w:tab w:pos="2917" w:val="left" w:leader="none"/>
                <w:tab w:pos="6975" w:val="left" w:leader="none"/>
              </w:tabs>
              <w:spacing w:before="102"/>
              <w:ind w:left="1323"/>
              <w:jc w:val="left"/>
              <w:rPr>
                <w:rFonts w:ascii="Times New Roman" w:hAnsi="Times New Roman" w:eastAsia="Times New Roman"/>
                <w:b/>
                <w:sz w:val="21"/>
              </w:rPr>
            </w:pPr>
            <w:r>
              <w:rPr>
                <w:w w:val="95"/>
                <w:sz w:val="21"/>
              </w:rPr>
              <w:t>表</w:t>
            </w:r>
            <w:r>
              <w:rPr>
                <w:spacing w:val="-39"/>
                <w:w w:val="95"/>
                <w:sz w:val="21"/>
              </w:rPr>
              <w:t> </w:t>
            </w:r>
            <w:r>
              <w:rPr>
                <w:rFonts w:ascii="Times New Roman" w:hAnsi="Times New Roman" w:eastAsia="Times New Roman"/>
                <w:b/>
                <w:w w:val="95"/>
                <w:sz w:val="21"/>
              </w:rPr>
              <w:t>8-3</w:t>
              <w:tab/>
            </w:r>
            <w:r>
              <w:rPr>
                <w:w w:val="95"/>
                <w:sz w:val="21"/>
              </w:rPr>
              <w:t>拟建项目周围环境</w:t>
            </w:r>
            <w:r>
              <w:rPr>
                <w:spacing w:val="-2"/>
                <w:w w:val="95"/>
                <w:sz w:val="21"/>
              </w:rPr>
              <w:t> </w:t>
            </w:r>
            <w:r>
              <w:rPr>
                <w:rFonts w:ascii="Times New Roman" w:hAnsi="Times New Roman" w:eastAsia="Times New Roman"/>
                <w:b/>
                <w:w w:val="95"/>
                <w:sz w:val="21"/>
              </w:rPr>
              <w:t>X-γ</w:t>
            </w:r>
            <w:r>
              <w:rPr>
                <w:w w:val="95"/>
                <w:sz w:val="21"/>
              </w:rPr>
              <w:t>辐射剂量率</w:t>
              <w:tab/>
            </w:r>
            <w:r>
              <w:rPr>
                <w:sz w:val="21"/>
              </w:rPr>
              <w:t>单位：</w:t>
            </w:r>
            <w:r>
              <w:rPr>
                <w:rFonts w:ascii="Times New Roman" w:hAnsi="Times New Roman" w:eastAsia="Times New Roman"/>
                <w:b/>
                <w:sz w:val="21"/>
              </w:rPr>
              <w:t>nSv/h</w:t>
            </w:r>
          </w:p>
        </w:tc>
      </w:tr>
      <w:tr>
        <w:trPr>
          <w:trHeight w:val="425" w:hRule="atLeast"/>
        </w:trPr>
        <w:tc>
          <w:tcPr>
            <w:tcW w:w="166" w:type="dxa"/>
            <w:vMerge w:val="restart"/>
            <w:tcBorders>
              <w:top w:val="nil"/>
              <w:right w:val="nil"/>
            </w:tcBorders>
          </w:tcPr>
          <w:p>
            <w:pPr>
              <w:pStyle w:val="TableParagraph"/>
              <w:jc w:val="left"/>
              <w:rPr>
                <w:rFonts w:ascii="Times New Roman"/>
                <w:sz w:val="22"/>
              </w:rPr>
            </w:pPr>
          </w:p>
        </w:tc>
        <w:tc>
          <w:tcPr>
            <w:tcW w:w="722" w:type="dxa"/>
            <w:tcBorders>
              <w:top w:val="single" w:sz="12" w:space="0" w:color="000000"/>
              <w:left w:val="nil"/>
              <w:bottom w:val="single" w:sz="12" w:space="0" w:color="000000"/>
              <w:right w:val="single" w:sz="6" w:space="0" w:color="000000"/>
            </w:tcBorders>
          </w:tcPr>
          <w:p>
            <w:pPr>
              <w:pStyle w:val="TableParagraph"/>
              <w:spacing w:before="78"/>
              <w:ind w:left="134" w:right="119"/>
              <w:rPr>
                <w:sz w:val="21"/>
              </w:rPr>
            </w:pPr>
            <w:r>
              <w:rPr>
                <w:sz w:val="21"/>
              </w:rPr>
              <w:t>点位</w:t>
            </w:r>
          </w:p>
        </w:tc>
        <w:tc>
          <w:tcPr>
            <w:tcW w:w="3742" w:type="dxa"/>
            <w:tcBorders>
              <w:top w:val="single" w:sz="12" w:space="0" w:color="000000"/>
              <w:left w:val="single" w:sz="6" w:space="0" w:color="000000"/>
              <w:bottom w:val="single" w:sz="12" w:space="0" w:color="000000"/>
              <w:right w:val="single" w:sz="6" w:space="0" w:color="000000"/>
            </w:tcBorders>
          </w:tcPr>
          <w:p>
            <w:pPr>
              <w:pStyle w:val="TableParagraph"/>
              <w:spacing w:before="78"/>
              <w:ind w:left="1007" w:right="995"/>
              <w:rPr>
                <w:sz w:val="21"/>
              </w:rPr>
            </w:pPr>
            <w:r>
              <w:rPr>
                <w:w w:val="95"/>
                <w:sz w:val="21"/>
              </w:rPr>
              <w:t>监测位置</w:t>
            </w:r>
          </w:p>
        </w:tc>
        <w:tc>
          <w:tcPr>
            <w:tcW w:w="1275" w:type="dxa"/>
            <w:tcBorders>
              <w:top w:val="single" w:sz="12" w:space="0" w:color="000000"/>
              <w:left w:val="single" w:sz="6" w:space="0" w:color="000000"/>
              <w:bottom w:val="single" w:sz="12" w:space="0" w:color="000000"/>
              <w:right w:val="single" w:sz="6" w:space="0" w:color="000000"/>
            </w:tcBorders>
          </w:tcPr>
          <w:p>
            <w:pPr>
              <w:pStyle w:val="TableParagraph"/>
              <w:spacing w:before="78"/>
              <w:ind w:left="316" w:right="305"/>
              <w:rPr>
                <w:sz w:val="21"/>
              </w:rPr>
            </w:pPr>
            <w:r>
              <w:rPr>
                <w:w w:val="95"/>
                <w:sz w:val="21"/>
              </w:rPr>
              <w:t>测量值</w:t>
            </w:r>
          </w:p>
        </w:tc>
        <w:tc>
          <w:tcPr>
            <w:tcW w:w="1565" w:type="dxa"/>
            <w:tcBorders>
              <w:top w:val="single" w:sz="12" w:space="0" w:color="000000"/>
              <w:left w:val="single" w:sz="6" w:space="0" w:color="000000"/>
              <w:bottom w:val="single" w:sz="12" w:space="0" w:color="000000"/>
              <w:right w:val="single" w:sz="6" w:space="0" w:color="000000"/>
            </w:tcBorders>
          </w:tcPr>
          <w:p>
            <w:pPr>
              <w:pStyle w:val="TableParagraph"/>
              <w:spacing w:before="78"/>
              <w:ind w:left="459" w:right="451"/>
              <w:rPr>
                <w:sz w:val="21"/>
              </w:rPr>
            </w:pPr>
            <w:r>
              <w:rPr>
                <w:w w:val="95"/>
                <w:sz w:val="21"/>
              </w:rPr>
              <w:t>标准差</w:t>
            </w:r>
          </w:p>
        </w:tc>
        <w:tc>
          <w:tcPr>
            <w:tcW w:w="1475" w:type="dxa"/>
            <w:tcBorders>
              <w:top w:val="single" w:sz="12" w:space="0" w:color="000000"/>
              <w:left w:val="single" w:sz="6" w:space="0" w:color="000000"/>
              <w:bottom w:val="single" w:sz="12" w:space="0" w:color="000000"/>
              <w:right w:val="nil"/>
            </w:tcBorders>
          </w:tcPr>
          <w:p>
            <w:pPr>
              <w:pStyle w:val="TableParagraph"/>
              <w:spacing w:before="78"/>
              <w:ind w:left="503" w:right="503"/>
              <w:rPr>
                <w:sz w:val="21"/>
              </w:rPr>
            </w:pPr>
            <w:r>
              <w:rPr>
                <w:sz w:val="21"/>
              </w:rPr>
              <w:t>备注</w:t>
            </w:r>
          </w:p>
        </w:tc>
        <w:tc>
          <w:tcPr>
            <w:tcW w:w="167" w:type="dxa"/>
            <w:vMerge w:val="restart"/>
            <w:tcBorders>
              <w:top w:val="nil"/>
              <w:left w:val="nil"/>
            </w:tcBorders>
          </w:tcPr>
          <w:p>
            <w:pPr>
              <w:pStyle w:val="TableParagraph"/>
              <w:jc w:val="left"/>
              <w:rPr>
                <w:rFonts w:ascii="Times New Roman"/>
                <w:sz w:val="22"/>
              </w:rPr>
            </w:pPr>
          </w:p>
        </w:tc>
      </w:tr>
      <w:tr>
        <w:trPr>
          <w:trHeight w:val="350" w:hRule="atLeast"/>
        </w:trPr>
        <w:tc>
          <w:tcPr>
            <w:tcW w:w="166" w:type="dxa"/>
            <w:vMerge/>
            <w:tcBorders>
              <w:top w:val="nil"/>
              <w:right w:val="nil"/>
            </w:tcBorders>
          </w:tcPr>
          <w:p>
            <w:pPr>
              <w:rPr>
                <w:sz w:val="2"/>
                <w:szCs w:val="2"/>
              </w:rPr>
            </w:pPr>
          </w:p>
        </w:tc>
        <w:tc>
          <w:tcPr>
            <w:tcW w:w="722" w:type="dxa"/>
            <w:tcBorders>
              <w:top w:val="single" w:sz="12" w:space="0" w:color="000000"/>
              <w:left w:val="nil"/>
              <w:bottom w:val="single" w:sz="6" w:space="0" w:color="000000"/>
              <w:right w:val="single" w:sz="6" w:space="0" w:color="000000"/>
            </w:tcBorders>
          </w:tcPr>
          <w:p>
            <w:pPr>
              <w:pStyle w:val="TableParagraph"/>
              <w:spacing w:before="54"/>
              <w:ind w:left="16"/>
              <w:rPr>
                <w:rFonts w:ascii="Times New Roman"/>
                <w:sz w:val="21"/>
              </w:rPr>
            </w:pPr>
            <w:r>
              <w:rPr>
                <w:rFonts w:ascii="Times New Roman"/>
                <w:w w:val="99"/>
                <w:sz w:val="21"/>
              </w:rPr>
              <w:t>1</w:t>
            </w:r>
          </w:p>
        </w:tc>
        <w:tc>
          <w:tcPr>
            <w:tcW w:w="3742" w:type="dxa"/>
            <w:tcBorders>
              <w:top w:val="single" w:sz="12" w:space="0" w:color="000000"/>
              <w:left w:val="single" w:sz="6" w:space="0" w:color="000000"/>
              <w:bottom w:val="single" w:sz="6" w:space="0" w:color="000000"/>
              <w:right w:val="single" w:sz="6" w:space="0" w:color="000000"/>
            </w:tcBorders>
          </w:tcPr>
          <w:p>
            <w:pPr>
              <w:pStyle w:val="TableParagraph"/>
              <w:spacing w:before="40"/>
              <w:ind w:left="1007" w:right="1000"/>
              <w:rPr>
                <w:sz w:val="21"/>
              </w:rPr>
            </w:pPr>
            <w:r>
              <w:rPr>
                <w:spacing w:val="-11"/>
                <w:w w:val="95"/>
                <w:sz w:val="21"/>
              </w:rPr>
              <w:t>拟建 </w:t>
            </w:r>
            <w:r>
              <w:rPr>
                <w:rFonts w:ascii="Times New Roman" w:eastAsia="Times New Roman"/>
                <w:w w:val="95"/>
                <w:sz w:val="21"/>
              </w:rPr>
              <w:t>DSA</w:t>
            </w:r>
            <w:r>
              <w:rPr>
                <w:rFonts w:ascii="Times New Roman" w:eastAsia="Times New Roman"/>
                <w:spacing w:val="22"/>
                <w:w w:val="95"/>
                <w:sz w:val="21"/>
              </w:rPr>
              <w:t> </w:t>
            </w:r>
            <w:r>
              <w:rPr>
                <w:w w:val="95"/>
                <w:sz w:val="21"/>
              </w:rPr>
              <w:t>机房</w:t>
            </w:r>
          </w:p>
        </w:tc>
        <w:tc>
          <w:tcPr>
            <w:tcW w:w="1275" w:type="dxa"/>
            <w:tcBorders>
              <w:top w:val="single" w:sz="12" w:space="0" w:color="000000"/>
              <w:left w:val="single" w:sz="6" w:space="0" w:color="000000"/>
              <w:bottom w:val="single" w:sz="6" w:space="0" w:color="000000"/>
              <w:right w:val="single" w:sz="6" w:space="0" w:color="000000"/>
            </w:tcBorders>
          </w:tcPr>
          <w:p>
            <w:pPr>
              <w:pStyle w:val="TableParagraph"/>
              <w:spacing w:before="54"/>
              <w:ind w:left="308" w:right="305"/>
              <w:rPr>
                <w:rFonts w:ascii="Times New Roman"/>
                <w:sz w:val="21"/>
              </w:rPr>
            </w:pPr>
            <w:r>
              <w:rPr>
                <w:rFonts w:ascii="Times New Roman"/>
                <w:sz w:val="21"/>
              </w:rPr>
              <w:t>***</w:t>
            </w:r>
          </w:p>
        </w:tc>
        <w:tc>
          <w:tcPr>
            <w:tcW w:w="1565" w:type="dxa"/>
            <w:tcBorders>
              <w:top w:val="single" w:sz="12" w:space="0" w:color="000000"/>
              <w:left w:val="single" w:sz="6" w:space="0" w:color="000000"/>
              <w:bottom w:val="single" w:sz="6" w:space="0" w:color="000000"/>
              <w:right w:val="single" w:sz="6" w:space="0" w:color="000000"/>
            </w:tcBorders>
          </w:tcPr>
          <w:p>
            <w:pPr>
              <w:pStyle w:val="TableParagraph"/>
              <w:spacing w:before="54"/>
              <w:ind w:left="455" w:right="451"/>
              <w:rPr>
                <w:rFonts w:ascii="Times New Roman"/>
                <w:sz w:val="21"/>
              </w:rPr>
            </w:pPr>
            <w:r>
              <w:rPr>
                <w:rFonts w:ascii="Times New Roman"/>
                <w:sz w:val="21"/>
              </w:rPr>
              <w:t>***</w:t>
            </w:r>
          </w:p>
        </w:tc>
        <w:tc>
          <w:tcPr>
            <w:tcW w:w="1475" w:type="dxa"/>
            <w:tcBorders>
              <w:top w:val="single" w:sz="12" w:space="0" w:color="000000"/>
              <w:left w:val="single" w:sz="6" w:space="0" w:color="000000"/>
              <w:bottom w:val="single" w:sz="6" w:space="0" w:color="000000"/>
              <w:right w:val="nil"/>
            </w:tcBorders>
          </w:tcPr>
          <w:p>
            <w:pPr>
              <w:pStyle w:val="TableParagraph"/>
              <w:spacing w:before="40"/>
              <w:ind w:left="502" w:right="503"/>
              <w:rPr>
                <w:sz w:val="21"/>
              </w:rPr>
            </w:pPr>
            <w:r>
              <w:rPr>
                <w:sz w:val="21"/>
              </w:rPr>
              <w:t>室内</w:t>
            </w:r>
          </w:p>
        </w:tc>
        <w:tc>
          <w:tcPr>
            <w:tcW w:w="167" w:type="dxa"/>
            <w:vMerge/>
            <w:tcBorders>
              <w:top w:val="nil"/>
              <w:left w:val="nil"/>
            </w:tcBorders>
          </w:tcPr>
          <w:p>
            <w:pPr>
              <w:rPr>
                <w:sz w:val="2"/>
                <w:szCs w:val="2"/>
              </w:rPr>
            </w:pPr>
          </w:p>
        </w:tc>
      </w:tr>
      <w:tr>
        <w:trPr>
          <w:trHeight w:val="410" w:hRule="atLeast"/>
        </w:trPr>
        <w:tc>
          <w:tcPr>
            <w:tcW w:w="166" w:type="dxa"/>
            <w:vMerge/>
            <w:tcBorders>
              <w:top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85"/>
              <w:ind w:left="16"/>
              <w:rPr>
                <w:rFonts w:ascii="Times New Roman"/>
                <w:sz w:val="21"/>
              </w:rPr>
            </w:pPr>
            <w:r>
              <w:rPr>
                <w:rFonts w:ascii="Times New Roman"/>
                <w:w w:val="99"/>
                <w:sz w:val="21"/>
              </w:rPr>
              <w:t>2</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71"/>
              <w:ind w:left="1007" w:right="1000"/>
              <w:rPr>
                <w:sz w:val="21"/>
              </w:rPr>
            </w:pPr>
            <w:r>
              <w:rPr>
                <w:sz w:val="21"/>
              </w:rPr>
              <w:t>拟建操作间</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85"/>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85"/>
              <w:ind w:left="455" w:right="451"/>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71"/>
              <w:ind w:left="502" w:right="503"/>
              <w:rPr>
                <w:sz w:val="21"/>
              </w:rPr>
            </w:pPr>
            <w:r>
              <w:rPr>
                <w:sz w:val="21"/>
              </w:rPr>
              <w:t>室内</w:t>
            </w:r>
          </w:p>
        </w:tc>
        <w:tc>
          <w:tcPr>
            <w:tcW w:w="167" w:type="dxa"/>
            <w:vMerge/>
            <w:tcBorders>
              <w:top w:val="nil"/>
              <w:left w:val="nil"/>
            </w:tcBorders>
          </w:tcPr>
          <w:p>
            <w:pPr>
              <w:rPr>
                <w:sz w:val="2"/>
                <w:szCs w:val="2"/>
              </w:rPr>
            </w:pPr>
          </w:p>
        </w:tc>
      </w:tr>
      <w:tr>
        <w:trPr>
          <w:trHeight w:val="410" w:hRule="atLeast"/>
        </w:trPr>
        <w:tc>
          <w:tcPr>
            <w:tcW w:w="166" w:type="dxa"/>
            <w:vMerge/>
            <w:tcBorders>
              <w:top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85"/>
              <w:ind w:left="16"/>
              <w:rPr>
                <w:rFonts w:ascii="Times New Roman"/>
                <w:sz w:val="21"/>
              </w:rPr>
            </w:pPr>
            <w:r>
              <w:rPr>
                <w:rFonts w:ascii="Times New Roman"/>
                <w:w w:val="99"/>
                <w:sz w:val="21"/>
              </w:rPr>
              <w:t>3</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71"/>
              <w:ind w:left="1007" w:right="1000"/>
              <w:rPr>
                <w:sz w:val="21"/>
              </w:rPr>
            </w:pPr>
            <w:r>
              <w:rPr>
                <w:sz w:val="21"/>
              </w:rPr>
              <w:t>拟建设备间</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85"/>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85"/>
              <w:ind w:left="455" w:right="451"/>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71"/>
              <w:ind w:left="502" w:right="503"/>
              <w:rPr>
                <w:sz w:val="21"/>
              </w:rPr>
            </w:pPr>
            <w:r>
              <w:rPr>
                <w:sz w:val="21"/>
              </w:rPr>
              <w:t>室内</w:t>
            </w:r>
          </w:p>
        </w:tc>
        <w:tc>
          <w:tcPr>
            <w:tcW w:w="167" w:type="dxa"/>
            <w:vMerge/>
            <w:tcBorders>
              <w:top w:val="nil"/>
              <w:left w:val="nil"/>
            </w:tcBorders>
          </w:tcPr>
          <w:p>
            <w:pPr>
              <w:rPr>
                <w:sz w:val="2"/>
                <w:szCs w:val="2"/>
              </w:rPr>
            </w:pPr>
          </w:p>
        </w:tc>
      </w:tr>
      <w:tr>
        <w:trPr>
          <w:trHeight w:val="410" w:hRule="atLeast"/>
        </w:trPr>
        <w:tc>
          <w:tcPr>
            <w:tcW w:w="166" w:type="dxa"/>
            <w:vMerge/>
            <w:tcBorders>
              <w:top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85"/>
              <w:ind w:left="16"/>
              <w:rPr>
                <w:rFonts w:ascii="Times New Roman"/>
                <w:sz w:val="21"/>
              </w:rPr>
            </w:pPr>
            <w:r>
              <w:rPr>
                <w:rFonts w:ascii="Times New Roman"/>
                <w:w w:val="99"/>
                <w:sz w:val="21"/>
              </w:rPr>
              <w:t>4</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71"/>
              <w:ind w:left="1005" w:right="1000"/>
              <w:rPr>
                <w:sz w:val="21"/>
              </w:rPr>
            </w:pPr>
            <w:r>
              <w:rPr>
                <w:sz w:val="21"/>
              </w:rPr>
              <w:t>拟建后处理室</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85"/>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85"/>
              <w:ind w:left="455" w:right="451"/>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71"/>
              <w:ind w:left="502" w:right="503"/>
              <w:rPr>
                <w:sz w:val="21"/>
              </w:rPr>
            </w:pPr>
            <w:r>
              <w:rPr>
                <w:sz w:val="21"/>
              </w:rPr>
              <w:t>室内</w:t>
            </w:r>
          </w:p>
        </w:tc>
        <w:tc>
          <w:tcPr>
            <w:tcW w:w="167" w:type="dxa"/>
            <w:vMerge/>
            <w:tcBorders>
              <w:top w:val="nil"/>
              <w:left w:val="nil"/>
            </w:tcBorders>
          </w:tcPr>
          <w:p>
            <w:pPr>
              <w:rPr>
                <w:sz w:val="2"/>
                <w:szCs w:val="2"/>
              </w:rPr>
            </w:pPr>
          </w:p>
        </w:tc>
      </w:tr>
      <w:tr>
        <w:trPr>
          <w:trHeight w:val="410" w:hRule="atLeast"/>
        </w:trPr>
        <w:tc>
          <w:tcPr>
            <w:tcW w:w="166" w:type="dxa"/>
            <w:vMerge/>
            <w:tcBorders>
              <w:top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84"/>
              <w:ind w:left="16"/>
              <w:rPr>
                <w:rFonts w:ascii="Times New Roman"/>
                <w:sz w:val="21"/>
              </w:rPr>
            </w:pPr>
            <w:r>
              <w:rPr>
                <w:rFonts w:ascii="Times New Roman"/>
                <w:w w:val="99"/>
                <w:sz w:val="21"/>
              </w:rPr>
              <w:t>5</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70"/>
              <w:ind w:left="1005" w:right="1000"/>
              <w:rPr>
                <w:sz w:val="21"/>
              </w:rPr>
            </w:pPr>
            <w:r>
              <w:rPr>
                <w:sz w:val="21"/>
              </w:rPr>
              <w:t>拟建医生通道</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84"/>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84"/>
              <w:ind w:left="455" w:right="451"/>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70"/>
              <w:ind w:left="502" w:right="503"/>
              <w:rPr>
                <w:sz w:val="21"/>
              </w:rPr>
            </w:pPr>
            <w:r>
              <w:rPr>
                <w:sz w:val="21"/>
              </w:rPr>
              <w:t>室内</w:t>
            </w:r>
          </w:p>
        </w:tc>
        <w:tc>
          <w:tcPr>
            <w:tcW w:w="167" w:type="dxa"/>
            <w:vMerge/>
            <w:tcBorders>
              <w:top w:val="nil"/>
              <w:left w:val="nil"/>
            </w:tcBorders>
          </w:tcPr>
          <w:p>
            <w:pPr>
              <w:rPr>
                <w:sz w:val="2"/>
                <w:szCs w:val="2"/>
              </w:rPr>
            </w:pPr>
          </w:p>
        </w:tc>
      </w:tr>
      <w:tr>
        <w:trPr>
          <w:trHeight w:val="440" w:hRule="atLeast"/>
        </w:trPr>
        <w:tc>
          <w:tcPr>
            <w:tcW w:w="166" w:type="dxa"/>
            <w:vMerge/>
            <w:tcBorders>
              <w:top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99"/>
              <w:ind w:left="16"/>
              <w:rPr>
                <w:rFonts w:ascii="Times New Roman"/>
                <w:sz w:val="21"/>
              </w:rPr>
            </w:pPr>
            <w:r>
              <w:rPr>
                <w:rFonts w:ascii="Times New Roman"/>
                <w:w w:val="99"/>
                <w:sz w:val="21"/>
              </w:rPr>
              <w:t>6</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85"/>
              <w:ind w:left="1005" w:right="1000"/>
              <w:rPr>
                <w:sz w:val="21"/>
              </w:rPr>
            </w:pPr>
            <w:r>
              <w:rPr>
                <w:sz w:val="21"/>
              </w:rPr>
              <w:t>拟建病人通道</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99"/>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99"/>
              <w:ind w:left="455" w:right="451"/>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85"/>
              <w:ind w:left="502" w:right="503"/>
              <w:rPr>
                <w:sz w:val="21"/>
              </w:rPr>
            </w:pPr>
            <w:r>
              <w:rPr>
                <w:sz w:val="21"/>
              </w:rPr>
              <w:t>室内</w:t>
            </w:r>
          </w:p>
        </w:tc>
        <w:tc>
          <w:tcPr>
            <w:tcW w:w="167" w:type="dxa"/>
            <w:vMerge/>
            <w:tcBorders>
              <w:top w:val="nil"/>
              <w:left w:val="nil"/>
            </w:tcBorders>
          </w:tcPr>
          <w:p>
            <w:pPr>
              <w:rPr>
                <w:sz w:val="2"/>
                <w:szCs w:val="2"/>
              </w:rPr>
            </w:pPr>
          </w:p>
        </w:tc>
      </w:tr>
      <w:tr>
        <w:trPr>
          <w:trHeight w:val="437" w:hRule="atLeast"/>
        </w:trPr>
        <w:tc>
          <w:tcPr>
            <w:tcW w:w="166" w:type="dxa"/>
            <w:vMerge/>
            <w:tcBorders>
              <w:top w:val="nil"/>
              <w:right w:val="nil"/>
            </w:tcBorders>
          </w:tcPr>
          <w:p>
            <w:pPr>
              <w:rPr>
                <w:sz w:val="2"/>
                <w:szCs w:val="2"/>
              </w:rPr>
            </w:pPr>
          </w:p>
        </w:tc>
        <w:tc>
          <w:tcPr>
            <w:tcW w:w="722" w:type="dxa"/>
            <w:tcBorders>
              <w:top w:val="single" w:sz="6" w:space="0" w:color="000000"/>
              <w:left w:val="nil"/>
              <w:bottom w:val="single" w:sz="12" w:space="0" w:color="000000"/>
              <w:right w:val="single" w:sz="6" w:space="0" w:color="000000"/>
            </w:tcBorders>
          </w:tcPr>
          <w:p>
            <w:pPr>
              <w:pStyle w:val="TableParagraph"/>
              <w:spacing w:before="100"/>
              <w:ind w:left="16"/>
              <w:rPr>
                <w:rFonts w:ascii="Times New Roman"/>
                <w:sz w:val="21"/>
              </w:rPr>
            </w:pPr>
            <w:r>
              <w:rPr>
                <w:rFonts w:ascii="Times New Roman"/>
                <w:w w:val="99"/>
                <w:sz w:val="21"/>
              </w:rPr>
              <w:t>7</w:t>
            </w:r>
          </w:p>
        </w:tc>
        <w:tc>
          <w:tcPr>
            <w:tcW w:w="3742" w:type="dxa"/>
            <w:tcBorders>
              <w:top w:val="single" w:sz="6" w:space="0" w:color="000000"/>
              <w:left w:val="single" w:sz="6" w:space="0" w:color="000000"/>
              <w:bottom w:val="single" w:sz="12" w:space="0" w:color="000000"/>
              <w:right w:val="single" w:sz="6" w:space="0" w:color="000000"/>
            </w:tcBorders>
          </w:tcPr>
          <w:p>
            <w:pPr>
              <w:pStyle w:val="TableParagraph"/>
              <w:spacing w:before="86"/>
              <w:ind w:left="1005" w:right="1000"/>
              <w:rPr>
                <w:sz w:val="21"/>
              </w:rPr>
            </w:pPr>
            <w:r>
              <w:rPr>
                <w:sz w:val="21"/>
              </w:rPr>
              <w:t>拟建污物通道</w:t>
            </w:r>
          </w:p>
        </w:tc>
        <w:tc>
          <w:tcPr>
            <w:tcW w:w="1275" w:type="dxa"/>
            <w:tcBorders>
              <w:top w:val="single" w:sz="6" w:space="0" w:color="000000"/>
              <w:left w:val="single" w:sz="6" w:space="0" w:color="000000"/>
              <w:bottom w:val="single" w:sz="12" w:space="0" w:color="000000"/>
              <w:right w:val="single" w:sz="6" w:space="0" w:color="000000"/>
            </w:tcBorders>
          </w:tcPr>
          <w:p>
            <w:pPr>
              <w:pStyle w:val="TableParagraph"/>
              <w:spacing w:before="100"/>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12" w:space="0" w:color="000000"/>
              <w:right w:val="single" w:sz="6" w:space="0" w:color="000000"/>
            </w:tcBorders>
          </w:tcPr>
          <w:p>
            <w:pPr>
              <w:pStyle w:val="TableParagraph"/>
              <w:spacing w:before="100"/>
              <w:ind w:left="455" w:right="451"/>
              <w:rPr>
                <w:rFonts w:ascii="Times New Roman"/>
                <w:sz w:val="21"/>
              </w:rPr>
            </w:pPr>
            <w:r>
              <w:rPr>
                <w:rFonts w:ascii="Times New Roman"/>
                <w:sz w:val="21"/>
              </w:rPr>
              <w:t>***</w:t>
            </w:r>
          </w:p>
        </w:tc>
        <w:tc>
          <w:tcPr>
            <w:tcW w:w="1475" w:type="dxa"/>
            <w:tcBorders>
              <w:top w:val="single" w:sz="6" w:space="0" w:color="000000"/>
              <w:left w:val="single" w:sz="6" w:space="0" w:color="000000"/>
              <w:bottom w:val="single" w:sz="12" w:space="0" w:color="000000"/>
              <w:right w:val="nil"/>
            </w:tcBorders>
          </w:tcPr>
          <w:p>
            <w:pPr>
              <w:pStyle w:val="TableParagraph"/>
              <w:spacing w:before="86"/>
              <w:ind w:left="502" w:right="503"/>
              <w:rPr>
                <w:sz w:val="21"/>
              </w:rPr>
            </w:pPr>
            <w:r>
              <w:rPr>
                <w:sz w:val="21"/>
              </w:rPr>
              <w:t>室内</w:t>
            </w:r>
          </w:p>
        </w:tc>
        <w:tc>
          <w:tcPr>
            <w:tcW w:w="167" w:type="dxa"/>
            <w:vMerge/>
            <w:tcBorders>
              <w:top w:val="nil"/>
              <w:left w:val="nil"/>
            </w:tcBorders>
          </w:tcPr>
          <w:p>
            <w:pPr>
              <w:rPr>
                <w:sz w:val="2"/>
                <w:szCs w:val="2"/>
              </w:rPr>
            </w:pPr>
          </w:p>
        </w:tc>
      </w:tr>
    </w:tbl>
    <w:p>
      <w:pPr>
        <w:spacing w:after="0"/>
        <w:rPr>
          <w:sz w:val="2"/>
          <w:szCs w:val="2"/>
        </w:rPr>
        <w:sectPr>
          <w:pgSz w:w="11910" w:h="16840"/>
          <w:pgMar w:header="0" w:footer="1383" w:top="1420" w:bottom="1580" w:left="1240" w:right="1040"/>
        </w:sectPr>
      </w:pPr>
    </w:p>
    <w:tbl>
      <w:tblPr>
        <w:tblW w:w="0" w:type="auto"/>
        <w:jc w:val="left"/>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
        <w:gridCol w:w="722"/>
        <w:gridCol w:w="3742"/>
        <w:gridCol w:w="1275"/>
        <w:gridCol w:w="1565"/>
        <w:gridCol w:w="1475"/>
        <w:gridCol w:w="167"/>
      </w:tblGrid>
      <w:tr>
        <w:trPr>
          <w:trHeight w:val="437" w:hRule="atLeast"/>
        </w:trPr>
        <w:tc>
          <w:tcPr>
            <w:tcW w:w="166" w:type="dxa"/>
            <w:vMerge w:val="restart"/>
            <w:tcBorders>
              <w:bottom w:val="nil"/>
              <w:right w:val="nil"/>
            </w:tcBorders>
          </w:tcPr>
          <w:p>
            <w:pPr>
              <w:pStyle w:val="TableParagraph"/>
              <w:jc w:val="left"/>
              <w:rPr>
                <w:rFonts w:ascii="Times New Roman"/>
                <w:sz w:val="22"/>
              </w:rPr>
            </w:pPr>
          </w:p>
        </w:tc>
        <w:tc>
          <w:tcPr>
            <w:tcW w:w="722" w:type="dxa"/>
            <w:tcBorders>
              <w:top w:val="single" w:sz="18" w:space="0" w:color="000000"/>
              <w:left w:val="nil"/>
              <w:bottom w:val="single" w:sz="6" w:space="0" w:color="000000"/>
              <w:right w:val="single" w:sz="6" w:space="0" w:color="000000"/>
            </w:tcBorders>
          </w:tcPr>
          <w:p>
            <w:pPr>
              <w:pStyle w:val="TableParagraph"/>
              <w:spacing w:before="96"/>
              <w:ind w:left="313"/>
              <w:jc w:val="left"/>
              <w:rPr>
                <w:rFonts w:ascii="Times New Roman"/>
                <w:sz w:val="21"/>
              </w:rPr>
            </w:pPr>
            <w:r>
              <w:rPr>
                <w:rFonts w:ascii="Times New Roman"/>
                <w:w w:val="99"/>
                <w:sz w:val="21"/>
              </w:rPr>
              <w:t>8</w:t>
            </w:r>
          </w:p>
        </w:tc>
        <w:tc>
          <w:tcPr>
            <w:tcW w:w="3742" w:type="dxa"/>
            <w:tcBorders>
              <w:top w:val="single" w:sz="18" w:space="0" w:color="000000"/>
              <w:left w:val="single" w:sz="6" w:space="0" w:color="000000"/>
              <w:bottom w:val="single" w:sz="6" w:space="0" w:color="000000"/>
              <w:right w:val="single" w:sz="6" w:space="0" w:color="000000"/>
            </w:tcBorders>
          </w:tcPr>
          <w:p>
            <w:pPr>
              <w:pStyle w:val="TableParagraph"/>
              <w:spacing w:before="82"/>
              <w:ind w:left="1005" w:right="1000"/>
              <w:rPr>
                <w:sz w:val="21"/>
              </w:rPr>
            </w:pPr>
            <w:r>
              <w:rPr>
                <w:sz w:val="21"/>
              </w:rPr>
              <w:t>拟建机房楼上</w:t>
            </w:r>
          </w:p>
        </w:tc>
        <w:tc>
          <w:tcPr>
            <w:tcW w:w="1275" w:type="dxa"/>
            <w:tcBorders>
              <w:top w:val="single" w:sz="18" w:space="0" w:color="000000"/>
              <w:left w:val="single" w:sz="6" w:space="0" w:color="000000"/>
              <w:bottom w:val="single" w:sz="6" w:space="0" w:color="000000"/>
              <w:right w:val="single" w:sz="6" w:space="0" w:color="000000"/>
            </w:tcBorders>
          </w:tcPr>
          <w:p>
            <w:pPr>
              <w:pStyle w:val="TableParagraph"/>
              <w:spacing w:before="96"/>
              <w:ind w:left="308" w:right="305"/>
              <w:rPr>
                <w:rFonts w:ascii="Times New Roman"/>
                <w:sz w:val="21"/>
              </w:rPr>
            </w:pPr>
            <w:r>
              <w:rPr>
                <w:rFonts w:ascii="Times New Roman"/>
                <w:sz w:val="21"/>
              </w:rPr>
              <w:t>***</w:t>
            </w:r>
          </w:p>
        </w:tc>
        <w:tc>
          <w:tcPr>
            <w:tcW w:w="1565" w:type="dxa"/>
            <w:tcBorders>
              <w:top w:val="single" w:sz="18" w:space="0" w:color="000000"/>
              <w:left w:val="single" w:sz="6" w:space="0" w:color="000000"/>
              <w:bottom w:val="single" w:sz="6" w:space="0" w:color="000000"/>
              <w:right w:val="single" w:sz="6" w:space="0" w:color="000000"/>
            </w:tcBorders>
          </w:tcPr>
          <w:p>
            <w:pPr>
              <w:pStyle w:val="TableParagraph"/>
              <w:spacing w:before="96"/>
              <w:ind w:left="621"/>
              <w:jc w:val="left"/>
              <w:rPr>
                <w:rFonts w:ascii="Times New Roman"/>
                <w:sz w:val="21"/>
              </w:rPr>
            </w:pPr>
            <w:r>
              <w:rPr>
                <w:rFonts w:ascii="Times New Roman"/>
                <w:sz w:val="21"/>
              </w:rPr>
              <w:t>***</w:t>
            </w:r>
          </w:p>
        </w:tc>
        <w:tc>
          <w:tcPr>
            <w:tcW w:w="1475" w:type="dxa"/>
            <w:tcBorders>
              <w:top w:val="single" w:sz="18" w:space="0" w:color="000000"/>
              <w:left w:val="single" w:sz="6" w:space="0" w:color="000000"/>
              <w:bottom w:val="single" w:sz="6" w:space="0" w:color="000000"/>
              <w:right w:val="nil"/>
            </w:tcBorders>
          </w:tcPr>
          <w:p>
            <w:pPr>
              <w:pStyle w:val="TableParagraph"/>
              <w:spacing w:before="82"/>
              <w:ind w:left="502" w:right="503"/>
              <w:rPr>
                <w:sz w:val="21"/>
              </w:rPr>
            </w:pPr>
            <w:r>
              <w:rPr>
                <w:sz w:val="21"/>
              </w:rPr>
              <w:t>室内</w:t>
            </w:r>
          </w:p>
        </w:tc>
        <w:tc>
          <w:tcPr>
            <w:tcW w:w="167" w:type="dxa"/>
            <w:vMerge w:val="restart"/>
            <w:tcBorders>
              <w:left w:val="nil"/>
              <w:bottom w:val="nil"/>
            </w:tcBorders>
          </w:tcPr>
          <w:p>
            <w:pPr>
              <w:pStyle w:val="TableParagraph"/>
              <w:jc w:val="left"/>
              <w:rPr>
                <w:rFonts w:ascii="Times New Roman"/>
                <w:sz w:val="22"/>
              </w:rPr>
            </w:pPr>
          </w:p>
        </w:tc>
      </w:tr>
      <w:tr>
        <w:trPr>
          <w:trHeight w:val="440" w:hRule="atLeast"/>
        </w:trPr>
        <w:tc>
          <w:tcPr>
            <w:tcW w:w="166" w:type="dxa"/>
            <w:vMerge/>
            <w:tcBorders>
              <w:top w:val="nil"/>
              <w:bottom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100"/>
              <w:ind w:left="313"/>
              <w:jc w:val="left"/>
              <w:rPr>
                <w:rFonts w:ascii="Times New Roman"/>
                <w:sz w:val="21"/>
              </w:rPr>
            </w:pPr>
            <w:r>
              <w:rPr>
                <w:rFonts w:ascii="Times New Roman"/>
                <w:w w:val="99"/>
                <w:sz w:val="21"/>
              </w:rPr>
              <w:t>9</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86"/>
              <w:ind w:left="1005" w:right="1000"/>
              <w:rPr>
                <w:sz w:val="21"/>
              </w:rPr>
            </w:pPr>
            <w:r>
              <w:rPr>
                <w:sz w:val="21"/>
              </w:rPr>
              <w:t>拟建机房楼下</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100"/>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100"/>
              <w:ind w:left="621"/>
              <w:jc w:val="left"/>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86"/>
              <w:ind w:left="502" w:right="503"/>
              <w:rPr>
                <w:sz w:val="21"/>
              </w:rPr>
            </w:pPr>
            <w:r>
              <w:rPr>
                <w:sz w:val="21"/>
              </w:rPr>
              <w:t>室内</w:t>
            </w:r>
          </w:p>
        </w:tc>
        <w:tc>
          <w:tcPr>
            <w:tcW w:w="167" w:type="dxa"/>
            <w:vMerge/>
            <w:tcBorders>
              <w:top w:val="nil"/>
              <w:left w:val="nil"/>
              <w:bottom w:val="nil"/>
            </w:tcBorders>
          </w:tcPr>
          <w:p>
            <w:pPr>
              <w:rPr>
                <w:sz w:val="2"/>
                <w:szCs w:val="2"/>
              </w:rPr>
            </w:pPr>
          </w:p>
        </w:tc>
      </w:tr>
      <w:tr>
        <w:trPr>
          <w:trHeight w:val="440" w:hRule="atLeast"/>
        </w:trPr>
        <w:tc>
          <w:tcPr>
            <w:tcW w:w="166" w:type="dxa"/>
            <w:vMerge/>
            <w:tcBorders>
              <w:top w:val="nil"/>
              <w:bottom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98"/>
              <w:ind w:left="260"/>
              <w:jc w:val="left"/>
              <w:rPr>
                <w:rFonts w:ascii="Times New Roman"/>
                <w:sz w:val="21"/>
              </w:rPr>
            </w:pPr>
            <w:r>
              <w:rPr>
                <w:rFonts w:ascii="Times New Roman"/>
                <w:sz w:val="21"/>
              </w:rPr>
              <w:t>10</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84"/>
              <w:ind w:left="1007" w:right="997"/>
              <w:rPr>
                <w:sz w:val="21"/>
              </w:rPr>
            </w:pPr>
            <w:r>
              <w:rPr>
                <w:sz w:val="21"/>
              </w:rPr>
              <w:t>拟建机房东北侧</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98"/>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98"/>
              <w:ind w:left="621"/>
              <w:jc w:val="left"/>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84"/>
              <w:ind w:left="503" w:right="503"/>
              <w:rPr>
                <w:sz w:val="21"/>
              </w:rPr>
            </w:pPr>
            <w:r>
              <w:rPr>
                <w:sz w:val="21"/>
              </w:rPr>
              <w:t>室外</w:t>
            </w:r>
          </w:p>
        </w:tc>
        <w:tc>
          <w:tcPr>
            <w:tcW w:w="167" w:type="dxa"/>
            <w:vMerge/>
            <w:tcBorders>
              <w:top w:val="nil"/>
              <w:left w:val="nil"/>
              <w:bottom w:val="nil"/>
            </w:tcBorders>
          </w:tcPr>
          <w:p>
            <w:pPr>
              <w:rPr>
                <w:sz w:val="2"/>
                <w:szCs w:val="2"/>
              </w:rPr>
            </w:pPr>
          </w:p>
        </w:tc>
      </w:tr>
      <w:tr>
        <w:trPr>
          <w:trHeight w:val="440" w:hRule="atLeast"/>
        </w:trPr>
        <w:tc>
          <w:tcPr>
            <w:tcW w:w="166" w:type="dxa"/>
            <w:vMerge/>
            <w:tcBorders>
              <w:top w:val="nil"/>
              <w:bottom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99"/>
              <w:ind w:left="265"/>
              <w:jc w:val="left"/>
              <w:rPr>
                <w:rFonts w:ascii="Times New Roman"/>
                <w:sz w:val="21"/>
              </w:rPr>
            </w:pPr>
            <w:r>
              <w:rPr>
                <w:rFonts w:ascii="Times New Roman"/>
                <w:sz w:val="21"/>
              </w:rPr>
              <w:t>11</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85"/>
              <w:ind w:left="1007" w:right="1000"/>
              <w:rPr>
                <w:sz w:val="21"/>
              </w:rPr>
            </w:pPr>
            <w:r>
              <w:rPr>
                <w:sz w:val="21"/>
              </w:rPr>
              <w:t>医疗中心</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99"/>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99"/>
              <w:ind w:left="621"/>
              <w:jc w:val="left"/>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85"/>
              <w:ind w:left="503" w:right="503"/>
              <w:rPr>
                <w:sz w:val="21"/>
              </w:rPr>
            </w:pPr>
            <w:r>
              <w:rPr>
                <w:sz w:val="21"/>
              </w:rPr>
              <w:t>室外</w:t>
            </w:r>
          </w:p>
        </w:tc>
        <w:tc>
          <w:tcPr>
            <w:tcW w:w="167" w:type="dxa"/>
            <w:vMerge/>
            <w:tcBorders>
              <w:top w:val="nil"/>
              <w:left w:val="nil"/>
              <w:bottom w:val="nil"/>
            </w:tcBorders>
          </w:tcPr>
          <w:p>
            <w:pPr>
              <w:rPr>
                <w:sz w:val="2"/>
                <w:szCs w:val="2"/>
              </w:rPr>
            </w:pPr>
          </w:p>
        </w:tc>
      </w:tr>
      <w:tr>
        <w:trPr>
          <w:trHeight w:val="440" w:hRule="atLeast"/>
        </w:trPr>
        <w:tc>
          <w:tcPr>
            <w:tcW w:w="166" w:type="dxa"/>
            <w:vMerge/>
            <w:tcBorders>
              <w:top w:val="nil"/>
              <w:bottom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98"/>
              <w:ind w:left="260"/>
              <w:jc w:val="left"/>
              <w:rPr>
                <w:rFonts w:ascii="Times New Roman"/>
                <w:sz w:val="21"/>
              </w:rPr>
            </w:pPr>
            <w:r>
              <w:rPr>
                <w:rFonts w:ascii="Times New Roman"/>
                <w:sz w:val="21"/>
              </w:rPr>
              <w:t>12</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84"/>
              <w:ind w:left="1007" w:right="1000"/>
              <w:rPr>
                <w:sz w:val="21"/>
              </w:rPr>
            </w:pPr>
            <w:r>
              <w:rPr>
                <w:sz w:val="21"/>
              </w:rPr>
              <w:t>康复理疗楼</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98"/>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98"/>
              <w:ind w:left="621"/>
              <w:jc w:val="left"/>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84"/>
              <w:ind w:left="503" w:right="503"/>
              <w:rPr>
                <w:sz w:val="21"/>
              </w:rPr>
            </w:pPr>
            <w:r>
              <w:rPr>
                <w:sz w:val="21"/>
              </w:rPr>
              <w:t>室外</w:t>
            </w:r>
          </w:p>
        </w:tc>
        <w:tc>
          <w:tcPr>
            <w:tcW w:w="167" w:type="dxa"/>
            <w:vMerge/>
            <w:tcBorders>
              <w:top w:val="nil"/>
              <w:left w:val="nil"/>
              <w:bottom w:val="nil"/>
            </w:tcBorders>
          </w:tcPr>
          <w:p>
            <w:pPr>
              <w:rPr>
                <w:sz w:val="2"/>
                <w:szCs w:val="2"/>
              </w:rPr>
            </w:pPr>
          </w:p>
        </w:tc>
      </w:tr>
      <w:tr>
        <w:trPr>
          <w:trHeight w:val="440" w:hRule="atLeast"/>
        </w:trPr>
        <w:tc>
          <w:tcPr>
            <w:tcW w:w="166" w:type="dxa"/>
            <w:vMerge/>
            <w:tcBorders>
              <w:top w:val="nil"/>
              <w:bottom w:val="nil"/>
              <w:right w:val="nil"/>
            </w:tcBorders>
          </w:tcPr>
          <w:p>
            <w:pPr>
              <w:rPr>
                <w:sz w:val="2"/>
                <w:szCs w:val="2"/>
              </w:rPr>
            </w:pPr>
          </w:p>
        </w:tc>
        <w:tc>
          <w:tcPr>
            <w:tcW w:w="722" w:type="dxa"/>
            <w:tcBorders>
              <w:top w:val="single" w:sz="6" w:space="0" w:color="000000"/>
              <w:left w:val="nil"/>
              <w:bottom w:val="single" w:sz="6" w:space="0" w:color="000000"/>
              <w:right w:val="single" w:sz="6" w:space="0" w:color="000000"/>
            </w:tcBorders>
          </w:tcPr>
          <w:p>
            <w:pPr>
              <w:pStyle w:val="TableParagraph"/>
              <w:spacing w:before="99"/>
              <w:ind w:left="260"/>
              <w:jc w:val="left"/>
              <w:rPr>
                <w:rFonts w:ascii="Times New Roman"/>
                <w:sz w:val="21"/>
              </w:rPr>
            </w:pPr>
            <w:r>
              <w:rPr>
                <w:rFonts w:ascii="Times New Roman"/>
                <w:sz w:val="21"/>
              </w:rPr>
              <w:t>13</w:t>
            </w:r>
          </w:p>
        </w:tc>
        <w:tc>
          <w:tcPr>
            <w:tcW w:w="3742" w:type="dxa"/>
            <w:tcBorders>
              <w:top w:val="single" w:sz="6" w:space="0" w:color="000000"/>
              <w:left w:val="single" w:sz="6" w:space="0" w:color="000000"/>
              <w:bottom w:val="single" w:sz="6" w:space="0" w:color="000000"/>
              <w:right w:val="single" w:sz="6" w:space="0" w:color="000000"/>
            </w:tcBorders>
          </w:tcPr>
          <w:p>
            <w:pPr>
              <w:pStyle w:val="TableParagraph"/>
              <w:spacing w:before="85"/>
              <w:ind w:left="1007" w:right="997"/>
              <w:rPr>
                <w:sz w:val="21"/>
              </w:rPr>
            </w:pPr>
            <w:r>
              <w:rPr>
                <w:sz w:val="21"/>
              </w:rPr>
              <w:t>门诊楼</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99"/>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6" w:space="0" w:color="000000"/>
              <w:right w:val="single" w:sz="6" w:space="0" w:color="000000"/>
            </w:tcBorders>
          </w:tcPr>
          <w:p>
            <w:pPr>
              <w:pStyle w:val="TableParagraph"/>
              <w:spacing w:before="99"/>
              <w:ind w:left="621"/>
              <w:jc w:val="left"/>
              <w:rPr>
                <w:rFonts w:ascii="Times New Roman"/>
                <w:sz w:val="21"/>
              </w:rPr>
            </w:pPr>
            <w:r>
              <w:rPr>
                <w:rFonts w:ascii="Times New Roman"/>
                <w:sz w:val="21"/>
              </w:rPr>
              <w:t>***</w:t>
            </w:r>
          </w:p>
        </w:tc>
        <w:tc>
          <w:tcPr>
            <w:tcW w:w="1475" w:type="dxa"/>
            <w:tcBorders>
              <w:top w:val="single" w:sz="6" w:space="0" w:color="000000"/>
              <w:left w:val="single" w:sz="6" w:space="0" w:color="000000"/>
              <w:bottom w:val="single" w:sz="6" w:space="0" w:color="000000"/>
              <w:right w:val="nil"/>
            </w:tcBorders>
          </w:tcPr>
          <w:p>
            <w:pPr>
              <w:pStyle w:val="TableParagraph"/>
              <w:spacing w:before="85"/>
              <w:ind w:left="503" w:right="503"/>
              <w:rPr>
                <w:sz w:val="21"/>
              </w:rPr>
            </w:pPr>
            <w:r>
              <w:rPr>
                <w:sz w:val="21"/>
              </w:rPr>
              <w:t>室外</w:t>
            </w:r>
          </w:p>
        </w:tc>
        <w:tc>
          <w:tcPr>
            <w:tcW w:w="167" w:type="dxa"/>
            <w:vMerge/>
            <w:tcBorders>
              <w:top w:val="nil"/>
              <w:left w:val="nil"/>
              <w:bottom w:val="nil"/>
            </w:tcBorders>
          </w:tcPr>
          <w:p>
            <w:pPr>
              <w:rPr>
                <w:sz w:val="2"/>
                <w:szCs w:val="2"/>
              </w:rPr>
            </w:pPr>
          </w:p>
        </w:tc>
      </w:tr>
      <w:tr>
        <w:trPr>
          <w:trHeight w:val="439" w:hRule="atLeast"/>
        </w:trPr>
        <w:tc>
          <w:tcPr>
            <w:tcW w:w="166" w:type="dxa"/>
            <w:vMerge/>
            <w:tcBorders>
              <w:top w:val="nil"/>
              <w:bottom w:val="nil"/>
              <w:right w:val="nil"/>
            </w:tcBorders>
          </w:tcPr>
          <w:p>
            <w:pPr>
              <w:rPr>
                <w:sz w:val="2"/>
                <w:szCs w:val="2"/>
              </w:rPr>
            </w:pPr>
          </w:p>
        </w:tc>
        <w:tc>
          <w:tcPr>
            <w:tcW w:w="722" w:type="dxa"/>
            <w:tcBorders>
              <w:top w:val="single" w:sz="6" w:space="0" w:color="000000"/>
              <w:left w:val="nil"/>
              <w:bottom w:val="single" w:sz="12" w:space="0" w:color="000000"/>
              <w:right w:val="single" w:sz="6" w:space="0" w:color="000000"/>
            </w:tcBorders>
          </w:tcPr>
          <w:p>
            <w:pPr>
              <w:pStyle w:val="TableParagraph"/>
              <w:spacing w:before="100"/>
              <w:ind w:left="260"/>
              <w:jc w:val="left"/>
              <w:rPr>
                <w:rFonts w:ascii="Times New Roman"/>
                <w:sz w:val="21"/>
              </w:rPr>
            </w:pPr>
            <w:r>
              <w:rPr>
                <w:rFonts w:ascii="Times New Roman"/>
                <w:sz w:val="21"/>
              </w:rPr>
              <w:t>14</w:t>
            </w:r>
          </w:p>
        </w:tc>
        <w:tc>
          <w:tcPr>
            <w:tcW w:w="3742" w:type="dxa"/>
            <w:tcBorders>
              <w:top w:val="single" w:sz="6" w:space="0" w:color="000000"/>
              <w:left w:val="single" w:sz="6" w:space="0" w:color="000000"/>
              <w:bottom w:val="single" w:sz="12" w:space="0" w:color="000000"/>
              <w:right w:val="single" w:sz="6" w:space="0" w:color="000000"/>
            </w:tcBorders>
          </w:tcPr>
          <w:p>
            <w:pPr>
              <w:pStyle w:val="TableParagraph"/>
              <w:spacing w:before="86"/>
              <w:ind w:left="1007" w:right="1000"/>
              <w:rPr>
                <w:sz w:val="21"/>
              </w:rPr>
            </w:pPr>
            <w:r>
              <w:rPr>
                <w:sz w:val="21"/>
              </w:rPr>
              <w:t>疑难病症诊治中心</w:t>
            </w:r>
          </w:p>
        </w:tc>
        <w:tc>
          <w:tcPr>
            <w:tcW w:w="1275" w:type="dxa"/>
            <w:tcBorders>
              <w:top w:val="single" w:sz="6" w:space="0" w:color="000000"/>
              <w:left w:val="single" w:sz="6" w:space="0" w:color="000000"/>
              <w:bottom w:val="single" w:sz="12" w:space="0" w:color="000000"/>
              <w:right w:val="single" w:sz="6" w:space="0" w:color="000000"/>
            </w:tcBorders>
          </w:tcPr>
          <w:p>
            <w:pPr>
              <w:pStyle w:val="TableParagraph"/>
              <w:spacing w:before="100"/>
              <w:ind w:left="308" w:right="305"/>
              <w:rPr>
                <w:rFonts w:ascii="Times New Roman"/>
                <w:sz w:val="21"/>
              </w:rPr>
            </w:pPr>
            <w:r>
              <w:rPr>
                <w:rFonts w:ascii="Times New Roman"/>
                <w:sz w:val="21"/>
              </w:rPr>
              <w:t>***</w:t>
            </w:r>
          </w:p>
        </w:tc>
        <w:tc>
          <w:tcPr>
            <w:tcW w:w="1565" w:type="dxa"/>
            <w:tcBorders>
              <w:top w:val="single" w:sz="6" w:space="0" w:color="000000"/>
              <w:left w:val="single" w:sz="6" w:space="0" w:color="000000"/>
              <w:bottom w:val="single" w:sz="12" w:space="0" w:color="000000"/>
              <w:right w:val="single" w:sz="6" w:space="0" w:color="000000"/>
            </w:tcBorders>
          </w:tcPr>
          <w:p>
            <w:pPr>
              <w:pStyle w:val="TableParagraph"/>
              <w:spacing w:before="100"/>
              <w:ind w:left="621"/>
              <w:jc w:val="left"/>
              <w:rPr>
                <w:rFonts w:ascii="Times New Roman"/>
                <w:sz w:val="21"/>
              </w:rPr>
            </w:pPr>
            <w:r>
              <w:rPr>
                <w:rFonts w:ascii="Times New Roman"/>
                <w:sz w:val="21"/>
              </w:rPr>
              <w:t>***</w:t>
            </w:r>
          </w:p>
        </w:tc>
        <w:tc>
          <w:tcPr>
            <w:tcW w:w="1475" w:type="dxa"/>
            <w:tcBorders>
              <w:top w:val="single" w:sz="6" w:space="0" w:color="000000"/>
              <w:left w:val="single" w:sz="6" w:space="0" w:color="000000"/>
              <w:bottom w:val="single" w:sz="12" w:space="0" w:color="000000"/>
              <w:right w:val="nil"/>
            </w:tcBorders>
          </w:tcPr>
          <w:p>
            <w:pPr>
              <w:pStyle w:val="TableParagraph"/>
              <w:spacing w:before="86"/>
              <w:ind w:left="503" w:right="503"/>
              <w:rPr>
                <w:sz w:val="21"/>
              </w:rPr>
            </w:pPr>
            <w:r>
              <w:rPr>
                <w:sz w:val="21"/>
              </w:rPr>
              <w:t>室外</w:t>
            </w:r>
          </w:p>
        </w:tc>
        <w:tc>
          <w:tcPr>
            <w:tcW w:w="167" w:type="dxa"/>
            <w:vMerge/>
            <w:tcBorders>
              <w:top w:val="nil"/>
              <w:left w:val="nil"/>
              <w:bottom w:val="nil"/>
            </w:tcBorders>
          </w:tcPr>
          <w:p>
            <w:pPr>
              <w:rPr>
                <w:sz w:val="2"/>
                <w:szCs w:val="2"/>
              </w:rPr>
            </w:pPr>
          </w:p>
        </w:tc>
      </w:tr>
      <w:tr>
        <w:trPr>
          <w:trHeight w:val="10296" w:hRule="atLeast"/>
        </w:trPr>
        <w:tc>
          <w:tcPr>
            <w:tcW w:w="9112" w:type="dxa"/>
            <w:gridSpan w:val="7"/>
            <w:tcBorders>
              <w:top w:val="nil"/>
            </w:tcBorders>
          </w:tcPr>
          <w:p>
            <w:pPr>
              <w:pStyle w:val="TableParagraph"/>
              <w:spacing w:line="364" w:lineRule="auto" w:before="80"/>
              <w:ind w:left="106" w:right="90" w:firstLine="480"/>
              <w:jc w:val="both"/>
              <w:rPr>
                <w:sz w:val="24"/>
              </w:rPr>
            </w:pPr>
            <w:r>
              <w:rPr>
                <w:spacing w:val="-7"/>
                <w:sz w:val="24"/>
              </w:rPr>
              <w:t>由监测报告得知，项目所在区域的 </w:t>
            </w:r>
            <w:r>
              <w:rPr>
                <w:rFonts w:ascii="Times New Roman" w:hAnsi="Times New Roman" w:eastAsia="Times New Roman"/>
                <w:spacing w:val="-2"/>
                <w:sz w:val="24"/>
              </w:rPr>
              <w:t>X-γ</w:t>
            </w:r>
            <w:r>
              <w:rPr>
                <w:spacing w:val="-2"/>
                <w:sz w:val="24"/>
              </w:rPr>
              <w:t>辐射空气吸收剂量率背景值为</w:t>
            </w:r>
            <w:r>
              <w:rPr>
                <w:rFonts w:ascii="Times New Roman" w:hAnsi="Times New Roman" w:eastAsia="Times New Roman"/>
                <w:spacing w:val="-2"/>
                <w:sz w:val="21"/>
              </w:rPr>
              <w:t>***</w:t>
            </w:r>
            <w:r>
              <w:rPr>
                <w:rFonts w:ascii="Times New Roman" w:hAnsi="Times New Roman" w:eastAsia="Times New Roman"/>
                <w:spacing w:val="-2"/>
                <w:sz w:val="24"/>
              </w:rPr>
              <w:t>nSv/h</w:t>
            </w:r>
            <w:r>
              <w:rPr>
                <w:spacing w:val="-2"/>
                <w:sz w:val="24"/>
              </w:rPr>
              <w:t>。本</w:t>
            </w:r>
            <w:r>
              <w:rPr>
                <w:spacing w:val="-5"/>
                <w:sz w:val="24"/>
              </w:rPr>
              <w:t>项目使用仪器检定标准依据《便携式 </w:t>
            </w:r>
            <w:r>
              <w:rPr>
                <w:rFonts w:ascii="Times New Roman" w:hAnsi="Times New Roman" w:eastAsia="Times New Roman"/>
                <w:spacing w:val="-1"/>
                <w:sz w:val="24"/>
              </w:rPr>
              <w:t>X</w:t>
            </w:r>
            <w:r>
              <w:rPr>
                <w:spacing w:val="-1"/>
                <w:sz w:val="24"/>
              </w:rPr>
              <w:t>、γ辐射周围剂量当量</w:t>
            </w:r>
            <w:r>
              <w:rPr>
                <w:rFonts w:ascii="Times New Roman" w:hAnsi="Times New Roman" w:eastAsia="Times New Roman"/>
                <w:spacing w:val="-1"/>
                <w:sz w:val="24"/>
              </w:rPr>
              <w:t>(</w:t>
            </w:r>
            <w:r>
              <w:rPr>
                <w:sz w:val="24"/>
              </w:rPr>
              <w:t>率</w:t>
            </w:r>
            <w:r>
              <w:rPr>
                <w:rFonts w:ascii="Times New Roman" w:hAnsi="Times New Roman" w:eastAsia="Times New Roman"/>
                <w:sz w:val="24"/>
              </w:rPr>
              <w:t>)</w:t>
            </w:r>
            <w:r>
              <w:rPr>
                <w:sz w:val="24"/>
              </w:rPr>
              <w:t>仪和监测仪》（</w:t>
            </w:r>
            <w:r>
              <w:rPr>
                <w:rFonts w:ascii="Times New Roman" w:hAnsi="Times New Roman" w:eastAsia="Times New Roman"/>
                <w:sz w:val="24"/>
              </w:rPr>
              <w:t>JJG</w:t>
            </w:r>
            <w:r>
              <w:rPr>
                <w:rFonts w:ascii="Times New Roman" w:hAnsi="Times New Roman" w:eastAsia="Times New Roman"/>
                <w:spacing w:val="-58"/>
                <w:sz w:val="24"/>
              </w:rPr>
              <w:t> </w:t>
            </w:r>
            <w:r>
              <w:rPr>
                <w:rFonts w:ascii="Times New Roman" w:hAnsi="Times New Roman" w:eastAsia="Times New Roman"/>
                <w:sz w:val="24"/>
              </w:rPr>
              <w:t>393-2018</w:t>
            </w:r>
            <w:r>
              <w:rPr>
                <w:sz w:val="24"/>
              </w:rPr>
              <w:t>），由该标准可知，校准参考辐射源的空气比释动能与周围剂量当量的转换</w:t>
            </w:r>
            <w:r>
              <w:rPr>
                <w:spacing w:val="-15"/>
                <w:sz w:val="24"/>
              </w:rPr>
              <w:t>系数，在 </w:t>
            </w:r>
            <w:r>
              <w:rPr>
                <w:rFonts w:ascii="Times New Roman" w:hAnsi="Times New Roman" w:eastAsia="Times New Roman"/>
                <w:spacing w:val="-3"/>
                <w:sz w:val="24"/>
                <w:vertAlign w:val="superscript"/>
              </w:rPr>
              <w:t>137</w:t>
            </w:r>
            <w:r>
              <w:rPr>
                <w:rFonts w:ascii="Times New Roman" w:hAnsi="Times New Roman" w:eastAsia="Times New Roman"/>
                <w:spacing w:val="-3"/>
                <w:sz w:val="24"/>
                <w:vertAlign w:val="baseline"/>
              </w:rPr>
              <w:t>Cs</w:t>
            </w:r>
            <w:r>
              <w:rPr>
                <w:rFonts w:ascii="Times New Roman" w:hAnsi="Times New Roman" w:eastAsia="Times New Roman"/>
                <w:sz w:val="24"/>
                <w:vertAlign w:val="baseline"/>
              </w:rPr>
              <w:t> </w:t>
            </w:r>
            <w:r>
              <w:rPr>
                <w:rFonts w:ascii="Times New Roman" w:hAnsi="Times New Roman" w:eastAsia="Times New Roman"/>
                <w:spacing w:val="-3"/>
                <w:sz w:val="24"/>
                <w:vertAlign w:val="baseline"/>
              </w:rPr>
              <w:t>γ</w:t>
            </w:r>
            <w:r>
              <w:rPr>
                <w:spacing w:val="-8"/>
                <w:sz w:val="24"/>
                <w:vertAlign w:val="baseline"/>
              </w:rPr>
              <w:t>参考辐射场中，其取值为 </w:t>
            </w:r>
            <w:r>
              <w:rPr>
                <w:rFonts w:ascii="Times New Roman" w:hAnsi="Times New Roman" w:eastAsia="Times New Roman"/>
                <w:spacing w:val="-2"/>
                <w:sz w:val="24"/>
                <w:vertAlign w:val="baseline"/>
              </w:rPr>
              <w:t>1.20</w:t>
            </w:r>
            <w:r>
              <w:rPr>
                <w:spacing w:val="-2"/>
                <w:sz w:val="24"/>
                <w:vertAlign w:val="baseline"/>
              </w:rPr>
              <w:t>。因此本项目</w:t>
            </w:r>
            <w:r>
              <w:rPr>
                <w:rFonts w:ascii="Times New Roman" w:hAnsi="Times New Roman" w:eastAsia="Times New Roman"/>
                <w:spacing w:val="-2"/>
                <w:sz w:val="24"/>
                <w:vertAlign w:val="baseline"/>
              </w:rPr>
              <w:t>γ</w:t>
            </w:r>
            <w:r>
              <w:rPr>
                <w:spacing w:val="-2"/>
                <w:sz w:val="24"/>
                <w:vertAlign w:val="baseline"/>
              </w:rPr>
              <w:t>辐射空气吸收剂量率背景</w:t>
            </w:r>
            <w:r>
              <w:rPr>
                <w:spacing w:val="-1"/>
                <w:sz w:val="24"/>
                <w:vertAlign w:val="baseline"/>
              </w:rPr>
              <w:t>值为</w:t>
            </w:r>
            <w:r>
              <w:rPr>
                <w:rFonts w:ascii="Times New Roman" w:hAnsi="Times New Roman" w:eastAsia="Times New Roman"/>
                <w:spacing w:val="-1"/>
                <w:sz w:val="21"/>
                <w:vertAlign w:val="baseline"/>
              </w:rPr>
              <w:t>***</w:t>
            </w:r>
            <w:r>
              <w:rPr>
                <w:rFonts w:ascii="Times New Roman" w:hAnsi="Times New Roman" w:eastAsia="Times New Roman"/>
                <w:spacing w:val="-1"/>
                <w:sz w:val="24"/>
                <w:vertAlign w:val="baseline"/>
              </w:rPr>
              <w:t>nGy/h</w:t>
            </w:r>
            <w:r>
              <w:rPr>
                <w:spacing w:val="-1"/>
                <w:sz w:val="21"/>
                <w:vertAlign w:val="baseline"/>
              </w:rPr>
              <w:t>，</w:t>
            </w:r>
            <w:r>
              <w:rPr>
                <w:spacing w:val="-5"/>
                <w:sz w:val="24"/>
                <w:vertAlign w:val="baseline"/>
              </w:rPr>
              <w:t>与中华人民共和国生态环境部《</w:t>
            </w:r>
            <w:r>
              <w:rPr>
                <w:rFonts w:ascii="Times New Roman" w:hAnsi="Times New Roman" w:eastAsia="Times New Roman"/>
                <w:spacing w:val="-1"/>
                <w:sz w:val="24"/>
                <w:vertAlign w:val="baseline"/>
              </w:rPr>
              <w:t>2020</w:t>
            </w:r>
            <w:r>
              <w:rPr>
                <w:rFonts w:ascii="Times New Roman" w:hAnsi="Times New Roman" w:eastAsia="Times New Roman"/>
                <w:spacing w:val="-11"/>
                <w:sz w:val="24"/>
                <w:vertAlign w:val="baseline"/>
              </w:rPr>
              <w:t> </w:t>
            </w:r>
            <w:r>
              <w:rPr>
                <w:spacing w:val="-10"/>
                <w:sz w:val="24"/>
                <w:vertAlign w:val="baseline"/>
              </w:rPr>
              <w:t>年全国辐射环境质量公报》</w:t>
            </w:r>
            <w:r>
              <w:rPr>
                <w:spacing w:val="-1"/>
                <w:sz w:val="24"/>
                <w:vertAlign w:val="baseline"/>
              </w:rPr>
              <w:t>（</w:t>
            </w:r>
            <w:r>
              <w:rPr>
                <w:rFonts w:ascii="Times New Roman" w:hAnsi="Times New Roman" w:eastAsia="Times New Roman"/>
                <w:spacing w:val="-1"/>
                <w:sz w:val="24"/>
                <w:vertAlign w:val="baseline"/>
              </w:rPr>
              <w:t>2021</w:t>
            </w:r>
            <w:r>
              <w:rPr>
                <w:rFonts w:ascii="Times New Roman" w:hAnsi="Times New Roman" w:eastAsia="Times New Roman"/>
                <w:spacing w:val="-57"/>
                <w:sz w:val="24"/>
                <w:vertAlign w:val="baseline"/>
              </w:rPr>
              <w:t> </w:t>
            </w:r>
            <w:r>
              <w:rPr>
                <w:spacing w:val="-29"/>
                <w:sz w:val="24"/>
                <w:vertAlign w:val="baseline"/>
              </w:rPr>
              <w:t>年 </w:t>
            </w:r>
            <w:r>
              <w:rPr>
                <w:rFonts w:ascii="Times New Roman" w:hAnsi="Times New Roman" w:eastAsia="Times New Roman"/>
                <w:sz w:val="24"/>
                <w:vertAlign w:val="baseline"/>
              </w:rPr>
              <w:t>6</w:t>
            </w:r>
            <w:r>
              <w:rPr>
                <w:rFonts w:ascii="Times New Roman" w:hAnsi="Times New Roman" w:eastAsia="Times New Roman"/>
                <w:spacing w:val="2"/>
                <w:sz w:val="24"/>
                <w:vertAlign w:val="baseline"/>
              </w:rPr>
              <w:t> </w:t>
            </w:r>
            <w:r>
              <w:rPr>
                <w:sz w:val="24"/>
                <w:vertAlign w:val="baseline"/>
              </w:rPr>
              <w:t>月）中四川省自动站空气吸收剂量率监测结果（</w:t>
            </w:r>
            <w:r>
              <w:rPr>
                <w:rFonts w:ascii="Times New Roman" w:hAnsi="Times New Roman" w:eastAsia="Times New Roman"/>
                <w:sz w:val="24"/>
                <w:vertAlign w:val="baseline"/>
              </w:rPr>
              <w:t>67.5~121.3nGy/h</w:t>
            </w:r>
            <w:r>
              <w:rPr>
                <w:sz w:val="24"/>
                <w:vertAlign w:val="baseline"/>
              </w:rPr>
              <w:t>）基本一致，属于当地正常天然本底辐射水平。</w:t>
            </w:r>
          </w:p>
        </w:tc>
      </w:tr>
    </w:tbl>
    <w:p>
      <w:pPr>
        <w:spacing w:after="0" w:line="364" w:lineRule="auto"/>
        <w:jc w:val="both"/>
        <w:rPr>
          <w:sz w:val="24"/>
        </w:rPr>
        <w:sectPr>
          <w:pgSz w:w="11910" w:h="16840"/>
          <w:pgMar w:header="0" w:footer="1383" w:top="1420" w:bottom="1580" w:left="1240" w:right="1040"/>
        </w:sectPr>
      </w:pPr>
    </w:p>
    <w:p>
      <w:pPr>
        <w:tabs>
          <w:tab w:pos="1385" w:val="left" w:leader="none"/>
        </w:tabs>
        <w:spacing w:before="43"/>
        <w:ind w:left="560" w:right="0" w:firstLine="0"/>
        <w:jc w:val="left"/>
        <w:rPr>
          <w:sz w:val="30"/>
        </w:rPr>
      </w:pPr>
      <w:r>
        <w:rPr/>
        <w:pict>
          <v:shape style="position:absolute;margin-left:72.459999pt;margin-top:109.200027pt;width:452.8pt;height:648.550pt;mso-position-horizontal-relative:page;mso-position-vertical-relative:page;z-index:-20150272" coordorigin="1449,2184" coordsize="9056,12971" path="m1449,2189l10505,2189m1449,15155l10505,15155m1454,2184l1454,15150m10500,2184l10500,15150e" filled="false" stroked="true" strokeweight=".48pt" strokecolor="#000000">
            <v:path arrowok="t"/>
            <v:stroke dashstyle="solid"/>
            <w10:wrap type="none"/>
          </v:shape>
        </w:pict>
      </w:r>
      <w:bookmarkStart w:name="表9  项目工程分析与源项" w:id="16"/>
      <w:bookmarkEnd w:id="16"/>
      <w:r>
        <w:rPr/>
      </w:r>
      <w:bookmarkStart w:name="_bookmark7" w:id="17"/>
      <w:bookmarkEnd w:id="17"/>
      <w:r>
        <w:rPr/>
      </w:r>
      <w:r>
        <w:rPr>
          <w:sz w:val="30"/>
        </w:rPr>
        <w:t>表</w:t>
      </w:r>
      <w:r>
        <w:rPr>
          <w:spacing w:val="-76"/>
          <w:sz w:val="30"/>
        </w:rPr>
        <w:t> </w:t>
      </w:r>
      <w:r>
        <w:rPr>
          <w:rFonts w:ascii="Times New Roman" w:eastAsia="Times New Roman"/>
          <w:sz w:val="30"/>
        </w:rPr>
        <w:t>9</w:t>
        <w:tab/>
      </w:r>
      <w:r>
        <w:rPr>
          <w:sz w:val="30"/>
        </w:rPr>
        <w:t>项目工程分析与源项</w:t>
      </w:r>
    </w:p>
    <w:p>
      <w:pPr>
        <w:pStyle w:val="BodyText"/>
        <w:spacing w:before="10"/>
        <w:rPr>
          <w:sz w:val="29"/>
        </w:rPr>
      </w:pPr>
    </w:p>
    <w:p>
      <w:pPr>
        <w:pStyle w:val="Heading2"/>
        <w:ind w:left="322"/>
      </w:pPr>
      <w:r>
        <w:rPr>
          <w:spacing w:val="-1"/>
        </w:rPr>
        <w:t>工程设备和工艺分析</w:t>
      </w:r>
    </w:p>
    <w:p>
      <w:pPr>
        <w:pStyle w:val="BodyText"/>
        <w:spacing w:before="9"/>
        <w:rPr>
          <w:sz w:val="20"/>
        </w:rPr>
      </w:pPr>
    </w:p>
    <w:p>
      <w:pPr>
        <w:pStyle w:val="Heading2"/>
        <w:ind w:left="322"/>
      </w:pPr>
      <w:r>
        <w:rPr/>
        <w:t>一、施工期污染源项</w:t>
      </w:r>
    </w:p>
    <w:p>
      <w:pPr>
        <w:pStyle w:val="BodyText"/>
        <w:spacing w:line="364" w:lineRule="auto" w:before="212"/>
        <w:ind w:left="322" w:right="353" w:firstLine="480"/>
      </w:pPr>
      <w:r>
        <w:rPr/>
        <w:t>本项目是对医技楼一层现有的房间进行改造，尚未进行土建、装修施工。因此本</w:t>
      </w:r>
      <w:r>
        <w:rPr>
          <w:spacing w:val="-10"/>
        </w:rPr>
        <w:t>项目涉及到了土建施工期的环境影响。因此，本次环评的主要评价内容有：机房改造、</w:t>
      </w:r>
      <w:r>
        <w:rPr/>
        <w:t>防护装修施工、设备安装调试等。</w:t>
      </w:r>
    </w:p>
    <w:p>
      <w:pPr>
        <w:pStyle w:val="BodyText"/>
        <w:spacing w:line="364" w:lineRule="auto" w:before="2"/>
        <w:ind w:left="322" w:right="440" w:firstLine="480"/>
      </w:pPr>
      <w:r>
        <w:rPr>
          <w:spacing w:val="-1"/>
        </w:rPr>
        <w:t>环评要求：严格按照设计方案进行防护施工，隐蔽工程需留下影像资料，以备后</w:t>
      </w:r>
      <w:r>
        <w:rPr/>
        <w:t>期查验。</w:t>
      </w:r>
    </w:p>
    <w:p>
      <w:pPr>
        <w:pStyle w:val="BodyText"/>
        <w:spacing w:before="1"/>
        <w:ind w:left="802"/>
      </w:pPr>
      <w:r>
        <w:rPr>
          <w:rFonts w:ascii="Times New Roman" w:eastAsia="Times New Roman"/>
        </w:rPr>
        <w:t>1</w:t>
      </w:r>
      <w:r>
        <w:rPr/>
        <w:t>、土建、装修施工的工艺分析</w:t>
      </w:r>
    </w:p>
    <w:p>
      <w:pPr>
        <w:pStyle w:val="BodyText"/>
        <w:spacing w:line="364" w:lineRule="auto" w:before="160"/>
        <w:ind w:left="322" w:right="473" w:firstLine="480"/>
      </w:pPr>
      <w:r>
        <w:rPr>
          <w:spacing w:val="-2"/>
        </w:rPr>
        <w:t>土建拆除：将原地面的地砖、部分砖墙拆除，由施工单位清运至市政部门指定的</w:t>
      </w:r>
      <w:r>
        <w:rPr/>
        <w:t>建筑垃圾堆放场。</w:t>
      </w:r>
    </w:p>
    <w:p>
      <w:pPr>
        <w:pStyle w:val="BodyText"/>
        <w:spacing w:line="364" w:lineRule="auto" w:before="2"/>
        <w:ind w:left="322" w:right="469" w:firstLine="480"/>
      </w:pPr>
      <w:r>
        <w:rPr>
          <w:rFonts w:ascii="Times New Roman" w:eastAsia="Times New Roman"/>
          <w:spacing w:val="-1"/>
        </w:rPr>
        <w:t>DSA</w:t>
      </w:r>
      <w:r>
        <w:rPr>
          <w:rFonts w:ascii="Times New Roman" w:eastAsia="Times New Roman"/>
          <w:spacing w:val="1"/>
        </w:rPr>
        <w:t> </w:t>
      </w:r>
      <w:r>
        <w:rPr>
          <w:spacing w:val="-11"/>
        </w:rPr>
        <w:t>机房改造、防护装修：将现有房间的窗户、门和墙体拆除，然后重新建造新</w:t>
      </w:r>
      <w:r>
        <w:rPr/>
        <w:t>的机房防护墙，安装防护门和观察窗，并对机房、操作间等进行装修工程。</w:t>
      </w:r>
    </w:p>
    <w:p>
      <w:pPr>
        <w:pStyle w:val="BodyText"/>
        <w:spacing w:line="364" w:lineRule="auto" w:before="1"/>
        <w:ind w:left="322" w:right="469" w:firstLine="480"/>
        <w:jc w:val="both"/>
      </w:pPr>
      <w:r>
        <w:rPr>
          <w:spacing w:val="-5"/>
        </w:rPr>
        <w:t>根据建设单位提供的资料，新建四周墙体为 </w:t>
      </w:r>
      <w:r>
        <w:rPr>
          <w:rFonts w:ascii="Times New Roman" w:eastAsia="Times New Roman"/>
          <w:spacing w:val="-1"/>
        </w:rPr>
        <w:t>240mm</w:t>
      </w:r>
      <w:r>
        <w:rPr>
          <w:rFonts w:ascii="Times New Roman" w:eastAsia="Times New Roman"/>
        </w:rPr>
        <w:t> </w:t>
      </w:r>
      <w:r>
        <w:rPr>
          <w:spacing w:val="-1"/>
        </w:rPr>
        <w:t>厚实心砖墙</w:t>
      </w:r>
      <w:r>
        <w:rPr>
          <w:rFonts w:ascii="Times New Roman" w:eastAsia="Times New Roman"/>
          <w:spacing w:val="-1"/>
        </w:rPr>
        <w:t>+20mm</w:t>
      </w:r>
      <w:r>
        <w:rPr>
          <w:rFonts w:ascii="Times New Roman" w:eastAsia="Times New Roman"/>
          <w:spacing w:val="-2"/>
        </w:rPr>
        <w:t> </w:t>
      </w:r>
      <w:r>
        <w:rPr>
          <w:spacing w:val="-1"/>
        </w:rPr>
        <w:t>厚射线防</w:t>
      </w:r>
      <w:r>
        <w:rPr>
          <w:spacing w:val="-5"/>
        </w:rPr>
        <w:t>护复合微晶石板；顶板则是原本 </w:t>
      </w:r>
      <w:r>
        <w:rPr>
          <w:rFonts w:ascii="Times New Roman" w:eastAsia="Times New Roman"/>
        </w:rPr>
        <w:t>15cm </w:t>
      </w:r>
      <w:r>
        <w:rPr>
          <w:spacing w:val="-5"/>
        </w:rPr>
        <w:t>的混凝土结构基础上，再使用 </w:t>
      </w:r>
      <w:r>
        <w:rPr>
          <w:rFonts w:ascii="Times New Roman" w:eastAsia="Times New Roman"/>
        </w:rPr>
        <w:t>20mm </w:t>
      </w:r>
      <w:r>
        <w:rPr/>
        <w:t>厚射线防</w:t>
      </w:r>
      <w:r>
        <w:rPr>
          <w:spacing w:val="-3"/>
        </w:rPr>
        <w:t>护复合微晶石板，并用钢条和膨胀螺栓进行固定；地面依靠原本的 </w:t>
      </w:r>
      <w:r>
        <w:rPr>
          <w:rFonts w:ascii="Times New Roman" w:eastAsia="Times New Roman"/>
        </w:rPr>
        <w:t>15cm</w:t>
      </w:r>
      <w:r>
        <w:rPr>
          <w:rFonts w:ascii="Times New Roman" w:eastAsia="Times New Roman"/>
          <w:spacing w:val="2"/>
        </w:rPr>
        <w:t> </w:t>
      </w:r>
      <w:r>
        <w:rPr/>
        <w:t>的混凝土结</w:t>
      </w:r>
      <w:r>
        <w:rPr>
          <w:spacing w:val="-10"/>
        </w:rPr>
        <w:t>构，再浇筑 </w:t>
      </w:r>
      <w:r>
        <w:rPr>
          <w:rFonts w:ascii="Times New Roman" w:eastAsia="Times New Roman"/>
        </w:rPr>
        <w:t>30mm</w:t>
      </w:r>
      <w:r>
        <w:rPr>
          <w:rFonts w:ascii="Times New Roman" w:eastAsia="Times New Roman"/>
          <w:spacing w:val="-2"/>
        </w:rPr>
        <w:t> </w:t>
      </w:r>
      <w:r>
        <w:rPr/>
        <w:t>厚的硫酸钡砂浆。</w:t>
      </w:r>
    </w:p>
    <w:p>
      <w:pPr>
        <w:pStyle w:val="BodyText"/>
        <w:spacing w:line="364" w:lineRule="auto" w:before="2"/>
        <w:ind w:left="322" w:right="472" w:firstLine="480"/>
        <w:jc w:val="both"/>
      </w:pPr>
      <w:r>
        <w:rPr>
          <w:spacing w:val="-3"/>
        </w:rPr>
        <w:t>防护门：防护门采用钢制框架，内衬 </w:t>
      </w:r>
      <w:r>
        <w:rPr>
          <w:rFonts w:ascii="Times New Roman" w:eastAsia="Times New Roman"/>
        </w:rPr>
        <w:t>4mm</w:t>
      </w:r>
      <w:r>
        <w:rPr>
          <w:rFonts w:ascii="Times New Roman" w:eastAsia="Times New Roman"/>
          <w:spacing w:val="19"/>
        </w:rPr>
        <w:t> </w:t>
      </w:r>
      <w:r>
        <w:rPr/>
        <w:t>铅当量的铅板，门扇底部采用防护铅胶条处理，密封地面缝隙。</w:t>
      </w:r>
    </w:p>
    <w:p>
      <w:pPr>
        <w:pStyle w:val="BodyText"/>
        <w:spacing w:line="364" w:lineRule="auto" w:before="1"/>
        <w:ind w:left="322" w:right="469" w:firstLine="480"/>
        <w:jc w:val="both"/>
      </w:pPr>
      <w:r>
        <w:rPr>
          <w:spacing w:val="-2"/>
        </w:rPr>
        <w:t>铅玻璃：先在铅玻璃四周用大芯板保护，再用纯铅板向四周铺贴，并且要求机房</w:t>
      </w:r>
      <w:r>
        <w:rPr>
          <w:spacing w:val="-1"/>
        </w:rPr>
        <w:t>内侧纯铅板向四周墙面外延伸不小于 </w:t>
      </w:r>
      <w:r>
        <w:rPr>
          <w:rFonts w:ascii="Times New Roman" w:eastAsia="Times New Roman"/>
        </w:rPr>
        <w:t>10cm</w:t>
      </w:r>
      <w:r>
        <w:rPr/>
        <w:t>，铅玻璃与窗框间和窗框间与墙体间的缝</w:t>
      </w:r>
      <w:r>
        <w:rPr>
          <w:spacing w:val="-2"/>
        </w:rPr>
        <w:t>隙必须用软铅填实，防止散射线从铅玻璃四周泄漏。观察窗采用 </w:t>
      </w:r>
      <w:r>
        <w:rPr>
          <w:rFonts w:ascii="Times New Roman" w:eastAsia="Times New Roman"/>
        </w:rPr>
        <w:t>4mm</w:t>
      </w:r>
      <w:r>
        <w:rPr>
          <w:rFonts w:ascii="Times New Roman" w:eastAsia="Times New Roman"/>
          <w:spacing w:val="23"/>
        </w:rPr>
        <w:t> </w:t>
      </w:r>
      <w:r>
        <w:rPr/>
        <w:t>铅当量的铅玻璃。</w:t>
      </w:r>
    </w:p>
    <w:p>
      <w:pPr>
        <w:pStyle w:val="BodyText"/>
        <w:spacing w:line="364" w:lineRule="auto" w:before="3"/>
        <w:ind w:left="322" w:right="473" w:firstLine="480"/>
        <w:jc w:val="both"/>
      </w:pPr>
      <w:r>
        <w:rPr>
          <w:spacing w:val="-6"/>
        </w:rPr>
        <w:t>医技楼一层西北侧拟建 </w:t>
      </w:r>
      <w:r>
        <w:rPr>
          <w:rFonts w:ascii="Times New Roman" w:eastAsia="Times New Roman"/>
          <w:spacing w:val="-1"/>
        </w:rPr>
        <w:t>D</w:t>
      </w:r>
      <w:r>
        <w:rPr>
          <w:rFonts w:ascii="Times New Roman" w:eastAsia="Times New Roman"/>
        </w:rPr>
        <w:t>SA</w:t>
      </w:r>
      <w:r>
        <w:rPr>
          <w:rFonts w:ascii="Times New Roman" w:eastAsia="Times New Roman"/>
          <w:spacing w:val="-1"/>
        </w:rPr>
        <w:t> </w:t>
      </w:r>
      <w:r>
        <w:rPr>
          <w:spacing w:val="-5"/>
        </w:rPr>
        <w:t>机房整改前的平面布局见附图 </w:t>
      </w:r>
      <w:r>
        <w:rPr>
          <w:rFonts w:ascii="Times New Roman" w:eastAsia="Times New Roman"/>
        </w:rPr>
        <w:t>4</w:t>
      </w:r>
      <w:r>
        <w:rPr>
          <w:spacing w:val="-17"/>
        </w:rPr>
        <w:t>，整改后的平面布局</w:t>
      </w:r>
      <w:r>
        <w:rPr>
          <w:spacing w:val="-15"/>
        </w:rPr>
        <w:t>见附图 </w:t>
      </w:r>
      <w:r>
        <w:rPr>
          <w:rFonts w:ascii="Times New Roman" w:eastAsia="Times New Roman"/>
        </w:rPr>
        <w:t>5</w:t>
      </w:r>
      <w:r>
        <w:rPr/>
        <w:t>。</w:t>
      </w:r>
    </w:p>
    <w:p>
      <w:pPr>
        <w:pStyle w:val="BodyText"/>
        <w:spacing w:line="364" w:lineRule="auto" w:before="1"/>
        <w:ind w:left="322" w:right="440" w:firstLine="480"/>
        <w:jc w:val="both"/>
      </w:pPr>
      <w:r>
        <w:rPr>
          <w:spacing w:val="-5"/>
        </w:rPr>
        <w:t>环评要求：在 </w:t>
      </w:r>
      <w:r>
        <w:rPr>
          <w:rFonts w:ascii="Times New Roman" w:eastAsia="Times New Roman"/>
          <w:b/>
        </w:rPr>
        <w:t>DSA</w:t>
      </w:r>
      <w:r>
        <w:rPr>
          <w:rFonts w:ascii="Times New Roman" w:eastAsia="Times New Roman"/>
          <w:b/>
          <w:spacing w:val="38"/>
        </w:rPr>
        <w:t> </w:t>
      </w:r>
      <w:r>
        <w:rPr/>
        <w:t>手术室装修时，应注意施工方式，保证各屏蔽体有效衔接，</w:t>
      </w:r>
      <w:r>
        <w:rPr>
          <w:spacing w:val="-117"/>
        </w:rPr>
        <w:t> </w:t>
      </w:r>
      <w:r>
        <w:rPr/>
        <w:t>各屏蔽体应有足够的超边量，避免各屏蔽体之间有漏缝产生。</w:t>
      </w:r>
    </w:p>
    <w:p>
      <w:pPr>
        <w:pStyle w:val="BodyText"/>
        <w:spacing w:before="1"/>
        <w:ind w:left="802"/>
      </w:pPr>
      <w:r>
        <w:rPr/>
        <w:t>本项目在装修施工阶段主要环境影响为扬尘、废水、噪声、废渣和装修废气等。</w:t>
      </w:r>
    </w:p>
    <w:p>
      <w:pPr>
        <w:spacing w:after="0"/>
        <w:sectPr>
          <w:pgSz w:w="11910" w:h="16840"/>
          <w:pgMar w:header="0" w:footer="1383" w:top="1500" w:bottom="1580" w:left="1240" w:right="1040"/>
        </w:sectPr>
      </w:pPr>
    </w:p>
    <w:p>
      <w:pPr>
        <w:pStyle w:val="BodyText"/>
        <w:spacing w:line="364" w:lineRule="auto" w:before="92"/>
        <w:ind w:left="322" w:right="353"/>
      </w:pPr>
      <w:r>
        <w:rPr/>
        <w:pict>
          <v:group style="position:absolute;margin-left:72.459999pt;margin-top:72.000023pt;width:452.8pt;height:664.4pt;mso-position-horizontal-relative:page;mso-position-vertical-relative:page;z-index:-20149760" coordorigin="1449,1440" coordsize="9056,13288">
            <v:shape style="position:absolute;left:1869;top:7555;width:7803;height:2298" type="#_x0000_t75" stroked="false">
              <v:imagedata r:id="rId11" o:title=""/>
            </v:shape>
            <v:shape style="position:absolute;left:1561;top:7540;width:8906;height:2486" coordorigin="1562,7540" coordsize="8906,2486" path="m10467,10025l1562,10025,1562,7540,10467,7540,10467,7548,1577,7548,1569,7555,1577,7555,1577,10010,1569,10010,1577,10018,10467,10018,10467,10025xm1577,7555l1569,7555,1577,7548,1577,7555xm10452,7555l1577,7555,1577,7548,10452,7548,10452,7555xm10452,10018l10452,7548,10459,7555,10467,7555,10467,10010,10459,10010,10452,10018xm10467,7555l10459,7555,10452,7548,10467,7548,10467,7555xm1577,10018l1569,10010,1577,10010,1577,10018xm10452,10018l1577,10018,1577,10010,10452,10010,10452,10018xm10467,10018l10452,10018,10459,10010,10467,10010,10467,10018xe" filled="true" fillcolor="#000000" stroked="false">
              <v:path arrowok="t"/>
              <v:fill type="solid"/>
            </v:shape>
            <v:shape style="position:absolute;left:1449;top:1440;width:9056;height:13283" coordorigin="1449,1440" coordsize="9056,13283" path="m1449,1445l10505,1445m1449,14723l10505,14723m1454,1440l1454,14718m10500,1440l10500,14718e" filled="false" stroked="true" strokeweight=".48pt" strokecolor="#000000">
              <v:path arrowok="t"/>
              <v:stroke dashstyle="solid"/>
            </v:shape>
            <w10:wrap type="none"/>
          </v:group>
        </w:pict>
      </w:r>
      <w:r>
        <w:rPr/>
        <w:t>本项目工程量小，时间短，本项目施工期会对周围声环境质量产生一定影响，但本项目工程量小，施工期短，通过作业时间控制，合理安排好各种噪声施工机具的使用时</w:t>
      </w:r>
      <w:r>
        <w:rPr>
          <w:spacing w:val="-14"/>
        </w:rPr>
        <w:t>间，加强施工现场的管理等手段，对周围声环境产生较小的影响，该影响是暂时性的，</w:t>
      </w:r>
      <w:r>
        <w:rPr>
          <w:spacing w:val="-117"/>
        </w:rPr>
        <w:t> </w:t>
      </w:r>
      <w:r>
        <w:rPr>
          <w:spacing w:val="-3"/>
        </w:rPr>
        <w:t>对周围声环境的影响随建设期的结束而消除。施工所产生的少量生活废水经医院污水</w:t>
      </w:r>
      <w:r>
        <w:rPr/>
        <w:t>处理系统排入城市污水处理管网，在建设施工中采取湿法作业，尽量降低扬尘对周围</w:t>
      </w:r>
      <w:r>
        <w:rPr>
          <w:spacing w:val="-7"/>
        </w:rPr>
        <w:t>环境的影响。建设施工所产生的少量施工废渣和设备安装产生的包装废物送当地指定</w:t>
      </w:r>
      <w:r>
        <w:rPr/>
        <w:t>的建筑垃圾处置场。</w:t>
      </w:r>
    </w:p>
    <w:p>
      <w:pPr>
        <w:pStyle w:val="BodyText"/>
        <w:spacing w:before="4"/>
        <w:ind w:left="802"/>
      </w:pPr>
      <w:r>
        <w:rPr>
          <w:rFonts w:ascii="Times New Roman" w:eastAsia="Times New Roman"/>
        </w:rPr>
        <w:t>2</w:t>
      </w:r>
      <w:r>
        <w:rPr/>
        <w:t>、设备安装调试期间的工艺分析</w:t>
      </w:r>
    </w:p>
    <w:p>
      <w:pPr>
        <w:pStyle w:val="BodyText"/>
        <w:spacing w:line="364" w:lineRule="auto" w:before="160"/>
        <w:ind w:left="322" w:right="473" w:firstLine="480"/>
        <w:jc w:val="both"/>
      </w:pPr>
      <w:r>
        <w:rPr>
          <w:spacing w:val="-3"/>
        </w:rPr>
        <w:t>设备安装及调试阶段主要污染物是运输器械产生噪声及包装废弃物、电离辐射和</w:t>
      </w:r>
      <w:r>
        <w:rPr>
          <w:spacing w:val="-2"/>
        </w:rPr>
        <w:t>臭氧。本项目设备的安装和调试应请设备供货方专业人员进行，医院方不得自行安装及调试设备。在安装调试阶段，应加强辐射防护管理，在此过程中应保证各屏蔽体屏</w:t>
      </w:r>
      <w:r>
        <w:rPr/>
        <w:t>蔽到位，关闭防护门，在机房门外设立电离辐射警告标志，禁止无关人员靠近。</w:t>
      </w:r>
    </w:p>
    <w:p>
      <w:pPr>
        <w:pStyle w:val="BodyText"/>
        <w:spacing w:before="3"/>
        <w:ind w:left="802"/>
        <w:jc w:val="both"/>
      </w:pPr>
      <w:r>
        <w:rPr>
          <w:spacing w:val="-7"/>
        </w:rPr>
        <w:t>施工工序及产污见图 </w:t>
      </w:r>
      <w:r>
        <w:rPr>
          <w:rFonts w:ascii="Times New Roman" w:eastAsia="Times New Roman"/>
        </w:rPr>
        <w:t>9-1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spacing w:before="69"/>
        <w:ind w:left="273" w:right="7" w:firstLine="0"/>
        <w:jc w:val="center"/>
        <w:rPr>
          <w:sz w:val="21"/>
        </w:rPr>
      </w:pPr>
      <w:r>
        <w:rPr>
          <w:spacing w:val="-7"/>
          <w:w w:val="95"/>
          <w:sz w:val="21"/>
        </w:rPr>
        <w:t>图 </w:t>
      </w:r>
      <w:r>
        <w:rPr>
          <w:w w:val="95"/>
          <w:sz w:val="21"/>
        </w:rPr>
        <w:t>9-1</w:t>
      </w:r>
      <w:r>
        <w:rPr>
          <w:spacing w:val="1"/>
          <w:w w:val="95"/>
          <w:sz w:val="21"/>
        </w:rPr>
        <w:t> 施工期施工工序及产污位置图</w:t>
      </w:r>
    </w:p>
    <w:p>
      <w:pPr>
        <w:pStyle w:val="BodyText"/>
        <w:spacing w:before="7"/>
        <w:rPr>
          <w:sz w:val="19"/>
        </w:rPr>
      </w:pPr>
    </w:p>
    <w:p>
      <w:pPr>
        <w:pStyle w:val="Heading2"/>
        <w:spacing w:before="61"/>
        <w:ind w:left="322"/>
      </w:pPr>
      <w:r>
        <w:rPr/>
        <w:t>二、运营期污染源项</w:t>
      </w:r>
    </w:p>
    <w:p>
      <w:pPr>
        <w:pStyle w:val="BodyText"/>
        <w:spacing w:before="9"/>
        <w:rPr>
          <w:sz w:val="20"/>
        </w:rPr>
      </w:pPr>
    </w:p>
    <w:p>
      <w:pPr>
        <w:spacing w:before="0"/>
        <w:ind w:left="322" w:right="0" w:firstLine="0"/>
        <w:jc w:val="left"/>
        <w:rPr>
          <w:sz w:val="28"/>
        </w:rPr>
      </w:pPr>
      <w:r>
        <w:rPr>
          <w:sz w:val="28"/>
        </w:rPr>
        <w:t>（一）</w:t>
      </w:r>
      <w:r>
        <w:rPr>
          <w:rFonts w:ascii="Times New Roman" w:eastAsia="Times New Roman"/>
          <w:b/>
          <w:sz w:val="28"/>
        </w:rPr>
        <w:t>DSA</w:t>
      </w:r>
      <w:r>
        <w:rPr>
          <w:rFonts w:ascii="Times New Roman" w:eastAsia="Times New Roman"/>
          <w:b/>
          <w:spacing w:val="1"/>
          <w:sz w:val="28"/>
        </w:rPr>
        <w:t> </w:t>
      </w:r>
      <w:r>
        <w:rPr>
          <w:sz w:val="28"/>
        </w:rPr>
        <w:t>治疗工艺分析</w:t>
      </w:r>
    </w:p>
    <w:p>
      <w:pPr>
        <w:pStyle w:val="BodyText"/>
        <w:spacing w:before="212"/>
        <w:ind w:left="562"/>
      </w:pPr>
      <w:r>
        <w:rPr>
          <w:rFonts w:ascii="Times New Roman" w:eastAsia="Times New Roman"/>
          <w:b/>
        </w:rPr>
        <w:t>1</w:t>
      </w:r>
      <w:r>
        <w:rPr/>
        <w:t>、设备组成及工作原理</w:t>
      </w:r>
    </w:p>
    <w:p>
      <w:pPr>
        <w:pStyle w:val="BodyText"/>
        <w:spacing w:line="364" w:lineRule="auto" w:before="161"/>
        <w:ind w:left="322" w:right="469" w:firstLine="480"/>
        <w:jc w:val="both"/>
      </w:pPr>
      <w:r>
        <w:rPr>
          <w:rFonts w:ascii="Times New Roman" w:eastAsia="Times New Roman"/>
        </w:rPr>
        <w:t>DSA</w:t>
      </w:r>
      <w:r>
        <w:rPr>
          <w:rFonts w:ascii="Times New Roman" w:eastAsia="Times New Roman"/>
          <w:spacing w:val="-10"/>
        </w:rPr>
        <w:t> </w:t>
      </w:r>
      <w:r>
        <w:rPr>
          <w:spacing w:val="-9"/>
        </w:rPr>
        <w:t>是影像增强器技术、电视技术和计算机科学技术相结合的产物，是应用最多</w:t>
      </w:r>
      <w:r>
        <w:rPr>
          <w:spacing w:val="-12"/>
        </w:rPr>
        <w:t>的数字化 </w:t>
      </w:r>
      <w:r>
        <w:rPr>
          <w:rFonts w:ascii="Times New Roman" w:eastAsia="Times New Roman"/>
        </w:rPr>
        <w:t>X</w:t>
      </w:r>
      <w:r>
        <w:rPr>
          <w:rFonts w:ascii="Times New Roman" w:eastAsia="Times New Roman"/>
          <w:spacing w:val="3"/>
        </w:rPr>
        <w:t> </w:t>
      </w:r>
      <w:r>
        <w:rPr/>
        <w:t>射线透视设备。</w:t>
      </w:r>
      <w:r>
        <w:rPr>
          <w:rFonts w:ascii="Times New Roman" w:eastAsia="Times New Roman"/>
        </w:rPr>
        <w:t>DSA</w:t>
      </w:r>
      <w:r>
        <w:rPr>
          <w:rFonts w:ascii="Times New Roman" w:eastAsia="Times New Roman"/>
          <w:spacing w:val="2"/>
        </w:rPr>
        <w:t> </w:t>
      </w:r>
      <w:r>
        <w:rPr>
          <w:spacing w:val="-4"/>
        </w:rPr>
        <w:t>主要由带有影像增强器电视系统的 </w:t>
      </w:r>
      <w:r>
        <w:rPr>
          <w:rFonts w:ascii="Times New Roman" w:eastAsia="Times New Roman"/>
        </w:rPr>
        <w:t>X</w:t>
      </w:r>
      <w:r>
        <w:rPr>
          <w:rFonts w:ascii="Times New Roman" w:eastAsia="Times New Roman"/>
          <w:spacing w:val="3"/>
        </w:rPr>
        <w:t> </w:t>
      </w:r>
      <w:r>
        <w:rPr/>
        <w:t>射线诊断机、</w:t>
      </w:r>
      <w:r>
        <w:rPr>
          <w:spacing w:val="-2"/>
        </w:rPr>
        <w:t>高压注射器、电子计算机图像处理系统、治疗床、操作台、磁盘或磁带机和多幅照相</w:t>
      </w:r>
      <w:r>
        <w:rPr/>
        <w:t>机组成。</w:t>
      </w:r>
    </w:p>
    <w:p>
      <w:pPr>
        <w:pStyle w:val="BodyText"/>
        <w:spacing w:before="2"/>
        <w:ind w:left="802"/>
        <w:jc w:val="both"/>
      </w:pPr>
      <w:r>
        <w:rPr>
          <w:w w:val="95"/>
        </w:rPr>
        <w:t>本项目主要污染因子为：高速电子轰击靶体产生</w:t>
      </w:r>
      <w:r>
        <w:rPr>
          <w:spacing w:val="113"/>
        </w:rPr>
        <w:t> </w:t>
      </w:r>
      <w:r>
        <w:rPr>
          <w:rFonts w:ascii="Times New Roman" w:eastAsia="Times New Roman"/>
          <w:w w:val="95"/>
        </w:rPr>
        <w:t>X</w:t>
      </w:r>
      <w:r>
        <w:rPr>
          <w:rFonts w:ascii="Times New Roman" w:eastAsia="Times New Roman"/>
          <w:spacing w:val="56"/>
        </w:rPr>
        <w:t>  </w:t>
      </w:r>
      <w:r>
        <w:rPr>
          <w:w w:val="95"/>
        </w:rPr>
        <w:t>射线。</w:t>
      </w:r>
      <w:r>
        <w:rPr>
          <w:rFonts w:ascii="Times New Roman" w:eastAsia="Times New Roman"/>
          <w:w w:val="95"/>
        </w:rPr>
        <w:t>X</w:t>
      </w:r>
      <w:r>
        <w:rPr>
          <w:rFonts w:ascii="Times New Roman" w:eastAsia="Times New Roman"/>
          <w:spacing w:val="56"/>
        </w:rPr>
        <w:t>  </w:t>
      </w:r>
      <w:r>
        <w:rPr>
          <w:w w:val="95"/>
        </w:rPr>
        <w:t>射线装置原理见图</w:t>
      </w:r>
    </w:p>
    <w:p>
      <w:pPr>
        <w:spacing w:after="0"/>
        <w:jc w:val="both"/>
        <w:sectPr>
          <w:pgSz w:w="11910" w:h="16840"/>
          <w:pgMar w:header="0" w:footer="1383" w:top="1420" w:bottom="1660" w:left="1240" w:right="1040"/>
        </w:sectPr>
      </w:pPr>
    </w:p>
    <w:p>
      <w:pPr>
        <w:pStyle w:val="ListParagraph"/>
        <w:numPr>
          <w:ilvl w:val="1"/>
          <w:numId w:val="5"/>
        </w:numPr>
        <w:tabs>
          <w:tab w:pos="643" w:val="left" w:leader="none"/>
        </w:tabs>
        <w:spacing w:line="240" w:lineRule="auto" w:before="92" w:after="0"/>
        <w:ind w:left="642" w:right="0" w:hanging="321"/>
        <w:jc w:val="left"/>
        <w:rPr>
          <w:sz w:val="24"/>
        </w:rPr>
      </w:pPr>
      <w:r>
        <w:rPr/>
        <w:pict>
          <v:shape style="position:absolute;margin-left:72.459999pt;margin-top:72.000023pt;width:452.8pt;height:635.450pt;mso-position-horizontal-relative:page;mso-position-vertical-relative:page;z-index:-20148736" coordorigin="1449,1440" coordsize="9056,12709" path="m1449,1445l10505,1445m1449,14149l10505,14149m1454,1440l1454,14144m10500,1440l10500,14144e" filled="false" stroked="true" strokeweight=".48pt" strokecolor="#000000">
            <v:path arrowok="t"/>
            <v:stroke dashstyle="solid"/>
            <w10:wrap type="none"/>
          </v:shape>
        </w:pict>
      </w:r>
      <w:r>
        <w:rPr>
          <w:sz w:val="24"/>
        </w:rPr>
        <w:t>。</w:t>
      </w:r>
    </w:p>
    <w:p>
      <w:pPr>
        <w:pStyle w:val="BodyText"/>
        <w:spacing w:before="3"/>
        <w:rPr>
          <w:sz w:val="23"/>
        </w:rPr>
      </w:pPr>
      <w:r>
        <w:rPr/>
        <w:drawing>
          <wp:anchor distT="0" distB="0" distL="0" distR="0" allowOverlap="1" layoutInCell="1" locked="0" behindDoc="0" simplePos="0" relativeHeight="18">
            <wp:simplePos x="0" y="0"/>
            <wp:positionH relativeFrom="page">
              <wp:posOffset>1273825</wp:posOffset>
            </wp:positionH>
            <wp:positionV relativeFrom="paragraph">
              <wp:posOffset>214295</wp:posOffset>
            </wp:positionV>
            <wp:extent cx="5047528" cy="2211514"/>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12" cstate="print"/>
                    <a:stretch>
                      <a:fillRect/>
                    </a:stretch>
                  </pic:blipFill>
                  <pic:spPr>
                    <a:xfrm>
                      <a:off x="0" y="0"/>
                      <a:ext cx="5047528" cy="2211514"/>
                    </a:xfrm>
                    <a:prstGeom prst="rect">
                      <a:avLst/>
                    </a:prstGeom>
                  </pic:spPr>
                </pic:pic>
              </a:graphicData>
            </a:graphic>
          </wp:anchor>
        </w:drawing>
      </w:r>
    </w:p>
    <w:p>
      <w:pPr>
        <w:pStyle w:val="BodyText"/>
        <w:rPr>
          <w:sz w:val="20"/>
        </w:rPr>
      </w:pPr>
    </w:p>
    <w:p>
      <w:pPr>
        <w:pStyle w:val="BodyText"/>
        <w:spacing w:before="3"/>
        <w:rPr>
          <w:sz w:val="16"/>
        </w:rPr>
      </w:pPr>
    </w:p>
    <w:p>
      <w:pPr>
        <w:spacing w:before="0"/>
        <w:ind w:left="0" w:right="149" w:firstLine="0"/>
        <w:jc w:val="center"/>
        <w:rPr>
          <w:sz w:val="21"/>
        </w:rPr>
      </w:pPr>
      <w:r>
        <w:rPr>
          <w:spacing w:val="-16"/>
          <w:w w:val="95"/>
          <w:sz w:val="21"/>
        </w:rPr>
        <w:t>图 </w:t>
      </w:r>
      <w:r>
        <w:rPr>
          <w:w w:val="95"/>
          <w:sz w:val="21"/>
        </w:rPr>
        <w:t>9-2</w:t>
      </w:r>
      <w:r>
        <w:rPr>
          <w:spacing w:val="169"/>
          <w:sz w:val="21"/>
        </w:rPr>
        <w:t> </w:t>
      </w:r>
      <w:r>
        <w:rPr>
          <w:w w:val="95"/>
          <w:sz w:val="21"/>
        </w:rPr>
        <w:t>X</w:t>
      </w:r>
      <w:r>
        <w:rPr>
          <w:spacing w:val="-6"/>
          <w:w w:val="95"/>
          <w:sz w:val="21"/>
        </w:rPr>
        <w:t> 射线装置基本原理图</w:t>
      </w:r>
    </w:p>
    <w:p>
      <w:pPr>
        <w:pStyle w:val="BodyText"/>
        <w:spacing w:before="1"/>
        <w:rPr>
          <w:sz w:val="20"/>
        </w:rPr>
      </w:pPr>
    </w:p>
    <w:p>
      <w:pPr>
        <w:pStyle w:val="BodyText"/>
        <w:spacing w:line="364" w:lineRule="auto"/>
        <w:ind w:left="322" w:right="421" w:firstLine="480"/>
        <w:jc w:val="both"/>
      </w:pPr>
      <w:r>
        <w:rPr>
          <w:rFonts w:ascii="Times New Roman" w:eastAsia="Times New Roman"/>
        </w:rPr>
        <w:t>DSA</w:t>
      </w:r>
      <w:r>
        <w:rPr>
          <w:rFonts w:ascii="Times New Roman" w:eastAsia="Times New Roman"/>
          <w:spacing w:val="-2"/>
        </w:rPr>
        <w:t> </w:t>
      </w:r>
      <w:r>
        <w:rPr>
          <w:spacing w:val="-6"/>
        </w:rPr>
        <w:t>是通过电子计算机进行辅助成像的血管造影方法，它是应用计算机程序进行</w:t>
      </w:r>
      <w:r>
        <w:rPr>
          <w:spacing w:val="-1"/>
        </w:rPr>
        <w:t>两次成像完成的。在注入造影剂之前，首先进行第一次成像，并用计算机将图像转换成数字信号储存起来。注入造影剂后，再次成像并转换成数字信号。两次数字相减，</w:t>
      </w:r>
      <w:r>
        <w:rPr>
          <w:spacing w:val="-118"/>
        </w:rPr>
        <w:t> </w:t>
      </w:r>
      <w:r>
        <w:rPr>
          <w:spacing w:val="-1"/>
        </w:rPr>
        <w:t>消除相同的信号，得知一个只有造影剂的血管图像。这种图像较以往所用的常规脑血管造影所显示的图像更清晰和直观，一些精细的血管结构亦能显示出来。且对比度分辨率高，减去了血管以外的背景，尤其使与骨骼重叠的血管能清楚显示；由于造影剂</w:t>
      </w:r>
      <w:r>
        <w:rPr>
          <w:spacing w:val="-12"/>
        </w:rPr>
        <w:t>用量少，浓度低，损伤小、较安全。通过医用血管造影 </w:t>
      </w:r>
      <w:r>
        <w:rPr>
          <w:rFonts w:ascii="Times New Roman" w:eastAsia="Times New Roman"/>
        </w:rPr>
        <w:t>X</w:t>
      </w:r>
      <w:r>
        <w:rPr>
          <w:rFonts w:ascii="Times New Roman" w:eastAsia="Times New Roman"/>
          <w:spacing w:val="-1"/>
        </w:rPr>
        <w:t> </w:t>
      </w:r>
      <w:r>
        <w:rPr>
          <w:spacing w:val="-3"/>
        </w:rPr>
        <w:t>射线机处理的图像，使血管</w:t>
      </w:r>
      <w:r>
        <w:rPr/>
        <w:t>的影像更为清晰，在进行介入手术时更为安全。</w:t>
      </w:r>
    </w:p>
    <w:p>
      <w:pPr>
        <w:pStyle w:val="BodyText"/>
        <w:spacing w:before="5"/>
        <w:ind w:left="322"/>
      </w:pPr>
      <w:r>
        <w:rPr>
          <w:rFonts w:ascii="Times New Roman" w:eastAsia="Times New Roman"/>
          <w:b/>
        </w:rPr>
        <w:t>2</w:t>
      </w:r>
      <w:r>
        <w:rPr/>
        <w:t>、诊断及治疗流程简述</w:t>
      </w:r>
    </w:p>
    <w:p>
      <w:pPr>
        <w:pStyle w:val="BodyText"/>
        <w:spacing w:before="161"/>
        <w:ind w:left="802"/>
      </w:pPr>
      <w:r>
        <w:rPr>
          <w:rFonts w:ascii="Times New Roman" w:eastAsia="Times New Roman"/>
          <w:spacing w:val="-1"/>
        </w:rPr>
        <w:t>DSA </w:t>
      </w:r>
      <w:r>
        <w:rPr>
          <w:spacing w:val="-3"/>
        </w:rPr>
        <w:t>在进行曝光时分为两种情况，对应的治疗流程及产污图见图 </w:t>
      </w:r>
      <w:r>
        <w:rPr>
          <w:rFonts w:ascii="Times New Roman" w:eastAsia="Times New Roman"/>
        </w:rPr>
        <w:t>9-3</w:t>
      </w:r>
      <w:r>
        <w:rPr/>
        <w:t>：</w:t>
      </w:r>
    </w:p>
    <w:p>
      <w:pPr>
        <w:spacing w:after="0"/>
        <w:sectPr>
          <w:pgSz w:w="11910" w:h="16840"/>
          <w:pgMar w:header="0" w:footer="1383" w:top="1420" w:bottom="1660" w:left="1240" w:right="1040"/>
        </w:sectPr>
      </w:pPr>
    </w:p>
    <w:p>
      <w:pPr>
        <w:pStyle w:val="BodyText"/>
        <w:spacing w:before="11"/>
        <w:rPr>
          <w:sz w:val="16"/>
        </w:rPr>
      </w:pPr>
      <w:r>
        <w:rPr/>
        <w:pict>
          <v:shape style="position:absolute;margin-left:72.459999pt;margin-top:72.000023pt;width:452.8pt;height:671.95pt;mso-position-horizontal-relative:page;mso-position-vertical-relative:page;z-index:-20148224" coordorigin="1449,1440" coordsize="9056,13439" path="m1449,1445l10505,1445m1449,14879l10505,14879m1454,1440l1454,14874m10500,1440l10500,14874e" filled="false" stroked="true" strokeweight=".48pt" strokecolor="#000000">
            <v:path arrowok="t"/>
            <v:stroke dashstyle="solid"/>
            <w10:wrap type="none"/>
          </v:shape>
        </w:pict>
      </w:r>
    </w:p>
    <w:p>
      <w:pPr>
        <w:pStyle w:val="BodyText"/>
        <w:ind w:left="1836"/>
        <w:rPr>
          <w:sz w:val="20"/>
        </w:rPr>
      </w:pPr>
      <w:r>
        <w:rPr>
          <w:sz w:val="20"/>
        </w:rPr>
        <w:drawing>
          <wp:inline distT="0" distB="0" distL="0" distR="0">
            <wp:extent cx="3945760" cy="3036379"/>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13" cstate="print"/>
                    <a:stretch>
                      <a:fillRect/>
                    </a:stretch>
                  </pic:blipFill>
                  <pic:spPr>
                    <a:xfrm>
                      <a:off x="0" y="0"/>
                      <a:ext cx="3945760" cy="3036379"/>
                    </a:xfrm>
                    <a:prstGeom prst="rect">
                      <a:avLst/>
                    </a:prstGeom>
                  </pic:spPr>
                </pic:pic>
              </a:graphicData>
            </a:graphic>
          </wp:inline>
        </w:drawing>
      </w:r>
      <w:r>
        <w:rPr>
          <w:sz w:val="20"/>
        </w:rPr>
      </w:r>
    </w:p>
    <w:p>
      <w:pPr>
        <w:pStyle w:val="BodyText"/>
        <w:spacing w:before="6"/>
        <w:rPr>
          <w:sz w:val="20"/>
        </w:rPr>
      </w:pPr>
    </w:p>
    <w:p>
      <w:pPr>
        <w:spacing w:before="76"/>
        <w:ind w:left="2549" w:right="0" w:firstLine="0"/>
        <w:jc w:val="both"/>
        <w:rPr>
          <w:sz w:val="21"/>
        </w:rPr>
      </w:pPr>
      <w:r>
        <w:rPr>
          <w:spacing w:val="-8"/>
          <w:w w:val="95"/>
          <w:sz w:val="21"/>
        </w:rPr>
        <w:t>图 </w:t>
      </w:r>
      <w:r>
        <w:rPr>
          <w:rFonts w:ascii="Times New Roman" w:eastAsia="Times New Roman"/>
          <w:b/>
          <w:w w:val="95"/>
          <w:sz w:val="21"/>
        </w:rPr>
        <w:t>9-3</w:t>
      </w:r>
      <w:r>
        <w:rPr>
          <w:rFonts w:ascii="Times New Roman" w:eastAsia="Times New Roman"/>
          <w:b/>
          <w:spacing w:val="53"/>
          <w:sz w:val="21"/>
        </w:rPr>
        <w:t>   </w:t>
      </w:r>
      <w:r>
        <w:rPr>
          <w:rFonts w:ascii="Times New Roman" w:eastAsia="Times New Roman"/>
          <w:b/>
          <w:w w:val="95"/>
          <w:sz w:val="21"/>
        </w:rPr>
        <w:t>DSA</w:t>
      </w:r>
      <w:r>
        <w:rPr>
          <w:rFonts w:ascii="Times New Roman" w:eastAsia="Times New Roman"/>
          <w:b/>
          <w:spacing w:val="35"/>
          <w:w w:val="95"/>
          <w:sz w:val="21"/>
        </w:rPr>
        <w:t> </w:t>
      </w:r>
      <w:r>
        <w:rPr>
          <w:w w:val="95"/>
          <w:sz w:val="21"/>
        </w:rPr>
        <w:t>检查与治疗流程及产污环节示意图</w:t>
      </w:r>
    </w:p>
    <w:p>
      <w:pPr>
        <w:pStyle w:val="ListParagraph"/>
        <w:numPr>
          <w:ilvl w:val="2"/>
          <w:numId w:val="5"/>
        </w:numPr>
        <w:tabs>
          <w:tab w:pos="1404" w:val="left" w:leader="none"/>
        </w:tabs>
        <w:spacing w:line="240" w:lineRule="auto" w:before="102" w:after="0"/>
        <w:ind w:left="1403" w:right="0" w:hanging="602"/>
        <w:jc w:val="both"/>
        <w:rPr>
          <w:sz w:val="24"/>
        </w:rPr>
      </w:pPr>
      <w:r>
        <w:rPr>
          <w:rFonts w:ascii="Times New Roman" w:eastAsia="Times New Roman"/>
          <w:sz w:val="24"/>
        </w:rPr>
        <w:t>DSA</w:t>
      </w:r>
      <w:r>
        <w:rPr>
          <w:rFonts w:ascii="Times New Roman" w:eastAsia="Times New Roman"/>
          <w:spacing w:val="-2"/>
          <w:sz w:val="24"/>
        </w:rPr>
        <w:t> </w:t>
      </w:r>
      <w:r>
        <w:rPr>
          <w:sz w:val="24"/>
        </w:rPr>
        <w:t>拍片检查</w:t>
      </w:r>
    </w:p>
    <w:p>
      <w:pPr>
        <w:pStyle w:val="BodyText"/>
        <w:spacing w:line="364" w:lineRule="auto" w:before="160"/>
        <w:ind w:left="322" w:right="473" w:firstLine="480"/>
        <w:jc w:val="both"/>
      </w:pPr>
      <w:r>
        <w:rPr>
          <w:rFonts w:ascii="Times New Roman" w:eastAsia="Times New Roman"/>
          <w:spacing w:val="-2"/>
        </w:rPr>
        <w:t>DSA</w:t>
      </w:r>
      <w:r>
        <w:rPr>
          <w:rFonts w:ascii="Times New Roman" w:eastAsia="Times New Roman"/>
          <w:spacing w:val="-1"/>
        </w:rPr>
        <w:t> </w:t>
      </w:r>
      <w:r>
        <w:rPr>
          <w:spacing w:val="-6"/>
        </w:rPr>
        <w:t>检查采用隔室操作方式，通过控制 </w:t>
      </w:r>
      <w:r>
        <w:rPr>
          <w:rFonts w:ascii="Times New Roman" w:eastAsia="Times New Roman"/>
          <w:spacing w:val="-2"/>
        </w:rPr>
        <w:t>DSA</w:t>
      </w:r>
      <w:r>
        <w:rPr>
          <w:rFonts w:ascii="Times New Roman" w:eastAsia="Times New Roman"/>
          <w:spacing w:val="-1"/>
        </w:rPr>
        <w:t> </w:t>
      </w:r>
      <w:r>
        <w:rPr>
          <w:spacing w:val="-31"/>
        </w:rPr>
        <w:t>的 </w:t>
      </w:r>
      <w:r>
        <w:rPr>
          <w:rFonts w:ascii="Times New Roman" w:eastAsia="Times New Roman"/>
          <w:spacing w:val="-2"/>
        </w:rPr>
        <w:t>X</w:t>
      </w:r>
      <w:r>
        <w:rPr>
          <w:rFonts w:ascii="Times New Roman" w:eastAsia="Times New Roman"/>
          <w:spacing w:val="-1"/>
        </w:rPr>
        <w:t> </w:t>
      </w:r>
      <w:r>
        <w:rPr>
          <w:spacing w:val="-2"/>
        </w:rPr>
        <w:t>线系统曝光，采集造影部位图</w:t>
      </w:r>
      <w:r>
        <w:rPr>
          <w:spacing w:val="-11"/>
        </w:rPr>
        <w:t>像。具体方式是受检者位于检查床上，医护人员调整 </w:t>
      </w:r>
      <w:r>
        <w:rPr>
          <w:rFonts w:ascii="Times New Roman" w:eastAsia="Times New Roman"/>
        </w:rPr>
        <w:t>X</w:t>
      </w:r>
      <w:r>
        <w:rPr>
          <w:rFonts w:ascii="Times New Roman" w:eastAsia="Times New Roman"/>
          <w:spacing w:val="-1"/>
        </w:rPr>
        <w:t> </w:t>
      </w:r>
      <w:r>
        <w:rPr>
          <w:spacing w:val="-8"/>
        </w:rPr>
        <w:t>线球管、人体、影像增强器三</w:t>
      </w:r>
      <w:r>
        <w:rPr>
          <w:spacing w:val="-2"/>
        </w:rPr>
        <w:t>者之间的距离，然后进入操作间，关好防护门。医生、操作人员通过操作间的计算机</w:t>
      </w:r>
      <w:r>
        <w:rPr>
          <w:spacing w:val="-13"/>
        </w:rPr>
        <w:t>系统控制 </w:t>
      </w:r>
      <w:r>
        <w:rPr>
          <w:rFonts w:ascii="Times New Roman" w:eastAsia="Times New Roman"/>
        </w:rPr>
        <w:t>DSA</w:t>
      </w:r>
      <w:r>
        <w:rPr>
          <w:rFonts w:ascii="Times New Roman" w:eastAsia="Times New Roman"/>
          <w:spacing w:val="-1"/>
        </w:rPr>
        <w:t> </w:t>
      </w:r>
      <w:r>
        <w:rPr>
          <w:spacing w:val="-30"/>
        </w:rPr>
        <w:t>的 </w:t>
      </w:r>
      <w:r>
        <w:rPr>
          <w:rFonts w:ascii="Times New Roman" w:eastAsia="Times New Roman"/>
        </w:rPr>
        <w:t>X</w:t>
      </w:r>
      <w:r>
        <w:rPr>
          <w:rFonts w:ascii="Times New Roman" w:eastAsia="Times New Roman"/>
          <w:spacing w:val="-1"/>
        </w:rPr>
        <w:t> </w:t>
      </w:r>
      <w:r>
        <w:rPr/>
        <w:t>系统曝光，采集造影部位图像。医生根据该图像确诊患者病变的范围、程度，选择治疗方案。</w:t>
      </w:r>
    </w:p>
    <w:p>
      <w:pPr>
        <w:pStyle w:val="ListParagraph"/>
        <w:numPr>
          <w:ilvl w:val="2"/>
          <w:numId w:val="5"/>
        </w:numPr>
        <w:tabs>
          <w:tab w:pos="1404" w:val="left" w:leader="none"/>
        </w:tabs>
        <w:spacing w:line="240" w:lineRule="auto" w:before="3" w:after="0"/>
        <w:ind w:left="1403" w:right="0" w:hanging="602"/>
        <w:jc w:val="both"/>
        <w:rPr>
          <w:sz w:val="24"/>
        </w:rPr>
      </w:pPr>
      <w:r>
        <w:rPr>
          <w:rFonts w:ascii="Times New Roman" w:eastAsia="Times New Roman"/>
          <w:sz w:val="24"/>
        </w:rPr>
        <w:t>DSA</w:t>
      </w:r>
      <w:r>
        <w:rPr>
          <w:rFonts w:ascii="Times New Roman" w:eastAsia="Times New Roman"/>
          <w:spacing w:val="-2"/>
          <w:sz w:val="24"/>
        </w:rPr>
        <w:t> </w:t>
      </w:r>
      <w:r>
        <w:rPr>
          <w:sz w:val="24"/>
        </w:rPr>
        <w:t>介入治疗</w:t>
      </w:r>
    </w:p>
    <w:p>
      <w:pPr>
        <w:pStyle w:val="BodyText"/>
        <w:spacing w:line="364" w:lineRule="auto" w:before="161"/>
        <w:ind w:left="322" w:right="349" w:firstLine="480"/>
      </w:pPr>
      <w:r>
        <w:rPr>
          <w:rFonts w:ascii="Times New Roman" w:eastAsia="Times New Roman"/>
          <w:spacing w:val="-2"/>
        </w:rPr>
        <w:t>DSA</w:t>
      </w:r>
      <w:r>
        <w:rPr>
          <w:rFonts w:ascii="Times New Roman" w:eastAsia="Times New Roman"/>
          <w:spacing w:val="-1"/>
        </w:rPr>
        <w:t> </w:t>
      </w:r>
      <w:r>
        <w:rPr>
          <w:spacing w:val="-5"/>
        </w:rPr>
        <w:t>介入治疗采用近台同室操作方式。通过控制 </w:t>
      </w:r>
      <w:r>
        <w:rPr>
          <w:rFonts w:ascii="Times New Roman" w:eastAsia="Times New Roman"/>
          <w:spacing w:val="-1"/>
        </w:rPr>
        <w:t>DSA </w:t>
      </w:r>
      <w:r>
        <w:rPr>
          <w:spacing w:val="-31"/>
        </w:rPr>
        <w:t>的 </w:t>
      </w:r>
      <w:r>
        <w:rPr>
          <w:rFonts w:ascii="Times New Roman" w:eastAsia="Times New Roman"/>
          <w:spacing w:val="-1"/>
        </w:rPr>
        <w:t>X</w:t>
      </w:r>
      <w:r>
        <w:rPr>
          <w:rFonts w:ascii="Times New Roman" w:eastAsia="Times New Roman"/>
          <w:spacing w:val="1"/>
        </w:rPr>
        <w:t> </w:t>
      </w:r>
      <w:r>
        <w:rPr>
          <w:spacing w:val="-1"/>
        </w:rPr>
        <w:t>线系统曝光，对患者</w:t>
      </w:r>
      <w:r>
        <w:rPr/>
        <w:t>的部位进行间歇式透视。具体方式是受检者位于手术床上，介入手术医生位于手术床</w:t>
      </w:r>
      <w:r>
        <w:rPr>
          <w:spacing w:val="-22"/>
        </w:rPr>
        <w:t>一旁，距 </w:t>
      </w:r>
      <w:r>
        <w:rPr>
          <w:rFonts w:ascii="Times New Roman" w:eastAsia="Times New Roman"/>
          <w:spacing w:val="-1"/>
        </w:rPr>
        <w:t>DSA</w:t>
      </w:r>
      <w:r>
        <w:rPr>
          <w:rFonts w:ascii="Times New Roman" w:eastAsia="Times New Roman"/>
        </w:rPr>
        <w:t> </w:t>
      </w:r>
      <w:r>
        <w:rPr>
          <w:spacing w:val="-29"/>
        </w:rPr>
        <w:t>的 </w:t>
      </w:r>
      <w:r>
        <w:rPr>
          <w:rFonts w:ascii="Times New Roman" w:eastAsia="Times New Roman"/>
        </w:rPr>
        <w:t>X</w:t>
      </w:r>
      <w:r>
        <w:rPr>
          <w:rFonts w:ascii="Times New Roman" w:eastAsia="Times New Roman"/>
          <w:spacing w:val="2"/>
        </w:rPr>
        <w:t> </w:t>
      </w:r>
      <w:r>
        <w:rPr>
          <w:spacing w:val="-20"/>
        </w:rPr>
        <w:t>线管 </w:t>
      </w:r>
      <w:r>
        <w:rPr>
          <w:rFonts w:ascii="Times New Roman" w:eastAsia="Times New Roman"/>
          <w:spacing w:val="-1"/>
        </w:rPr>
        <w:t>0.5~1.0m </w:t>
      </w:r>
      <w:r>
        <w:rPr>
          <w:spacing w:val="-12"/>
        </w:rPr>
        <w:t>处，在非主射束方向，配备个人防护用品</w:t>
      </w:r>
      <w:r>
        <w:rPr/>
        <w:t>（</w:t>
      </w:r>
      <w:r>
        <w:rPr>
          <w:spacing w:val="-1"/>
        </w:rPr>
        <w:t>如铅衣、</w:t>
      </w:r>
      <w:r>
        <w:rPr/>
        <w:t>铅围脖、铅眼镜、铅手套等）。同时手术床旁设有屏蔽挂帘和移动式防护帘。介入治</w:t>
      </w:r>
      <w:r>
        <w:rPr>
          <w:spacing w:val="-3"/>
        </w:rPr>
        <w:t>疗中，医生根据操作需求，踩动手术床下的脚踏开关启动 </w:t>
      </w:r>
      <w:r>
        <w:rPr>
          <w:rFonts w:ascii="Times New Roman" w:eastAsia="Times New Roman"/>
        </w:rPr>
        <w:t>DSA</w:t>
      </w:r>
      <w:r>
        <w:rPr>
          <w:rFonts w:ascii="Times New Roman" w:eastAsia="Times New Roman"/>
          <w:spacing w:val="1"/>
        </w:rPr>
        <w:t> </w:t>
      </w:r>
      <w:r>
        <w:rPr>
          <w:spacing w:val="-28"/>
        </w:rPr>
        <w:t>的 </w:t>
      </w:r>
      <w:r>
        <w:rPr>
          <w:rFonts w:ascii="Times New Roman" w:eastAsia="Times New Roman"/>
        </w:rPr>
        <w:t>X</w:t>
      </w:r>
      <w:r>
        <w:rPr>
          <w:rFonts w:ascii="Times New Roman" w:eastAsia="Times New Roman"/>
          <w:spacing w:val="1"/>
        </w:rPr>
        <w:t> </w:t>
      </w:r>
      <w:r>
        <w:rPr/>
        <w:t>线系统进行透视</w:t>
      </w:r>
    </w:p>
    <w:p>
      <w:pPr>
        <w:pStyle w:val="BodyText"/>
        <w:spacing w:line="364" w:lineRule="auto" w:before="3"/>
        <w:ind w:left="322" w:right="469"/>
        <w:jc w:val="both"/>
      </w:pPr>
      <w:r>
        <w:rPr/>
        <w:t>（</w:t>
      </w:r>
      <w:r>
        <w:rPr>
          <w:rFonts w:ascii="Times New Roman" w:eastAsia="Times New Roman"/>
        </w:rPr>
        <w:t>DSA</w:t>
      </w:r>
      <w:r>
        <w:rPr>
          <w:rFonts w:ascii="Times New Roman" w:eastAsia="Times New Roman"/>
          <w:spacing w:val="2"/>
        </w:rPr>
        <w:t> </w:t>
      </w:r>
      <w:r>
        <w:rPr>
          <w:spacing w:val="-28"/>
        </w:rPr>
        <w:t>的 </w:t>
      </w:r>
      <w:r>
        <w:rPr>
          <w:rFonts w:ascii="Times New Roman" w:eastAsia="Times New Roman"/>
        </w:rPr>
        <w:t>X</w:t>
      </w:r>
      <w:r>
        <w:rPr>
          <w:rFonts w:ascii="Times New Roman" w:eastAsia="Times New Roman"/>
          <w:spacing w:val="2"/>
        </w:rPr>
        <w:t> </w:t>
      </w:r>
      <w:r>
        <w:rPr>
          <w:spacing w:val="-8"/>
        </w:rPr>
        <w:t>线系统连续发射 </w:t>
      </w:r>
      <w:r>
        <w:rPr>
          <w:rFonts w:ascii="Times New Roman" w:eastAsia="Times New Roman"/>
        </w:rPr>
        <w:t>X</w:t>
      </w:r>
      <w:r>
        <w:rPr>
          <w:rFonts w:ascii="Times New Roman" w:eastAsia="Times New Roman"/>
          <w:spacing w:val="5"/>
        </w:rPr>
        <w:t> </w:t>
      </w:r>
      <w:r>
        <w:rPr/>
        <w:t>射线），通过悬挂显示屏上显示的连续画面，完成介</w:t>
      </w:r>
      <w:r>
        <w:rPr>
          <w:spacing w:val="2"/>
        </w:rPr>
        <w:t>入操作。医生、护士佩戴防护用品。根据每台手术</w:t>
      </w:r>
      <w:r>
        <w:rPr>
          <w:rFonts w:ascii="Times New Roman" w:eastAsia="Times New Roman"/>
        </w:rPr>
        <w:t>DSA</w:t>
      </w:r>
      <w:r>
        <w:rPr>
          <w:rFonts w:ascii="Times New Roman" w:eastAsia="Times New Roman"/>
          <w:spacing w:val="1"/>
        </w:rPr>
        <w:t> </w:t>
      </w:r>
      <w:r>
        <w:rPr>
          <w:spacing w:val="-15"/>
        </w:rPr>
        <w:t>装置的 </w:t>
      </w:r>
      <w:r>
        <w:rPr>
          <w:rFonts w:ascii="Times New Roman" w:eastAsia="Times New Roman"/>
        </w:rPr>
        <w:t>X</w:t>
      </w:r>
      <w:r>
        <w:rPr>
          <w:rFonts w:ascii="Times New Roman" w:eastAsia="Times New Roman"/>
          <w:spacing w:val="2"/>
        </w:rPr>
        <w:t> </w:t>
      </w:r>
      <w:r>
        <w:rPr/>
        <w:t>线系统进行透视的</w:t>
      </w:r>
      <w:r>
        <w:rPr>
          <w:spacing w:val="-4"/>
        </w:rPr>
        <w:t>次数及每次透视时间因患者的部位、手术的复杂程度而不同，一般每台手术配置 </w:t>
      </w:r>
      <w:r>
        <w:rPr>
          <w:rFonts w:ascii="Times New Roman" w:eastAsia="Times New Roman"/>
          <w:spacing w:val="-1"/>
        </w:rPr>
        <w:t>1</w:t>
      </w:r>
      <w:r>
        <w:rPr>
          <w:rFonts w:ascii="Times New Roman" w:eastAsia="Times New Roman"/>
        </w:rPr>
        <w:t> </w:t>
      </w:r>
      <w:r>
        <w:rPr>
          <w:spacing w:val="-1"/>
        </w:rPr>
        <w:t>名医生、</w:t>
      </w:r>
      <w:r>
        <w:rPr>
          <w:rFonts w:ascii="Times New Roman" w:eastAsia="Times New Roman"/>
        </w:rPr>
        <w:t>1 </w:t>
      </w:r>
      <w:r>
        <w:rPr/>
        <w:t>名护士、</w:t>
      </w:r>
      <w:r>
        <w:rPr>
          <w:rFonts w:ascii="Times New Roman" w:eastAsia="Times New Roman"/>
        </w:rPr>
        <w:t>1 </w:t>
      </w:r>
      <w:r>
        <w:rPr>
          <w:spacing w:val="-4"/>
        </w:rPr>
        <w:t>名技师。介入手术完后关机，病人离开 </w:t>
      </w:r>
      <w:r>
        <w:rPr>
          <w:rFonts w:ascii="Times New Roman" w:eastAsia="Times New Roman"/>
        </w:rPr>
        <w:t>DSA</w:t>
      </w:r>
      <w:r>
        <w:rPr>
          <w:rFonts w:ascii="Times New Roman" w:eastAsia="Times New Roman"/>
          <w:spacing w:val="-1"/>
        </w:rPr>
        <w:t> </w:t>
      </w:r>
      <w:r>
        <w:rPr/>
        <w:t>机房。</w:t>
      </w:r>
    </w:p>
    <w:p>
      <w:pPr>
        <w:spacing w:after="0" w:line="364" w:lineRule="auto"/>
        <w:jc w:val="both"/>
        <w:sectPr>
          <w:pgSz w:w="11910" w:h="16840"/>
          <w:pgMar w:header="0" w:footer="1383" w:top="1420" w:bottom="1660" w:left="1240" w:right="1040"/>
        </w:sectPr>
      </w:pPr>
    </w:p>
    <w:p>
      <w:pPr>
        <w:pStyle w:val="BodyText"/>
        <w:spacing w:before="92"/>
        <w:ind w:left="322"/>
      </w:pPr>
      <w:r>
        <w:rPr>
          <w:rFonts w:ascii="Times New Roman" w:eastAsia="Times New Roman"/>
          <w:b/>
        </w:rPr>
        <w:t>3</w:t>
      </w:r>
      <w:r>
        <w:rPr/>
        <w:t>、通排风系统介绍</w:t>
      </w:r>
    </w:p>
    <w:p>
      <w:pPr>
        <w:pStyle w:val="BodyText"/>
        <w:spacing w:line="364" w:lineRule="auto" w:before="160"/>
        <w:ind w:left="322" w:right="344" w:firstLine="480"/>
      </w:pPr>
      <w:r>
        <w:rPr>
          <w:rFonts w:ascii="Times New Roman" w:eastAsia="Times New Roman"/>
          <w:spacing w:val="-1"/>
        </w:rPr>
        <w:t>DSA </w:t>
      </w:r>
      <w:r>
        <w:rPr>
          <w:spacing w:val="-5"/>
        </w:rPr>
        <w:t>机房采用机械排换气，风机功率 </w:t>
      </w:r>
      <w:r>
        <w:rPr>
          <w:rFonts w:ascii="Times New Roman" w:eastAsia="Times New Roman"/>
          <w:spacing w:val="-1"/>
        </w:rPr>
        <w:t>150w/h</w:t>
      </w:r>
      <w:r>
        <w:rPr>
          <w:spacing w:val="-16"/>
        </w:rPr>
        <w:t>，风量 </w:t>
      </w:r>
      <w:r>
        <w:rPr>
          <w:rFonts w:ascii="Times New Roman" w:eastAsia="Times New Roman"/>
          <w:spacing w:val="-1"/>
        </w:rPr>
        <w:t>350m</w:t>
      </w:r>
      <w:r>
        <w:rPr>
          <w:rFonts w:ascii="Times New Roman" w:eastAsia="Times New Roman"/>
          <w:spacing w:val="-1"/>
          <w:position w:val="8"/>
          <w:sz w:val="15"/>
        </w:rPr>
        <w:t>3</w:t>
      </w:r>
      <w:r>
        <w:rPr>
          <w:rFonts w:ascii="Times New Roman" w:eastAsia="Times New Roman"/>
          <w:spacing w:val="-1"/>
        </w:rPr>
        <w:t>/h</w:t>
      </w:r>
      <w:r>
        <w:rPr>
          <w:spacing w:val="-11"/>
        </w:rPr>
        <w:t>，管道直径 </w:t>
      </w:r>
      <w:r>
        <w:rPr>
          <w:rFonts w:ascii="Times New Roman" w:eastAsia="Times New Roman"/>
        </w:rPr>
        <w:t>160mm</w:t>
      </w:r>
      <w:r>
        <w:rPr/>
        <w:t>。</w:t>
      </w:r>
      <w:r>
        <w:rPr>
          <w:spacing w:val="-1"/>
        </w:rPr>
        <w:t>机房内产生的臭氧由排风管道导至机房外</w:t>
      </w:r>
      <w:r>
        <w:rPr/>
        <w:t>（</w:t>
      </w:r>
      <w:r>
        <w:rPr>
          <w:rFonts w:ascii="Times New Roman" w:eastAsia="Times New Roman"/>
        </w:rPr>
        <w:t>1F</w:t>
      </w:r>
      <w:r>
        <w:rPr>
          <w:spacing w:val="-10"/>
        </w:rPr>
        <w:t>，距地面约 </w:t>
      </w:r>
      <w:r>
        <w:rPr>
          <w:rFonts w:ascii="Times New Roman" w:eastAsia="Times New Roman"/>
        </w:rPr>
        <w:t>4m </w:t>
      </w:r>
      <w:r>
        <w:rPr/>
        <w:t>处）排放，通排风图见</w:t>
      </w:r>
      <w:r>
        <w:rPr>
          <w:spacing w:val="-20"/>
        </w:rPr>
        <w:t>附图 </w:t>
      </w:r>
      <w:r>
        <w:rPr>
          <w:rFonts w:ascii="Times New Roman" w:eastAsia="Times New Roman"/>
        </w:rPr>
        <w:t>7</w:t>
      </w:r>
      <w:r>
        <w:rPr/>
        <w:t>。</w:t>
      </w:r>
    </w:p>
    <w:p>
      <w:pPr>
        <w:pStyle w:val="BodyText"/>
        <w:spacing w:before="2"/>
        <w:ind w:left="322"/>
      </w:pPr>
      <w:r>
        <w:rPr>
          <w:rFonts w:ascii="Times New Roman" w:eastAsia="Times New Roman"/>
          <w:b/>
        </w:rPr>
        <w:t>4</w:t>
      </w:r>
      <w:r>
        <w:rPr/>
        <w:t>、产污环节</w:t>
      </w:r>
    </w:p>
    <w:p>
      <w:pPr>
        <w:pStyle w:val="BodyText"/>
        <w:spacing w:line="364" w:lineRule="auto" w:before="160"/>
        <w:ind w:left="322" w:right="469" w:firstLine="480"/>
        <w:jc w:val="both"/>
      </w:pPr>
      <w:r>
        <w:rPr>
          <w:spacing w:val="-12"/>
        </w:rPr>
        <w:t>本项目使用 </w:t>
      </w:r>
      <w:r>
        <w:rPr>
          <w:rFonts w:ascii="Times New Roman" w:hAnsi="Times New Roman" w:eastAsia="Times New Roman"/>
          <w:spacing w:val="-1"/>
        </w:rPr>
        <w:t>1</w:t>
      </w:r>
      <w:r>
        <w:rPr>
          <w:rFonts w:ascii="Times New Roman" w:hAnsi="Times New Roman" w:eastAsia="Times New Roman"/>
        </w:rPr>
        <w:t> </w:t>
      </w:r>
      <w:r>
        <w:rPr>
          <w:spacing w:val="-31"/>
        </w:rPr>
        <w:t>台 </w:t>
      </w:r>
      <w:r>
        <w:rPr>
          <w:rFonts w:ascii="Times New Roman" w:hAnsi="Times New Roman" w:eastAsia="Times New Roman"/>
          <w:spacing w:val="-1"/>
        </w:rPr>
        <w:t>DSA</w:t>
      </w:r>
      <w:r>
        <w:rPr>
          <w:spacing w:val="-1"/>
        </w:rPr>
        <w:t>，属于</w:t>
      </w:r>
      <w:r>
        <w:rPr>
          <w:rFonts w:ascii="Times New Roman" w:hAnsi="Times New Roman" w:eastAsia="Times New Roman"/>
          <w:spacing w:val="-1"/>
        </w:rPr>
        <w:t>Ⅱ</w:t>
      </w:r>
      <w:r>
        <w:rPr>
          <w:spacing w:val="-1"/>
        </w:rPr>
        <w:t>类射线装置。产污环节为：在注入造影剂之前拍片</w:t>
      </w:r>
      <w:r>
        <w:rPr>
          <w:spacing w:val="-11"/>
        </w:rPr>
        <w:t>产生的 </w:t>
      </w:r>
      <w:r>
        <w:rPr>
          <w:rFonts w:ascii="Times New Roman" w:hAnsi="Times New Roman" w:eastAsia="Times New Roman"/>
        </w:rPr>
        <w:t>X</w:t>
      </w:r>
      <w:r>
        <w:rPr>
          <w:rFonts w:ascii="Times New Roman" w:hAnsi="Times New Roman" w:eastAsia="Times New Roman"/>
          <w:spacing w:val="15"/>
        </w:rPr>
        <w:t> </w:t>
      </w:r>
      <w:r>
        <w:rPr>
          <w:spacing w:val="-3"/>
        </w:rPr>
        <w:t>射线和臭氧，注入造影剂之后产生的 </w:t>
      </w:r>
      <w:r>
        <w:rPr>
          <w:rFonts w:ascii="Times New Roman" w:hAnsi="Times New Roman" w:eastAsia="Times New Roman"/>
        </w:rPr>
        <w:t>X</w:t>
      </w:r>
      <w:r>
        <w:rPr>
          <w:rFonts w:ascii="Times New Roman" w:hAnsi="Times New Roman" w:eastAsia="Times New Roman"/>
          <w:spacing w:val="15"/>
        </w:rPr>
        <w:t> </w:t>
      </w:r>
      <w:r>
        <w:rPr/>
        <w:t>射线和臭氧，介入治疗过程中间歇</w:t>
      </w:r>
      <w:r>
        <w:rPr>
          <w:spacing w:val="-10"/>
        </w:rPr>
        <w:t>透视产生的 </w:t>
      </w:r>
      <w:r>
        <w:rPr>
          <w:rFonts w:ascii="Times New Roman" w:hAnsi="Times New Roman" w:eastAsia="Times New Roman"/>
        </w:rPr>
        <w:t>X</w:t>
      </w:r>
      <w:r>
        <w:rPr>
          <w:rFonts w:ascii="Times New Roman" w:hAnsi="Times New Roman" w:eastAsia="Times New Roman"/>
          <w:spacing w:val="-1"/>
        </w:rPr>
        <w:t> </w:t>
      </w:r>
      <w:r>
        <w:rPr>
          <w:spacing w:val="-10"/>
        </w:rPr>
        <w:t>射线和臭氧。在手术时，产生医疗包装物和容器和药棉、纱布、手套等</w:t>
      </w:r>
      <w:r>
        <w:rPr>
          <w:spacing w:val="-2"/>
        </w:rPr>
        <w:t>医疗废物。注入的造影剂不含放射性，同时射线装置采用先进的数字显影技术，不会</w:t>
      </w:r>
      <w:r>
        <w:rPr/>
        <w:t>产生废显影液、废定影液和废胶片。</w:t>
      </w:r>
    </w:p>
    <w:p>
      <w:pPr>
        <w:pStyle w:val="BodyText"/>
        <w:spacing w:before="3"/>
        <w:ind w:left="322"/>
      </w:pPr>
      <w:r>
        <w:rPr>
          <w:rFonts w:ascii="Times New Roman" w:eastAsia="Times New Roman"/>
          <w:b/>
        </w:rPr>
        <w:t>5</w:t>
      </w:r>
      <w:r>
        <w:rPr/>
        <w:t>、本项目医护人员、患者、污物路径分析</w:t>
      </w:r>
    </w:p>
    <w:p>
      <w:pPr>
        <w:pStyle w:val="BodyText"/>
        <w:spacing w:line="364" w:lineRule="auto" w:before="161"/>
        <w:ind w:left="322" w:right="473" w:firstLine="480"/>
      </w:pPr>
      <w:r>
        <w:rPr>
          <w:spacing w:val="-2"/>
        </w:rPr>
        <w:t>本项目人流物流、通道分开布置，手术过程中产生的医疗废物经过打包后通过污</w:t>
      </w:r>
      <w:r>
        <w:rPr>
          <w:spacing w:val="-4"/>
        </w:rPr>
        <w:t>物通道，暂存于医疗废物暂存间。本项目人流、物流图见图 </w:t>
      </w:r>
      <w:r>
        <w:rPr>
          <w:rFonts w:ascii="Times New Roman" w:eastAsia="Times New Roman"/>
        </w:rPr>
        <w:t>9-4</w:t>
      </w:r>
      <w:r>
        <w:rPr/>
        <w:t>。</w:t>
      </w:r>
    </w:p>
    <w:p>
      <w:pPr>
        <w:pStyle w:val="BodyText"/>
        <w:spacing w:before="1"/>
        <w:rPr>
          <w:sz w:val="26"/>
        </w:rPr>
      </w:pPr>
    </w:p>
    <w:p>
      <w:pPr>
        <w:spacing w:after="0"/>
        <w:rPr>
          <w:sz w:val="26"/>
        </w:rPr>
        <w:sectPr>
          <w:pgSz w:w="11910" w:h="16840"/>
          <w:pgMar w:header="0" w:footer="1383" w:top="1420" w:bottom="1660" w:left="1240" w:right="1040"/>
        </w:sectPr>
      </w:pPr>
    </w:p>
    <w:p>
      <w:pPr>
        <w:pStyle w:val="BodyText"/>
        <w:spacing w:before="1"/>
        <w:rPr>
          <w:sz w:val="39"/>
        </w:rPr>
      </w:pPr>
    </w:p>
    <w:p>
      <w:pPr>
        <w:pStyle w:val="Heading2"/>
        <w:ind w:left="322"/>
      </w:pPr>
      <w:r>
        <w:rPr/>
        <w:t>污染源项描述</w:t>
      </w:r>
    </w:p>
    <w:p>
      <w:pPr>
        <w:spacing w:before="76"/>
        <w:ind w:left="322" w:right="0" w:firstLine="0"/>
        <w:jc w:val="left"/>
        <w:rPr>
          <w:sz w:val="21"/>
        </w:rPr>
      </w:pPr>
      <w:r>
        <w:rPr/>
        <w:br w:type="column"/>
      </w:r>
      <w:r>
        <w:rPr>
          <w:sz w:val="21"/>
        </w:rPr>
        <w:t>图</w:t>
      </w:r>
      <w:r>
        <w:rPr>
          <w:rFonts w:ascii="Times New Roman" w:eastAsia="Times New Roman"/>
          <w:b/>
          <w:sz w:val="21"/>
        </w:rPr>
        <w:t>9-4</w:t>
      </w:r>
      <w:r>
        <w:rPr>
          <w:rFonts w:ascii="Times New Roman" w:eastAsia="Times New Roman"/>
          <w:b/>
          <w:spacing w:val="55"/>
          <w:sz w:val="21"/>
        </w:rPr>
        <w:t> </w:t>
      </w:r>
      <w:r>
        <w:rPr>
          <w:sz w:val="21"/>
        </w:rPr>
        <w:t>本项目人流、物流路径示意图</w:t>
      </w:r>
    </w:p>
    <w:p>
      <w:pPr>
        <w:spacing w:after="0"/>
        <w:jc w:val="left"/>
        <w:rPr>
          <w:sz w:val="21"/>
        </w:rPr>
        <w:sectPr>
          <w:type w:val="continuous"/>
          <w:pgSz w:w="11910" w:h="16840"/>
          <w:pgMar w:top="1580" w:bottom="280" w:left="1240" w:right="1040"/>
          <w:cols w:num="2" w:equalWidth="0">
            <w:col w:w="2043" w:space="710"/>
            <w:col w:w="6877"/>
          </w:cols>
        </w:sectPr>
      </w:pPr>
    </w:p>
    <w:p>
      <w:pPr>
        <w:pStyle w:val="BodyText"/>
        <w:spacing w:before="9"/>
        <w:rPr>
          <w:sz w:val="10"/>
        </w:rPr>
      </w:pPr>
      <w:r>
        <w:rPr/>
        <w:pict>
          <v:shape style="position:absolute;margin-left:72.459999pt;margin-top:72.000023pt;width:452.8pt;height:679.65pt;mso-position-horizontal-relative:page;mso-position-vertical-relative:page;z-index:-20147712" coordorigin="1449,1440" coordsize="9056,13593" path="m1449,1445l10505,1445m1449,15033l10505,15033m1454,1440l1454,15028m10500,1440l10500,15028e" filled="false" stroked="true" strokeweight=".48pt" strokecolor="#000000">
            <v:path arrowok="t"/>
            <v:stroke dashstyle="solid"/>
            <w10:wrap type="none"/>
          </v:shape>
        </w:pict>
      </w:r>
    </w:p>
    <w:p>
      <w:pPr>
        <w:pStyle w:val="ListParagraph"/>
        <w:numPr>
          <w:ilvl w:val="0"/>
          <w:numId w:val="6"/>
        </w:numPr>
        <w:tabs>
          <w:tab w:pos="1404" w:val="left" w:leader="none"/>
        </w:tabs>
        <w:spacing w:line="240" w:lineRule="auto" w:before="74" w:after="0"/>
        <w:ind w:left="1403" w:right="0" w:hanging="602"/>
        <w:jc w:val="left"/>
        <w:rPr>
          <w:sz w:val="24"/>
        </w:rPr>
      </w:pPr>
      <w:r>
        <w:rPr>
          <w:sz w:val="24"/>
        </w:rPr>
        <w:t>电离辐射</w:t>
      </w:r>
    </w:p>
    <w:p>
      <w:pPr>
        <w:pStyle w:val="BodyText"/>
        <w:spacing w:before="161"/>
        <w:ind w:left="802"/>
      </w:pPr>
      <w:r>
        <w:rPr>
          <w:rFonts w:ascii="Times New Roman" w:eastAsia="Times New Roman"/>
          <w:spacing w:val="-1"/>
        </w:rPr>
        <w:t>DSA </w:t>
      </w:r>
      <w:r>
        <w:rPr>
          <w:spacing w:val="-5"/>
        </w:rPr>
        <w:t>在开机状态下主要辐射为 </w:t>
      </w:r>
      <w:r>
        <w:rPr>
          <w:rFonts w:ascii="Times New Roman" w:eastAsia="Times New Roman"/>
        </w:rPr>
        <w:t>X</w:t>
      </w:r>
      <w:r>
        <w:rPr>
          <w:rFonts w:ascii="Times New Roman" w:eastAsia="Times New Roman"/>
          <w:spacing w:val="-1"/>
        </w:rPr>
        <w:t> </w:t>
      </w:r>
      <w:r>
        <w:rPr>
          <w:spacing w:val="-5"/>
        </w:rPr>
        <w:t>射线，不开机状态不产生 </w:t>
      </w:r>
      <w:r>
        <w:rPr>
          <w:rFonts w:ascii="Times New Roman" w:eastAsia="Times New Roman"/>
        </w:rPr>
        <w:t>X</w:t>
      </w:r>
      <w:r>
        <w:rPr>
          <w:rFonts w:ascii="Times New Roman" w:eastAsia="Times New Roman"/>
          <w:spacing w:val="-1"/>
        </w:rPr>
        <w:t> </w:t>
      </w:r>
      <w:r>
        <w:rPr/>
        <w:t>射线。</w:t>
      </w:r>
    </w:p>
    <w:p>
      <w:pPr>
        <w:pStyle w:val="ListParagraph"/>
        <w:numPr>
          <w:ilvl w:val="0"/>
          <w:numId w:val="6"/>
        </w:numPr>
        <w:tabs>
          <w:tab w:pos="1394" w:val="left" w:leader="none"/>
        </w:tabs>
        <w:spacing w:line="240" w:lineRule="auto" w:before="160" w:after="0"/>
        <w:ind w:left="1393" w:right="0" w:hanging="602"/>
        <w:jc w:val="left"/>
        <w:rPr>
          <w:sz w:val="24"/>
        </w:rPr>
      </w:pPr>
      <w:r>
        <w:rPr>
          <w:sz w:val="24"/>
        </w:rPr>
        <w:t>废气</w:t>
      </w:r>
    </w:p>
    <w:p>
      <w:pPr>
        <w:pStyle w:val="BodyText"/>
        <w:spacing w:line="364" w:lineRule="auto" w:before="161"/>
        <w:ind w:left="322" w:right="469" w:firstLine="480"/>
        <w:jc w:val="both"/>
      </w:pPr>
      <w:r>
        <w:rPr>
          <w:rFonts w:ascii="Times New Roman" w:eastAsia="Times New Roman"/>
          <w:spacing w:val="-1"/>
        </w:rPr>
        <w:t>DSA </w:t>
      </w:r>
      <w:r>
        <w:rPr>
          <w:spacing w:val="-13"/>
        </w:rPr>
        <w:t>在曝光过程中臭氧产生量很小，经排风系统处理后，通过排风管道引至 </w:t>
      </w:r>
      <w:r>
        <w:rPr>
          <w:rFonts w:ascii="Times New Roman" w:eastAsia="Times New Roman"/>
        </w:rPr>
        <w:t>DSA</w:t>
      </w:r>
      <w:r>
        <w:rPr>
          <w:rFonts w:ascii="Times New Roman" w:eastAsia="Times New Roman"/>
          <w:spacing w:val="-57"/>
        </w:rPr>
        <w:t> </w:t>
      </w:r>
      <w:r>
        <w:rPr>
          <w:spacing w:val="-2"/>
          <w:position w:val="2"/>
        </w:rPr>
        <w:t>机房外排放，室外大气扩散条件良好，产生的 </w:t>
      </w:r>
      <w:r>
        <w:rPr>
          <w:rFonts w:ascii="Times New Roman" w:eastAsia="Times New Roman"/>
          <w:position w:val="2"/>
        </w:rPr>
        <w:t>O</w:t>
      </w:r>
      <w:r>
        <w:rPr>
          <w:rFonts w:ascii="Times New Roman" w:eastAsia="Times New Roman"/>
          <w:sz w:val="15"/>
        </w:rPr>
        <w:t>3</w:t>
      </w:r>
      <w:r>
        <w:rPr>
          <w:rFonts w:ascii="Times New Roman" w:eastAsia="Times New Roman"/>
          <w:spacing w:val="25"/>
          <w:sz w:val="15"/>
        </w:rPr>
        <w:t> </w:t>
      </w:r>
      <w:r>
        <w:rPr>
          <w:position w:val="2"/>
        </w:rPr>
        <w:t>气体经自然分解和稀释后，对周围</w:t>
      </w:r>
      <w:r>
        <w:rPr/>
        <w:t>大气环境的影响较小对环境影响较小。</w:t>
      </w:r>
    </w:p>
    <w:p>
      <w:pPr>
        <w:pStyle w:val="ListParagraph"/>
        <w:numPr>
          <w:ilvl w:val="0"/>
          <w:numId w:val="6"/>
        </w:numPr>
        <w:tabs>
          <w:tab w:pos="1394" w:val="left" w:leader="none"/>
        </w:tabs>
        <w:spacing w:line="240" w:lineRule="auto" w:before="2" w:after="0"/>
        <w:ind w:left="1393" w:right="0" w:hanging="602"/>
        <w:jc w:val="left"/>
        <w:rPr>
          <w:sz w:val="24"/>
        </w:rPr>
      </w:pPr>
      <w:r>
        <w:rPr>
          <w:sz w:val="24"/>
        </w:rPr>
        <w:t>噪声</w:t>
      </w:r>
    </w:p>
    <w:p>
      <w:pPr>
        <w:pStyle w:val="BodyText"/>
        <w:spacing w:before="160"/>
        <w:ind w:left="802"/>
        <w:rPr>
          <w:rFonts w:ascii="Times New Roman" w:eastAsia="Times New Roman"/>
        </w:rPr>
      </w:pPr>
      <w:r>
        <w:rPr>
          <w:spacing w:val="-9"/>
          <w:w w:val="95"/>
        </w:rPr>
        <w:t>本项目噪声源主要为风机噪声，所有设备选用低噪声设备，噪声源强不大于</w:t>
      </w:r>
      <w:r>
        <w:rPr>
          <w:spacing w:val="120"/>
        </w:rPr>
        <w:t>  </w:t>
      </w:r>
      <w:r>
        <w:rPr>
          <w:rFonts w:ascii="Times New Roman" w:eastAsia="Times New Roman"/>
          <w:w w:val="95"/>
        </w:rPr>
        <w:t>65dB</w:t>
      </w:r>
    </w:p>
    <w:p>
      <w:pPr>
        <w:pStyle w:val="BodyText"/>
        <w:spacing w:line="364" w:lineRule="auto" w:before="161"/>
        <w:ind w:left="322" w:right="473"/>
      </w:pPr>
      <w:r>
        <w:rPr>
          <w:spacing w:val="-2"/>
        </w:rPr>
        <w:t>（</w:t>
      </w:r>
      <w:r>
        <w:rPr>
          <w:rFonts w:ascii="Times New Roman" w:eastAsia="Times New Roman"/>
          <w:spacing w:val="-2"/>
        </w:rPr>
        <w:t>A</w:t>
      </w:r>
      <w:r>
        <w:rPr>
          <w:spacing w:val="-2"/>
        </w:rPr>
        <w:t>）</w:t>
      </w:r>
      <w:r>
        <w:rPr>
          <w:spacing w:val="-14"/>
        </w:rPr>
        <w:t>且均处于室内，通过建筑墙体隔声和距离衰减后，运行期间厂界噪声可达到《工</w:t>
      </w:r>
      <w:r>
        <w:rPr/>
        <w:t>业企业厂界噪声标准》（</w:t>
      </w:r>
      <w:r>
        <w:rPr>
          <w:rFonts w:ascii="Times New Roman" w:eastAsia="Times New Roman"/>
        </w:rPr>
        <w:t>GB12348-2008</w:t>
      </w:r>
      <w:r>
        <w:rPr/>
        <w:t>）</w:t>
      </w:r>
      <w:r>
        <w:rPr>
          <w:rFonts w:ascii="Times New Roman" w:eastAsia="Times New Roman"/>
        </w:rPr>
        <w:t>2</w:t>
      </w:r>
      <w:r>
        <w:rPr>
          <w:rFonts w:ascii="Times New Roman" w:eastAsia="Times New Roman"/>
          <w:spacing w:val="-1"/>
        </w:rPr>
        <w:t> </w:t>
      </w:r>
      <w:r>
        <w:rPr/>
        <w:t>类标准要求。</w:t>
      </w:r>
    </w:p>
    <w:p>
      <w:pPr>
        <w:pStyle w:val="ListParagraph"/>
        <w:numPr>
          <w:ilvl w:val="0"/>
          <w:numId w:val="6"/>
        </w:numPr>
        <w:tabs>
          <w:tab w:pos="1394" w:val="left" w:leader="none"/>
        </w:tabs>
        <w:spacing w:line="240" w:lineRule="auto" w:before="1" w:after="0"/>
        <w:ind w:left="1393" w:right="0" w:hanging="602"/>
        <w:jc w:val="left"/>
        <w:rPr>
          <w:sz w:val="24"/>
        </w:rPr>
      </w:pPr>
      <w:r>
        <w:rPr>
          <w:sz w:val="24"/>
        </w:rPr>
        <w:t>废水</w:t>
      </w:r>
    </w:p>
    <w:p>
      <w:pPr>
        <w:pStyle w:val="BodyText"/>
        <w:spacing w:line="362" w:lineRule="auto" w:before="84"/>
        <w:ind w:left="322" w:right="473" w:firstLine="480"/>
      </w:pPr>
      <w:r>
        <w:rPr>
          <w:spacing w:val="-2"/>
        </w:rPr>
        <w:t>本项目运行后，废水主要为辐射工作人员的生活污水及项目产生的医疗废水。生</w:t>
      </w:r>
      <w:r>
        <w:rPr>
          <w:spacing w:val="18"/>
        </w:rPr>
        <w:t>活污水及医疗废水经医院污水处理站处理达到《医疗机构水污染物排放标准》</w:t>
      </w:r>
    </w:p>
    <w:p>
      <w:pPr>
        <w:spacing w:after="0" w:line="362" w:lineRule="auto"/>
        <w:sectPr>
          <w:type w:val="continuous"/>
          <w:pgSz w:w="11910" w:h="16840"/>
          <w:pgMar w:top="1580" w:bottom="280" w:left="1240" w:right="1040"/>
        </w:sectPr>
      </w:pPr>
    </w:p>
    <w:p>
      <w:pPr>
        <w:pStyle w:val="BodyText"/>
        <w:spacing w:line="362" w:lineRule="auto" w:before="55"/>
        <w:ind w:left="322" w:right="473"/>
      </w:pPr>
      <w:r>
        <w:rPr/>
        <w:pict>
          <v:shape style="position:absolute;margin-left:72.459999pt;margin-top:72.000023pt;width:452.8pt;height:635.050pt;mso-position-horizontal-relative:page;mso-position-vertical-relative:page;z-index:-20147200" coordorigin="1449,1440" coordsize="9056,12701" path="m1449,1445l10505,1445m1449,14141l10505,14141m1454,1440l1454,14136m10500,1440l10500,14136e" filled="false" stroked="true" strokeweight=".48pt" strokecolor="#000000">
            <v:path arrowok="t"/>
            <v:stroke dashstyle="solid"/>
            <w10:wrap type="none"/>
          </v:shape>
        </w:pict>
      </w:r>
      <w:bookmarkStart w:name="表10  辐射安全与防护" w:id="18"/>
      <w:bookmarkEnd w:id="18"/>
      <w:r>
        <w:rPr/>
      </w:r>
      <w:r>
        <w:rPr>
          <w:spacing w:val="-2"/>
        </w:rPr>
        <w:t>（</w:t>
      </w:r>
      <w:r>
        <w:rPr>
          <w:rFonts w:ascii="Times New Roman" w:eastAsia="Times New Roman"/>
          <w:spacing w:val="-2"/>
        </w:rPr>
        <w:t>GB18466-2005</w:t>
      </w:r>
      <w:r>
        <w:rPr>
          <w:spacing w:val="-2"/>
        </w:rPr>
        <w:t>）</w:t>
      </w:r>
      <w:r>
        <w:rPr>
          <w:spacing w:val="-22"/>
        </w:rPr>
        <w:t>中表 </w:t>
      </w:r>
      <w:r>
        <w:rPr>
          <w:rFonts w:ascii="Times New Roman" w:eastAsia="Times New Roman"/>
          <w:spacing w:val="-2"/>
        </w:rPr>
        <w:t>2</w:t>
      </w:r>
      <w:r>
        <w:rPr>
          <w:rFonts w:ascii="Times New Roman" w:eastAsia="Times New Roman"/>
          <w:spacing w:val="2"/>
        </w:rPr>
        <w:t> </w:t>
      </w:r>
      <w:r>
        <w:rPr>
          <w:spacing w:val="-6"/>
        </w:rPr>
        <w:t>预处理标准后排入市政管网，进入资阳市城市生活污水处理</w:t>
      </w:r>
      <w:r>
        <w:rPr/>
        <w:t>厂处理达标后排放。</w:t>
      </w:r>
    </w:p>
    <w:p>
      <w:pPr>
        <w:pStyle w:val="ListParagraph"/>
        <w:numPr>
          <w:ilvl w:val="0"/>
          <w:numId w:val="6"/>
        </w:numPr>
        <w:tabs>
          <w:tab w:pos="1394" w:val="left" w:leader="none"/>
        </w:tabs>
        <w:spacing w:line="240" w:lineRule="auto" w:before="81" w:after="0"/>
        <w:ind w:left="1393" w:right="0" w:hanging="602"/>
        <w:jc w:val="left"/>
        <w:rPr>
          <w:sz w:val="24"/>
        </w:rPr>
      </w:pPr>
      <w:r>
        <w:rPr>
          <w:sz w:val="24"/>
        </w:rPr>
        <w:t>固体废物</w:t>
      </w:r>
    </w:p>
    <w:p>
      <w:pPr>
        <w:pStyle w:val="BodyText"/>
        <w:spacing w:before="82"/>
        <w:ind w:left="802"/>
      </w:pPr>
      <w:r>
        <w:rPr>
          <w:spacing w:val="-13"/>
        </w:rPr>
        <w:t>①本项目 </w:t>
      </w:r>
      <w:r>
        <w:rPr>
          <w:rFonts w:ascii="Times New Roman" w:hAnsi="Times New Roman" w:eastAsia="Times New Roman"/>
        </w:rPr>
        <w:t>DSA</w:t>
      </w:r>
      <w:r>
        <w:rPr>
          <w:rFonts w:ascii="Times New Roman" w:hAnsi="Times New Roman" w:eastAsia="Times New Roman"/>
          <w:spacing w:val="-1"/>
        </w:rPr>
        <w:t> </w:t>
      </w:r>
      <w:r>
        <w:rPr/>
        <w:t>采用数字成像，不打印胶片，因此不会有废胶片产生。</w:t>
      </w:r>
    </w:p>
    <w:p>
      <w:pPr>
        <w:pStyle w:val="BodyText"/>
        <w:spacing w:line="364" w:lineRule="auto" w:before="160"/>
        <w:ind w:left="322" w:right="473" w:firstLine="480"/>
        <w:jc w:val="both"/>
      </w:pPr>
      <w:r>
        <w:rPr>
          <w:spacing w:val="-2"/>
        </w:rPr>
        <w:t>②手术时产生一定量的医用器具和药棉、纱布、手套、废造影剂、废造影剂瓶等</w:t>
      </w:r>
      <w:r>
        <w:rPr>
          <w:spacing w:val="-6"/>
        </w:rPr>
        <w:t>医用辅料及手术垃圾，按每台手术产生约 </w:t>
      </w:r>
      <w:r>
        <w:rPr>
          <w:rFonts w:ascii="Times New Roman" w:hAnsi="Times New Roman" w:eastAsia="Times New Roman"/>
          <w:spacing w:val="-2"/>
        </w:rPr>
        <w:t>2kg</w:t>
      </w:r>
      <w:r>
        <w:rPr>
          <w:rFonts w:ascii="Times New Roman" w:hAnsi="Times New Roman" w:eastAsia="Times New Roman"/>
        </w:rPr>
        <w:t> </w:t>
      </w:r>
      <w:r>
        <w:rPr>
          <w:spacing w:val="-2"/>
        </w:rPr>
        <w:t>的医疗废物，每年固体废物产生量约为</w:t>
      </w:r>
      <w:r>
        <w:rPr>
          <w:rFonts w:ascii="Times New Roman" w:hAnsi="Times New Roman" w:eastAsia="Times New Roman"/>
          <w:spacing w:val="-2"/>
        </w:rPr>
        <w:t>4300kg</w:t>
      </w:r>
      <w:r>
        <w:rPr>
          <w:spacing w:val="-2"/>
        </w:rPr>
        <w:t>。这些医疗废物经分类收集打包好后暂存于污物处置间，为减少恶臭气体及病</w:t>
      </w:r>
      <w:r>
        <w:rPr/>
        <w:t>原体的产生，要求医疗废物日产日清，交由资质单位处理。</w:t>
      </w:r>
    </w:p>
    <w:p>
      <w:pPr>
        <w:pStyle w:val="BodyText"/>
        <w:spacing w:line="364" w:lineRule="auto"/>
        <w:ind w:left="322" w:right="353" w:firstLine="480"/>
      </w:pPr>
      <w:r>
        <w:rPr>
          <w:spacing w:val="-3"/>
        </w:rPr>
        <w:t>③工作人员产生的生活垃圾和办公垃圾不属于医疗废物，医院按照当地管理部门</w:t>
      </w:r>
      <w:r>
        <w:rPr/>
        <w:t>要求，办公、生活垃圾经袋装依托医院已有的垃圾收集设施统一收集交由市政环卫清</w:t>
      </w:r>
      <w:r>
        <w:rPr>
          <w:spacing w:val="-13"/>
        </w:rPr>
        <w:t>运，为防止蚊蝇滋生，要求生活垃圾暂存间日产日清。项目产生固废均得到合理处置，</w:t>
      </w:r>
      <w:r>
        <w:rPr>
          <w:spacing w:val="-117"/>
        </w:rPr>
        <w:t> </w:t>
      </w:r>
      <w:r>
        <w:rPr/>
        <w:t>不会对周围环境产生明显影响。</w:t>
      </w:r>
    </w:p>
    <w:p>
      <w:pPr>
        <w:pStyle w:val="ListParagraph"/>
        <w:numPr>
          <w:ilvl w:val="0"/>
          <w:numId w:val="6"/>
        </w:numPr>
        <w:tabs>
          <w:tab w:pos="1404" w:val="left" w:leader="none"/>
        </w:tabs>
        <w:spacing w:line="240" w:lineRule="auto" w:before="75" w:after="0"/>
        <w:ind w:left="1403" w:right="0" w:hanging="602"/>
        <w:jc w:val="left"/>
        <w:rPr>
          <w:sz w:val="24"/>
        </w:rPr>
      </w:pPr>
      <w:r>
        <w:rPr>
          <w:sz w:val="24"/>
        </w:rPr>
        <w:t>造影剂的存储、泄露风险</w:t>
      </w:r>
    </w:p>
    <w:p>
      <w:pPr>
        <w:pStyle w:val="BodyText"/>
        <w:spacing w:line="364" w:lineRule="auto" w:before="160"/>
        <w:ind w:left="322" w:right="421" w:firstLine="480"/>
        <w:jc w:val="both"/>
      </w:pPr>
      <w:r>
        <w:rPr/>
        <w:t>造影剂是</w:t>
      </w:r>
      <w:hyperlink r:id="rId14">
        <w:r>
          <w:rPr/>
          <w:t>介入放射学</w:t>
        </w:r>
      </w:hyperlink>
      <w:r>
        <w:rPr>
          <w:spacing w:val="-4"/>
        </w:rPr>
        <w:t>操作中最常使用的药物之一，医院将外购造影剂采用不锈钢</w:t>
      </w:r>
      <w:r>
        <w:rPr>
          <w:spacing w:val="-1"/>
        </w:rPr>
        <w:t>药品柜作为普通药品单独密封保存；未使用完和过期的造影剂均作为医疗废物处理；</w:t>
      </w:r>
      <w:r>
        <w:rPr>
          <w:spacing w:val="-118"/>
        </w:rPr>
        <w:t> </w:t>
      </w:r>
      <w:r>
        <w:rPr>
          <w:spacing w:val="-1"/>
        </w:rPr>
        <w:t>在进行介入手术时，使用带托盘的不锈钢推车进行运送。在使用造影剂前由药剂师进</w:t>
      </w:r>
      <w:r>
        <w:rPr>
          <w:spacing w:val="-9"/>
        </w:rPr>
        <w:t>行剂量核算后护士取药，医生用高压注射器按照血液流速注入病人血管内，在 </w:t>
      </w:r>
      <w:r>
        <w:rPr>
          <w:rFonts w:ascii="Times New Roman" w:eastAsia="Times New Roman"/>
        </w:rPr>
        <w:t>X </w:t>
      </w:r>
      <w:r>
        <w:rPr/>
        <w:t>射线</w:t>
      </w:r>
      <w:r>
        <w:rPr>
          <w:spacing w:val="-1"/>
        </w:rPr>
        <w:t>的照射下达到血管造影的目的，最后由泌尿系统排除体外。医院未使用完和过期的造影剂作为医疗废物进行处理。造影剂不属于重金属和其他持久性有机物，不存在泄露</w:t>
      </w:r>
      <w:r>
        <w:rPr/>
        <w:t>风险。</w:t>
      </w:r>
    </w:p>
    <w:p>
      <w:pPr>
        <w:spacing w:after="0" w:line="364" w:lineRule="auto"/>
        <w:jc w:val="both"/>
        <w:sectPr>
          <w:pgSz w:w="11910" w:h="16840"/>
          <w:pgMar w:header="0" w:footer="1383" w:top="1380" w:bottom="1660" w:left="1240" w:right="1040"/>
        </w:sectPr>
      </w:pPr>
    </w:p>
    <w:p>
      <w:pPr>
        <w:pStyle w:val="BodyText"/>
        <w:spacing w:before="5"/>
        <w:rPr>
          <w:sz w:val="10"/>
        </w:rPr>
      </w:pPr>
      <w:r>
        <w:rPr/>
        <w:pict>
          <v:shape style="position:absolute;margin-left:72.459999pt;margin-top:121.200027pt;width:463.4pt;height:616.65pt;mso-position-horizontal-relative:page;mso-position-vertical-relative:page;z-index:-20146688" coordorigin="1449,2424" coordsize="9268,12333" path="m1449,2429l10717,2429m1449,14757l10717,14757m1454,2424l1454,14752m10712,2424l10712,14752e" filled="false" stroked="true" strokeweight=".48pt" strokecolor="#000000">
            <v:path arrowok="t"/>
            <v:stroke dashstyle="solid"/>
            <w10:wrap type="none"/>
          </v:shape>
        </w:pict>
      </w:r>
    </w:p>
    <w:p>
      <w:pPr>
        <w:tabs>
          <w:tab w:pos="1534" w:val="left" w:leader="none"/>
        </w:tabs>
        <w:spacing w:before="70"/>
        <w:ind w:left="560" w:right="0" w:firstLine="0"/>
        <w:jc w:val="left"/>
        <w:rPr>
          <w:sz w:val="30"/>
        </w:rPr>
      </w:pPr>
      <w:bookmarkStart w:name="_bookmark8" w:id="19"/>
      <w:bookmarkEnd w:id="19"/>
      <w:r>
        <w:rPr/>
      </w:r>
      <w:r>
        <w:rPr>
          <w:sz w:val="30"/>
        </w:rPr>
        <w:t>表</w:t>
      </w:r>
      <w:r>
        <w:rPr>
          <w:spacing w:val="-76"/>
          <w:sz w:val="30"/>
        </w:rPr>
        <w:t> </w:t>
      </w:r>
      <w:r>
        <w:rPr>
          <w:rFonts w:ascii="Times New Roman" w:eastAsia="Times New Roman"/>
          <w:sz w:val="30"/>
        </w:rPr>
        <w:t>10</w:t>
        <w:tab/>
      </w:r>
      <w:r>
        <w:rPr>
          <w:sz w:val="30"/>
        </w:rPr>
        <w:t>辐射安全与防护</w:t>
      </w:r>
    </w:p>
    <w:p>
      <w:pPr>
        <w:pStyle w:val="BodyText"/>
        <w:spacing w:before="10"/>
        <w:rPr>
          <w:sz w:val="29"/>
        </w:rPr>
      </w:pPr>
    </w:p>
    <w:p>
      <w:pPr>
        <w:pStyle w:val="Heading2"/>
        <w:ind w:left="322"/>
      </w:pPr>
      <w:r>
        <w:rPr/>
        <w:t>项目安全设施</w:t>
      </w:r>
    </w:p>
    <w:p>
      <w:pPr>
        <w:pStyle w:val="BodyText"/>
        <w:spacing w:before="9"/>
        <w:rPr>
          <w:sz w:val="20"/>
        </w:rPr>
      </w:pPr>
    </w:p>
    <w:p>
      <w:pPr>
        <w:pStyle w:val="Heading2"/>
        <w:ind w:left="322"/>
      </w:pPr>
      <w:r>
        <w:rPr/>
        <w:t>一、总平布置及两区划分</w:t>
      </w:r>
    </w:p>
    <w:p>
      <w:pPr>
        <w:pStyle w:val="BodyText"/>
        <w:spacing w:before="135"/>
        <w:ind w:left="322"/>
      </w:pPr>
      <w:r>
        <w:rPr>
          <w:rFonts w:ascii="Times New Roman" w:eastAsia="Times New Roman"/>
          <w:b/>
        </w:rPr>
        <w:t>1</w:t>
      </w:r>
      <w:r>
        <w:rPr/>
        <w:t>、总平面布局合理性分析</w:t>
      </w:r>
    </w:p>
    <w:p>
      <w:pPr>
        <w:pStyle w:val="BodyText"/>
        <w:spacing w:before="6"/>
        <w:rPr>
          <w:sz w:val="18"/>
        </w:rPr>
      </w:pPr>
    </w:p>
    <w:p>
      <w:pPr>
        <w:pStyle w:val="BodyText"/>
        <w:spacing w:line="364" w:lineRule="auto" w:before="1"/>
        <w:ind w:left="322" w:right="253" w:firstLine="480"/>
        <w:jc w:val="both"/>
      </w:pPr>
      <w:r>
        <w:rPr>
          <w:spacing w:val="-18"/>
        </w:rPr>
        <w:t>本项目 </w:t>
      </w:r>
      <w:r>
        <w:rPr>
          <w:rFonts w:ascii="Times New Roman" w:eastAsia="Times New Roman"/>
          <w:spacing w:val="-3"/>
        </w:rPr>
        <w:t>DSA</w:t>
      </w:r>
      <w:r>
        <w:rPr>
          <w:rFonts w:ascii="Times New Roman" w:eastAsia="Times New Roman"/>
          <w:spacing w:val="-1"/>
        </w:rPr>
        <w:t> </w:t>
      </w:r>
      <w:r>
        <w:rPr>
          <w:spacing w:val="-3"/>
        </w:rPr>
        <w:t>机房位于医技楼一层西北侧，</w:t>
      </w:r>
      <w:r>
        <w:rPr>
          <w:rFonts w:ascii="Times New Roman" w:eastAsia="Times New Roman"/>
          <w:spacing w:val="-2"/>
        </w:rPr>
        <w:t>DSA</w:t>
      </w:r>
      <w:r>
        <w:rPr>
          <w:rFonts w:ascii="Times New Roman" w:eastAsia="Times New Roman"/>
          <w:spacing w:val="-1"/>
        </w:rPr>
        <w:t> </w:t>
      </w:r>
      <w:r>
        <w:rPr>
          <w:spacing w:val="-12"/>
        </w:rPr>
        <w:t>机房西北侧 </w:t>
      </w:r>
      <w:r>
        <w:rPr>
          <w:rFonts w:ascii="Times New Roman" w:eastAsia="Times New Roman"/>
          <w:spacing w:val="-2"/>
        </w:rPr>
        <w:t>50m</w:t>
      </w:r>
      <w:r>
        <w:rPr>
          <w:rFonts w:ascii="Times New Roman" w:eastAsia="Times New Roman"/>
        </w:rPr>
        <w:t> </w:t>
      </w:r>
      <w:r>
        <w:rPr>
          <w:spacing w:val="-2"/>
        </w:rPr>
        <w:t>范围内依次为操作</w:t>
      </w:r>
      <w:r>
        <w:rPr/>
        <w:t>间（</w:t>
      </w:r>
      <w:r>
        <w:rPr>
          <w:rFonts w:ascii="Times New Roman" w:eastAsia="Times New Roman"/>
        </w:rPr>
        <w:t>3.5m</w:t>
      </w:r>
      <w:r>
        <w:rPr/>
        <w:t>）、仓库（</w:t>
      </w:r>
      <w:r>
        <w:rPr>
          <w:rFonts w:ascii="Times New Roman" w:eastAsia="Times New Roman"/>
        </w:rPr>
        <w:t>3.5m</w:t>
      </w:r>
      <w:r>
        <w:rPr/>
        <w:t>）、连廊、医疗中心（</w:t>
      </w:r>
      <w:r>
        <w:rPr>
          <w:rFonts w:ascii="Times New Roman" w:eastAsia="Times New Roman"/>
        </w:rPr>
        <w:t>6.5m</w:t>
      </w:r>
      <w:r>
        <w:rPr/>
        <w:t>）；</w:t>
      </w:r>
      <w:r>
        <w:rPr>
          <w:spacing w:val="-9"/>
        </w:rPr>
        <w:t>西南侧 </w:t>
      </w:r>
      <w:r>
        <w:rPr>
          <w:rFonts w:ascii="Times New Roman" w:eastAsia="Times New Roman"/>
        </w:rPr>
        <w:t>50m</w:t>
      </w:r>
      <w:r>
        <w:rPr>
          <w:rFonts w:ascii="Times New Roman" w:eastAsia="Times New Roman"/>
          <w:spacing w:val="26"/>
        </w:rPr>
        <w:t> </w:t>
      </w:r>
      <w:r>
        <w:rPr/>
        <w:t>范围内依次为医</w:t>
      </w:r>
      <w:r>
        <w:rPr>
          <w:spacing w:val="-3"/>
        </w:rPr>
        <w:t>生通道、办公休息室、更衣室、疑难病症诊治中心（</w:t>
      </w:r>
      <w:r>
        <w:rPr>
          <w:rFonts w:ascii="Times New Roman" w:eastAsia="Times New Roman"/>
          <w:spacing w:val="-3"/>
        </w:rPr>
        <w:t>35m</w:t>
      </w:r>
      <w:r>
        <w:rPr>
          <w:spacing w:val="-3"/>
        </w:rPr>
        <w:t>）</w:t>
      </w:r>
      <w:r>
        <w:rPr>
          <w:spacing w:val="-17"/>
        </w:rPr>
        <w:t>；北侧 </w:t>
      </w:r>
      <w:r>
        <w:rPr>
          <w:rFonts w:ascii="Times New Roman" w:eastAsia="Times New Roman"/>
          <w:spacing w:val="-2"/>
        </w:rPr>
        <w:t>50m</w:t>
      </w:r>
      <w:r>
        <w:rPr>
          <w:rFonts w:ascii="Times New Roman" w:eastAsia="Times New Roman"/>
          <w:spacing w:val="2"/>
        </w:rPr>
        <w:t> </w:t>
      </w:r>
      <w:r>
        <w:rPr>
          <w:spacing w:val="-2"/>
        </w:rPr>
        <w:t>内为走廊、康复</w:t>
      </w:r>
      <w:r>
        <w:rPr>
          <w:spacing w:val="-3"/>
        </w:rPr>
        <w:t>理疗楼（</w:t>
      </w:r>
      <w:r>
        <w:rPr>
          <w:rFonts w:ascii="Times New Roman" w:eastAsia="Times New Roman"/>
          <w:spacing w:val="-3"/>
        </w:rPr>
        <w:t>18m</w:t>
      </w:r>
      <w:r>
        <w:rPr>
          <w:spacing w:val="-3"/>
        </w:rPr>
        <w:t>）；</w:t>
      </w:r>
      <w:r>
        <w:rPr>
          <w:spacing w:val="-18"/>
        </w:rPr>
        <w:t>东南侧 </w:t>
      </w:r>
      <w:r>
        <w:rPr>
          <w:rFonts w:ascii="Times New Roman" w:eastAsia="Times New Roman"/>
          <w:spacing w:val="-3"/>
        </w:rPr>
        <w:t>50m</w:t>
      </w:r>
      <w:r>
        <w:rPr>
          <w:rFonts w:ascii="Times New Roman" w:eastAsia="Times New Roman"/>
        </w:rPr>
        <w:t> </w:t>
      </w:r>
      <w:r>
        <w:rPr>
          <w:spacing w:val="-3"/>
        </w:rPr>
        <w:t>范围内依次为设备间、家属等候区、后处理室、其他机房</w:t>
      </w:r>
      <w:r>
        <w:rPr>
          <w:spacing w:val="-5"/>
        </w:rPr>
        <w:t>及配套用房等；东北侧 </w:t>
      </w:r>
      <w:r>
        <w:rPr>
          <w:rFonts w:ascii="Times New Roman" w:eastAsia="Times New Roman"/>
        </w:rPr>
        <w:t>50m</w:t>
      </w:r>
      <w:r>
        <w:rPr>
          <w:rFonts w:ascii="Times New Roman" w:eastAsia="Times New Roman"/>
          <w:spacing w:val="5"/>
        </w:rPr>
        <w:t> </w:t>
      </w:r>
      <w:r>
        <w:rPr/>
        <w:t>范围内依次为走廊、门诊楼（</w:t>
      </w:r>
      <w:r>
        <w:rPr>
          <w:rFonts w:ascii="Times New Roman" w:eastAsia="Times New Roman"/>
        </w:rPr>
        <w:t>20m</w:t>
      </w:r>
      <w:r>
        <w:rPr/>
        <w:t>）</w:t>
      </w:r>
      <w:r>
        <w:rPr>
          <w:spacing w:val="-12"/>
        </w:rPr>
        <w:t>。本项目 </w:t>
      </w:r>
      <w:r>
        <w:rPr>
          <w:rFonts w:ascii="Times New Roman" w:eastAsia="Times New Roman"/>
        </w:rPr>
        <w:t>DSA</w:t>
      </w:r>
      <w:r>
        <w:rPr>
          <w:rFonts w:ascii="Times New Roman" w:eastAsia="Times New Roman"/>
          <w:spacing w:val="5"/>
        </w:rPr>
        <w:t> </w:t>
      </w:r>
      <w:r>
        <w:rPr/>
        <w:t>平面布</w:t>
      </w:r>
      <w:r>
        <w:rPr>
          <w:spacing w:val="-10"/>
        </w:rPr>
        <w:t>置图见附图 </w:t>
      </w:r>
      <w:r>
        <w:rPr>
          <w:rFonts w:ascii="Times New Roman" w:eastAsia="Times New Roman"/>
        </w:rPr>
        <w:t>4</w:t>
      </w:r>
      <w:r>
        <w:rPr/>
        <w:t>。</w:t>
      </w:r>
    </w:p>
    <w:p>
      <w:pPr>
        <w:pStyle w:val="BodyText"/>
        <w:spacing w:line="364" w:lineRule="auto" w:before="3"/>
        <w:ind w:left="322" w:right="258" w:firstLine="480"/>
        <w:jc w:val="both"/>
      </w:pPr>
      <w:r>
        <w:rPr>
          <w:spacing w:val="-3"/>
        </w:rPr>
        <w:t>本项目病人通道、医护通道、污物通道分开布置，互不交叉影响，候诊病人从病人</w:t>
      </w:r>
      <w:r>
        <w:rPr>
          <w:spacing w:val="14"/>
        </w:rPr>
        <w:t>通道进入</w:t>
      </w:r>
      <w:r>
        <w:rPr>
          <w:rFonts w:ascii="Times New Roman" w:eastAsia="Times New Roman"/>
        </w:rPr>
        <w:t>DSA</w:t>
      </w:r>
      <w:r>
        <w:rPr>
          <w:rFonts w:ascii="Times New Roman" w:eastAsia="Times New Roman"/>
          <w:spacing w:val="26"/>
        </w:rPr>
        <w:t> </w:t>
      </w:r>
      <w:r>
        <w:rPr/>
        <w:t>机房，医护人员从医生通道进入操作间和机房，污物通道独立设置，手</w:t>
      </w:r>
      <w:r>
        <w:rPr>
          <w:spacing w:val="-3"/>
        </w:rPr>
        <w:t>术过程中产生的医疗废物暂存于污物处置间，经过打包后通过污物通道运出。本项目的</w:t>
      </w:r>
      <w:r>
        <w:rPr/>
        <w:t>修建不影响消防通道，且不占用消防设施等任何公共安全设施。</w:t>
      </w:r>
      <w:r>
        <w:rPr>
          <w:rFonts w:ascii="Times New Roman" w:eastAsia="Times New Roman"/>
        </w:rPr>
        <w:t>DSA</w:t>
      </w:r>
      <w:r>
        <w:rPr>
          <w:rFonts w:ascii="Times New Roman" w:eastAsia="Times New Roman"/>
          <w:spacing w:val="56"/>
        </w:rPr>
        <w:t> </w:t>
      </w:r>
      <w:r>
        <w:rPr/>
        <w:t>手术室采取了有</w:t>
      </w:r>
      <w:r>
        <w:rPr>
          <w:spacing w:val="-3"/>
        </w:rPr>
        <w:t>效的屏蔽措施，产生的 </w:t>
      </w:r>
      <w:r>
        <w:rPr>
          <w:rFonts w:ascii="Times New Roman" w:eastAsia="Times New Roman"/>
        </w:rPr>
        <w:t>X</w:t>
      </w:r>
      <w:r>
        <w:rPr>
          <w:rFonts w:ascii="Times New Roman" w:eastAsia="Times New Roman"/>
          <w:spacing w:val="40"/>
        </w:rPr>
        <w:t> </w:t>
      </w:r>
      <w:r>
        <w:rPr/>
        <w:t>射线经屏蔽后对周围环境辐射影响是可接受的，平面布置合理。</w:t>
      </w:r>
    </w:p>
    <w:p>
      <w:pPr>
        <w:pStyle w:val="BodyText"/>
        <w:spacing w:line="364" w:lineRule="auto" w:before="4"/>
        <w:ind w:left="322" w:right="107" w:firstLine="480"/>
      </w:pPr>
      <w:r>
        <w:rPr>
          <w:spacing w:val="-17"/>
        </w:rPr>
        <w:t>综上所述，从辐射安全的角度考虑，本项目辐射工作场所产生的电离辐射经屏蔽后，</w:t>
      </w:r>
      <w:r>
        <w:rPr>
          <w:spacing w:val="-117"/>
        </w:rPr>
        <w:t> </w:t>
      </w:r>
      <w:r>
        <w:rPr/>
        <w:t>对周围辐射环境影响是可接受的，平面布置合理。</w:t>
      </w:r>
    </w:p>
    <w:p>
      <w:pPr>
        <w:pStyle w:val="BodyText"/>
        <w:spacing w:line="229" w:lineRule="exact"/>
        <w:ind w:left="322"/>
      </w:pPr>
      <w:r>
        <w:rPr>
          <w:rFonts w:ascii="Times New Roman" w:eastAsia="Times New Roman"/>
          <w:b/>
        </w:rPr>
        <w:t>2</w:t>
      </w:r>
      <w:r>
        <w:rPr/>
        <w:t>、辐射工作场所两区划分</w:t>
      </w:r>
    </w:p>
    <w:p>
      <w:pPr>
        <w:pStyle w:val="BodyText"/>
        <w:spacing w:before="6"/>
        <w:rPr>
          <w:sz w:val="18"/>
        </w:rPr>
      </w:pPr>
    </w:p>
    <w:p>
      <w:pPr>
        <w:pStyle w:val="BodyText"/>
        <w:spacing w:line="364" w:lineRule="auto"/>
        <w:ind w:left="322" w:right="260" w:firstLine="480"/>
      </w:pPr>
      <w:r>
        <w:rPr>
          <w:spacing w:val="-3"/>
        </w:rPr>
        <w:t>为了便于加强管理，切实做好辐射安全防范工作，按照《电离辐射防护与辐射源安</w:t>
      </w:r>
      <w:r>
        <w:rPr/>
        <w:t>全基本标准》（</w:t>
      </w:r>
      <w:r>
        <w:rPr>
          <w:rFonts w:ascii="Times New Roman" w:eastAsia="Times New Roman"/>
        </w:rPr>
        <w:t>GB18871-2002</w:t>
      </w:r>
      <w:r>
        <w:rPr/>
        <w:t>）要求，将本项目辐射工作场所分为控制区和监督区。</w:t>
      </w:r>
    </w:p>
    <w:p>
      <w:pPr>
        <w:pStyle w:val="BodyText"/>
        <w:spacing w:line="343" w:lineRule="auto" w:before="35"/>
        <w:ind w:left="322" w:right="181" w:firstLine="480"/>
      </w:pPr>
      <w:r>
        <w:rPr>
          <w:spacing w:val="-1"/>
        </w:rPr>
        <w:t>控制区：在正常工作情况下控制正常照射或防止污染扩散，以及在一定程度上预防或限制潜在照射，要求或可能要求专门防护手段和安全措施的限定区域。在控制区的进出口及其他适当位置处设立醒目的警告标志并给出相应的辐射水平和污染水平的指示。运用行政管理程序如进入控制区的工作许可证和实体屏蔽</w:t>
      </w:r>
      <w:r>
        <w:rPr/>
        <w:t>（包括门锁和联锁装置）限制</w:t>
      </w:r>
      <w:r>
        <w:rPr>
          <w:spacing w:val="-1"/>
        </w:rPr>
        <w:t>进出控制区，辐射工作区与非辐射工作区隔开。控制区内禁止外来人员进入，职业工作</w:t>
      </w:r>
      <w:r>
        <w:rPr/>
        <w:t>人员在进行日常工作时候尽量不要在控制区内停留，以减少不必要的照射。</w:t>
      </w:r>
    </w:p>
    <w:p>
      <w:pPr>
        <w:spacing w:after="0" w:line="343" w:lineRule="auto"/>
        <w:sectPr>
          <w:pgSz w:w="11910" w:h="16840"/>
          <w:pgMar w:header="0" w:footer="1383" w:top="1580" w:bottom="1660" w:left="1240" w:right="1040"/>
        </w:sectPr>
      </w:pPr>
    </w:p>
    <w:p>
      <w:pPr>
        <w:pStyle w:val="BodyText"/>
        <w:spacing w:line="343" w:lineRule="auto" w:before="125"/>
        <w:ind w:left="322" w:right="260" w:firstLine="480"/>
        <w:jc w:val="both"/>
      </w:pPr>
      <w:r>
        <w:rPr/>
        <w:pict>
          <v:shape style="position:absolute;margin-left:72.459999pt;margin-top:72.000023pt;width:463.4pt;height:678.65pt;mso-position-horizontal-relative:page;mso-position-vertical-relative:page;z-index:-20145664" coordorigin="1449,1440" coordsize="9268,13573" path="m1449,1445l10717,1445m1449,15013l10717,15013m1454,1440l1454,15008m10712,1440l10712,15008e" filled="false" stroked="true" strokeweight=".48pt" strokecolor="#000000">
            <v:path arrowok="t"/>
            <v:stroke dashstyle="solid"/>
            <w10:wrap type="none"/>
          </v:shape>
        </w:pict>
      </w:r>
      <w:r>
        <w:rPr>
          <w:spacing w:val="-3"/>
        </w:rPr>
        <w:t>监督区：未被确定为控制区，正常情况下不需要采取专门防护手段或安全措施，但</w:t>
      </w:r>
      <w:r>
        <w:rPr>
          <w:spacing w:val="-6"/>
        </w:rPr>
        <w:t>要不断检查其职业照射状况的制定区域。在监督区入口处的合适位置张贴辐射危险警示</w:t>
      </w:r>
      <w:r>
        <w:rPr>
          <w:spacing w:val="-3"/>
        </w:rPr>
        <w:t>标记；并定期检查工作状况，确认是否需要防护措施和安全条件，或是否需要更改监督</w:t>
      </w:r>
      <w:r>
        <w:rPr/>
        <w:t>区的边界。监督区范围内应尽量限制无关人员进入。</w:t>
      </w:r>
    </w:p>
    <w:p>
      <w:pPr>
        <w:pStyle w:val="BodyText"/>
        <w:spacing w:line="277" w:lineRule="exact"/>
        <w:ind w:left="783"/>
        <w:jc w:val="both"/>
        <w:rPr>
          <w:rFonts w:ascii="Times New Roman" w:eastAsia="Times New Roman"/>
        </w:rPr>
      </w:pPr>
      <w:r>
        <w:rPr>
          <w:spacing w:val="-1"/>
        </w:rPr>
        <w:t>根据控制区和监督区的定义，结合项目诊治、辐射防护和环境情况特点，将 </w:t>
      </w:r>
      <w:r>
        <w:rPr>
          <w:rFonts w:ascii="Times New Roman" w:eastAsia="Times New Roman"/>
        </w:rPr>
        <w:t>DSA</w:t>
      </w:r>
    </w:p>
    <w:p>
      <w:pPr>
        <w:pStyle w:val="BodyText"/>
        <w:spacing w:line="364" w:lineRule="auto" w:before="161"/>
        <w:ind w:left="322" w:right="260"/>
        <w:jc w:val="both"/>
      </w:pPr>
      <w:r>
        <w:rPr>
          <w:spacing w:val="-3"/>
        </w:rPr>
        <w:t>机房划为控制区，将操作间、污物处置间划为监督区。在监督区外张贴电离辐射标志以</w:t>
      </w:r>
      <w:r>
        <w:rPr>
          <w:spacing w:val="-5"/>
        </w:rPr>
        <w:t>警示。项目控制区和监督区划分情况见表 </w:t>
      </w:r>
      <w:r>
        <w:rPr>
          <w:rFonts w:ascii="Times New Roman" w:eastAsia="Times New Roman"/>
        </w:rPr>
        <w:t>10-1</w:t>
      </w:r>
      <w:r>
        <w:rPr>
          <w:spacing w:val="-10"/>
        </w:rPr>
        <w:t>，并在附图 </w:t>
      </w:r>
      <w:r>
        <w:rPr>
          <w:rFonts w:ascii="Times New Roman" w:eastAsia="Times New Roman"/>
        </w:rPr>
        <w:t>6 </w:t>
      </w:r>
      <w:r>
        <w:rPr/>
        <w:t>上进行了标识。</w:t>
      </w:r>
    </w:p>
    <w:p>
      <w:pPr>
        <w:spacing w:before="96"/>
        <w:ind w:left="3144" w:right="0" w:firstLine="0"/>
        <w:jc w:val="both"/>
        <w:rPr>
          <w:sz w:val="21"/>
        </w:rPr>
      </w:pPr>
      <w:r>
        <w:rPr>
          <w:spacing w:val="-8"/>
          <w:w w:val="95"/>
          <w:sz w:val="21"/>
        </w:rPr>
        <w:t>表 </w:t>
      </w:r>
      <w:r>
        <w:rPr>
          <w:rFonts w:ascii="Times New Roman" w:eastAsia="Times New Roman"/>
          <w:b/>
          <w:w w:val="95"/>
          <w:sz w:val="21"/>
        </w:rPr>
        <w:t>10-1</w:t>
      </w:r>
      <w:r>
        <w:rPr>
          <w:rFonts w:ascii="Times New Roman" w:eastAsia="Times New Roman"/>
          <w:b/>
          <w:spacing w:val="55"/>
          <w:sz w:val="21"/>
        </w:rPr>
        <w:t>   </w:t>
      </w:r>
      <w:r>
        <w:rPr>
          <w:w w:val="95"/>
          <w:sz w:val="21"/>
        </w:rPr>
        <w:t>本项目控制区和监督区划分情况</w:t>
      </w:r>
    </w:p>
    <w:p>
      <w:pPr>
        <w:pStyle w:val="BodyText"/>
        <w:spacing w:before="12"/>
        <w:rPr>
          <w:sz w:val="13"/>
        </w:rPr>
      </w:pPr>
    </w:p>
    <w:tbl>
      <w:tblPr>
        <w:tblW w:w="0" w:type="auto"/>
        <w:jc w:val="left"/>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7"/>
        <w:gridCol w:w="1948"/>
        <w:gridCol w:w="5959"/>
      </w:tblGrid>
      <w:tr>
        <w:trPr>
          <w:trHeight w:val="312" w:hRule="atLeast"/>
        </w:trPr>
        <w:tc>
          <w:tcPr>
            <w:tcW w:w="1077" w:type="dxa"/>
            <w:tcBorders>
              <w:left w:val="nil"/>
              <w:right w:val="single" w:sz="4" w:space="0" w:color="000000"/>
            </w:tcBorders>
          </w:tcPr>
          <w:p>
            <w:pPr>
              <w:pStyle w:val="TableParagraph"/>
              <w:spacing w:before="22"/>
              <w:ind w:left="134" w:right="100"/>
              <w:rPr>
                <w:sz w:val="21"/>
              </w:rPr>
            </w:pPr>
            <w:r>
              <w:rPr>
                <w:w w:val="95"/>
                <w:sz w:val="21"/>
              </w:rPr>
              <w:t>项目名称</w:t>
            </w:r>
          </w:p>
        </w:tc>
        <w:tc>
          <w:tcPr>
            <w:tcW w:w="1948" w:type="dxa"/>
            <w:tcBorders>
              <w:left w:val="single" w:sz="4" w:space="0" w:color="000000"/>
              <w:right w:val="single" w:sz="4" w:space="0" w:color="000000"/>
            </w:tcBorders>
          </w:tcPr>
          <w:p>
            <w:pPr>
              <w:pStyle w:val="TableParagraph"/>
              <w:spacing w:before="22"/>
              <w:ind w:left="517" w:right="489"/>
              <w:rPr>
                <w:sz w:val="21"/>
              </w:rPr>
            </w:pPr>
            <w:r>
              <w:rPr>
                <w:w w:val="95"/>
                <w:sz w:val="21"/>
              </w:rPr>
              <w:t>控制区</w:t>
            </w:r>
          </w:p>
        </w:tc>
        <w:tc>
          <w:tcPr>
            <w:tcW w:w="5959" w:type="dxa"/>
            <w:tcBorders>
              <w:left w:val="single" w:sz="4" w:space="0" w:color="000000"/>
              <w:right w:val="nil"/>
            </w:tcBorders>
          </w:tcPr>
          <w:p>
            <w:pPr>
              <w:pStyle w:val="TableParagraph"/>
              <w:spacing w:before="22"/>
              <w:ind w:left="2023" w:right="2001"/>
              <w:rPr>
                <w:sz w:val="21"/>
              </w:rPr>
            </w:pPr>
            <w:r>
              <w:rPr>
                <w:w w:val="95"/>
                <w:sz w:val="21"/>
              </w:rPr>
              <w:t>监督区</w:t>
            </w:r>
          </w:p>
        </w:tc>
      </w:tr>
      <w:tr>
        <w:trPr>
          <w:trHeight w:val="312" w:hRule="atLeast"/>
        </w:trPr>
        <w:tc>
          <w:tcPr>
            <w:tcW w:w="1077" w:type="dxa"/>
            <w:tcBorders>
              <w:left w:val="nil"/>
              <w:right w:val="single" w:sz="4" w:space="0" w:color="000000"/>
            </w:tcBorders>
          </w:tcPr>
          <w:p>
            <w:pPr>
              <w:pStyle w:val="TableParagraph"/>
              <w:spacing w:before="34"/>
              <w:ind w:left="132" w:right="100"/>
              <w:rPr>
                <w:rFonts w:ascii="Times New Roman"/>
                <w:sz w:val="21"/>
              </w:rPr>
            </w:pPr>
            <w:r>
              <w:rPr>
                <w:rFonts w:ascii="Times New Roman"/>
                <w:sz w:val="21"/>
              </w:rPr>
              <w:t>DSA</w:t>
            </w:r>
          </w:p>
        </w:tc>
        <w:tc>
          <w:tcPr>
            <w:tcW w:w="1948" w:type="dxa"/>
            <w:tcBorders>
              <w:left w:val="single" w:sz="4" w:space="0" w:color="000000"/>
              <w:right w:val="single" w:sz="4" w:space="0" w:color="000000"/>
            </w:tcBorders>
          </w:tcPr>
          <w:p>
            <w:pPr>
              <w:pStyle w:val="TableParagraph"/>
              <w:spacing w:before="20"/>
              <w:ind w:left="517" w:right="491"/>
              <w:rPr>
                <w:sz w:val="21"/>
              </w:rPr>
            </w:pPr>
            <w:r>
              <w:rPr>
                <w:rFonts w:ascii="Times New Roman" w:eastAsia="Times New Roman"/>
                <w:sz w:val="21"/>
              </w:rPr>
              <w:t>DSA</w:t>
            </w:r>
            <w:r>
              <w:rPr>
                <w:rFonts w:ascii="Times New Roman" w:eastAsia="Times New Roman"/>
                <w:spacing w:val="-3"/>
                <w:sz w:val="21"/>
              </w:rPr>
              <w:t> </w:t>
            </w:r>
            <w:r>
              <w:rPr>
                <w:sz w:val="21"/>
              </w:rPr>
              <w:t>机房</w:t>
            </w:r>
          </w:p>
        </w:tc>
        <w:tc>
          <w:tcPr>
            <w:tcW w:w="5959" w:type="dxa"/>
            <w:tcBorders>
              <w:left w:val="single" w:sz="4" w:space="0" w:color="000000"/>
              <w:right w:val="nil"/>
            </w:tcBorders>
          </w:tcPr>
          <w:p>
            <w:pPr>
              <w:pStyle w:val="TableParagraph"/>
              <w:spacing w:before="20"/>
              <w:ind w:left="2023" w:right="2001"/>
              <w:rPr>
                <w:sz w:val="21"/>
              </w:rPr>
            </w:pPr>
            <w:r>
              <w:rPr>
                <w:sz w:val="21"/>
              </w:rPr>
              <w:t>操作间、污物处置间</w:t>
            </w:r>
          </w:p>
        </w:tc>
      </w:tr>
    </w:tbl>
    <w:p>
      <w:pPr>
        <w:pStyle w:val="BodyText"/>
        <w:spacing w:line="364" w:lineRule="auto" w:before="81"/>
        <w:ind w:left="322" w:right="229" w:firstLine="504"/>
      </w:pPr>
      <w:r>
        <w:rPr/>
        <w:t>控制区内禁止外来人员进入，职业工作人员在进行日常工作时尽量不要在控制区内停留，以减少不必要的照射。监督区范围内应限制无关人员进入。</w:t>
      </w:r>
    </w:p>
    <w:p>
      <w:pPr>
        <w:pStyle w:val="BodyText"/>
      </w:pPr>
    </w:p>
    <w:p>
      <w:pPr>
        <w:tabs>
          <w:tab w:pos="4212" w:val="left" w:leader="none"/>
        </w:tabs>
        <w:spacing w:before="180"/>
        <w:ind w:left="3356" w:right="0" w:firstLine="0"/>
        <w:jc w:val="left"/>
        <w:rPr>
          <w:sz w:val="21"/>
        </w:rPr>
      </w:pPr>
      <w:r>
        <w:rPr>
          <w:w w:val="95"/>
          <w:sz w:val="21"/>
        </w:rPr>
        <w:t>图</w:t>
      </w:r>
      <w:r>
        <w:rPr>
          <w:spacing w:val="-41"/>
          <w:w w:val="95"/>
          <w:sz w:val="21"/>
        </w:rPr>
        <w:t> </w:t>
      </w:r>
      <w:r>
        <w:rPr>
          <w:rFonts w:ascii="Times New Roman" w:eastAsia="Times New Roman"/>
          <w:b/>
          <w:w w:val="95"/>
          <w:sz w:val="21"/>
        </w:rPr>
        <w:t>10-1</w:t>
        <w:tab/>
      </w:r>
      <w:r>
        <w:rPr>
          <w:w w:val="95"/>
          <w:sz w:val="21"/>
        </w:rPr>
        <w:t>本项目</w:t>
      </w:r>
      <w:r>
        <w:rPr>
          <w:spacing w:val="-11"/>
          <w:w w:val="95"/>
          <w:sz w:val="21"/>
        </w:rPr>
        <w:t> </w:t>
      </w:r>
      <w:r>
        <w:rPr>
          <w:rFonts w:ascii="Times New Roman" w:eastAsia="Times New Roman"/>
          <w:b/>
          <w:w w:val="95"/>
          <w:sz w:val="21"/>
        </w:rPr>
        <w:t>DSA</w:t>
      </w:r>
      <w:r>
        <w:rPr>
          <w:rFonts w:ascii="Times New Roman" w:eastAsia="Times New Roman"/>
          <w:b/>
          <w:spacing w:val="45"/>
          <w:w w:val="95"/>
          <w:sz w:val="21"/>
        </w:rPr>
        <w:t> </w:t>
      </w:r>
      <w:r>
        <w:rPr>
          <w:w w:val="95"/>
          <w:sz w:val="21"/>
        </w:rPr>
        <w:t>两区划分示意图</w:t>
      </w:r>
    </w:p>
    <w:p>
      <w:pPr>
        <w:pStyle w:val="ListParagraph"/>
        <w:numPr>
          <w:ilvl w:val="0"/>
          <w:numId w:val="7"/>
        </w:numPr>
        <w:tabs>
          <w:tab w:pos="1404" w:val="left" w:leader="none"/>
        </w:tabs>
        <w:spacing w:line="240" w:lineRule="auto" w:before="181" w:after="0"/>
        <w:ind w:left="1403" w:right="0" w:hanging="602"/>
        <w:jc w:val="left"/>
        <w:rPr>
          <w:sz w:val="24"/>
        </w:rPr>
      </w:pPr>
      <w:r>
        <w:rPr>
          <w:sz w:val="24"/>
        </w:rPr>
        <w:t>控制区防护手段与安全措施</w:t>
      </w:r>
    </w:p>
    <w:p>
      <w:pPr>
        <w:pStyle w:val="BodyText"/>
        <w:spacing w:before="160"/>
        <w:ind w:left="802"/>
      </w:pPr>
      <w:r>
        <w:rPr/>
        <w:t>①控制区进出口及其它适当位置处设立醒目的警告标志；</w:t>
      </w:r>
    </w:p>
    <w:p>
      <w:pPr>
        <w:pStyle w:val="BodyText"/>
        <w:spacing w:before="1"/>
        <w:rPr>
          <w:sz w:val="20"/>
        </w:rPr>
      </w:pPr>
      <w:r>
        <w:rPr/>
        <w:drawing>
          <wp:anchor distT="0" distB="0" distL="0" distR="0" allowOverlap="1" layoutInCell="1" locked="0" behindDoc="0" simplePos="0" relativeHeight="24">
            <wp:simplePos x="0" y="0"/>
            <wp:positionH relativeFrom="page">
              <wp:posOffset>2633235</wp:posOffset>
            </wp:positionH>
            <wp:positionV relativeFrom="paragraph">
              <wp:posOffset>188125</wp:posOffset>
            </wp:positionV>
            <wp:extent cx="2538157" cy="1322831"/>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2538157" cy="1322831"/>
                    </a:xfrm>
                    <a:prstGeom prst="rect">
                      <a:avLst/>
                    </a:prstGeom>
                  </pic:spPr>
                </pic:pic>
              </a:graphicData>
            </a:graphic>
          </wp:anchor>
        </w:drawing>
      </w:r>
    </w:p>
    <w:p>
      <w:pPr>
        <w:pStyle w:val="BodyText"/>
        <w:spacing w:before="5"/>
        <w:rPr>
          <w:sz w:val="19"/>
        </w:rPr>
      </w:pPr>
    </w:p>
    <w:p>
      <w:pPr>
        <w:pStyle w:val="BodyText"/>
        <w:ind w:left="249" w:right="190"/>
        <w:jc w:val="center"/>
      </w:pPr>
      <w:r>
        <w:rPr>
          <w:spacing w:val="-30"/>
        </w:rPr>
        <w:t>图 </w:t>
      </w:r>
      <w:r>
        <w:rPr/>
        <w:t>10-2 电离辐射标志和电离辐射警告标志图</w:t>
      </w:r>
    </w:p>
    <w:p>
      <w:pPr>
        <w:pStyle w:val="BodyText"/>
        <w:spacing w:before="160"/>
        <w:ind w:left="802"/>
      </w:pPr>
      <w:r>
        <w:rPr/>
        <w:t>②制定职业防护与安全管理措施，包括适用于控制区的规则和程序；</w:t>
      </w:r>
    </w:p>
    <w:p>
      <w:pPr>
        <w:pStyle w:val="BodyText"/>
        <w:spacing w:line="364" w:lineRule="auto" w:before="161"/>
        <w:ind w:left="322" w:right="258" w:firstLine="480"/>
      </w:pPr>
      <w:r>
        <w:rPr>
          <w:spacing w:val="-3"/>
        </w:rPr>
        <w:t>③运用行政管理程序</w:t>
      </w:r>
      <w:r>
        <w:rPr>
          <w:spacing w:val="-2"/>
        </w:rPr>
        <w:t>（如进入控制区的工作许可制度）和实体屏障（包括门锁）限</w:t>
      </w:r>
      <w:r>
        <w:rPr/>
        <w:t>制进出控制区；</w:t>
      </w:r>
    </w:p>
    <w:p>
      <w:pPr>
        <w:pStyle w:val="BodyText"/>
        <w:spacing w:before="1"/>
        <w:ind w:left="802"/>
      </w:pPr>
      <w:r>
        <w:rPr/>
        <w:t>④备有个人防护用品、工作服和被污染防护衣具的贮存柜；</w:t>
      </w:r>
    </w:p>
    <w:p>
      <w:pPr>
        <w:pStyle w:val="BodyText"/>
        <w:spacing w:before="161"/>
        <w:ind w:left="802"/>
      </w:pPr>
      <w:r>
        <w:rPr>
          <w:spacing w:val="-11"/>
        </w:rPr>
        <w:t>⑤定期审查控制区的实际状况，以确保是否有必要改变该区的防护手段、安全措施。</w:t>
      </w:r>
    </w:p>
    <w:p>
      <w:pPr>
        <w:pStyle w:val="ListParagraph"/>
        <w:numPr>
          <w:ilvl w:val="0"/>
          <w:numId w:val="7"/>
        </w:numPr>
        <w:tabs>
          <w:tab w:pos="1344" w:val="left" w:leader="none"/>
        </w:tabs>
        <w:spacing w:line="240" w:lineRule="auto" w:before="160" w:after="0"/>
        <w:ind w:left="1343" w:right="0" w:hanging="602"/>
        <w:jc w:val="left"/>
        <w:rPr>
          <w:sz w:val="24"/>
        </w:rPr>
      </w:pPr>
      <w:r>
        <w:rPr>
          <w:sz w:val="24"/>
        </w:rPr>
        <w:t>监督区防护手段与安全措施</w:t>
      </w:r>
    </w:p>
    <w:p>
      <w:pPr>
        <w:pStyle w:val="BodyText"/>
        <w:spacing w:before="161"/>
        <w:ind w:left="802"/>
      </w:pPr>
      <w:r>
        <w:rPr/>
        <w:t>①以黄线警示监督区为边界；</w:t>
      </w:r>
    </w:p>
    <w:p>
      <w:pPr>
        <w:spacing w:after="0"/>
        <w:sectPr>
          <w:pgSz w:w="11910" w:h="16840"/>
          <w:pgMar w:header="0" w:footer="1383" w:top="1420" w:bottom="1660" w:left="1240" w:right="1040"/>
        </w:sect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1555"/>
        <w:gridCol w:w="1660"/>
        <w:gridCol w:w="1155"/>
        <w:gridCol w:w="1111"/>
        <w:gridCol w:w="1334"/>
        <w:gridCol w:w="1373"/>
      </w:tblGrid>
      <w:tr>
        <w:trPr>
          <w:trHeight w:val="11282" w:hRule="atLeast"/>
        </w:trPr>
        <w:tc>
          <w:tcPr>
            <w:tcW w:w="9258" w:type="dxa"/>
            <w:gridSpan w:val="7"/>
            <w:tcBorders>
              <w:bottom w:val="single" w:sz="12" w:space="0" w:color="000000"/>
            </w:tcBorders>
          </w:tcPr>
          <w:p>
            <w:pPr>
              <w:pStyle w:val="TableParagraph"/>
              <w:spacing w:before="80"/>
              <w:ind w:left="588"/>
              <w:jc w:val="left"/>
              <w:rPr>
                <w:sz w:val="24"/>
              </w:rPr>
            </w:pPr>
            <w:r>
              <w:rPr>
                <w:sz w:val="24"/>
              </w:rPr>
              <w:t>②在监督区的入口处的适当地点设立表明监督区的标牌；</w:t>
            </w:r>
          </w:p>
          <w:p>
            <w:pPr>
              <w:pStyle w:val="TableParagraph"/>
              <w:spacing w:line="364" w:lineRule="auto" w:before="160"/>
              <w:ind w:left="108" w:right="97" w:firstLine="480"/>
              <w:jc w:val="left"/>
              <w:rPr>
                <w:sz w:val="24"/>
              </w:rPr>
            </w:pPr>
            <w:r>
              <w:rPr>
                <w:spacing w:val="-3"/>
                <w:sz w:val="24"/>
              </w:rPr>
              <w:t>③定期检查该区的条件，以确定是否需要采取防护措施和做出安全规定，或是否需</w:t>
            </w:r>
            <w:r>
              <w:rPr>
                <w:sz w:val="24"/>
              </w:rPr>
              <w:t>要更改监督区的边界。</w:t>
            </w:r>
          </w:p>
          <w:p>
            <w:pPr>
              <w:pStyle w:val="TableParagraph"/>
              <w:spacing w:line="364" w:lineRule="auto" w:before="1"/>
              <w:ind w:left="108" w:right="68" w:firstLine="480"/>
              <w:jc w:val="left"/>
              <w:rPr>
                <w:sz w:val="24"/>
              </w:rPr>
            </w:pPr>
            <w:r>
              <w:rPr>
                <w:sz w:val="24"/>
              </w:rPr>
              <w:t>建设单位应严格按照《电离辐射防护与辐射源安全基本标准》（</w:t>
            </w:r>
            <w:r>
              <w:rPr>
                <w:rFonts w:ascii="Times New Roman" w:eastAsia="Times New Roman"/>
                <w:b/>
                <w:sz w:val="24"/>
              </w:rPr>
              <w:t>GB18871-2002</w:t>
            </w:r>
            <w:r>
              <w:rPr>
                <w:sz w:val="24"/>
              </w:rPr>
              <w:t>）</w:t>
            </w:r>
            <w:r>
              <w:rPr>
                <w:spacing w:val="1"/>
                <w:sz w:val="24"/>
              </w:rPr>
              <w:t> </w:t>
            </w:r>
            <w:r>
              <w:rPr>
                <w:sz w:val="24"/>
              </w:rPr>
              <w:t>的要求，结合医院实际情况，加强控制区和监督区的监管。</w:t>
            </w:r>
          </w:p>
          <w:p>
            <w:pPr>
              <w:pStyle w:val="TableParagraph"/>
              <w:spacing w:before="55"/>
              <w:ind w:left="108"/>
              <w:jc w:val="left"/>
              <w:rPr>
                <w:sz w:val="28"/>
              </w:rPr>
            </w:pPr>
            <w:r>
              <w:rPr>
                <w:sz w:val="28"/>
              </w:rPr>
              <w:t>二、辐射安全与防护措施</w:t>
            </w:r>
          </w:p>
          <w:p>
            <w:pPr>
              <w:pStyle w:val="TableParagraph"/>
              <w:spacing w:before="212"/>
              <w:ind w:left="108"/>
              <w:jc w:val="left"/>
              <w:rPr>
                <w:sz w:val="24"/>
              </w:rPr>
            </w:pPr>
            <w:r>
              <w:rPr>
                <w:sz w:val="24"/>
              </w:rPr>
              <w:t>（一）辐射屏蔽措施</w:t>
            </w:r>
          </w:p>
          <w:p>
            <w:pPr>
              <w:pStyle w:val="TableParagraph"/>
              <w:spacing w:line="364" w:lineRule="auto" w:before="160"/>
              <w:ind w:left="108" w:right="104" w:firstLine="480"/>
              <w:jc w:val="left"/>
              <w:rPr>
                <w:sz w:val="24"/>
              </w:rPr>
            </w:pPr>
            <w:r>
              <w:rPr>
                <w:sz w:val="24"/>
              </w:rPr>
              <w:t>根据医院提供的资料，</w:t>
            </w:r>
            <w:r>
              <w:rPr>
                <w:rFonts w:ascii="Times New Roman" w:hAnsi="Times New Roman" w:eastAsia="Times New Roman"/>
                <w:sz w:val="24"/>
              </w:rPr>
              <w:t>DSA</w:t>
            </w:r>
            <w:r>
              <w:rPr>
                <w:rFonts w:ascii="Times New Roman" w:hAnsi="Times New Roman" w:eastAsia="Times New Roman"/>
                <w:spacing w:val="-1"/>
                <w:sz w:val="24"/>
              </w:rPr>
              <w:t> </w:t>
            </w:r>
            <w:r>
              <w:rPr>
                <w:spacing w:val="-8"/>
                <w:sz w:val="24"/>
              </w:rPr>
              <w:t>机房净空面积为 </w:t>
            </w:r>
            <w:r>
              <w:rPr>
                <w:rFonts w:ascii="Times New Roman" w:hAnsi="Times New Roman" w:eastAsia="Times New Roman"/>
                <w:sz w:val="24"/>
              </w:rPr>
              <w:t>43.2m</w:t>
            </w:r>
            <w:r>
              <w:rPr>
                <w:rFonts w:ascii="Times New Roman" w:hAnsi="Times New Roman" w:eastAsia="Times New Roman"/>
                <w:position w:val="8"/>
                <w:sz w:val="15"/>
              </w:rPr>
              <w:t>2</w:t>
            </w:r>
            <w:r>
              <w:rPr>
                <w:sz w:val="24"/>
              </w:rPr>
              <w:t>，呈长方形布置，净空尺寸长</w:t>
            </w:r>
            <w:r>
              <w:rPr>
                <w:rFonts w:ascii="Times New Roman" w:hAnsi="Times New Roman" w:eastAsia="Times New Roman"/>
                <w:spacing w:val="-1"/>
                <w:sz w:val="24"/>
              </w:rPr>
              <w:t>7.632m</w:t>
            </w:r>
            <w:r>
              <w:rPr>
                <w:spacing w:val="-21"/>
                <w:sz w:val="24"/>
              </w:rPr>
              <w:t>×宽 </w:t>
            </w:r>
            <w:r>
              <w:rPr>
                <w:rFonts w:ascii="Times New Roman" w:hAnsi="Times New Roman" w:eastAsia="Times New Roman"/>
                <w:spacing w:val="-1"/>
                <w:sz w:val="24"/>
              </w:rPr>
              <w:t>5.66m</w:t>
            </w:r>
            <w:r>
              <w:rPr>
                <w:spacing w:val="-21"/>
                <w:sz w:val="24"/>
              </w:rPr>
              <w:t>×高 </w:t>
            </w:r>
            <w:r>
              <w:rPr>
                <w:rFonts w:ascii="Times New Roman" w:hAnsi="Times New Roman" w:eastAsia="Times New Roman"/>
                <w:spacing w:val="-1"/>
                <w:sz w:val="24"/>
              </w:rPr>
              <w:t>4.5m</w:t>
            </w:r>
            <w:r>
              <w:rPr>
                <w:spacing w:val="-4"/>
                <w:sz w:val="24"/>
              </w:rPr>
              <w:t>，将房间四周原墙体拆除，新建四周墙体为 </w:t>
            </w:r>
            <w:r>
              <w:rPr>
                <w:rFonts w:ascii="Times New Roman" w:hAnsi="Times New Roman" w:eastAsia="Times New Roman"/>
                <w:sz w:val="24"/>
              </w:rPr>
              <w:t>240mm</w:t>
            </w:r>
            <w:r>
              <w:rPr>
                <w:rFonts w:ascii="Times New Roman" w:hAnsi="Times New Roman" w:eastAsia="Times New Roman"/>
                <w:spacing w:val="1"/>
                <w:sz w:val="24"/>
              </w:rPr>
              <w:t> </w:t>
            </w:r>
            <w:r>
              <w:rPr>
                <w:sz w:val="24"/>
              </w:rPr>
              <w:t>厚实心</w:t>
            </w:r>
            <w:r>
              <w:rPr>
                <w:spacing w:val="-1"/>
                <w:sz w:val="24"/>
              </w:rPr>
              <w:t>砖墙</w:t>
            </w:r>
            <w:r>
              <w:rPr>
                <w:rFonts w:ascii="Times New Roman" w:hAnsi="Times New Roman" w:eastAsia="Times New Roman"/>
                <w:sz w:val="24"/>
              </w:rPr>
              <w:t>+20mm</w:t>
            </w:r>
            <w:r>
              <w:rPr>
                <w:rFonts w:ascii="Times New Roman" w:hAnsi="Times New Roman" w:eastAsia="Times New Roman"/>
                <w:spacing w:val="-2"/>
                <w:sz w:val="24"/>
              </w:rPr>
              <w:t> </w:t>
            </w:r>
            <w:r>
              <w:rPr>
                <w:sz w:val="24"/>
              </w:rPr>
              <w:t>厚射线防护复合微晶石板（</w:t>
            </w:r>
            <w:r>
              <w:rPr>
                <w:spacing w:val="-20"/>
                <w:sz w:val="24"/>
              </w:rPr>
              <w:t>折合 </w:t>
            </w:r>
            <w:r>
              <w:rPr>
                <w:rFonts w:ascii="Times New Roman" w:hAnsi="Times New Roman" w:eastAsia="Times New Roman"/>
                <w:sz w:val="24"/>
              </w:rPr>
              <w:t>4.9mm </w:t>
            </w:r>
            <w:r>
              <w:rPr>
                <w:sz w:val="24"/>
              </w:rPr>
              <w:t>铅当量）；</w:t>
            </w:r>
            <w:r>
              <w:rPr>
                <w:spacing w:val="-15"/>
                <w:sz w:val="24"/>
              </w:rPr>
              <w:t>地面为 </w:t>
            </w:r>
            <w:r>
              <w:rPr>
                <w:rFonts w:ascii="Times New Roman" w:hAnsi="Times New Roman" w:eastAsia="Times New Roman"/>
                <w:sz w:val="24"/>
              </w:rPr>
              <w:t>150mm </w:t>
            </w:r>
            <w:r>
              <w:rPr>
                <w:sz w:val="24"/>
              </w:rPr>
              <w:t>厚混凝土</w:t>
            </w:r>
            <w:r>
              <w:rPr>
                <w:rFonts w:ascii="Times New Roman" w:hAnsi="Times New Roman" w:eastAsia="Times New Roman"/>
                <w:sz w:val="24"/>
              </w:rPr>
              <w:t>+30mm</w:t>
            </w:r>
            <w:r>
              <w:rPr>
                <w:rFonts w:ascii="Times New Roman" w:hAnsi="Times New Roman" w:eastAsia="Times New Roman"/>
                <w:spacing w:val="-2"/>
                <w:sz w:val="24"/>
              </w:rPr>
              <w:t> </w:t>
            </w:r>
            <w:r>
              <w:rPr>
                <w:spacing w:val="-10"/>
                <w:sz w:val="24"/>
              </w:rPr>
              <w:t>厚、密度为 </w:t>
            </w:r>
            <w:r>
              <w:rPr>
                <w:rFonts w:ascii="Times New Roman" w:hAnsi="Times New Roman" w:eastAsia="Times New Roman"/>
                <w:sz w:val="24"/>
              </w:rPr>
              <w:t>3.2g/cm</w:t>
            </w:r>
            <w:r>
              <w:rPr>
                <w:rFonts w:ascii="Times New Roman" w:hAnsi="Times New Roman" w:eastAsia="Times New Roman"/>
                <w:position w:val="8"/>
                <w:sz w:val="15"/>
              </w:rPr>
              <w:t>3</w:t>
            </w:r>
            <w:r>
              <w:rPr>
                <w:rFonts w:ascii="Times New Roman" w:hAnsi="Times New Roman" w:eastAsia="Times New Roman"/>
                <w:spacing w:val="2"/>
                <w:position w:val="8"/>
                <w:sz w:val="15"/>
              </w:rPr>
              <w:t> </w:t>
            </w:r>
            <w:r>
              <w:rPr>
                <w:sz w:val="24"/>
              </w:rPr>
              <w:t>硫酸钡砂浆（</w:t>
            </w:r>
            <w:r>
              <w:rPr>
                <w:spacing w:val="-20"/>
                <w:sz w:val="24"/>
              </w:rPr>
              <w:t>折合 </w:t>
            </w:r>
            <w:r>
              <w:rPr>
                <w:rFonts w:ascii="Times New Roman" w:hAnsi="Times New Roman" w:eastAsia="Times New Roman"/>
                <w:sz w:val="24"/>
              </w:rPr>
              <w:t>3.6mm </w:t>
            </w:r>
            <w:r>
              <w:rPr>
                <w:sz w:val="24"/>
              </w:rPr>
              <w:t>铅当量）；</w:t>
            </w:r>
            <w:r>
              <w:rPr>
                <w:spacing w:val="-15"/>
                <w:sz w:val="24"/>
              </w:rPr>
              <w:t>顶部为 </w:t>
            </w:r>
            <w:r>
              <w:rPr>
                <w:rFonts w:ascii="Times New Roman" w:hAnsi="Times New Roman" w:eastAsia="Times New Roman"/>
                <w:sz w:val="24"/>
              </w:rPr>
              <w:t>150mm</w:t>
            </w:r>
            <w:r>
              <w:rPr>
                <w:rFonts w:ascii="Times New Roman" w:hAnsi="Times New Roman" w:eastAsia="Times New Roman"/>
                <w:spacing w:val="-2"/>
                <w:sz w:val="24"/>
              </w:rPr>
              <w:t> </w:t>
            </w:r>
            <w:r>
              <w:rPr>
                <w:sz w:val="24"/>
              </w:rPr>
              <w:t>厚</w:t>
            </w:r>
            <w:r>
              <w:rPr>
                <w:spacing w:val="-1"/>
                <w:sz w:val="24"/>
              </w:rPr>
              <w:t>混凝土</w:t>
            </w:r>
            <w:r>
              <w:rPr>
                <w:rFonts w:ascii="Times New Roman" w:hAnsi="Times New Roman" w:eastAsia="Times New Roman"/>
                <w:sz w:val="24"/>
              </w:rPr>
              <w:t>+20mm</w:t>
            </w:r>
            <w:r>
              <w:rPr>
                <w:rFonts w:ascii="Times New Roman" w:hAnsi="Times New Roman" w:eastAsia="Times New Roman"/>
                <w:spacing w:val="-2"/>
                <w:sz w:val="24"/>
              </w:rPr>
              <w:t> </w:t>
            </w:r>
            <w:r>
              <w:rPr>
                <w:sz w:val="24"/>
              </w:rPr>
              <w:t>厚复合微晶石板（</w:t>
            </w:r>
            <w:r>
              <w:rPr>
                <w:spacing w:val="-20"/>
                <w:sz w:val="24"/>
              </w:rPr>
              <w:t>折合 </w:t>
            </w:r>
            <w:r>
              <w:rPr>
                <w:rFonts w:ascii="Times New Roman" w:hAnsi="Times New Roman" w:eastAsia="Times New Roman"/>
                <w:sz w:val="24"/>
              </w:rPr>
              <w:t>4.5mm </w:t>
            </w:r>
            <w:r>
              <w:rPr>
                <w:sz w:val="24"/>
              </w:rPr>
              <w:t>铅当量）；楼上（</w:t>
            </w:r>
            <w:r>
              <w:rPr>
                <w:rFonts w:ascii="Times New Roman" w:hAnsi="Times New Roman" w:eastAsia="Times New Roman"/>
                <w:sz w:val="24"/>
              </w:rPr>
              <w:t>2 </w:t>
            </w:r>
            <w:r>
              <w:rPr>
                <w:sz w:val="24"/>
              </w:rPr>
              <w:t>楼）为更衣室；楼下</w:t>
            </w:r>
          </w:p>
          <w:p>
            <w:pPr>
              <w:pStyle w:val="TableParagraph"/>
              <w:spacing w:line="364" w:lineRule="auto" w:before="3"/>
              <w:ind w:left="108" w:right="97"/>
              <w:jc w:val="left"/>
              <w:rPr>
                <w:sz w:val="24"/>
              </w:rPr>
            </w:pPr>
            <w:r>
              <w:rPr>
                <w:spacing w:val="-2"/>
                <w:sz w:val="24"/>
              </w:rPr>
              <w:t>（</w:t>
            </w:r>
            <w:r>
              <w:rPr>
                <w:rFonts w:ascii="Times New Roman" w:eastAsia="Times New Roman"/>
                <w:spacing w:val="-2"/>
                <w:sz w:val="24"/>
              </w:rPr>
              <w:t>-1</w:t>
            </w:r>
            <w:r>
              <w:rPr>
                <w:rFonts w:ascii="Times New Roman" w:eastAsia="Times New Roman"/>
                <w:sz w:val="24"/>
              </w:rPr>
              <w:t> </w:t>
            </w:r>
            <w:r>
              <w:rPr>
                <w:spacing w:val="-2"/>
                <w:sz w:val="24"/>
              </w:rPr>
              <w:t>楼）为预留变配电室；机房观察窗（</w:t>
            </w:r>
            <w:r>
              <w:rPr>
                <w:rFonts w:ascii="Times New Roman" w:eastAsia="Times New Roman"/>
                <w:spacing w:val="-2"/>
                <w:sz w:val="24"/>
              </w:rPr>
              <w:t>1</w:t>
            </w:r>
            <w:r>
              <w:rPr>
                <w:rFonts w:ascii="Times New Roman" w:eastAsia="Times New Roman"/>
                <w:sz w:val="24"/>
              </w:rPr>
              <w:t> </w:t>
            </w:r>
            <w:r>
              <w:rPr>
                <w:spacing w:val="-2"/>
                <w:sz w:val="24"/>
              </w:rPr>
              <w:t>扇）</w:t>
            </w:r>
            <w:r>
              <w:rPr>
                <w:spacing w:val="-31"/>
                <w:sz w:val="24"/>
              </w:rPr>
              <w:t>为 </w:t>
            </w:r>
            <w:r>
              <w:rPr>
                <w:rFonts w:ascii="Times New Roman" w:eastAsia="Times New Roman"/>
                <w:spacing w:val="-2"/>
                <w:sz w:val="24"/>
              </w:rPr>
              <w:t>4mm </w:t>
            </w:r>
            <w:r>
              <w:rPr>
                <w:spacing w:val="-2"/>
                <w:sz w:val="24"/>
              </w:rPr>
              <w:t>铅当量的铅玻璃，防护铅门</w:t>
            </w:r>
            <w:r>
              <w:rPr>
                <w:spacing w:val="-1"/>
                <w:sz w:val="24"/>
              </w:rPr>
              <w:t>（</w:t>
            </w:r>
            <w:r>
              <w:rPr>
                <w:rFonts w:ascii="Times New Roman" w:eastAsia="Times New Roman"/>
                <w:spacing w:val="-1"/>
                <w:sz w:val="24"/>
              </w:rPr>
              <w:t>4</w:t>
            </w:r>
            <w:r>
              <w:rPr>
                <w:rFonts w:ascii="Times New Roman" w:eastAsia="Times New Roman"/>
                <w:spacing w:val="-57"/>
                <w:sz w:val="24"/>
              </w:rPr>
              <w:t> </w:t>
            </w:r>
            <w:r>
              <w:rPr>
                <w:sz w:val="24"/>
              </w:rPr>
              <w:t>扇）</w:t>
            </w:r>
            <w:r>
              <w:rPr>
                <w:spacing w:val="-20"/>
                <w:sz w:val="24"/>
              </w:rPr>
              <w:t>均为 </w:t>
            </w:r>
            <w:r>
              <w:rPr>
                <w:rFonts w:ascii="Times New Roman" w:eastAsia="Times New Roman"/>
                <w:sz w:val="24"/>
              </w:rPr>
              <w:t>4mm</w:t>
            </w:r>
            <w:r>
              <w:rPr>
                <w:rFonts w:ascii="Times New Roman" w:eastAsia="Times New Roman"/>
                <w:spacing w:val="-2"/>
                <w:sz w:val="24"/>
              </w:rPr>
              <w:t> </w:t>
            </w:r>
            <w:r>
              <w:rPr>
                <w:sz w:val="24"/>
              </w:rPr>
              <w:t>铅当量。</w:t>
            </w:r>
          </w:p>
          <w:p>
            <w:pPr>
              <w:pStyle w:val="TableParagraph"/>
              <w:spacing w:before="2"/>
              <w:ind w:left="588"/>
              <w:jc w:val="left"/>
              <w:rPr>
                <w:sz w:val="24"/>
              </w:rPr>
            </w:pPr>
            <w:r>
              <w:rPr>
                <w:spacing w:val="-5"/>
                <w:sz w:val="24"/>
              </w:rPr>
              <w:t>本项目实体防护折合铅当量计算见表 </w:t>
            </w:r>
            <w:r>
              <w:rPr>
                <w:rFonts w:ascii="Times New Roman" w:eastAsia="Times New Roman"/>
                <w:sz w:val="24"/>
              </w:rPr>
              <w:t>10-2</w:t>
            </w:r>
            <w:r>
              <w:rPr>
                <w:sz w:val="24"/>
              </w:rPr>
              <w:t>：</w:t>
            </w:r>
          </w:p>
          <w:p>
            <w:pPr>
              <w:pStyle w:val="TableParagraph"/>
              <w:tabs>
                <w:tab w:pos="3247" w:val="left" w:leader="none"/>
              </w:tabs>
              <w:spacing w:before="82"/>
              <w:ind w:left="2390"/>
              <w:jc w:val="left"/>
              <w:rPr>
                <w:sz w:val="21"/>
              </w:rPr>
            </w:pPr>
            <w:r>
              <w:rPr>
                <w:w w:val="95"/>
                <w:sz w:val="21"/>
              </w:rPr>
              <w:t>表</w:t>
            </w:r>
            <w:r>
              <w:rPr>
                <w:spacing w:val="-41"/>
                <w:w w:val="95"/>
                <w:sz w:val="21"/>
              </w:rPr>
              <w:t> </w:t>
            </w:r>
            <w:r>
              <w:rPr>
                <w:rFonts w:ascii="Times New Roman" w:eastAsia="Times New Roman"/>
                <w:b/>
                <w:w w:val="95"/>
                <w:sz w:val="21"/>
              </w:rPr>
              <w:t>10-2</w:t>
              <w:tab/>
            </w:r>
            <w:r>
              <w:rPr>
                <w:rFonts w:ascii="Times New Roman" w:eastAsia="Times New Roman"/>
                <w:b/>
                <w:sz w:val="21"/>
              </w:rPr>
              <w:t>DSA</w:t>
            </w:r>
            <w:r>
              <w:rPr>
                <w:rFonts w:ascii="Times New Roman" w:eastAsia="Times New Roman"/>
                <w:b/>
                <w:spacing w:val="5"/>
                <w:sz w:val="21"/>
              </w:rPr>
              <w:t> </w:t>
            </w:r>
            <w:r>
              <w:rPr>
                <w:sz w:val="21"/>
              </w:rPr>
              <w:t>机房的实体防护折合铅当量计算表</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6"/>
              <w:jc w:val="left"/>
              <w:rPr>
                <w:sz w:val="23"/>
              </w:rPr>
            </w:pPr>
          </w:p>
          <w:p>
            <w:pPr>
              <w:pStyle w:val="TableParagraph"/>
              <w:spacing w:line="460" w:lineRule="atLeast"/>
              <w:ind w:left="108" w:right="89" w:firstLine="638"/>
              <w:jc w:val="left"/>
              <w:rPr>
                <w:sz w:val="24"/>
              </w:rPr>
            </w:pPr>
            <w:r>
              <w:rPr>
                <w:spacing w:val="-18"/>
                <w:sz w:val="24"/>
              </w:rPr>
              <w:t>本项目 </w:t>
            </w:r>
            <w:r>
              <w:rPr>
                <w:rFonts w:ascii="Times New Roman" w:eastAsia="Times New Roman"/>
                <w:spacing w:val="-3"/>
                <w:sz w:val="24"/>
              </w:rPr>
              <w:t>DSA</w:t>
            </w:r>
            <w:r>
              <w:rPr>
                <w:rFonts w:ascii="Times New Roman" w:eastAsia="Times New Roman"/>
                <w:sz w:val="24"/>
              </w:rPr>
              <w:t> </w:t>
            </w:r>
            <w:r>
              <w:rPr>
                <w:spacing w:val="-2"/>
                <w:sz w:val="24"/>
              </w:rPr>
              <w:t>机房实体防护与《放射诊断放射防护要求》（</w:t>
            </w:r>
            <w:r>
              <w:rPr>
                <w:rFonts w:ascii="Times New Roman" w:eastAsia="Times New Roman"/>
                <w:spacing w:val="-2"/>
                <w:sz w:val="24"/>
              </w:rPr>
              <w:t>GBZ130-2020</w:t>
            </w:r>
            <w:r>
              <w:rPr>
                <w:spacing w:val="-2"/>
                <w:sz w:val="24"/>
              </w:rPr>
              <w:t>）对照见</w:t>
            </w:r>
            <w:r>
              <w:rPr>
                <w:sz w:val="24"/>
              </w:rPr>
              <w:t>下表：</w:t>
            </w:r>
          </w:p>
          <w:p>
            <w:pPr>
              <w:pStyle w:val="TableParagraph"/>
              <w:spacing w:line="252" w:lineRule="exact" w:before="88"/>
              <w:ind w:left="2709"/>
              <w:jc w:val="left"/>
              <w:rPr>
                <w:sz w:val="21"/>
              </w:rPr>
            </w:pPr>
            <w:r>
              <w:rPr>
                <w:spacing w:val="28"/>
                <w:w w:val="95"/>
                <w:sz w:val="21"/>
              </w:rPr>
              <w:t>表 </w:t>
            </w:r>
            <w:r>
              <w:rPr>
                <w:rFonts w:ascii="Times New Roman" w:eastAsia="Times New Roman"/>
                <w:b/>
                <w:w w:val="95"/>
                <w:sz w:val="21"/>
              </w:rPr>
              <w:t>10</w:t>
            </w:r>
            <w:r>
              <w:rPr>
                <w:rFonts w:ascii="Times New Roman" w:eastAsia="Times New Roman"/>
                <w:b/>
                <w:spacing w:val="-12"/>
                <w:w w:val="95"/>
                <w:sz w:val="21"/>
              </w:rPr>
              <w:t> - </w:t>
            </w:r>
            <w:r>
              <w:rPr>
                <w:rFonts w:ascii="Times New Roman" w:eastAsia="Times New Roman"/>
                <w:b/>
                <w:w w:val="95"/>
                <w:sz w:val="21"/>
              </w:rPr>
              <w:t>3</w:t>
            </w:r>
            <w:r>
              <w:rPr>
                <w:rFonts w:ascii="Times New Roman" w:eastAsia="Times New Roman"/>
                <w:b/>
                <w:spacing w:val="88"/>
                <w:sz w:val="21"/>
              </w:rPr>
              <w:t> </w:t>
            </w:r>
            <w:r>
              <w:rPr>
                <w:rFonts w:ascii="Times New Roman" w:eastAsia="Times New Roman"/>
                <w:b/>
                <w:w w:val="95"/>
                <w:sz w:val="21"/>
              </w:rPr>
              <w:t>DSA</w:t>
            </w:r>
            <w:r>
              <w:rPr>
                <w:rFonts w:ascii="Times New Roman" w:eastAsia="Times New Roman"/>
                <w:b/>
                <w:spacing w:val="34"/>
                <w:w w:val="95"/>
                <w:sz w:val="21"/>
              </w:rPr>
              <w:t> </w:t>
            </w:r>
            <w:r>
              <w:rPr>
                <w:w w:val="95"/>
                <w:sz w:val="21"/>
              </w:rPr>
              <w:t>机房的实体防护设施对照表</w:t>
            </w:r>
          </w:p>
        </w:tc>
      </w:tr>
      <w:tr>
        <w:trPr>
          <w:trHeight w:val="372" w:hRule="atLeast"/>
        </w:trPr>
        <w:tc>
          <w:tcPr>
            <w:tcW w:w="1070" w:type="dxa"/>
            <w:tcBorders>
              <w:top w:val="single" w:sz="12" w:space="0" w:color="000000"/>
              <w:bottom w:val="single" w:sz="12" w:space="0" w:color="000000"/>
            </w:tcBorders>
          </w:tcPr>
          <w:p>
            <w:pPr>
              <w:pStyle w:val="TableParagraph"/>
              <w:spacing w:before="51"/>
              <w:ind w:left="103" w:right="35"/>
              <w:rPr>
                <w:sz w:val="21"/>
              </w:rPr>
            </w:pPr>
            <w:r>
              <w:rPr>
                <w:spacing w:val="21"/>
                <w:sz w:val="21"/>
              </w:rPr>
              <w:t>房间</w:t>
            </w:r>
          </w:p>
        </w:tc>
        <w:tc>
          <w:tcPr>
            <w:tcW w:w="1555" w:type="dxa"/>
            <w:tcBorders>
              <w:top w:val="single" w:sz="12" w:space="0" w:color="000000"/>
              <w:bottom w:val="single" w:sz="12" w:space="0" w:color="000000"/>
            </w:tcBorders>
          </w:tcPr>
          <w:p>
            <w:pPr>
              <w:pStyle w:val="TableParagraph"/>
              <w:spacing w:before="51"/>
              <w:ind w:left="547" w:right="538"/>
              <w:rPr>
                <w:sz w:val="21"/>
              </w:rPr>
            </w:pPr>
            <w:r>
              <w:rPr>
                <w:sz w:val="21"/>
              </w:rPr>
              <w:t>面积</w:t>
            </w:r>
          </w:p>
        </w:tc>
        <w:tc>
          <w:tcPr>
            <w:tcW w:w="1660" w:type="dxa"/>
            <w:tcBorders>
              <w:top w:val="single" w:sz="12" w:space="0" w:color="000000"/>
              <w:bottom w:val="single" w:sz="12" w:space="0" w:color="000000"/>
            </w:tcBorders>
          </w:tcPr>
          <w:p>
            <w:pPr>
              <w:pStyle w:val="TableParagraph"/>
              <w:spacing w:before="51"/>
              <w:ind w:left="329"/>
              <w:jc w:val="left"/>
              <w:rPr>
                <w:sz w:val="21"/>
              </w:rPr>
            </w:pPr>
            <w:r>
              <w:rPr>
                <w:spacing w:val="30"/>
                <w:sz w:val="21"/>
              </w:rPr>
              <w:t>四周墙体</w:t>
            </w:r>
          </w:p>
        </w:tc>
        <w:tc>
          <w:tcPr>
            <w:tcW w:w="1155" w:type="dxa"/>
            <w:tcBorders>
              <w:top w:val="single" w:sz="12" w:space="0" w:color="000000"/>
              <w:bottom w:val="single" w:sz="12" w:space="0" w:color="000000"/>
            </w:tcBorders>
          </w:tcPr>
          <w:p>
            <w:pPr>
              <w:pStyle w:val="TableParagraph"/>
              <w:spacing w:before="51"/>
              <w:ind w:left="200"/>
              <w:jc w:val="left"/>
              <w:rPr>
                <w:sz w:val="21"/>
              </w:rPr>
            </w:pPr>
            <w:r>
              <w:rPr>
                <w:spacing w:val="27"/>
                <w:sz w:val="21"/>
              </w:rPr>
              <w:t>屏蔽门</w:t>
            </w:r>
          </w:p>
        </w:tc>
        <w:tc>
          <w:tcPr>
            <w:tcW w:w="1111" w:type="dxa"/>
            <w:tcBorders>
              <w:top w:val="single" w:sz="12" w:space="0" w:color="000000"/>
              <w:bottom w:val="single" w:sz="12" w:space="0" w:color="000000"/>
            </w:tcBorders>
          </w:tcPr>
          <w:p>
            <w:pPr>
              <w:pStyle w:val="TableParagraph"/>
              <w:spacing w:before="51"/>
              <w:ind w:left="178"/>
              <w:jc w:val="left"/>
              <w:rPr>
                <w:sz w:val="21"/>
              </w:rPr>
            </w:pPr>
            <w:r>
              <w:rPr>
                <w:spacing w:val="27"/>
                <w:sz w:val="21"/>
              </w:rPr>
              <w:t>观察窗</w:t>
            </w:r>
          </w:p>
        </w:tc>
        <w:tc>
          <w:tcPr>
            <w:tcW w:w="1334" w:type="dxa"/>
            <w:tcBorders>
              <w:top w:val="single" w:sz="12" w:space="0" w:color="000000"/>
              <w:bottom w:val="single" w:sz="12" w:space="0" w:color="000000"/>
            </w:tcBorders>
          </w:tcPr>
          <w:p>
            <w:pPr>
              <w:pStyle w:val="TableParagraph"/>
              <w:spacing w:before="51"/>
              <w:ind w:left="416"/>
              <w:jc w:val="left"/>
              <w:rPr>
                <w:sz w:val="21"/>
              </w:rPr>
            </w:pPr>
            <w:r>
              <w:rPr>
                <w:spacing w:val="21"/>
                <w:sz w:val="21"/>
              </w:rPr>
              <w:t>屋顶</w:t>
            </w:r>
          </w:p>
        </w:tc>
        <w:tc>
          <w:tcPr>
            <w:tcW w:w="1373" w:type="dxa"/>
            <w:tcBorders>
              <w:top w:val="single" w:sz="12" w:space="0" w:color="000000"/>
              <w:bottom w:val="single" w:sz="12" w:space="0" w:color="000000"/>
            </w:tcBorders>
          </w:tcPr>
          <w:p>
            <w:pPr>
              <w:pStyle w:val="TableParagraph"/>
              <w:spacing w:before="51"/>
              <w:ind w:left="385"/>
              <w:jc w:val="left"/>
              <w:rPr>
                <w:sz w:val="21"/>
              </w:rPr>
            </w:pPr>
            <w:r>
              <w:rPr>
                <w:spacing w:val="21"/>
                <w:sz w:val="21"/>
              </w:rPr>
              <w:t>地板</w:t>
            </w:r>
          </w:p>
        </w:tc>
      </w:tr>
      <w:tr>
        <w:trPr>
          <w:trHeight w:val="1870" w:hRule="atLeast"/>
        </w:trPr>
        <w:tc>
          <w:tcPr>
            <w:tcW w:w="1070" w:type="dxa"/>
            <w:tcBorders>
              <w:top w:val="single" w:sz="12" w:space="0" w:color="000000"/>
              <w:bottom w:val="single" w:sz="12" w:space="0" w:color="000000"/>
            </w:tcBorders>
          </w:tcPr>
          <w:p>
            <w:pPr>
              <w:pStyle w:val="TableParagraph"/>
              <w:jc w:val="left"/>
              <w:rPr>
                <w:sz w:val="22"/>
              </w:rPr>
            </w:pPr>
          </w:p>
          <w:p>
            <w:pPr>
              <w:pStyle w:val="TableParagraph"/>
              <w:jc w:val="left"/>
              <w:rPr>
                <w:sz w:val="22"/>
              </w:rPr>
            </w:pPr>
          </w:p>
          <w:p>
            <w:pPr>
              <w:pStyle w:val="TableParagraph"/>
              <w:spacing w:before="5"/>
              <w:jc w:val="left"/>
              <w:rPr>
                <w:sz w:val="18"/>
              </w:rPr>
            </w:pPr>
          </w:p>
          <w:p>
            <w:pPr>
              <w:pStyle w:val="TableParagraph"/>
              <w:ind w:left="144" w:right="35"/>
              <w:rPr>
                <w:sz w:val="21"/>
              </w:rPr>
            </w:pPr>
            <w:r>
              <w:rPr>
                <w:rFonts w:ascii="Times New Roman" w:eastAsia="Times New Roman"/>
                <w:sz w:val="21"/>
              </w:rPr>
              <w:t>DSA</w:t>
            </w:r>
            <w:r>
              <w:rPr>
                <w:sz w:val="21"/>
              </w:rPr>
              <w:t>机房</w:t>
            </w:r>
          </w:p>
        </w:tc>
        <w:tc>
          <w:tcPr>
            <w:tcW w:w="1555" w:type="dxa"/>
            <w:tcBorders>
              <w:top w:val="single" w:sz="12" w:space="0" w:color="000000"/>
              <w:bottom w:val="single" w:sz="12" w:space="0" w:color="000000"/>
            </w:tcBorders>
          </w:tcPr>
          <w:p>
            <w:pPr>
              <w:pStyle w:val="TableParagraph"/>
              <w:jc w:val="left"/>
              <w:rPr>
                <w:sz w:val="22"/>
              </w:rPr>
            </w:pPr>
          </w:p>
          <w:p>
            <w:pPr>
              <w:pStyle w:val="TableParagraph"/>
              <w:spacing w:before="3"/>
              <w:jc w:val="left"/>
              <w:rPr>
                <w:sz w:val="28"/>
              </w:rPr>
            </w:pPr>
          </w:p>
          <w:p>
            <w:pPr>
              <w:pStyle w:val="TableParagraph"/>
              <w:spacing w:line="278" w:lineRule="auto"/>
              <w:ind w:left="91" w:right="49" w:hanging="34"/>
              <w:jc w:val="left"/>
              <w:rPr>
                <w:sz w:val="21"/>
              </w:rPr>
            </w:pPr>
            <w:r>
              <w:rPr>
                <w:rFonts w:ascii="Times New Roman" w:eastAsia="Times New Roman"/>
                <w:spacing w:val="-1"/>
                <w:sz w:val="21"/>
              </w:rPr>
              <w:t>43.2m</w:t>
            </w:r>
            <w:r>
              <w:rPr>
                <w:rFonts w:ascii="Times New Roman" w:eastAsia="Times New Roman"/>
                <w:spacing w:val="-1"/>
                <w:sz w:val="21"/>
                <w:vertAlign w:val="superscript"/>
              </w:rPr>
              <w:t>2</w:t>
            </w:r>
            <w:r>
              <w:rPr>
                <w:spacing w:val="-1"/>
                <w:sz w:val="21"/>
                <w:vertAlign w:val="baseline"/>
              </w:rPr>
              <w:t>（最小单</w:t>
            </w:r>
            <w:r>
              <w:rPr>
                <w:sz w:val="21"/>
                <w:vertAlign w:val="baseline"/>
              </w:rPr>
              <w:t>边长度</w:t>
            </w:r>
            <w:r>
              <w:rPr>
                <w:rFonts w:ascii="Times New Roman" w:eastAsia="Times New Roman"/>
                <w:sz w:val="21"/>
                <w:vertAlign w:val="baseline"/>
              </w:rPr>
              <w:t>5.66m</w:t>
            </w:r>
            <w:r>
              <w:rPr>
                <w:sz w:val="21"/>
                <w:vertAlign w:val="baseline"/>
              </w:rPr>
              <w:t>）</w:t>
            </w:r>
          </w:p>
        </w:tc>
        <w:tc>
          <w:tcPr>
            <w:tcW w:w="1660" w:type="dxa"/>
            <w:tcBorders>
              <w:top w:val="single" w:sz="12" w:space="0" w:color="000000"/>
              <w:bottom w:val="single" w:sz="12" w:space="0" w:color="000000"/>
            </w:tcBorders>
          </w:tcPr>
          <w:p>
            <w:pPr>
              <w:pStyle w:val="TableParagraph"/>
              <w:spacing w:line="278" w:lineRule="auto" w:before="176"/>
              <w:ind w:left="41" w:right="29" w:hanging="3"/>
              <w:rPr>
                <w:sz w:val="21"/>
              </w:rPr>
            </w:pPr>
            <w:r>
              <w:rPr>
                <w:rFonts w:ascii="Times New Roman" w:eastAsia="Times New Roman"/>
                <w:sz w:val="21"/>
              </w:rPr>
              <w:t>240mm</w:t>
            </w:r>
            <w:r>
              <w:rPr>
                <w:sz w:val="21"/>
              </w:rPr>
              <w:t>厚实心砖墙</w:t>
            </w:r>
            <w:r>
              <w:rPr>
                <w:rFonts w:ascii="Times New Roman" w:eastAsia="Times New Roman"/>
                <w:sz w:val="21"/>
              </w:rPr>
              <w:t>+20mm</w:t>
            </w:r>
            <w:r>
              <w:rPr>
                <w:sz w:val="21"/>
              </w:rPr>
              <w:t>厚射线防护复合微晶石</w:t>
            </w:r>
            <w:r>
              <w:rPr>
                <w:spacing w:val="-58"/>
                <w:sz w:val="21"/>
              </w:rPr>
              <w:t>板</w:t>
            </w:r>
            <w:r>
              <w:rPr>
                <w:spacing w:val="-1"/>
                <w:sz w:val="21"/>
              </w:rPr>
              <w:t>（折合</w:t>
            </w:r>
            <w:r>
              <w:rPr>
                <w:rFonts w:ascii="Times New Roman" w:eastAsia="Times New Roman"/>
                <w:spacing w:val="-1"/>
                <w:sz w:val="21"/>
              </w:rPr>
              <w:t>4.9mm</w:t>
            </w:r>
            <w:r>
              <w:rPr>
                <w:sz w:val="21"/>
              </w:rPr>
              <w:t>铅当量）</w:t>
            </w:r>
          </w:p>
        </w:tc>
        <w:tc>
          <w:tcPr>
            <w:tcW w:w="1155" w:type="dxa"/>
            <w:tcBorders>
              <w:top w:val="single" w:sz="12" w:space="0" w:color="000000"/>
              <w:bottom w:val="single" w:sz="12" w:space="0" w:color="000000"/>
            </w:tcBorders>
          </w:tcPr>
          <w:p>
            <w:pPr>
              <w:pStyle w:val="TableParagraph"/>
              <w:jc w:val="left"/>
              <w:rPr>
                <w:sz w:val="20"/>
              </w:rPr>
            </w:pPr>
          </w:p>
          <w:p>
            <w:pPr>
              <w:pStyle w:val="TableParagraph"/>
              <w:jc w:val="left"/>
              <w:rPr>
                <w:sz w:val="20"/>
              </w:rPr>
            </w:pPr>
          </w:p>
          <w:p>
            <w:pPr>
              <w:pStyle w:val="TableParagraph"/>
              <w:spacing w:line="278" w:lineRule="auto" w:before="131"/>
              <w:ind w:left="471" w:right="116" w:hanging="346"/>
              <w:jc w:val="left"/>
              <w:rPr>
                <w:sz w:val="21"/>
              </w:rPr>
            </w:pPr>
            <w:r>
              <w:rPr>
                <w:rFonts w:ascii="Times New Roman" w:eastAsia="Times New Roman"/>
                <w:spacing w:val="-1"/>
                <w:sz w:val="21"/>
              </w:rPr>
              <w:t>4mm</w:t>
            </w:r>
            <w:r>
              <w:rPr>
                <w:rFonts w:ascii="Times New Roman" w:eastAsia="Times New Roman"/>
                <w:spacing w:val="-12"/>
                <w:sz w:val="21"/>
              </w:rPr>
              <w:t> </w:t>
            </w:r>
            <w:r>
              <w:rPr>
                <w:spacing w:val="-1"/>
                <w:sz w:val="21"/>
              </w:rPr>
              <w:t>铅当</w:t>
            </w:r>
            <w:r>
              <w:rPr>
                <w:sz w:val="21"/>
              </w:rPr>
              <w:t>量</w:t>
            </w:r>
          </w:p>
        </w:tc>
        <w:tc>
          <w:tcPr>
            <w:tcW w:w="1111" w:type="dxa"/>
            <w:tcBorders>
              <w:top w:val="single" w:sz="12" w:space="0" w:color="000000"/>
              <w:bottom w:val="single" w:sz="12" w:space="0" w:color="000000"/>
            </w:tcBorders>
          </w:tcPr>
          <w:p>
            <w:pPr>
              <w:pStyle w:val="TableParagraph"/>
              <w:jc w:val="left"/>
              <w:rPr>
                <w:sz w:val="20"/>
              </w:rPr>
            </w:pPr>
          </w:p>
          <w:p>
            <w:pPr>
              <w:pStyle w:val="TableParagraph"/>
              <w:jc w:val="left"/>
              <w:rPr>
                <w:sz w:val="20"/>
              </w:rPr>
            </w:pPr>
          </w:p>
          <w:p>
            <w:pPr>
              <w:pStyle w:val="TableParagraph"/>
              <w:spacing w:line="278" w:lineRule="auto" w:before="131"/>
              <w:ind w:left="449" w:right="94" w:hanging="346"/>
              <w:jc w:val="left"/>
              <w:rPr>
                <w:sz w:val="21"/>
              </w:rPr>
            </w:pPr>
            <w:r>
              <w:rPr>
                <w:rFonts w:ascii="Times New Roman" w:eastAsia="Times New Roman"/>
                <w:spacing w:val="-1"/>
                <w:sz w:val="21"/>
              </w:rPr>
              <w:t>4mm</w:t>
            </w:r>
            <w:r>
              <w:rPr>
                <w:rFonts w:ascii="Times New Roman" w:eastAsia="Times New Roman"/>
                <w:spacing w:val="-12"/>
                <w:sz w:val="21"/>
              </w:rPr>
              <w:t> </w:t>
            </w:r>
            <w:r>
              <w:rPr>
                <w:spacing w:val="-1"/>
                <w:sz w:val="21"/>
              </w:rPr>
              <w:t>铅当</w:t>
            </w:r>
            <w:r>
              <w:rPr>
                <w:sz w:val="21"/>
              </w:rPr>
              <w:t>量</w:t>
            </w:r>
          </w:p>
        </w:tc>
        <w:tc>
          <w:tcPr>
            <w:tcW w:w="1334" w:type="dxa"/>
            <w:tcBorders>
              <w:top w:val="single" w:sz="12" w:space="0" w:color="000000"/>
              <w:bottom w:val="single" w:sz="12" w:space="0" w:color="000000"/>
            </w:tcBorders>
          </w:tcPr>
          <w:p>
            <w:pPr>
              <w:pStyle w:val="TableParagraph"/>
              <w:spacing w:line="278" w:lineRule="auto" w:before="20"/>
              <w:ind w:left="130" w:right="119" w:firstLine="4"/>
              <w:jc w:val="both"/>
              <w:rPr>
                <w:sz w:val="21"/>
              </w:rPr>
            </w:pPr>
            <w:r>
              <w:rPr>
                <w:rFonts w:ascii="Times New Roman" w:eastAsia="Times New Roman"/>
                <w:sz w:val="21"/>
              </w:rPr>
              <w:t>150mm</w:t>
            </w:r>
            <w:r>
              <w:rPr>
                <w:sz w:val="21"/>
              </w:rPr>
              <w:t>厚混</w:t>
            </w:r>
            <w:r>
              <w:rPr>
                <w:spacing w:val="-1"/>
                <w:sz w:val="21"/>
              </w:rPr>
              <w:t>凝土</w:t>
            </w:r>
            <w:r>
              <w:rPr>
                <w:rFonts w:ascii="Times New Roman" w:eastAsia="Times New Roman"/>
                <w:spacing w:val="-1"/>
                <w:sz w:val="21"/>
              </w:rPr>
              <w:t>+20mm</w:t>
            </w:r>
            <w:r>
              <w:rPr>
                <w:rFonts w:ascii="Times New Roman" w:eastAsia="Times New Roman"/>
                <w:spacing w:val="-51"/>
                <w:sz w:val="21"/>
              </w:rPr>
              <w:t> </w:t>
            </w:r>
            <w:r>
              <w:rPr>
                <w:sz w:val="21"/>
              </w:rPr>
              <w:t>厚射线防护复合微晶石板（折合</w:t>
            </w:r>
          </w:p>
          <w:p>
            <w:pPr>
              <w:pStyle w:val="TableParagraph"/>
              <w:spacing w:line="268" w:lineRule="exact"/>
              <w:ind w:left="161"/>
              <w:jc w:val="left"/>
              <w:rPr>
                <w:sz w:val="21"/>
              </w:rPr>
            </w:pPr>
            <w:r>
              <w:rPr>
                <w:rFonts w:ascii="Times New Roman" w:eastAsia="Times New Roman"/>
                <w:sz w:val="21"/>
              </w:rPr>
              <w:t>4.5mm</w:t>
            </w:r>
            <w:r>
              <w:rPr>
                <w:sz w:val="21"/>
              </w:rPr>
              <w:t>铅当</w:t>
            </w:r>
          </w:p>
        </w:tc>
        <w:tc>
          <w:tcPr>
            <w:tcW w:w="1373" w:type="dxa"/>
            <w:tcBorders>
              <w:top w:val="single" w:sz="12" w:space="0" w:color="000000"/>
              <w:bottom w:val="single" w:sz="12" w:space="0" w:color="000000"/>
            </w:tcBorders>
          </w:tcPr>
          <w:p>
            <w:pPr>
              <w:pStyle w:val="TableParagraph"/>
              <w:spacing w:line="278" w:lineRule="auto" w:before="20"/>
              <w:ind w:left="99" w:right="188" w:firstLine="4"/>
              <w:jc w:val="both"/>
              <w:rPr>
                <w:sz w:val="21"/>
              </w:rPr>
            </w:pPr>
            <w:r>
              <w:rPr>
                <w:rFonts w:ascii="Times New Roman" w:eastAsia="Times New Roman"/>
                <w:sz w:val="21"/>
              </w:rPr>
              <w:t>150mm</w:t>
            </w:r>
            <w:r>
              <w:rPr>
                <w:sz w:val="21"/>
              </w:rPr>
              <w:t>厚混</w:t>
            </w:r>
            <w:r>
              <w:rPr>
                <w:spacing w:val="-1"/>
                <w:sz w:val="21"/>
              </w:rPr>
              <w:t>凝土</w:t>
            </w:r>
            <w:r>
              <w:rPr>
                <w:rFonts w:ascii="Times New Roman" w:eastAsia="Times New Roman"/>
                <w:spacing w:val="-1"/>
                <w:sz w:val="21"/>
              </w:rPr>
              <w:t>+30mm</w:t>
            </w:r>
            <w:r>
              <w:rPr>
                <w:rFonts w:ascii="Times New Roman" w:eastAsia="Times New Roman"/>
                <w:spacing w:val="-51"/>
                <w:sz w:val="21"/>
              </w:rPr>
              <w:t> </w:t>
            </w:r>
            <w:r>
              <w:rPr>
                <w:sz w:val="21"/>
              </w:rPr>
              <w:t>硫酸钡砂浆</w:t>
            </w:r>
          </w:p>
          <w:p>
            <w:pPr>
              <w:pStyle w:val="TableParagraph"/>
              <w:spacing w:line="269" w:lineRule="exact"/>
              <w:ind w:left="131" w:right="221"/>
              <w:rPr>
                <w:sz w:val="21"/>
              </w:rPr>
            </w:pPr>
            <w:r>
              <w:rPr>
                <w:sz w:val="21"/>
              </w:rPr>
              <w:t>（折合</w:t>
            </w:r>
          </w:p>
          <w:p>
            <w:pPr>
              <w:pStyle w:val="TableParagraph"/>
              <w:spacing w:line="310" w:lineRule="atLeast" w:before="2"/>
              <w:ind w:left="133" w:right="221"/>
              <w:rPr>
                <w:sz w:val="21"/>
              </w:rPr>
            </w:pPr>
            <w:r>
              <w:rPr>
                <w:rFonts w:ascii="Times New Roman" w:eastAsia="Times New Roman"/>
                <w:spacing w:val="-1"/>
                <w:sz w:val="21"/>
              </w:rPr>
              <w:t>3.6mm</w:t>
            </w:r>
            <w:r>
              <w:rPr>
                <w:spacing w:val="-1"/>
                <w:sz w:val="21"/>
              </w:rPr>
              <w:t>铅当</w:t>
            </w:r>
            <w:r>
              <w:rPr>
                <w:sz w:val="21"/>
              </w:rPr>
              <w:t>量）</w:t>
            </w:r>
          </w:p>
        </w:tc>
      </w:tr>
    </w:tbl>
    <w:p>
      <w:pPr>
        <w:rPr>
          <w:sz w:val="2"/>
          <w:szCs w:val="2"/>
        </w:rPr>
      </w:pPr>
      <w:r>
        <w:rPr/>
        <w:pict>
          <v:shape style="position:absolute;margin-left:77.629997pt;margin-top:444.900024pt;width:454.3pt;height:131.25pt;mso-position-horizontal-relative:page;mso-position-vertical-relative:page;z-index:15741952"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56"/>
                    <w:gridCol w:w="4171"/>
                    <w:gridCol w:w="2103"/>
                    <w:gridCol w:w="1412"/>
                  </w:tblGrid>
                  <w:tr>
                    <w:trPr>
                      <w:trHeight w:val="312" w:hRule="atLeast"/>
                    </w:trPr>
                    <w:tc>
                      <w:tcPr>
                        <w:tcW w:w="1356" w:type="dxa"/>
                        <w:tcBorders>
                          <w:left w:val="nil"/>
                          <w:right w:val="single" w:sz="4" w:space="0" w:color="000000"/>
                        </w:tcBorders>
                      </w:tcPr>
                      <w:p>
                        <w:pPr>
                          <w:pStyle w:val="TableParagraph"/>
                          <w:spacing w:before="22"/>
                          <w:ind w:right="211"/>
                          <w:jc w:val="right"/>
                          <w:rPr>
                            <w:sz w:val="21"/>
                          </w:rPr>
                        </w:pPr>
                        <w:r>
                          <w:rPr>
                            <w:rFonts w:ascii="Times New Roman" w:eastAsia="Times New Roman"/>
                            <w:b/>
                            <w:sz w:val="21"/>
                          </w:rPr>
                          <w:t>DSA</w:t>
                        </w:r>
                        <w:r>
                          <w:rPr>
                            <w:rFonts w:ascii="Times New Roman" w:eastAsia="Times New Roman"/>
                            <w:b/>
                            <w:spacing w:val="-2"/>
                            <w:sz w:val="21"/>
                          </w:rPr>
                          <w:t> </w:t>
                        </w:r>
                        <w:r>
                          <w:rPr>
                            <w:sz w:val="21"/>
                          </w:rPr>
                          <w:t>机房</w:t>
                        </w:r>
                      </w:p>
                    </w:tc>
                    <w:tc>
                      <w:tcPr>
                        <w:tcW w:w="4171" w:type="dxa"/>
                        <w:tcBorders>
                          <w:left w:val="single" w:sz="4" w:space="0" w:color="000000"/>
                          <w:right w:val="single" w:sz="4" w:space="0" w:color="000000"/>
                        </w:tcBorders>
                      </w:tcPr>
                      <w:p>
                        <w:pPr>
                          <w:pStyle w:val="TableParagraph"/>
                          <w:spacing w:before="22"/>
                          <w:ind w:left="115" w:right="84"/>
                          <w:rPr>
                            <w:sz w:val="21"/>
                          </w:rPr>
                        </w:pPr>
                        <w:r>
                          <w:rPr>
                            <w:w w:val="95"/>
                            <w:sz w:val="21"/>
                          </w:rPr>
                          <w:t>实体结构</w:t>
                        </w:r>
                      </w:p>
                    </w:tc>
                    <w:tc>
                      <w:tcPr>
                        <w:tcW w:w="2103" w:type="dxa"/>
                        <w:tcBorders>
                          <w:left w:val="single" w:sz="4" w:space="0" w:color="000000"/>
                          <w:right w:val="single" w:sz="4" w:space="0" w:color="000000"/>
                        </w:tcBorders>
                      </w:tcPr>
                      <w:p>
                        <w:pPr>
                          <w:pStyle w:val="TableParagraph"/>
                          <w:spacing w:before="22"/>
                          <w:ind w:left="169" w:right="140"/>
                          <w:rPr>
                            <w:sz w:val="21"/>
                          </w:rPr>
                        </w:pPr>
                        <w:r>
                          <w:rPr>
                            <w:w w:val="95"/>
                            <w:sz w:val="21"/>
                          </w:rPr>
                          <w:t>折合铅当量</w:t>
                        </w:r>
                      </w:p>
                    </w:tc>
                    <w:tc>
                      <w:tcPr>
                        <w:tcW w:w="1412" w:type="dxa"/>
                        <w:tcBorders>
                          <w:left w:val="single" w:sz="4" w:space="0" w:color="000000"/>
                          <w:right w:val="nil"/>
                        </w:tcBorders>
                      </w:tcPr>
                      <w:p>
                        <w:pPr>
                          <w:pStyle w:val="TableParagraph"/>
                          <w:spacing w:before="22"/>
                          <w:ind w:left="288" w:right="263"/>
                          <w:rPr>
                            <w:sz w:val="21"/>
                          </w:rPr>
                        </w:pPr>
                        <w:r>
                          <w:rPr>
                            <w:sz w:val="21"/>
                          </w:rPr>
                          <w:t>总计</w:t>
                        </w:r>
                      </w:p>
                    </w:tc>
                  </w:tr>
                  <w:tr>
                    <w:trPr>
                      <w:trHeight w:val="624" w:hRule="atLeast"/>
                    </w:trPr>
                    <w:tc>
                      <w:tcPr>
                        <w:tcW w:w="1356" w:type="dxa"/>
                        <w:tcBorders>
                          <w:left w:val="nil"/>
                          <w:bottom w:val="single" w:sz="4" w:space="0" w:color="000000"/>
                          <w:right w:val="single" w:sz="4" w:space="0" w:color="000000"/>
                        </w:tcBorders>
                      </w:tcPr>
                      <w:p>
                        <w:pPr>
                          <w:pStyle w:val="TableParagraph"/>
                          <w:spacing w:before="176"/>
                          <w:ind w:right="194"/>
                          <w:jc w:val="right"/>
                          <w:rPr>
                            <w:sz w:val="21"/>
                          </w:rPr>
                        </w:pPr>
                        <w:r>
                          <w:rPr>
                            <w:spacing w:val="30"/>
                            <w:sz w:val="21"/>
                          </w:rPr>
                          <w:t>四周墙体</w:t>
                        </w:r>
                      </w:p>
                    </w:tc>
                    <w:tc>
                      <w:tcPr>
                        <w:tcW w:w="4171" w:type="dxa"/>
                        <w:tcBorders>
                          <w:left w:val="single" w:sz="4" w:space="0" w:color="000000"/>
                          <w:bottom w:val="single" w:sz="4" w:space="0" w:color="000000"/>
                          <w:right w:val="single" w:sz="4" w:space="0" w:color="000000"/>
                        </w:tcBorders>
                      </w:tcPr>
                      <w:p>
                        <w:pPr>
                          <w:pStyle w:val="TableParagraph"/>
                          <w:spacing w:before="20"/>
                          <w:ind w:left="115" w:right="86"/>
                          <w:rPr>
                            <w:sz w:val="21"/>
                          </w:rPr>
                        </w:pPr>
                        <w:r>
                          <w:rPr>
                            <w:rFonts w:ascii="Times New Roman" w:eastAsia="Times New Roman"/>
                            <w:sz w:val="21"/>
                          </w:rPr>
                          <w:t>240mm</w:t>
                        </w:r>
                        <w:r>
                          <w:rPr>
                            <w:rFonts w:ascii="Times New Roman" w:eastAsia="Times New Roman"/>
                            <w:spacing w:val="-2"/>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p>
                      <w:p>
                        <w:pPr>
                          <w:pStyle w:val="TableParagraph"/>
                          <w:spacing w:before="43"/>
                          <w:ind w:left="113" w:right="86"/>
                          <w:rPr>
                            <w:sz w:val="21"/>
                          </w:rPr>
                        </w:pPr>
                        <w:r>
                          <w:rPr>
                            <w:sz w:val="21"/>
                          </w:rPr>
                          <w:t>微晶石板</w:t>
                        </w:r>
                      </w:p>
                    </w:tc>
                    <w:tc>
                      <w:tcPr>
                        <w:tcW w:w="2103" w:type="dxa"/>
                        <w:tcBorders>
                          <w:left w:val="single" w:sz="4" w:space="0" w:color="000000"/>
                          <w:bottom w:val="single" w:sz="4" w:space="0" w:color="000000"/>
                          <w:right w:val="single" w:sz="4" w:space="0" w:color="000000"/>
                        </w:tcBorders>
                      </w:tcPr>
                      <w:p>
                        <w:pPr>
                          <w:pStyle w:val="TableParagraph"/>
                          <w:spacing w:before="190"/>
                          <w:ind w:left="169" w:right="142"/>
                          <w:rPr>
                            <w:rFonts w:ascii="Times New Roman"/>
                            <w:sz w:val="21"/>
                          </w:rPr>
                        </w:pPr>
                        <w:r>
                          <w:rPr>
                            <w:rFonts w:ascii="Times New Roman"/>
                            <w:sz w:val="21"/>
                          </w:rPr>
                          <w:t>2.2mmPb+2.7mmPb</w:t>
                        </w:r>
                      </w:p>
                    </w:tc>
                    <w:tc>
                      <w:tcPr>
                        <w:tcW w:w="1412" w:type="dxa"/>
                        <w:tcBorders>
                          <w:left w:val="single" w:sz="4" w:space="0" w:color="000000"/>
                          <w:bottom w:val="single" w:sz="4" w:space="0" w:color="000000"/>
                          <w:right w:val="nil"/>
                        </w:tcBorders>
                      </w:tcPr>
                      <w:p>
                        <w:pPr>
                          <w:pStyle w:val="TableParagraph"/>
                          <w:spacing w:before="190"/>
                          <w:ind w:left="288" w:right="267"/>
                          <w:rPr>
                            <w:rFonts w:ascii="Times New Roman"/>
                            <w:sz w:val="21"/>
                          </w:rPr>
                        </w:pPr>
                        <w:r>
                          <w:rPr>
                            <w:rFonts w:ascii="Times New Roman"/>
                            <w:sz w:val="21"/>
                          </w:rPr>
                          <w:t>4.9mmPb</w:t>
                        </w:r>
                      </w:p>
                    </w:tc>
                  </w:tr>
                  <w:tr>
                    <w:trPr>
                      <w:trHeight w:val="312" w:hRule="atLeast"/>
                    </w:trPr>
                    <w:tc>
                      <w:tcPr>
                        <w:tcW w:w="1356" w:type="dxa"/>
                        <w:tcBorders>
                          <w:top w:val="single" w:sz="4" w:space="0" w:color="000000"/>
                          <w:left w:val="nil"/>
                          <w:bottom w:val="single" w:sz="4" w:space="0" w:color="000000"/>
                          <w:right w:val="single" w:sz="4" w:space="0" w:color="000000"/>
                        </w:tcBorders>
                      </w:tcPr>
                      <w:p>
                        <w:pPr>
                          <w:pStyle w:val="TableParagraph"/>
                          <w:spacing w:before="20"/>
                          <w:ind w:left="377"/>
                          <w:jc w:val="left"/>
                          <w:rPr>
                            <w:sz w:val="21"/>
                          </w:rPr>
                        </w:pPr>
                        <w:r>
                          <w:rPr>
                            <w:w w:val="95"/>
                            <w:sz w:val="21"/>
                          </w:rPr>
                          <w:t>屏蔽门</w:t>
                        </w:r>
                      </w:p>
                    </w:tc>
                    <w:tc>
                      <w:tcPr>
                        <w:tcW w:w="4171" w:type="dxa"/>
                        <w:tcBorders>
                          <w:top w:val="single" w:sz="4" w:space="0" w:color="000000"/>
                          <w:left w:val="single" w:sz="4" w:space="0" w:color="000000"/>
                          <w:bottom w:val="single" w:sz="4" w:space="0" w:color="000000"/>
                          <w:right w:val="single" w:sz="4" w:space="0" w:color="000000"/>
                        </w:tcBorders>
                      </w:tcPr>
                      <w:p>
                        <w:pPr>
                          <w:pStyle w:val="TableParagraph"/>
                          <w:spacing w:before="34"/>
                          <w:ind w:left="114" w:right="86"/>
                          <w:rPr>
                            <w:rFonts w:ascii="Times New Roman"/>
                            <w:sz w:val="21"/>
                          </w:rPr>
                        </w:pPr>
                        <w:r>
                          <w:rPr>
                            <w:rFonts w:ascii="Times New Roman"/>
                            <w:sz w:val="21"/>
                          </w:rPr>
                          <w:t>4mmPb</w:t>
                        </w:r>
                      </w:p>
                    </w:tc>
                    <w:tc>
                      <w:tcPr>
                        <w:tcW w:w="2103" w:type="dxa"/>
                        <w:tcBorders>
                          <w:top w:val="single" w:sz="4" w:space="0" w:color="000000"/>
                          <w:left w:val="single" w:sz="4" w:space="0" w:color="000000"/>
                          <w:bottom w:val="single" w:sz="4" w:space="0" w:color="000000"/>
                          <w:right w:val="single" w:sz="4" w:space="0" w:color="000000"/>
                        </w:tcBorders>
                      </w:tcPr>
                      <w:p>
                        <w:pPr>
                          <w:pStyle w:val="TableParagraph"/>
                          <w:spacing w:before="34"/>
                          <w:ind w:left="169" w:right="142"/>
                          <w:rPr>
                            <w:rFonts w:ascii="Times New Roman"/>
                            <w:sz w:val="21"/>
                          </w:rPr>
                        </w:pPr>
                        <w:r>
                          <w:rPr>
                            <w:rFonts w:ascii="Times New Roman"/>
                            <w:sz w:val="21"/>
                          </w:rPr>
                          <w:t>4mmPb</w:t>
                        </w:r>
                      </w:p>
                    </w:tc>
                    <w:tc>
                      <w:tcPr>
                        <w:tcW w:w="1412" w:type="dxa"/>
                        <w:tcBorders>
                          <w:top w:val="single" w:sz="4" w:space="0" w:color="000000"/>
                          <w:left w:val="single" w:sz="4" w:space="0" w:color="000000"/>
                          <w:bottom w:val="single" w:sz="4" w:space="0" w:color="000000"/>
                          <w:right w:val="nil"/>
                        </w:tcBorders>
                      </w:tcPr>
                      <w:p>
                        <w:pPr>
                          <w:pStyle w:val="TableParagraph"/>
                          <w:spacing w:before="34"/>
                          <w:ind w:left="288" w:right="267"/>
                          <w:rPr>
                            <w:rFonts w:ascii="Times New Roman"/>
                            <w:sz w:val="21"/>
                          </w:rPr>
                        </w:pPr>
                        <w:r>
                          <w:rPr>
                            <w:rFonts w:ascii="Times New Roman"/>
                            <w:sz w:val="21"/>
                          </w:rPr>
                          <w:t>4mmPb</w:t>
                        </w:r>
                      </w:p>
                    </w:tc>
                  </w:tr>
                  <w:tr>
                    <w:trPr>
                      <w:trHeight w:val="311" w:hRule="atLeast"/>
                    </w:trPr>
                    <w:tc>
                      <w:tcPr>
                        <w:tcW w:w="1356" w:type="dxa"/>
                        <w:tcBorders>
                          <w:top w:val="single" w:sz="4" w:space="0" w:color="000000"/>
                          <w:left w:val="nil"/>
                          <w:bottom w:val="single" w:sz="4" w:space="0" w:color="000000"/>
                          <w:right w:val="single" w:sz="4" w:space="0" w:color="000000"/>
                        </w:tcBorders>
                      </w:tcPr>
                      <w:p>
                        <w:pPr>
                          <w:pStyle w:val="TableParagraph"/>
                          <w:spacing w:before="22"/>
                          <w:ind w:left="377"/>
                          <w:jc w:val="left"/>
                          <w:rPr>
                            <w:sz w:val="21"/>
                          </w:rPr>
                        </w:pPr>
                        <w:r>
                          <w:rPr>
                            <w:w w:val="95"/>
                            <w:sz w:val="21"/>
                          </w:rPr>
                          <w:t>观察窗</w:t>
                        </w:r>
                      </w:p>
                    </w:tc>
                    <w:tc>
                      <w:tcPr>
                        <w:tcW w:w="4171" w:type="dxa"/>
                        <w:tcBorders>
                          <w:top w:val="single" w:sz="4" w:space="0" w:color="000000"/>
                          <w:left w:val="single" w:sz="4" w:space="0" w:color="000000"/>
                          <w:bottom w:val="single" w:sz="4" w:space="0" w:color="000000"/>
                          <w:right w:val="single" w:sz="4" w:space="0" w:color="000000"/>
                        </w:tcBorders>
                      </w:tcPr>
                      <w:p>
                        <w:pPr>
                          <w:pStyle w:val="TableParagraph"/>
                          <w:spacing w:before="36"/>
                          <w:ind w:left="114" w:right="86"/>
                          <w:rPr>
                            <w:rFonts w:ascii="Times New Roman"/>
                            <w:sz w:val="21"/>
                          </w:rPr>
                        </w:pPr>
                        <w:r>
                          <w:rPr>
                            <w:rFonts w:ascii="Times New Roman"/>
                            <w:sz w:val="21"/>
                          </w:rPr>
                          <w:t>4mmPb</w:t>
                        </w:r>
                      </w:p>
                    </w:tc>
                    <w:tc>
                      <w:tcPr>
                        <w:tcW w:w="2103" w:type="dxa"/>
                        <w:tcBorders>
                          <w:top w:val="single" w:sz="4" w:space="0" w:color="000000"/>
                          <w:left w:val="single" w:sz="4" w:space="0" w:color="000000"/>
                          <w:bottom w:val="single" w:sz="4" w:space="0" w:color="000000"/>
                          <w:right w:val="single" w:sz="4" w:space="0" w:color="000000"/>
                        </w:tcBorders>
                      </w:tcPr>
                      <w:p>
                        <w:pPr>
                          <w:pStyle w:val="TableParagraph"/>
                          <w:spacing w:before="36"/>
                          <w:ind w:left="169" w:right="142"/>
                          <w:rPr>
                            <w:rFonts w:ascii="Times New Roman"/>
                            <w:sz w:val="21"/>
                          </w:rPr>
                        </w:pPr>
                        <w:r>
                          <w:rPr>
                            <w:rFonts w:ascii="Times New Roman"/>
                            <w:sz w:val="21"/>
                          </w:rPr>
                          <w:t>4mmPb</w:t>
                        </w:r>
                      </w:p>
                    </w:tc>
                    <w:tc>
                      <w:tcPr>
                        <w:tcW w:w="1412" w:type="dxa"/>
                        <w:tcBorders>
                          <w:top w:val="single" w:sz="4" w:space="0" w:color="000000"/>
                          <w:left w:val="single" w:sz="4" w:space="0" w:color="000000"/>
                          <w:bottom w:val="single" w:sz="4" w:space="0" w:color="000000"/>
                          <w:right w:val="nil"/>
                        </w:tcBorders>
                      </w:tcPr>
                      <w:p>
                        <w:pPr>
                          <w:pStyle w:val="TableParagraph"/>
                          <w:spacing w:before="36"/>
                          <w:ind w:left="288" w:right="267"/>
                          <w:rPr>
                            <w:rFonts w:ascii="Times New Roman"/>
                            <w:sz w:val="21"/>
                          </w:rPr>
                        </w:pPr>
                        <w:r>
                          <w:rPr>
                            <w:rFonts w:ascii="Times New Roman"/>
                            <w:sz w:val="21"/>
                          </w:rPr>
                          <w:t>4mmPb</w:t>
                        </w:r>
                      </w:p>
                    </w:tc>
                  </w:tr>
                  <w:tr>
                    <w:trPr>
                      <w:trHeight w:val="624" w:hRule="atLeast"/>
                    </w:trPr>
                    <w:tc>
                      <w:tcPr>
                        <w:tcW w:w="1356" w:type="dxa"/>
                        <w:tcBorders>
                          <w:top w:val="single" w:sz="4" w:space="0" w:color="000000"/>
                          <w:left w:val="nil"/>
                          <w:bottom w:val="single" w:sz="4" w:space="0" w:color="000000"/>
                          <w:right w:val="single" w:sz="4" w:space="0" w:color="000000"/>
                        </w:tcBorders>
                      </w:tcPr>
                      <w:p>
                        <w:pPr>
                          <w:pStyle w:val="TableParagraph"/>
                          <w:spacing w:before="177"/>
                          <w:ind w:left="482"/>
                          <w:jc w:val="left"/>
                          <w:rPr>
                            <w:sz w:val="21"/>
                          </w:rPr>
                        </w:pPr>
                        <w:r>
                          <w:rPr>
                            <w:sz w:val="21"/>
                          </w:rPr>
                          <w:t>屋顶</w:t>
                        </w:r>
                      </w:p>
                    </w:tc>
                    <w:tc>
                      <w:tcPr>
                        <w:tcW w:w="4171" w:type="dxa"/>
                        <w:tcBorders>
                          <w:top w:val="single" w:sz="4" w:space="0" w:color="000000"/>
                          <w:left w:val="single" w:sz="4" w:space="0" w:color="000000"/>
                          <w:bottom w:val="single" w:sz="4" w:space="0" w:color="000000"/>
                          <w:right w:val="single" w:sz="4" w:space="0" w:color="000000"/>
                        </w:tcBorders>
                      </w:tcPr>
                      <w:p>
                        <w:pPr>
                          <w:pStyle w:val="TableParagraph"/>
                          <w:spacing w:before="21"/>
                          <w:ind w:left="113" w:right="86"/>
                          <w:rPr>
                            <w:sz w:val="21"/>
                          </w:rPr>
                        </w:pPr>
                        <w:r>
                          <w:rPr>
                            <w:rFonts w:ascii="Times New Roman" w:eastAsia="Times New Roman"/>
                            <w:sz w:val="21"/>
                          </w:rPr>
                          <w:t>150mm</w:t>
                        </w:r>
                        <w:r>
                          <w:rPr>
                            <w:rFonts w:ascii="Times New Roman" w:eastAsia="Times New Roman"/>
                            <w:spacing w:val="-2"/>
                            <w:sz w:val="21"/>
                          </w:rPr>
                          <w:t> </w:t>
                        </w:r>
                        <w:r>
                          <w:rPr>
                            <w:sz w:val="21"/>
                          </w:rPr>
                          <w:t>厚混凝土</w:t>
                        </w:r>
                        <w:r>
                          <w:rPr>
                            <w:rFonts w:ascii="Times New Roman" w:eastAsia="Times New Roman"/>
                            <w:sz w:val="21"/>
                          </w:rPr>
                          <w:t>+20mm</w:t>
                        </w:r>
                        <w:r>
                          <w:rPr>
                            <w:rFonts w:ascii="Times New Roman" w:eastAsia="Times New Roman"/>
                            <w:spacing w:val="-5"/>
                            <w:sz w:val="21"/>
                          </w:rPr>
                          <w:t> </w:t>
                        </w:r>
                        <w:r>
                          <w:rPr>
                            <w:sz w:val="21"/>
                          </w:rPr>
                          <w:t>厚射线防护复合微</w:t>
                        </w:r>
                      </w:p>
                      <w:p>
                        <w:pPr>
                          <w:pStyle w:val="TableParagraph"/>
                          <w:spacing w:before="43"/>
                          <w:ind w:left="110" w:right="86"/>
                          <w:rPr>
                            <w:sz w:val="21"/>
                          </w:rPr>
                        </w:pPr>
                        <w:r>
                          <w:rPr>
                            <w:sz w:val="21"/>
                          </w:rPr>
                          <w:t>晶石板</w:t>
                        </w:r>
                      </w:p>
                    </w:tc>
                    <w:tc>
                      <w:tcPr>
                        <w:tcW w:w="2103" w:type="dxa"/>
                        <w:tcBorders>
                          <w:top w:val="single" w:sz="4" w:space="0" w:color="000000"/>
                          <w:left w:val="single" w:sz="4" w:space="0" w:color="000000"/>
                          <w:bottom w:val="single" w:sz="4" w:space="0" w:color="000000"/>
                          <w:right w:val="single" w:sz="4" w:space="0" w:color="000000"/>
                        </w:tcBorders>
                      </w:tcPr>
                      <w:p>
                        <w:pPr>
                          <w:pStyle w:val="TableParagraph"/>
                          <w:spacing w:before="191"/>
                          <w:ind w:left="169" w:right="142"/>
                          <w:rPr>
                            <w:rFonts w:ascii="Times New Roman"/>
                            <w:sz w:val="21"/>
                          </w:rPr>
                        </w:pPr>
                        <w:r>
                          <w:rPr>
                            <w:rFonts w:ascii="Times New Roman"/>
                            <w:sz w:val="21"/>
                          </w:rPr>
                          <w:t>1.8mmPb+2.7mmPb</w:t>
                        </w:r>
                      </w:p>
                    </w:tc>
                    <w:tc>
                      <w:tcPr>
                        <w:tcW w:w="1412" w:type="dxa"/>
                        <w:tcBorders>
                          <w:top w:val="single" w:sz="4" w:space="0" w:color="000000"/>
                          <w:left w:val="single" w:sz="4" w:space="0" w:color="000000"/>
                          <w:bottom w:val="single" w:sz="4" w:space="0" w:color="000000"/>
                          <w:right w:val="nil"/>
                        </w:tcBorders>
                      </w:tcPr>
                      <w:p>
                        <w:pPr>
                          <w:pStyle w:val="TableParagraph"/>
                          <w:spacing w:before="191"/>
                          <w:ind w:left="288" w:right="267"/>
                          <w:rPr>
                            <w:rFonts w:ascii="Times New Roman"/>
                            <w:sz w:val="21"/>
                          </w:rPr>
                        </w:pPr>
                        <w:r>
                          <w:rPr>
                            <w:rFonts w:ascii="Times New Roman"/>
                            <w:sz w:val="21"/>
                          </w:rPr>
                          <w:t>4.5mmPb</w:t>
                        </w:r>
                      </w:p>
                    </w:tc>
                  </w:tr>
                  <w:tr>
                    <w:trPr>
                      <w:trHeight w:val="311" w:hRule="atLeast"/>
                    </w:trPr>
                    <w:tc>
                      <w:tcPr>
                        <w:tcW w:w="1356" w:type="dxa"/>
                        <w:tcBorders>
                          <w:top w:val="single" w:sz="4" w:space="0" w:color="000000"/>
                          <w:left w:val="nil"/>
                          <w:right w:val="single" w:sz="4" w:space="0" w:color="000000"/>
                        </w:tcBorders>
                      </w:tcPr>
                      <w:p>
                        <w:pPr>
                          <w:pStyle w:val="TableParagraph"/>
                          <w:spacing w:before="21"/>
                          <w:ind w:left="482"/>
                          <w:jc w:val="left"/>
                          <w:rPr>
                            <w:sz w:val="21"/>
                          </w:rPr>
                        </w:pPr>
                        <w:r>
                          <w:rPr>
                            <w:sz w:val="21"/>
                          </w:rPr>
                          <w:t>地面</w:t>
                        </w:r>
                      </w:p>
                    </w:tc>
                    <w:tc>
                      <w:tcPr>
                        <w:tcW w:w="4171" w:type="dxa"/>
                        <w:tcBorders>
                          <w:top w:val="single" w:sz="4" w:space="0" w:color="000000"/>
                          <w:left w:val="single" w:sz="4" w:space="0" w:color="000000"/>
                          <w:right w:val="single" w:sz="4" w:space="0" w:color="000000"/>
                        </w:tcBorders>
                      </w:tcPr>
                      <w:p>
                        <w:pPr>
                          <w:pStyle w:val="TableParagraph"/>
                          <w:spacing w:before="21"/>
                          <w:ind w:left="115" w:right="86"/>
                          <w:rPr>
                            <w:sz w:val="21"/>
                          </w:rPr>
                        </w:pPr>
                        <w:r>
                          <w:rPr>
                            <w:rFonts w:ascii="Times New Roman" w:eastAsia="Times New Roman"/>
                            <w:sz w:val="21"/>
                          </w:rPr>
                          <w:t>150mm</w:t>
                        </w:r>
                        <w:r>
                          <w:rPr>
                            <w:rFonts w:ascii="Times New Roman" w:eastAsia="Times New Roman"/>
                            <w:spacing w:val="-2"/>
                            <w:sz w:val="21"/>
                          </w:rPr>
                          <w:t> </w:t>
                        </w:r>
                        <w:r>
                          <w:rPr>
                            <w:sz w:val="21"/>
                          </w:rPr>
                          <w:t>厚混凝土</w:t>
                        </w:r>
                        <w:r>
                          <w:rPr>
                            <w:rFonts w:ascii="Times New Roman" w:eastAsia="Times New Roman"/>
                            <w:sz w:val="21"/>
                          </w:rPr>
                          <w:t>+30mm</w:t>
                        </w:r>
                        <w:r>
                          <w:rPr>
                            <w:rFonts w:ascii="Times New Roman" w:eastAsia="Times New Roman"/>
                            <w:spacing w:val="-4"/>
                            <w:sz w:val="21"/>
                          </w:rPr>
                          <w:t> </w:t>
                        </w:r>
                        <w:r>
                          <w:rPr>
                            <w:sz w:val="21"/>
                          </w:rPr>
                          <w:t>硫酸钡砂浆</w:t>
                        </w:r>
                      </w:p>
                    </w:tc>
                    <w:tc>
                      <w:tcPr>
                        <w:tcW w:w="2103" w:type="dxa"/>
                        <w:tcBorders>
                          <w:top w:val="single" w:sz="4" w:space="0" w:color="000000"/>
                          <w:left w:val="single" w:sz="4" w:space="0" w:color="000000"/>
                          <w:right w:val="single" w:sz="4" w:space="0" w:color="000000"/>
                        </w:tcBorders>
                      </w:tcPr>
                      <w:p>
                        <w:pPr>
                          <w:pStyle w:val="TableParagraph"/>
                          <w:spacing w:before="35"/>
                          <w:ind w:left="169" w:right="142"/>
                          <w:rPr>
                            <w:rFonts w:ascii="Times New Roman"/>
                            <w:sz w:val="21"/>
                          </w:rPr>
                        </w:pPr>
                        <w:r>
                          <w:rPr>
                            <w:rFonts w:ascii="Times New Roman"/>
                            <w:sz w:val="21"/>
                          </w:rPr>
                          <w:t>1.8mmPb+1.8mmPb</w:t>
                        </w:r>
                      </w:p>
                    </w:tc>
                    <w:tc>
                      <w:tcPr>
                        <w:tcW w:w="1412" w:type="dxa"/>
                        <w:tcBorders>
                          <w:top w:val="single" w:sz="4" w:space="0" w:color="000000"/>
                          <w:left w:val="single" w:sz="4" w:space="0" w:color="000000"/>
                          <w:right w:val="nil"/>
                        </w:tcBorders>
                      </w:tcPr>
                      <w:p>
                        <w:pPr>
                          <w:pStyle w:val="TableParagraph"/>
                          <w:spacing w:before="35"/>
                          <w:ind w:left="288" w:right="267"/>
                          <w:rPr>
                            <w:rFonts w:ascii="Times New Roman"/>
                            <w:sz w:val="21"/>
                          </w:rPr>
                        </w:pPr>
                        <w:r>
                          <w:rPr>
                            <w:rFonts w:ascii="Times New Roman"/>
                            <w:sz w:val="21"/>
                          </w:rPr>
                          <w:t>3.6mmPb</w:t>
                        </w:r>
                      </w:p>
                    </w:tc>
                  </w:tr>
                </w:tbl>
                <w:p>
                  <w:pPr>
                    <w:pStyle w:val="BodyText"/>
                  </w:pPr>
                </w:p>
              </w:txbxContent>
            </v:textbox>
            <w10:wrap type="none"/>
          </v:shape>
        </w:pict>
      </w:r>
    </w:p>
    <w:p>
      <w:pPr>
        <w:spacing w:after="0"/>
        <w:rPr>
          <w:sz w:val="2"/>
          <w:szCs w:val="2"/>
        </w:rPr>
        <w:sectPr>
          <w:pgSz w:w="11910" w:h="16840"/>
          <w:pgMar w:header="0" w:footer="1383" w:top="1420" w:bottom="1580" w:left="1240" w:right="1040"/>
        </w:sectPr>
      </w:pPr>
    </w:p>
    <w:tbl>
      <w:tblPr>
        <w:tblW w:w="0" w:type="auto"/>
        <w:jc w:val="left"/>
        <w:tblInd w:w="2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70"/>
        <w:gridCol w:w="1555"/>
        <w:gridCol w:w="1660"/>
        <w:gridCol w:w="1155"/>
        <w:gridCol w:w="1111"/>
        <w:gridCol w:w="1334"/>
        <w:gridCol w:w="1373"/>
      </w:tblGrid>
      <w:tr>
        <w:trPr>
          <w:trHeight w:val="1421" w:hRule="atLeast"/>
        </w:trPr>
        <w:tc>
          <w:tcPr>
            <w:tcW w:w="1070"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555"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660"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155"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111"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334" w:type="dxa"/>
            <w:tcBorders>
              <w:left w:val="single" w:sz="4" w:space="0" w:color="000000"/>
              <w:bottom w:val="single" w:sz="4" w:space="0" w:color="000000"/>
              <w:right w:val="single" w:sz="4" w:space="0" w:color="000000"/>
            </w:tcBorders>
          </w:tcPr>
          <w:p>
            <w:pPr>
              <w:pStyle w:val="TableParagraph"/>
              <w:spacing w:before="18"/>
              <w:ind w:left="75" w:right="67"/>
              <w:rPr>
                <w:sz w:val="21"/>
              </w:rPr>
            </w:pPr>
            <w:r>
              <w:rPr>
                <w:sz w:val="21"/>
              </w:rPr>
              <w:t>量）</w:t>
            </w:r>
          </w:p>
        </w:tc>
        <w:tc>
          <w:tcPr>
            <w:tcW w:w="1373"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936" w:hRule="atLeast"/>
        </w:trPr>
        <w:tc>
          <w:tcPr>
            <w:tcW w:w="107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59"/>
              <w:ind w:left="163" w:right="52"/>
              <w:rPr>
                <w:sz w:val="21"/>
              </w:rPr>
            </w:pPr>
            <w:r>
              <w:rPr>
                <w:spacing w:val="-1"/>
                <w:sz w:val="21"/>
              </w:rPr>
              <w:t>放射诊断放射防护</w:t>
            </w:r>
            <w:r>
              <w:rPr>
                <w:sz w:val="21"/>
              </w:rPr>
              <w:t>要求</w:t>
            </w:r>
          </w:p>
        </w:tc>
        <w:tc>
          <w:tcPr>
            <w:tcW w:w="1555" w:type="dxa"/>
            <w:tcBorders>
              <w:top w:val="single" w:sz="4" w:space="0" w:color="000000"/>
              <w:left w:val="single" w:sz="4" w:space="0" w:color="000000"/>
              <w:bottom w:val="single" w:sz="4" w:space="0" w:color="000000"/>
              <w:right w:val="single" w:sz="4" w:space="0" w:color="000000"/>
            </w:tcBorders>
          </w:tcPr>
          <w:p>
            <w:pPr>
              <w:pStyle w:val="TableParagraph"/>
              <w:spacing w:before="21"/>
              <w:ind w:left="41" w:firstLine="105"/>
              <w:jc w:val="left"/>
              <w:rPr>
                <w:sz w:val="21"/>
              </w:rPr>
            </w:pPr>
            <w:r>
              <w:rPr>
                <w:w w:val="95"/>
                <w:sz w:val="21"/>
              </w:rPr>
              <w:t>最小有效使用</w:t>
            </w:r>
          </w:p>
          <w:p>
            <w:pPr>
              <w:pStyle w:val="TableParagraph"/>
              <w:spacing w:line="310" w:lineRule="atLeast" w:before="2"/>
              <w:ind w:left="139" w:right="27" w:hanging="99"/>
              <w:jc w:val="left"/>
              <w:rPr>
                <w:rFonts w:ascii="Times New Roman" w:eastAsia="Times New Roman"/>
                <w:b/>
                <w:sz w:val="21"/>
              </w:rPr>
            </w:pPr>
            <w:r>
              <w:rPr>
                <w:spacing w:val="-4"/>
                <w:sz w:val="21"/>
              </w:rPr>
              <w:t>面积</w:t>
            </w:r>
            <w:r>
              <w:rPr>
                <w:rFonts w:ascii="Times New Roman" w:eastAsia="Times New Roman"/>
                <w:b/>
                <w:spacing w:val="-4"/>
                <w:sz w:val="21"/>
              </w:rPr>
              <w:t>20m</w:t>
            </w:r>
            <w:r>
              <w:rPr>
                <w:rFonts w:ascii="Times New Roman" w:eastAsia="Times New Roman"/>
                <w:b/>
                <w:spacing w:val="-4"/>
                <w:sz w:val="21"/>
                <w:vertAlign w:val="superscript"/>
              </w:rPr>
              <w:t>2</w:t>
            </w:r>
            <w:r>
              <w:rPr>
                <w:spacing w:val="-4"/>
                <w:sz w:val="21"/>
                <w:vertAlign w:val="baseline"/>
              </w:rPr>
              <w:t>，最小</w:t>
            </w:r>
            <w:r>
              <w:rPr>
                <w:sz w:val="21"/>
                <w:vertAlign w:val="baseline"/>
              </w:rPr>
              <w:t>单边长度</w:t>
            </w:r>
            <w:r>
              <w:rPr>
                <w:rFonts w:ascii="Times New Roman" w:eastAsia="Times New Roman"/>
                <w:b/>
                <w:sz w:val="21"/>
                <w:vertAlign w:val="baseline"/>
              </w:rPr>
              <w:t>3.5m</w:t>
            </w:r>
          </w:p>
        </w:tc>
        <w:tc>
          <w:tcPr>
            <w:tcW w:w="1660"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ind w:left="268" w:right="256"/>
              <w:rPr>
                <w:sz w:val="21"/>
              </w:rPr>
            </w:pPr>
            <w:r>
              <w:rPr>
                <w:rFonts w:ascii="Times New Roman" w:eastAsia="Times New Roman"/>
                <w:b/>
                <w:sz w:val="21"/>
              </w:rPr>
              <w:t>2mm</w:t>
            </w:r>
            <w:r>
              <w:rPr>
                <w:sz w:val="21"/>
              </w:rPr>
              <w:t>铅当量</w:t>
            </w:r>
          </w:p>
        </w:tc>
        <w:tc>
          <w:tcPr>
            <w:tcW w:w="115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7"/>
              <w:ind w:left="471" w:right="102" w:hanging="358"/>
              <w:jc w:val="left"/>
              <w:rPr>
                <w:sz w:val="21"/>
              </w:rPr>
            </w:pPr>
            <w:r>
              <w:rPr>
                <w:rFonts w:ascii="Times New Roman" w:eastAsia="Times New Roman"/>
                <w:b/>
                <w:sz w:val="21"/>
              </w:rPr>
              <w:t>2mm</w:t>
            </w:r>
            <w:r>
              <w:rPr>
                <w:rFonts w:ascii="Times New Roman" w:eastAsia="Times New Roman"/>
                <w:b/>
                <w:spacing w:val="-13"/>
                <w:sz w:val="21"/>
              </w:rPr>
              <w:t> </w:t>
            </w:r>
            <w:r>
              <w:rPr>
                <w:sz w:val="21"/>
              </w:rPr>
              <w:t>铅当量</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7"/>
              <w:ind w:left="449" w:right="80" w:hanging="358"/>
              <w:jc w:val="left"/>
              <w:rPr>
                <w:sz w:val="21"/>
              </w:rPr>
            </w:pPr>
            <w:r>
              <w:rPr>
                <w:rFonts w:ascii="Times New Roman" w:eastAsia="Times New Roman"/>
                <w:b/>
                <w:sz w:val="21"/>
              </w:rPr>
              <w:t>2mm</w:t>
            </w:r>
            <w:r>
              <w:rPr>
                <w:rFonts w:ascii="Times New Roman" w:eastAsia="Times New Roman"/>
                <w:b/>
                <w:spacing w:val="-13"/>
                <w:sz w:val="21"/>
              </w:rPr>
              <w:t> </w:t>
            </w:r>
            <w:r>
              <w:rPr>
                <w:sz w:val="21"/>
              </w:rPr>
              <w:t>铅当量</w:t>
            </w:r>
          </w:p>
        </w:tc>
        <w:tc>
          <w:tcPr>
            <w:tcW w:w="1334"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ind w:left="79" w:right="67"/>
              <w:rPr>
                <w:sz w:val="21"/>
              </w:rPr>
            </w:pPr>
            <w:r>
              <w:rPr>
                <w:rFonts w:ascii="Times New Roman" w:eastAsia="Times New Roman"/>
                <w:b/>
                <w:sz w:val="21"/>
              </w:rPr>
              <w:t>2mm </w:t>
            </w:r>
            <w:r>
              <w:rPr>
                <w:sz w:val="21"/>
              </w:rPr>
              <w:t>铅当量</w:t>
            </w:r>
          </w:p>
        </w:tc>
        <w:tc>
          <w:tcPr>
            <w:tcW w:w="1373" w:type="dxa"/>
            <w:tcBorders>
              <w:top w:val="single" w:sz="4" w:space="0" w:color="000000"/>
              <w:left w:val="single" w:sz="4" w:space="0" w:color="000000"/>
              <w:bottom w:val="single" w:sz="4" w:space="0" w:color="000000"/>
              <w:right w:val="single" w:sz="4" w:space="0" w:color="000000"/>
            </w:tcBorders>
          </w:tcPr>
          <w:p>
            <w:pPr>
              <w:pStyle w:val="TableParagraph"/>
              <w:spacing w:before="177"/>
              <w:ind w:left="111"/>
              <w:jc w:val="left"/>
              <w:rPr>
                <w:sz w:val="21"/>
              </w:rPr>
            </w:pPr>
            <w:r>
              <w:rPr>
                <w:w w:val="95"/>
                <w:sz w:val="21"/>
              </w:rPr>
              <w:t>非有用线束</w:t>
            </w:r>
          </w:p>
          <w:p>
            <w:pPr>
              <w:pStyle w:val="TableParagraph"/>
              <w:spacing w:before="43"/>
              <w:ind w:left="68"/>
              <w:jc w:val="left"/>
              <w:rPr>
                <w:sz w:val="21"/>
              </w:rPr>
            </w:pPr>
            <w:r>
              <w:rPr>
                <w:rFonts w:ascii="Times New Roman" w:eastAsia="Times New Roman"/>
                <w:b/>
                <w:sz w:val="21"/>
              </w:rPr>
              <w:t>2mm </w:t>
            </w:r>
            <w:r>
              <w:rPr>
                <w:sz w:val="21"/>
              </w:rPr>
              <w:t>铅当量</w:t>
            </w:r>
          </w:p>
        </w:tc>
      </w:tr>
      <w:tr>
        <w:trPr>
          <w:trHeight w:val="366" w:hRule="atLeast"/>
        </w:trPr>
        <w:tc>
          <w:tcPr>
            <w:tcW w:w="1070" w:type="dxa"/>
            <w:tcBorders>
              <w:top w:val="single" w:sz="4" w:space="0" w:color="000000"/>
              <w:left w:val="single" w:sz="4" w:space="0" w:color="000000"/>
              <w:bottom w:val="single" w:sz="12" w:space="0" w:color="000000"/>
              <w:right w:val="single" w:sz="4" w:space="0" w:color="000000"/>
            </w:tcBorders>
          </w:tcPr>
          <w:p>
            <w:pPr>
              <w:pStyle w:val="TableParagraph"/>
              <w:spacing w:before="47"/>
              <w:ind w:left="374"/>
              <w:jc w:val="left"/>
              <w:rPr>
                <w:sz w:val="21"/>
              </w:rPr>
            </w:pPr>
            <w:r>
              <w:rPr>
                <w:sz w:val="21"/>
              </w:rPr>
              <w:t>备注</w:t>
            </w:r>
          </w:p>
        </w:tc>
        <w:tc>
          <w:tcPr>
            <w:tcW w:w="1555" w:type="dxa"/>
            <w:tcBorders>
              <w:top w:val="single" w:sz="4" w:space="0" w:color="000000"/>
              <w:left w:val="single" w:sz="4" w:space="0" w:color="000000"/>
              <w:bottom w:val="single" w:sz="12" w:space="0" w:color="000000"/>
              <w:right w:val="single" w:sz="4" w:space="0" w:color="000000"/>
            </w:tcBorders>
          </w:tcPr>
          <w:p>
            <w:pPr>
              <w:pStyle w:val="TableParagraph"/>
              <w:spacing w:before="47"/>
              <w:ind w:left="355"/>
              <w:jc w:val="left"/>
              <w:rPr>
                <w:sz w:val="21"/>
              </w:rPr>
            </w:pPr>
            <w:r>
              <w:rPr>
                <w:w w:val="95"/>
                <w:sz w:val="21"/>
              </w:rPr>
              <w:t>满足要求</w:t>
            </w:r>
          </w:p>
        </w:tc>
        <w:tc>
          <w:tcPr>
            <w:tcW w:w="1660" w:type="dxa"/>
            <w:tcBorders>
              <w:top w:val="single" w:sz="4" w:space="0" w:color="000000"/>
              <w:left w:val="single" w:sz="4" w:space="0" w:color="000000"/>
              <w:bottom w:val="single" w:sz="12" w:space="0" w:color="000000"/>
              <w:right w:val="single" w:sz="4" w:space="0" w:color="000000"/>
            </w:tcBorders>
          </w:tcPr>
          <w:p>
            <w:pPr>
              <w:pStyle w:val="TableParagraph"/>
              <w:spacing w:before="47"/>
              <w:ind w:left="266" w:right="256"/>
              <w:rPr>
                <w:sz w:val="21"/>
              </w:rPr>
            </w:pPr>
            <w:r>
              <w:rPr>
                <w:w w:val="95"/>
                <w:sz w:val="21"/>
              </w:rPr>
              <w:t>满足要求</w:t>
            </w:r>
          </w:p>
        </w:tc>
        <w:tc>
          <w:tcPr>
            <w:tcW w:w="1155" w:type="dxa"/>
            <w:tcBorders>
              <w:top w:val="single" w:sz="4" w:space="0" w:color="000000"/>
              <w:left w:val="single" w:sz="4" w:space="0" w:color="000000"/>
              <w:bottom w:val="single" w:sz="12" w:space="0" w:color="000000"/>
              <w:right w:val="single" w:sz="4" w:space="0" w:color="000000"/>
            </w:tcBorders>
          </w:tcPr>
          <w:p>
            <w:pPr>
              <w:pStyle w:val="TableParagraph"/>
              <w:spacing w:before="47"/>
              <w:ind w:left="157"/>
              <w:jc w:val="left"/>
              <w:rPr>
                <w:sz w:val="21"/>
              </w:rPr>
            </w:pPr>
            <w:r>
              <w:rPr>
                <w:w w:val="95"/>
                <w:sz w:val="21"/>
              </w:rPr>
              <w:t>满足要求</w:t>
            </w:r>
          </w:p>
        </w:tc>
        <w:tc>
          <w:tcPr>
            <w:tcW w:w="1111" w:type="dxa"/>
            <w:tcBorders>
              <w:top w:val="single" w:sz="4" w:space="0" w:color="000000"/>
              <w:left w:val="single" w:sz="4" w:space="0" w:color="000000"/>
              <w:bottom w:val="single" w:sz="12" w:space="0" w:color="000000"/>
              <w:right w:val="single" w:sz="4" w:space="0" w:color="000000"/>
            </w:tcBorders>
          </w:tcPr>
          <w:p>
            <w:pPr>
              <w:pStyle w:val="TableParagraph"/>
              <w:spacing w:before="47"/>
              <w:ind w:left="135"/>
              <w:jc w:val="left"/>
              <w:rPr>
                <w:sz w:val="21"/>
              </w:rPr>
            </w:pPr>
            <w:r>
              <w:rPr>
                <w:w w:val="95"/>
                <w:sz w:val="21"/>
              </w:rPr>
              <w:t>满足要求</w:t>
            </w:r>
          </w:p>
        </w:tc>
        <w:tc>
          <w:tcPr>
            <w:tcW w:w="1334" w:type="dxa"/>
            <w:tcBorders>
              <w:top w:val="single" w:sz="4" w:space="0" w:color="000000"/>
              <w:left w:val="single" w:sz="4" w:space="0" w:color="000000"/>
              <w:bottom w:val="single" w:sz="12" w:space="0" w:color="000000"/>
              <w:right w:val="single" w:sz="4" w:space="0" w:color="000000"/>
            </w:tcBorders>
          </w:tcPr>
          <w:p>
            <w:pPr>
              <w:pStyle w:val="TableParagraph"/>
              <w:spacing w:before="47"/>
              <w:ind w:left="77" w:right="67"/>
              <w:rPr>
                <w:sz w:val="21"/>
              </w:rPr>
            </w:pPr>
            <w:r>
              <w:rPr>
                <w:w w:val="95"/>
                <w:sz w:val="21"/>
              </w:rPr>
              <w:t>满足要求</w:t>
            </w:r>
          </w:p>
        </w:tc>
        <w:tc>
          <w:tcPr>
            <w:tcW w:w="1373" w:type="dxa"/>
            <w:tcBorders>
              <w:top w:val="single" w:sz="4" w:space="0" w:color="000000"/>
              <w:left w:val="single" w:sz="4" w:space="0" w:color="000000"/>
              <w:bottom w:val="single" w:sz="12" w:space="0" w:color="000000"/>
              <w:right w:val="single" w:sz="4" w:space="0" w:color="000000"/>
            </w:tcBorders>
          </w:tcPr>
          <w:p>
            <w:pPr>
              <w:pStyle w:val="TableParagraph"/>
              <w:spacing w:before="47"/>
              <w:ind w:left="217"/>
              <w:jc w:val="left"/>
              <w:rPr>
                <w:sz w:val="21"/>
              </w:rPr>
            </w:pPr>
            <w:r>
              <w:rPr>
                <w:w w:val="95"/>
                <w:sz w:val="21"/>
              </w:rPr>
              <w:t>满足要求</w:t>
            </w:r>
          </w:p>
        </w:tc>
      </w:tr>
      <w:tr>
        <w:trPr>
          <w:trHeight w:val="10772" w:hRule="atLeast"/>
        </w:trPr>
        <w:tc>
          <w:tcPr>
            <w:tcW w:w="9258" w:type="dxa"/>
            <w:gridSpan w:val="7"/>
            <w:tcBorders>
              <w:top w:val="single" w:sz="12" w:space="0" w:color="000000"/>
              <w:left w:val="single" w:sz="4" w:space="0" w:color="000000"/>
              <w:bottom w:val="single" w:sz="4" w:space="0" w:color="000000"/>
              <w:right w:val="single" w:sz="4" w:space="0" w:color="000000"/>
            </w:tcBorders>
          </w:tcPr>
          <w:p>
            <w:pPr>
              <w:pStyle w:val="TableParagraph"/>
              <w:spacing w:before="81"/>
              <w:ind w:left="108"/>
              <w:jc w:val="left"/>
              <w:rPr>
                <w:sz w:val="24"/>
              </w:rPr>
            </w:pPr>
            <w:r>
              <w:rPr>
                <w:sz w:val="24"/>
              </w:rPr>
              <w:t>（二） 辐射防治措施</w:t>
            </w:r>
          </w:p>
          <w:p>
            <w:pPr>
              <w:pStyle w:val="TableParagraph"/>
              <w:spacing w:before="161"/>
              <w:ind w:left="588"/>
              <w:jc w:val="both"/>
              <w:rPr>
                <w:sz w:val="24"/>
              </w:rPr>
            </w:pPr>
            <w:r>
              <w:rPr>
                <w:rFonts w:ascii="Times New Roman" w:eastAsia="Times New Roman"/>
                <w:sz w:val="24"/>
              </w:rPr>
              <w:t>1</w:t>
            </w:r>
            <w:r>
              <w:rPr>
                <w:sz w:val="24"/>
              </w:rPr>
              <w:t>、</w:t>
            </w:r>
            <w:r>
              <w:rPr>
                <w:rFonts w:ascii="Times New Roman" w:eastAsia="Times New Roman"/>
                <w:sz w:val="24"/>
              </w:rPr>
              <w:t>DSA</w:t>
            </w:r>
            <w:r>
              <w:rPr>
                <w:rFonts w:ascii="Times New Roman" w:eastAsia="Times New Roman"/>
                <w:spacing w:val="-2"/>
                <w:sz w:val="24"/>
              </w:rPr>
              <w:t> </w:t>
            </w:r>
            <w:r>
              <w:rPr>
                <w:sz w:val="24"/>
              </w:rPr>
              <w:t>固有安全性</w:t>
            </w:r>
          </w:p>
          <w:p>
            <w:pPr>
              <w:pStyle w:val="TableParagraph"/>
              <w:spacing w:before="160"/>
              <w:ind w:left="588"/>
              <w:jc w:val="both"/>
              <w:rPr>
                <w:sz w:val="24"/>
              </w:rPr>
            </w:pPr>
            <w:r>
              <w:rPr>
                <w:spacing w:val="-10"/>
                <w:sz w:val="24"/>
              </w:rPr>
              <w:t>本项目配备的 </w:t>
            </w:r>
            <w:r>
              <w:rPr>
                <w:rFonts w:ascii="Times New Roman" w:eastAsia="Times New Roman"/>
                <w:sz w:val="24"/>
              </w:rPr>
              <w:t>DSA</w:t>
            </w:r>
            <w:r>
              <w:rPr>
                <w:rFonts w:ascii="Times New Roman" w:eastAsia="Times New Roman"/>
                <w:spacing w:val="-1"/>
                <w:sz w:val="24"/>
              </w:rPr>
              <w:t> </w:t>
            </w:r>
            <w:r>
              <w:rPr>
                <w:sz w:val="24"/>
              </w:rPr>
              <w:t>已采取如下技术措施：</w:t>
            </w:r>
          </w:p>
          <w:p>
            <w:pPr>
              <w:pStyle w:val="TableParagraph"/>
              <w:spacing w:line="364" w:lineRule="auto" w:before="161"/>
              <w:ind w:left="108" w:right="94" w:firstLine="638"/>
              <w:jc w:val="both"/>
              <w:rPr>
                <w:sz w:val="24"/>
              </w:rPr>
            </w:pPr>
            <w:r>
              <w:rPr>
                <w:sz w:val="24"/>
              </w:rPr>
              <w:t>①采用栅控技术：在每次脉冲曝光间隔向旋转阳极加一负电压，抵消曝光脉冲的</w:t>
            </w:r>
            <w:r>
              <w:rPr>
                <w:spacing w:val="-5"/>
                <w:sz w:val="24"/>
              </w:rPr>
              <w:t>启辉与余辉，起到消除软 </w:t>
            </w:r>
            <w:r>
              <w:rPr>
                <w:rFonts w:ascii="Times New Roman" w:hAnsi="Times New Roman" w:eastAsia="Times New Roman"/>
                <w:sz w:val="24"/>
              </w:rPr>
              <w:t>X</w:t>
            </w:r>
            <w:r>
              <w:rPr>
                <w:rFonts w:ascii="Times New Roman" w:hAnsi="Times New Roman" w:eastAsia="Times New Roman"/>
                <w:spacing w:val="-1"/>
                <w:sz w:val="24"/>
              </w:rPr>
              <w:t> </w:t>
            </w:r>
            <w:r>
              <w:rPr>
                <w:sz w:val="24"/>
              </w:rPr>
              <w:t>射线、提高有用射线品质并减小脉冲宽度作用。</w:t>
            </w:r>
          </w:p>
          <w:p>
            <w:pPr>
              <w:pStyle w:val="TableParagraph"/>
              <w:spacing w:line="364" w:lineRule="auto" w:before="1"/>
              <w:ind w:left="108" w:right="94" w:firstLine="583"/>
              <w:jc w:val="both"/>
              <w:rPr>
                <w:sz w:val="24"/>
              </w:rPr>
            </w:pPr>
            <w:r>
              <w:rPr>
                <w:spacing w:val="-6"/>
                <w:sz w:val="24"/>
              </w:rPr>
              <w:t>②采用光谱过滤技术：在 </w:t>
            </w:r>
            <w:r>
              <w:rPr>
                <w:rFonts w:ascii="Times New Roman" w:hAnsi="Times New Roman" w:eastAsia="Times New Roman"/>
                <w:sz w:val="24"/>
              </w:rPr>
              <w:t>X</w:t>
            </w:r>
            <w:r>
              <w:rPr>
                <w:rFonts w:ascii="Times New Roman" w:hAnsi="Times New Roman" w:eastAsia="Times New Roman"/>
                <w:spacing w:val="-1"/>
                <w:sz w:val="24"/>
              </w:rPr>
              <w:t> </w:t>
            </w:r>
            <w:r>
              <w:rPr>
                <w:sz w:val="24"/>
              </w:rPr>
              <w:t>射线管头或影像增强器的窗口处放置合适铝过滤板，</w:t>
            </w:r>
            <w:r>
              <w:rPr>
                <w:spacing w:val="-118"/>
                <w:sz w:val="24"/>
              </w:rPr>
              <w:t> </w:t>
            </w:r>
            <w:r>
              <w:rPr>
                <w:spacing w:val="11"/>
                <w:w w:val="95"/>
                <w:sz w:val="24"/>
              </w:rPr>
              <w:t>以消除软 </w:t>
            </w:r>
            <w:r>
              <w:rPr>
                <w:rFonts w:ascii="Times New Roman" w:hAnsi="Times New Roman" w:eastAsia="Times New Roman"/>
                <w:w w:val="95"/>
                <w:sz w:val="24"/>
              </w:rPr>
              <w:t>X</w:t>
            </w:r>
            <w:r>
              <w:rPr>
                <w:rFonts w:ascii="Times New Roman" w:hAnsi="Times New Roman" w:eastAsia="Times New Roman"/>
                <w:spacing w:val="4"/>
                <w:w w:val="95"/>
                <w:sz w:val="24"/>
              </w:rPr>
              <w:t> </w:t>
            </w:r>
            <w:r>
              <w:rPr>
                <w:spacing w:val="4"/>
                <w:w w:val="95"/>
                <w:sz w:val="24"/>
              </w:rPr>
              <w:t>射线以及减少二次散射，优化有用 </w:t>
            </w:r>
            <w:r>
              <w:rPr>
                <w:rFonts w:ascii="Times New Roman" w:hAnsi="Times New Roman" w:eastAsia="Times New Roman"/>
                <w:w w:val="95"/>
                <w:sz w:val="24"/>
              </w:rPr>
              <w:t>X</w:t>
            </w:r>
            <w:r>
              <w:rPr>
                <w:rFonts w:ascii="Times New Roman" w:hAnsi="Times New Roman" w:eastAsia="Times New Roman"/>
                <w:spacing w:val="58"/>
                <w:sz w:val="24"/>
              </w:rPr>
              <w:t> </w:t>
            </w:r>
            <w:r>
              <w:rPr>
                <w:w w:val="95"/>
                <w:sz w:val="24"/>
              </w:rPr>
              <w:t>射线谱。设备提供适应不同应用时所</w:t>
            </w:r>
            <w:r>
              <w:rPr>
                <w:sz w:val="24"/>
              </w:rPr>
              <w:t>可以选用的各种形状与规格的准直器隔板和铝过滤板。</w:t>
            </w:r>
          </w:p>
          <w:p>
            <w:pPr>
              <w:pStyle w:val="TableParagraph"/>
              <w:spacing w:line="364" w:lineRule="auto" w:before="2"/>
              <w:ind w:left="108" w:right="97" w:firstLine="583"/>
              <w:jc w:val="both"/>
              <w:rPr>
                <w:sz w:val="24"/>
              </w:rPr>
            </w:pPr>
            <w:r>
              <w:rPr>
                <w:spacing w:val="-13"/>
                <w:sz w:val="24"/>
              </w:rPr>
              <w:t>③采用脉冲透视技术：在透视图像数字化基础上实现脉冲透视</w:t>
            </w:r>
            <w:r>
              <w:rPr>
                <w:sz w:val="24"/>
              </w:rPr>
              <w:t>（</w:t>
            </w:r>
            <w:r>
              <w:rPr>
                <w:spacing w:val="-15"/>
                <w:sz w:val="24"/>
              </w:rPr>
              <w:t>如每秒 </w:t>
            </w:r>
            <w:r>
              <w:rPr>
                <w:rFonts w:ascii="Times New Roman" w:hAnsi="Times New Roman" w:eastAsia="Times New Roman"/>
                <w:sz w:val="24"/>
              </w:rPr>
              <w:t>25 </w:t>
            </w:r>
            <w:r>
              <w:rPr>
                <w:spacing w:val="-41"/>
                <w:sz w:val="24"/>
              </w:rPr>
              <w:t>帧、</w:t>
            </w:r>
            <w:r>
              <w:rPr>
                <w:rFonts w:ascii="Times New Roman" w:hAnsi="Times New Roman" w:eastAsia="Times New Roman"/>
                <w:sz w:val="24"/>
              </w:rPr>
              <w:t>12.5</w:t>
            </w:r>
            <w:r>
              <w:rPr>
                <w:rFonts w:ascii="Times New Roman" w:hAnsi="Times New Roman" w:eastAsia="Times New Roman"/>
                <w:spacing w:val="-58"/>
                <w:sz w:val="24"/>
              </w:rPr>
              <w:t> </w:t>
            </w:r>
            <w:r>
              <w:rPr>
                <w:sz w:val="24"/>
              </w:rPr>
              <w:t>帧、</w:t>
            </w:r>
            <w:r>
              <w:rPr>
                <w:rFonts w:ascii="Times New Roman" w:hAnsi="Times New Roman" w:eastAsia="Times New Roman"/>
                <w:sz w:val="24"/>
              </w:rPr>
              <w:t>6 </w:t>
            </w:r>
            <w:r>
              <w:rPr>
                <w:sz w:val="24"/>
              </w:rPr>
              <w:t>帧等可供选择），改善图像清晰度；并能明显地减少透视剂量。</w:t>
            </w:r>
          </w:p>
          <w:p>
            <w:pPr>
              <w:pStyle w:val="TableParagraph"/>
              <w:spacing w:line="364" w:lineRule="auto" w:before="1"/>
              <w:ind w:left="108" w:right="-44" w:firstLine="583"/>
              <w:jc w:val="left"/>
              <w:rPr>
                <w:sz w:val="24"/>
              </w:rPr>
            </w:pPr>
            <w:r>
              <w:rPr>
                <w:sz w:val="24"/>
              </w:rPr>
              <w:t>④采用图像冻结技术：每次透视的最后一帧图像被暂存并保留于监视器上显示，</w:t>
            </w:r>
            <w:r>
              <w:rPr>
                <w:spacing w:val="1"/>
                <w:sz w:val="24"/>
              </w:rPr>
              <w:t> </w:t>
            </w:r>
            <w:r>
              <w:rPr>
                <w:spacing w:val="-3"/>
                <w:sz w:val="24"/>
              </w:rPr>
              <w:t>即称之为图像冻结（</w:t>
            </w:r>
            <w:r>
              <w:rPr>
                <w:rFonts w:ascii="Times New Roman" w:hAnsi="Times New Roman" w:eastAsia="Times New Roman"/>
                <w:spacing w:val="-3"/>
                <w:sz w:val="24"/>
              </w:rPr>
              <w:t>last</w:t>
            </w:r>
            <w:r>
              <w:rPr>
                <w:rFonts w:ascii="Times New Roman" w:hAnsi="Times New Roman" w:eastAsia="Times New Roman"/>
                <w:spacing w:val="-9"/>
                <w:sz w:val="24"/>
              </w:rPr>
              <w:t> </w:t>
            </w:r>
            <w:r>
              <w:rPr>
                <w:rFonts w:ascii="Times New Roman" w:hAnsi="Times New Roman" w:eastAsia="Times New Roman"/>
                <w:spacing w:val="-3"/>
                <w:sz w:val="24"/>
              </w:rPr>
              <w:t>image</w:t>
            </w:r>
            <w:r>
              <w:rPr>
                <w:rFonts w:ascii="Times New Roman" w:hAnsi="Times New Roman" w:eastAsia="Times New Roman"/>
                <w:spacing w:val="-8"/>
                <w:sz w:val="24"/>
              </w:rPr>
              <w:t> </w:t>
            </w:r>
            <w:r>
              <w:rPr>
                <w:rFonts w:ascii="Times New Roman" w:hAnsi="Times New Roman" w:eastAsia="Times New Roman"/>
                <w:spacing w:val="-3"/>
                <w:sz w:val="24"/>
              </w:rPr>
              <w:t>hold</w:t>
            </w:r>
            <w:r>
              <w:rPr>
                <w:spacing w:val="-3"/>
                <w:sz w:val="24"/>
              </w:rPr>
              <w:t>，</w:t>
            </w:r>
            <w:r>
              <w:rPr>
                <w:rFonts w:ascii="Times New Roman" w:hAnsi="Times New Roman" w:eastAsia="Times New Roman"/>
                <w:spacing w:val="-3"/>
                <w:sz w:val="24"/>
              </w:rPr>
              <w:t>LIH</w:t>
            </w:r>
            <w:r>
              <w:rPr>
                <w:spacing w:val="-3"/>
                <w:sz w:val="24"/>
              </w:rPr>
              <w:t>）</w:t>
            </w:r>
            <w:r>
              <w:rPr>
                <w:spacing w:val="-2"/>
                <w:sz w:val="24"/>
              </w:rPr>
              <w:t>。充分利用此方法可以明显缩短总透视时间，</w:t>
            </w:r>
            <w:r>
              <w:rPr>
                <w:spacing w:val="-117"/>
                <w:sz w:val="24"/>
              </w:rPr>
              <w:t> </w:t>
            </w:r>
            <w:r>
              <w:rPr>
                <w:sz w:val="24"/>
              </w:rPr>
              <w:t>达到减少不必要的照射。</w:t>
            </w:r>
          </w:p>
          <w:p>
            <w:pPr>
              <w:pStyle w:val="TableParagraph"/>
              <w:spacing w:line="364" w:lineRule="auto" w:before="2"/>
              <w:ind w:left="108" w:right="97" w:firstLine="583"/>
              <w:jc w:val="left"/>
              <w:rPr>
                <w:sz w:val="24"/>
              </w:rPr>
            </w:pPr>
            <w:r>
              <w:rPr>
                <w:sz w:val="24"/>
              </w:rPr>
              <w:t>⑤配备相应的表征剂量指示装置：配备能在线监测表征输出剂量的指示装置，例如剂量面积乘积（</w:t>
            </w:r>
            <w:r>
              <w:rPr>
                <w:rFonts w:ascii="Times New Roman" w:hAnsi="Times New Roman" w:eastAsia="Times New Roman"/>
                <w:sz w:val="24"/>
              </w:rPr>
              <w:t>DAP</w:t>
            </w:r>
            <w:r>
              <w:rPr>
                <w:sz w:val="24"/>
              </w:rPr>
              <w:t>）仪等。</w:t>
            </w:r>
          </w:p>
          <w:p>
            <w:pPr>
              <w:pStyle w:val="TableParagraph"/>
              <w:spacing w:line="364" w:lineRule="auto" w:before="1"/>
              <w:ind w:left="108" w:right="87" w:firstLine="568"/>
              <w:jc w:val="both"/>
              <w:rPr>
                <w:sz w:val="24"/>
              </w:rPr>
            </w:pPr>
            <w:r>
              <w:rPr>
                <w:spacing w:val="-2"/>
                <w:sz w:val="24"/>
              </w:rPr>
              <w:t>⑥配备辅助防护设施：</w:t>
            </w:r>
            <w:r>
              <w:rPr>
                <w:rFonts w:ascii="Times New Roman" w:hAnsi="Times New Roman" w:eastAsia="Times New Roman"/>
                <w:spacing w:val="-2"/>
                <w:sz w:val="24"/>
              </w:rPr>
              <w:t>DSA</w:t>
            </w:r>
            <w:r>
              <w:rPr>
                <w:rFonts w:ascii="Times New Roman" w:hAnsi="Times New Roman" w:eastAsia="Times New Roman"/>
                <w:spacing w:val="-10"/>
                <w:sz w:val="24"/>
              </w:rPr>
              <w:t> </w:t>
            </w:r>
            <w:r>
              <w:rPr>
                <w:spacing w:val="-2"/>
                <w:sz w:val="24"/>
              </w:rPr>
              <w:t>配备床下铅帘（</w:t>
            </w:r>
            <w:r>
              <w:rPr>
                <w:rFonts w:ascii="Times New Roman" w:hAnsi="Times New Roman" w:eastAsia="Times New Roman"/>
                <w:spacing w:val="-2"/>
                <w:sz w:val="24"/>
              </w:rPr>
              <w:t>0.5mmPb</w:t>
            </w:r>
            <w:r>
              <w:rPr>
                <w:spacing w:val="-2"/>
                <w:sz w:val="24"/>
              </w:rPr>
              <w:t>）</w:t>
            </w:r>
            <w:r>
              <w:rPr>
                <w:spacing w:val="-1"/>
                <w:sz w:val="24"/>
              </w:rPr>
              <w:t>和悬吊铅帘</w:t>
            </w:r>
            <w:r>
              <w:rPr>
                <w:rFonts w:ascii="Times New Roman" w:hAnsi="Times New Roman" w:eastAsia="Times New Roman"/>
                <w:spacing w:val="-1"/>
                <w:sz w:val="24"/>
              </w:rPr>
              <w:t>(0.5mmPb)</w:t>
            </w:r>
            <w:r>
              <w:rPr>
                <w:spacing w:val="-1"/>
                <w:sz w:val="24"/>
              </w:rPr>
              <w:t>、铅</w:t>
            </w:r>
            <w:r>
              <w:rPr>
                <w:spacing w:val="-7"/>
                <w:sz w:val="24"/>
              </w:rPr>
              <w:t>屏风等辅助防护用品与设施，则在设备运行中可用于加强对有关人员采取放射防护与安</w:t>
            </w:r>
            <w:r>
              <w:rPr>
                <w:sz w:val="24"/>
              </w:rPr>
              <w:t>全措施。</w:t>
            </w:r>
          </w:p>
          <w:p>
            <w:pPr>
              <w:pStyle w:val="TableParagraph"/>
              <w:spacing w:line="364" w:lineRule="auto" w:before="2"/>
              <w:ind w:left="108" w:right="92" w:firstLine="568"/>
              <w:jc w:val="both"/>
              <w:rPr>
                <w:sz w:val="24"/>
              </w:rPr>
            </w:pPr>
            <w:r>
              <w:rPr>
                <w:sz w:val="24"/>
              </w:rPr>
              <w:t>⑦正常情况下，必须按规定程序并确认验证设置无误时，才能由</w:t>
            </w:r>
            <w:r>
              <w:rPr>
                <w:rFonts w:ascii="Times New Roman" w:hAnsi="Times New Roman" w:eastAsia="Times New Roman"/>
                <w:sz w:val="24"/>
              </w:rPr>
              <w:t>“</w:t>
            </w:r>
            <w:r>
              <w:rPr>
                <w:sz w:val="24"/>
              </w:rPr>
              <w:t>启动</w:t>
            </w:r>
            <w:r>
              <w:rPr>
                <w:rFonts w:ascii="Times New Roman" w:hAnsi="Times New Roman" w:eastAsia="Times New Roman"/>
                <w:sz w:val="24"/>
              </w:rPr>
              <w:t>”</w:t>
            </w:r>
            <w:r>
              <w:rPr>
                <w:sz w:val="24"/>
              </w:rPr>
              <w:t>键启动照</w:t>
            </w:r>
            <w:r>
              <w:rPr>
                <w:spacing w:val="-2"/>
                <w:sz w:val="24"/>
              </w:rPr>
              <w:t>射；同时在操作台和床体上均设置</w:t>
            </w:r>
            <w:r>
              <w:rPr>
                <w:rFonts w:ascii="Times New Roman" w:hAnsi="Times New Roman" w:eastAsia="Times New Roman"/>
                <w:spacing w:val="-1"/>
                <w:sz w:val="24"/>
              </w:rPr>
              <w:t>“</w:t>
            </w:r>
            <w:r>
              <w:rPr>
                <w:spacing w:val="-1"/>
                <w:sz w:val="24"/>
              </w:rPr>
              <w:t>紧急止动</w:t>
            </w:r>
            <w:r>
              <w:rPr>
                <w:rFonts w:ascii="Times New Roman" w:hAnsi="Times New Roman" w:eastAsia="Times New Roman"/>
                <w:spacing w:val="-1"/>
                <w:sz w:val="24"/>
              </w:rPr>
              <w:t>”</w:t>
            </w:r>
            <w:r>
              <w:rPr>
                <w:spacing w:val="-1"/>
                <w:sz w:val="24"/>
              </w:rPr>
              <w:t>按钮，一旦发生异常情况，工作人员可立</w:t>
            </w:r>
            <w:r>
              <w:rPr>
                <w:sz w:val="24"/>
              </w:rPr>
              <w:t>即按下此按钮来停止照射。</w:t>
            </w:r>
          </w:p>
          <w:p>
            <w:pPr>
              <w:pStyle w:val="TableParagraph"/>
              <w:spacing w:before="1"/>
              <w:ind w:left="588"/>
              <w:jc w:val="left"/>
              <w:rPr>
                <w:sz w:val="24"/>
              </w:rPr>
            </w:pPr>
            <w:r>
              <w:rPr>
                <w:rFonts w:ascii="Times New Roman" w:eastAsia="Times New Roman"/>
                <w:sz w:val="24"/>
              </w:rPr>
              <w:t>2</w:t>
            </w:r>
            <w:r>
              <w:rPr>
                <w:sz w:val="24"/>
              </w:rPr>
              <w:t>、辐射工作场所防治措施</w:t>
            </w:r>
          </w:p>
          <w:p>
            <w:pPr>
              <w:pStyle w:val="TableParagraph"/>
              <w:spacing w:before="161"/>
              <w:ind w:left="588"/>
              <w:jc w:val="left"/>
              <w:rPr>
                <w:sz w:val="24"/>
              </w:rPr>
            </w:pPr>
            <w:r>
              <w:rPr>
                <w:sz w:val="24"/>
              </w:rPr>
              <w:t>①</w:t>
            </w:r>
            <w:r>
              <w:rPr>
                <w:rFonts w:ascii="Times New Roman" w:hAnsi="Times New Roman" w:eastAsia="Times New Roman"/>
                <w:sz w:val="24"/>
              </w:rPr>
              <w:t>DSA</w:t>
            </w:r>
            <w:r>
              <w:rPr>
                <w:rFonts w:ascii="Times New Roman" w:hAnsi="Times New Roman" w:eastAsia="Times New Roman"/>
                <w:spacing w:val="-2"/>
                <w:sz w:val="24"/>
              </w:rPr>
              <w:t> </w:t>
            </w:r>
            <w:r>
              <w:rPr>
                <w:sz w:val="24"/>
              </w:rPr>
              <w:t>机房采取屏蔽措施。</w:t>
            </w:r>
          </w:p>
        </w:tc>
      </w:tr>
    </w:tbl>
    <w:p>
      <w:pPr>
        <w:spacing w:after="0"/>
        <w:jc w:val="left"/>
        <w:rPr>
          <w:sz w:val="24"/>
        </w:rPr>
        <w:sectPr>
          <w:pgSz w:w="11910" w:h="16840"/>
          <w:pgMar w:header="0" w:footer="1383" w:top="1420" w:bottom="1580" w:left="1240" w:right="1040"/>
        </w:sectPr>
      </w:pPr>
    </w:p>
    <w:p>
      <w:pPr>
        <w:pStyle w:val="BodyText"/>
        <w:spacing w:before="92"/>
        <w:ind w:left="802"/>
      </w:pPr>
      <w:r>
        <w:rPr/>
        <w:pict>
          <v:shape style="position:absolute;margin-left:72.459999pt;margin-top:72.000023pt;width:463.4pt;height:679.75pt;mso-position-horizontal-relative:page;mso-position-vertical-relative:page;z-index:-20144640" coordorigin="1449,1440" coordsize="9268,13595" path="m1449,1445l10717,1445m1449,15035l10717,15035m1454,1440l1454,15030m10712,1440l10712,15030e" filled="false" stroked="true" strokeweight=".48pt" strokecolor="#000000">
            <v:path arrowok="t"/>
            <v:stroke dashstyle="solid"/>
            <w10:wrap type="none"/>
          </v:shape>
        </w:pict>
      </w:r>
      <w:r>
        <w:rPr/>
        <w:t>②</w:t>
      </w:r>
      <w:r>
        <w:rPr>
          <w:rFonts w:ascii="Times New Roman" w:hAnsi="Times New Roman" w:eastAsia="Times New Roman"/>
        </w:rPr>
        <w:t>DSA</w:t>
      </w:r>
      <w:r>
        <w:rPr>
          <w:rFonts w:ascii="Times New Roman" w:hAnsi="Times New Roman" w:eastAsia="Times New Roman"/>
          <w:spacing w:val="-2"/>
        </w:rPr>
        <w:t> </w:t>
      </w:r>
      <w:r>
        <w:rPr/>
        <w:t>机房防护门外设有电离辐射警示标志和工作指示灯箱。</w:t>
      </w:r>
    </w:p>
    <w:p>
      <w:pPr>
        <w:pStyle w:val="BodyText"/>
        <w:spacing w:before="160"/>
        <w:ind w:left="802"/>
      </w:pPr>
      <w:r>
        <w:rPr/>
        <w:t>③配有铅衣、铅帽、铅围脖、铅眼镜等防护措施。</w:t>
      </w:r>
    </w:p>
    <w:p>
      <w:pPr>
        <w:pStyle w:val="BodyText"/>
        <w:spacing w:line="364" w:lineRule="auto" w:before="161"/>
        <w:ind w:left="322" w:right="260" w:firstLine="480"/>
        <w:jc w:val="both"/>
      </w:pPr>
      <w:r>
        <w:rPr/>
        <w:t>④门灯联锁：</w:t>
      </w:r>
      <w:r>
        <w:rPr>
          <w:rFonts w:ascii="Times New Roman" w:hAnsi="Times New Roman" w:eastAsia="Times New Roman"/>
        </w:rPr>
        <w:t>DSA</w:t>
      </w:r>
      <w:r>
        <w:rPr>
          <w:rFonts w:ascii="Times New Roman" w:hAnsi="Times New Roman" w:eastAsia="Times New Roman"/>
          <w:spacing w:val="1"/>
        </w:rPr>
        <w:t> </w:t>
      </w:r>
      <w:r>
        <w:rPr/>
        <w:t>机房防护门外顶部设置工作状态指示灯箱。防护灯为红色，以警示人员注意安全；当防护门打开时，指示灯灭。</w:t>
      </w:r>
    </w:p>
    <w:p>
      <w:pPr>
        <w:pStyle w:val="BodyText"/>
        <w:spacing w:line="364" w:lineRule="auto" w:before="1"/>
        <w:ind w:left="322" w:right="260" w:firstLine="480"/>
        <w:jc w:val="both"/>
      </w:pPr>
      <w:r>
        <w:rPr/>
        <w:t>⑤紧急止动装置：控制台上、手术床旁设置紧急止动按钮。</w:t>
      </w:r>
      <w:r>
        <w:rPr>
          <w:rFonts w:ascii="Times New Roman" w:hAnsi="Times New Roman" w:eastAsia="Times New Roman"/>
        </w:rPr>
        <w:t>DSA</w:t>
      </w:r>
      <w:r>
        <w:rPr>
          <w:rFonts w:ascii="Times New Roman" w:hAnsi="Times New Roman" w:eastAsia="Times New Roman"/>
          <w:spacing w:val="11"/>
        </w:rPr>
        <w:t> </w:t>
      </w:r>
      <w:r>
        <w:rPr>
          <w:spacing w:val="-12"/>
        </w:rPr>
        <w:t>系统的 </w:t>
      </w:r>
      <w:r>
        <w:rPr>
          <w:rFonts w:ascii="Times New Roman" w:hAnsi="Times New Roman" w:eastAsia="Times New Roman"/>
        </w:rPr>
        <w:t>X</w:t>
      </w:r>
      <w:r>
        <w:rPr>
          <w:rFonts w:ascii="Times New Roman" w:hAnsi="Times New Roman" w:eastAsia="Times New Roman"/>
          <w:spacing w:val="9"/>
        </w:rPr>
        <w:t> </w:t>
      </w:r>
      <w:r>
        <w:rPr/>
        <w:t>射线系</w:t>
      </w:r>
      <w:r>
        <w:rPr>
          <w:spacing w:val="-1"/>
        </w:rPr>
        <w:t>统出束过程中，一旦出现异常，按下任意一个紧急止动按钮，均可停止 </w:t>
      </w:r>
      <w:r>
        <w:rPr>
          <w:rFonts w:ascii="Times New Roman" w:hAnsi="Times New Roman" w:eastAsia="Times New Roman"/>
        </w:rPr>
        <w:t>X</w:t>
      </w:r>
      <w:r>
        <w:rPr>
          <w:rFonts w:ascii="Times New Roman" w:hAnsi="Times New Roman" w:eastAsia="Times New Roman"/>
          <w:spacing w:val="37"/>
        </w:rPr>
        <w:t> </w:t>
      </w:r>
      <w:r>
        <w:rPr/>
        <w:t>射线系统出束。</w:t>
      </w:r>
    </w:p>
    <w:p>
      <w:pPr>
        <w:pStyle w:val="BodyText"/>
        <w:spacing w:before="2"/>
        <w:ind w:left="802"/>
      </w:pPr>
      <w:r>
        <w:rPr>
          <w:rFonts w:ascii="Times New Roman" w:eastAsia="Times New Roman"/>
        </w:rPr>
        <w:t>3</w:t>
      </w:r>
      <w:r>
        <w:rPr/>
        <w:t>、人员的安全与防护</w:t>
      </w:r>
    </w:p>
    <w:p>
      <w:pPr>
        <w:pStyle w:val="BodyText"/>
        <w:spacing w:before="160"/>
        <w:ind w:left="802"/>
      </w:pPr>
      <w:r>
        <w:rPr/>
        <w:t>人员主要指本项目辐射工作人员、受检者或患者、本次评价范围内公众。</w:t>
      </w:r>
    </w:p>
    <w:p>
      <w:pPr>
        <w:pStyle w:val="ListParagraph"/>
        <w:numPr>
          <w:ilvl w:val="0"/>
          <w:numId w:val="8"/>
        </w:numPr>
        <w:tabs>
          <w:tab w:pos="1523" w:val="left" w:leader="none"/>
        </w:tabs>
        <w:spacing w:line="240" w:lineRule="auto" w:before="161" w:after="0"/>
        <w:ind w:left="1522" w:right="0" w:hanging="721"/>
        <w:jc w:val="left"/>
        <w:rPr>
          <w:sz w:val="24"/>
        </w:rPr>
      </w:pPr>
      <w:r>
        <w:rPr>
          <w:sz w:val="24"/>
        </w:rPr>
        <w:t>辐射工作人员</w:t>
      </w:r>
    </w:p>
    <w:p>
      <w:pPr>
        <w:pStyle w:val="BodyText"/>
        <w:spacing w:line="364" w:lineRule="auto" w:before="160"/>
        <w:ind w:left="322" w:right="260" w:firstLine="480"/>
      </w:pPr>
      <w:r>
        <w:rPr>
          <w:spacing w:val="-1"/>
        </w:rPr>
        <w:t>为减少辐射工作人员的照射剂量，防护</w:t>
      </w:r>
      <w:r>
        <w:rPr>
          <w:rFonts w:ascii="Times New Roman" w:eastAsia="Times New Roman"/>
        </w:rPr>
        <w:t>X</w:t>
      </w:r>
      <w:r>
        <w:rPr/>
        <w:t>射线的主要方法有屏蔽防护、时间防护和距离防护，三种防护联合运用、合理调节。</w:t>
      </w:r>
    </w:p>
    <w:p>
      <w:pPr>
        <w:pStyle w:val="BodyText"/>
        <w:spacing w:before="1"/>
        <w:ind w:left="802"/>
      </w:pPr>
      <w:r>
        <w:rPr/>
        <w:t>①距离防护</w:t>
      </w:r>
    </w:p>
    <w:p>
      <w:pPr>
        <w:pStyle w:val="BodyText"/>
        <w:spacing w:line="364" w:lineRule="auto" w:before="161"/>
        <w:ind w:left="322" w:right="258" w:firstLine="480"/>
        <w:jc w:val="both"/>
      </w:pPr>
      <w:r>
        <w:rPr>
          <w:rFonts w:ascii="Times New Roman" w:hAnsi="Times New Roman" w:eastAsia="Times New Roman"/>
          <w:spacing w:val="-1"/>
        </w:rPr>
        <w:t>DSA</w:t>
      </w:r>
      <w:r>
        <w:rPr/>
        <w:t>机房严格按照控制区和监督区划分实行</w:t>
      </w:r>
      <w:r>
        <w:rPr>
          <w:rFonts w:ascii="Times New Roman" w:hAnsi="Times New Roman" w:eastAsia="Times New Roman"/>
        </w:rPr>
        <w:t>“</w:t>
      </w:r>
      <w:r>
        <w:rPr/>
        <w:t>两区</w:t>
      </w:r>
      <w:r>
        <w:rPr>
          <w:rFonts w:ascii="Times New Roman" w:hAnsi="Times New Roman" w:eastAsia="Times New Roman"/>
        </w:rPr>
        <w:t>”</w:t>
      </w:r>
      <w:r>
        <w:rPr>
          <w:spacing w:val="-8"/>
        </w:rPr>
        <w:t>管理，且在机房的人员通道门的</w:t>
      </w:r>
      <w:r>
        <w:rPr/>
        <w:t>醒目位置将张贴固定的电离辐射警告标志并安装工作状态指示灯箱。限制无关人员进入，以免受到不必要的照射。</w:t>
      </w:r>
    </w:p>
    <w:p>
      <w:pPr>
        <w:pStyle w:val="BodyText"/>
        <w:spacing w:before="1"/>
        <w:ind w:left="802"/>
      </w:pPr>
      <w:r>
        <w:rPr/>
        <w:t>②时间防护</w:t>
      </w:r>
    </w:p>
    <w:p>
      <w:pPr>
        <w:pStyle w:val="BodyText"/>
        <w:spacing w:line="364" w:lineRule="auto" w:before="161"/>
        <w:ind w:left="322" w:right="140" w:firstLine="480"/>
      </w:pPr>
      <w:r>
        <w:rPr/>
        <w:t>在满足诊断要求的前提下，在每次使用射线装置进行诊断之前，根据诊断要求和病人实际情况制定最优化的诊断方案，选择合理可行尽量低的射线照射参数，以及尽量短</w:t>
      </w:r>
      <w:r>
        <w:rPr>
          <w:spacing w:val="-15"/>
        </w:rPr>
        <w:t>的曝光时间，减少工作人员和相关公众的受照射时间，也避免病人受到额外剂量的照射。</w:t>
      </w:r>
      <w:r>
        <w:rPr>
          <w:spacing w:val="-5"/>
        </w:rPr>
        <w:t>根据医院的实际情况，本项目的 </w:t>
      </w:r>
      <w:r>
        <w:rPr>
          <w:rFonts w:ascii="Times New Roman" w:eastAsia="Times New Roman"/>
        </w:rPr>
        <w:t>DSA</w:t>
      </w:r>
      <w:r>
        <w:rPr>
          <w:rFonts w:ascii="Times New Roman" w:eastAsia="Times New Roman"/>
          <w:spacing w:val="-1"/>
        </w:rPr>
        <w:t> </w:t>
      </w:r>
      <w:r>
        <w:rPr/>
        <w:t>主要用于介入手术、血管造影等。</w:t>
      </w:r>
    </w:p>
    <w:p>
      <w:pPr>
        <w:pStyle w:val="BodyText"/>
        <w:spacing w:before="2"/>
        <w:ind w:left="802"/>
      </w:pPr>
      <w:r>
        <w:rPr/>
        <w:t>③缩小照射野：在不影响操作的前提下尽量缩小照射野。</w:t>
      </w:r>
    </w:p>
    <w:p>
      <w:pPr>
        <w:pStyle w:val="BodyText"/>
        <w:spacing w:before="161"/>
        <w:ind w:left="802"/>
      </w:pPr>
      <w:r>
        <w:rPr/>
        <w:t>④缩短物片距：尽量让影像增强器或平板靠近患者，减少散射线。</w:t>
      </w:r>
    </w:p>
    <w:p>
      <w:pPr>
        <w:pStyle w:val="BodyText"/>
        <w:spacing w:before="160"/>
        <w:ind w:left="802"/>
      </w:pPr>
      <w:r>
        <w:rPr/>
        <w:t>⑤充分利用各种防护器材：</w:t>
      </w:r>
    </w:p>
    <w:p>
      <w:pPr>
        <w:pStyle w:val="ListParagraph"/>
        <w:numPr>
          <w:ilvl w:val="0"/>
          <w:numId w:val="9"/>
        </w:numPr>
        <w:tabs>
          <w:tab w:pos="973" w:val="left" w:leader="none"/>
        </w:tabs>
        <w:spacing w:line="364" w:lineRule="auto" w:before="161" w:after="0"/>
        <w:ind w:left="322" w:right="260" w:firstLine="480"/>
        <w:jc w:val="left"/>
        <w:rPr>
          <w:sz w:val="24"/>
        </w:rPr>
      </w:pPr>
      <w:r>
        <w:rPr>
          <w:spacing w:val="-4"/>
          <w:sz w:val="24"/>
        </w:rPr>
        <w:t>介入手术中 </w:t>
      </w:r>
      <w:r>
        <w:rPr>
          <w:rFonts w:ascii="Times New Roman" w:eastAsia="Times New Roman"/>
          <w:sz w:val="24"/>
        </w:rPr>
        <w:t>DSA</w:t>
      </w:r>
      <w:r>
        <w:rPr>
          <w:rFonts w:ascii="Times New Roman" w:eastAsia="Times New Roman"/>
          <w:spacing w:val="36"/>
          <w:sz w:val="24"/>
        </w:rPr>
        <w:t> </w:t>
      </w:r>
      <w:r>
        <w:rPr>
          <w:sz w:val="24"/>
        </w:rPr>
        <w:t>机房内操作者穿铅衣、铅眼镜、铅围脖、铅手套（防护厚度均</w:t>
      </w:r>
      <w:r>
        <w:rPr>
          <w:spacing w:val="-30"/>
          <w:sz w:val="24"/>
        </w:rPr>
        <w:t>为 </w:t>
      </w:r>
      <w:r>
        <w:rPr>
          <w:rFonts w:ascii="Times New Roman" w:eastAsia="Times New Roman"/>
          <w:sz w:val="24"/>
        </w:rPr>
        <w:t>0.5mm</w:t>
      </w:r>
      <w:r>
        <w:rPr>
          <w:rFonts w:ascii="Times New Roman" w:eastAsia="Times New Roman"/>
          <w:spacing w:val="-2"/>
          <w:sz w:val="24"/>
        </w:rPr>
        <w:t> </w:t>
      </w:r>
      <w:r>
        <w:rPr>
          <w:sz w:val="24"/>
        </w:rPr>
        <w:t>铅当量）；</w:t>
      </w:r>
    </w:p>
    <w:p>
      <w:pPr>
        <w:pStyle w:val="ListParagraph"/>
        <w:numPr>
          <w:ilvl w:val="0"/>
          <w:numId w:val="9"/>
        </w:numPr>
        <w:tabs>
          <w:tab w:pos="984" w:val="left" w:leader="none"/>
        </w:tabs>
        <w:spacing w:line="240" w:lineRule="auto" w:before="1" w:after="0"/>
        <w:ind w:left="983" w:right="0" w:hanging="182"/>
        <w:jc w:val="left"/>
        <w:rPr>
          <w:sz w:val="24"/>
        </w:rPr>
      </w:pPr>
      <w:r>
        <w:rPr>
          <w:w w:val="95"/>
          <w:sz w:val="24"/>
        </w:rPr>
        <w:t>使用床下铅帘及悬吊铅帘（</w:t>
      </w:r>
      <w:r>
        <w:rPr>
          <w:spacing w:val="14"/>
          <w:w w:val="95"/>
          <w:sz w:val="24"/>
        </w:rPr>
        <w:t>防护厚度均为 </w:t>
      </w:r>
      <w:r>
        <w:rPr>
          <w:rFonts w:ascii="Times New Roman" w:eastAsia="Times New Roman"/>
          <w:w w:val="95"/>
          <w:sz w:val="24"/>
        </w:rPr>
        <w:t>0.5mm</w:t>
      </w:r>
      <w:r>
        <w:rPr>
          <w:rFonts w:ascii="Times New Roman" w:eastAsia="Times New Roman"/>
          <w:spacing w:val="150"/>
          <w:sz w:val="24"/>
        </w:rPr>
        <w:t> </w:t>
      </w:r>
      <w:r>
        <w:rPr>
          <w:w w:val="95"/>
          <w:sz w:val="24"/>
        </w:rPr>
        <w:t>铅当量）。</w:t>
      </w:r>
    </w:p>
    <w:p>
      <w:pPr>
        <w:pStyle w:val="BodyText"/>
        <w:spacing w:before="161"/>
        <w:ind w:left="802"/>
      </w:pPr>
      <w:r>
        <w:rPr/>
        <w:t>⑥在不影响图像质量和诊疗需要的前提下，尽量使用低剂量。</w:t>
      </w:r>
    </w:p>
    <w:p>
      <w:pPr>
        <w:pStyle w:val="BodyText"/>
        <w:spacing w:before="160"/>
        <w:ind w:left="802"/>
      </w:pPr>
      <w:r>
        <w:rPr/>
        <w:t>⑦个人剂量监测</w:t>
      </w:r>
    </w:p>
    <w:p>
      <w:pPr>
        <w:spacing w:after="0"/>
        <w:sectPr>
          <w:pgSz w:w="11910" w:h="16840"/>
          <w:pgMar w:header="0" w:footer="1383" w:top="1420" w:bottom="1580" w:left="1240" w:right="1040"/>
        </w:sect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
        <w:gridCol w:w="1080"/>
        <w:gridCol w:w="1107"/>
        <w:gridCol w:w="6728"/>
        <w:gridCol w:w="172"/>
      </w:tblGrid>
      <w:tr>
        <w:trPr>
          <w:trHeight w:val="9047" w:hRule="atLeast"/>
        </w:trPr>
        <w:tc>
          <w:tcPr>
            <w:tcW w:w="9258" w:type="dxa"/>
            <w:gridSpan w:val="5"/>
            <w:tcBorders>
              <w:bottom w:val="nil"/>
            </w:tcBorders>
          </w:tcPr>
          <w:p>
            <w:pPr>
              <w:pStyle w:val="TableParagraph"/>
              <w:spacing w:line="364" w:lineRule="auto" w:before="80"/>
              <w:ind w:left="108" w:right="94" w:firstLine="480"/>
              <w:jc w:val="both"/>
              <w:rPr>
                <w:sz w:val="24"/>
              </w:rPr>
            </w:pPr>
            <w:r>
              <w:rPr>
                <w:spacing w:val="-3"/>
                <w:sz w:val="24"/>
              </w:rPr>
              <w:t>辐射工作人员均应配备有个人剂量计，并要求在上班期间必须佩戴。对于进行介入治疗的辐射工作人员，建议采用双剂量计监测方法</w:t>
            </w:r>
            <w:r>
              <w:rPr>
                <w:spacing w:val="-2"/>
                <w:sz w:val="24"/>
              </w:rPr>
              <w:t>（在铅围裙内躯干上再佩戴另一个剂</w:t>
            </w:r>
            <w:r>
              <w:rPr>
                <w:sz w:val="24"/>
              </w:rPr>
              <w:t>量计），且宜在身体可能受到较大照射的部位佩戴局部剂量计</w:t>
            </w:r>
            <w:r>
              <w:rPr>
                <w:rFonts w:ascii="Times New Roman" w:eastAsia="Times New Roman"/>
                <w:sz w:val="24"/>
              </w:rPr>
              <w:t>(</w:t>
            </w:r>
            <w:r>
              <w:rPr>
                <w:sz w:val="24"/>
              </w:rPr>
              <w:t>如头箍剂量计、腕部剂</w:t>
            </w:r>
            <w:r>
              <w:rPr>
                <w:spacing w:val="-3"/>
                <w:sz w:val="24"/>
              </w:rPr>
              <w:t>量计、指环剂量计等</w:t>
            </w:r>
            <w:r>
              <w:rPr>
                <w:spacing w:val="-2"/>
                <w:sz w:val="24"/>
              </w:rPr>
              <w:t>），铅衣外剂量计一般佩戴在左胸前或衣领前面，并将有标签的一</w:t>
            </w:r>
            <w:r>
              <w:rPr>
                <w:spacing w:val="-3"/>
                <w:sz w:val="24"/>
              </w:rPr>
              <w:t>面朝外。医院定期</w:t>
            </w:r>
            <w:r>
              <w:rPr>
                <w:spacing w:val="-2"/>
                <w:sz w:val="24"/>
              </w:rPr>
              <w:t>（每季度一次）将个人剂量计送有资质单位进行检测，检测结果存入</w:t>
            </w:r>
            <w:r>
              <w:rPr>
                <w:sz w:val="24"/>
              </w:rPr>
              <w:t>个人剂量档案。</w:t>
            </w:r>
          </w:p>
          <w:p>
            <w:pPr>
              <w:pStyle w:val="TableParagraph"/>
              <w:numPr>
                <w:ilvl w:val="0"/>
                <w:numId w:val="10"/>
              </w:numPr>
              <w:tabs>
                <w:tab w:pos="1309" w:val="left" w:leader="none"/>
              </w:tabs>
              <w:spacing w:line="240" w:lineRule="auto" w:before="3" w:after="0"/>
              <w:ind w:left="1308" w:right="0" w:hanging="721"/>
              <w:jc w:val="both"/>
              <w:rPr>
                <w:sz w:val="24"/>
              </w:rPr>
            </w:pPr>
            <w:r>
              <w:rPr>
                <w:sz w:val="24"/>
              </w:rPr>
              <w:t>受检者或患者的安全防护</w:t>
            </w:r>
          </w:p>
          <w:p>
            <w:pPr>
              <w:pStyle w:val="TableParagraph"/>
              <w:spacing w:line="364" w:lineRule="auto" w:before="161"/>
              <w:ind w:left="108" w:right="94" w:firstLine="480"/>
              <w:jc w:val="both"/>
              <w:rPr>
                <w:sz w:val="24"/>
              </w:rPr>
            </w:pPr>
            <w:r>
              <w:rPr>
                <w:spacing w:val="-3"/>
                <w:sz w:val="24"/>
              </w:rPr>
              <w:t>医院应配有三角巾、铅围脖（</w:t>
            </w:r>
            <w:r>
              <w:rPr>
                <w:spacing w:val="-9"/>
                <w:sz w:val="24"/>
              </w:rPr>
              <w:t>防护铅当量应不低于 </w:t>
            </w:r>
            <w:r>
              <w:rPr>
                <w:rFonts w:ascii="Times New Roman" w:eastAsia="Times New Roman"/>
                <w:spacing w:val="-3"/>
                <w:sz w:val="24"/>
              </w:rPr>
              <w:t>0.5mm</w:t>
            </w:r>
            <w:r>
              <w:rPr>
                <w:spacing w:val="-3"/>
                <w:sz w:val="24"/>
              </w:rPr>
              <w:t>），用于患者非照射部位进行防护，以避免病人受到不必要的照射。另外，在不影响工作质量的前提下，保持与</w:t>
            </w:r>
            <w:r>
              <w:rPr>
                <w:sz w:val="24"/>
              </w:rPr>
              <w:t>射线装置尽可能大的距离。</w:t>
            </w:r>
          </w:p>
          <w:p>
            <w:pPr>
              <w:pStyle w:val="TableParagraph"/>
              <w:numPr>
                <w:ilvl w:val="0"/>
                <w:numId w:val="10"/>
              </w:numPr>
              <w:tabs>
                <w:tab w:pos="1309" w:val="left" w:leader="none"/>
              </w:tabs>
              <w:spacing w:line="240" w:lineRule="auto" w:before="2" w:after="0"/>
              <w:ind w:left="1308" w:right="0" w:hanging="721"/>
              <w:jc w:val="both"/>
              <w:rPr>
                <w:sz w:val="24"/>
              </w:rPr>
            </w:pPr>
            <w:r>
              <w:rPr>
                <w:sz w:val="24"/>
              </w:rPr>
              <w:t>机房周边公众的安全防护</w:t>
            </w:r>
          </w:p>
          <w:p>
            <w:pPr>
              <w:pStyle w:val="TableParagraph"/>
              <w:spacing w:line="364" w:lineRule="auto" w:before="160"/>
              <w:ind w:left="108" w:right="-29" w:firstLine="480"/>
              <w:jc w:val="left"/>
              <w:rPr>
                <w:sz w:val="24"/>
              </w:rPr>
            </w:pPr>
            <w:r>
              <w:rPr>
                <w:spacing w:val="-8"/>
                <w:sz w:val="24"/>
              </w:rPr>
              <w:t>周边公众主要依托辐射工作场所的屏蔽墙体、防护门窗和地板楼板屏蔽射线。同时，</w:t>
            </w:r>
            <w:r>
              <w:rPr>
                <w:spacing w:val="-117"/>
                <w:sz w:val="24"/>
              </w:rPr>
              <w:t> </w:t>
            </w:r>
            <w:r>
              <w:rPr>
                <w:sz w:val="24"/>
              </w:rPr>
              <w:t>辐射工作场所严格实行辐射防护</w:t>
            </w:r>
            <w:r>
              <w:rPr>
                <w:rFonts w:ascii="Times New Roman" w:hAnsi="Times New Roman" w:eastAsia="Times New Roman"/>
                <w:sz w:val="24"/>
              </w:rPr>
              <w:t>“</w:t>
            </w:r>
            <w:r>
              <w:rPr>
                <w:sz w:val="24"/>
              </w:rPr>
              <w:t>两区</w:t>
            </w:r>
            <w:r>
              <w:rPr>
                <w:rFonts w:ascii="Times New Roman" w:hAnsi="Times New Roman" w:eastAsia="Times New Roman"/>
                <w:sz w:val="24"/>
              </w:rPr>
              <w:t>”</w:t>
            </w:r>
            <w:r>
              <w:rPr>
                <w:spacing w:val="-8"/>
                <w:sz w:val="24"/>
              </w:rPr>
              <w:t>管理，在机房门外张贴电离辐射警告标志和工作</w:t>
            </w:r>
            <w:r>
              <w:rPr>
                <w:sz w:val="24"/>
              </w:rPr>
              <w:t>状态指示灯箱，禁止无关人员进入，以增加公众与射线装置之间的防护距离，避免受到不必要的照射。</w:t>
            </w:r>
          </w:p>
          <w:p>
            <w:pPr>
              <w:pStyle w:val="TableParagraph"/>
              <w:spacing w:before="56"/>
              <w:ind w:left="108"/>
              <w:jc w:val="left"/>
              <w:rPr>
                <w:sz w:val="28"/>
              </w:rPr>
            </w:pPr>
            <w:r>
              <w:rPr>
                <w:sz w:val="28"/>
              </w:rPr>
              <w:t>三、放射性工作场所安防措施</w:t>
            </w:r>
          </w:p>
          <w:p>
            <w:pPr>
              <w:pStyle w:val="TableParagraph"/>
              <w:spacing w:before="212"/>
              <w:ind w:left="588"/>
              <w:jc w:val="left"/>
              <w:rPr>
                <w:sz w:val="24"/>
              </w:rPr>
            </w:pPr>
            <w:r>
              <w:rPr>
                <w:spacing w:val="14"/>
                <w:sz w:val="24"/>
              </w:rPr>
              <w:t>为确保本项目所使用的</w:t>
            </w:r>
            <w:r>
              <w:rPr>
                <w:rFonts w:ascii="Times New Roman" w:hAnsi="Times New Roman" w:eastAsia="Times New Roman"/>
                <w:spacing w:val="15"/>
                <w:sz w:val="24"/>
              </w:rPr>
              <w:t>Ⅱ</w:t>
            </w:r>
            <w:r>
              <w:rPr>
                <w:spacing w:val="13"/>
                <w:sz w:val="24"/>
              </w:rPr>
              <w:t>类射线装置的安全，本项目采取的安全保卫措施见表</w:t>
            </w:r>
          </w:p>
          <w:p>
            <w:pPr>
              <w:pStyle w:val="TableParagraph"/>
              <w:spacing w:before="160"/>
              <w:ind w:left="108"/>
              <w:jc w:val="left"/>
              <w:rPr>
                <w:sz w:val="24"/>
              </w:rPr>
            </w:pPr>
            <w:r>
              <w:rPr>
                <w:rFonts w:ascii="Times New Roman" w:eastAsia="Times New Roman"/>
                <w:sz w:val="24"/>
              </w:rPr>
              <w:t>10-4</w:t>
            </w:r>
            <w:r>
              <w:rPr>
                <w:sz w:val="24"/>
              </w:rPr>
              <w:t>。</w:t>
            </w:r>
          </w:p>
          <w:p>
            <w:pPr>
              <w:pStyle w:val="TableParagraph"/>
              <w:spacing w:before="179"/>
              <w:ind w:left="2691" w:right="2670"/>
              <w:rPr>
                <w:sz w:val="21"/>
              </w:rPr>
            </w:pPr>
            <w:r>
              <w:rPr>
                <w:spacing w:val="-2"/>
                <w:w w:val="95"/>
                <w:sz w:val="21"/>
              </w:rPr>
              <w:t>表 </w:t>
            </w:r>
            <w:r>
              <w:rPr>
                <w:rFonts w:ascii="Times New Roman" w:eastAsia="Times New Roman"/>
                <w:b/>
                <w:w w:val="95"/>
                <w:sz w:val="21"/>
              </w:rPr>
              <w:t>10-4</w:t>
            </w:r>
            <w:r>
              <w:rPr>
                <w:rFonts w:ascii="Times New Roman" w:eastAsia="Times New Roman"/>
                <w:b/>
                <w:spacing w:val="141"/>
                <w:sz w:val="21"/>
              </w:rPr>
              <w:t> </w:t>
            </w:r>
            <w:r>
              <w:rPr>
                <w:w w:val="95"/>
                <w:sz w:val="21"/>
              </w:rPr>
              <w:t>射线装置工作场所安防措施一览表</w:t>
            </w:r>
          </w:p>
        </w:tc>
      </w:tr>
      <w:tr>
        <w:trPr>
          <w:trHeight w:val="312" w:hRule="atLeast"/>
        </w:trPr>
        <w:tc>
          <w:tcPr>
            <w:tcW w:w="171" w:type="dxa"/>
            <w:vMerge w:val="restart"/>
            <w:tcBorders>
              <w:top w:val="nil"/>
              <w:right w:val="nil"/>
            </w:tcBorders>
          </w:tcPr>
          <w:p>
            <w:pPr>
              <w:pStyle w:val="TableParagraph"/>
              <w:jc w:val="left"/>
              <w:rPr>
                <w:rFonts w:ascii="Times New Roman"/>
                <w:sz w:val="22"/>
              </w:rPr>
            </w:pPr>
          </w:p>
        </w:tc>
        <w:tc>
          <w:tcPr>
            <w:tcW w:w="1080" w:type="dxa"/>
            <w:tcBorders>
              <w:top w:val="single" w:sz="12" w:space="0" w:color="000000"/>
              <w:left w:val="nil"/>
              <w:bottom w:val="single" w:sz="12" w:space="0" w:color="000000"/>
            </w:tcBorders>
          </w:tcPr>
          <w:p>
            <w:pPr>
              <w:pStyle w:val="TableParagraph"/>
              <w:spacing w:before="20"/>
              <w:ind w:left="124"/>
              <w:jc w:val="left"/>
              <w:rPr>
                <w:sz w:val="21"/>
              </w:rPr>
            </w:pPr>
            <w:r>
              <w:rPr>
                <w:sz w:val="21"/>
              </w:rPr>
              <w:t>工作场所</w:t>
            </w:r>
          </w:p>
        </w:tc>
        <w:tc>
          <w:tcPr>
            <w:tcW w:w="1107" w:type="dxa"/>
            <w:tcBorders>
              <w:top w:val="single" w:sz="12" w:space="0" w:color="000000"/>
              <w:bottom w:val="single" w:sz="12" w:space="0" w:color="000000"/>
            </w:tcBorders>
          </w:tcPr>
          <w:p>
            <w:pPr>
              <w:pStyle w:val="TableParagraph"/>
              <w:spacing w:before="20"/>
              <w:ind w:left="110" w:right="107"/>
              <w:rPr>
                <w:sz w:val="21"/>
              </w:rPr>
            </w:pPr>
            <w:r>
              <w:rPr>
                <w:sz w:val="21"/>
              </w:rPr>
              <w:t>措施类别</w:t>
            </w:r>
          </w:p>
        </w:tc>
        <w:tc>
          <w:tcPr>
            <w:tcW w:w="6728" w:type="dxa"/>
            <w:tcBorders>
              <w:top w:val="single" w:sz="12" w:space="0" w:color="000000"/>
              <w:bottom w:val="single" w:sz="12" w:space="0" w:color="000000"/>
              <w:right w:val="nil"/>
            </w:tcBorders>
          </w:tcPr>
          <w:p>
            <w:pPr>
              <w:pStyle w:val="TableParagraph"/>
              <w:spacing w:before="20"/>
              <w:ind w:left="2922" w:right="2920"/>
              <w:rPr>
                <w:sz w:val="21"/>
              </w:rPr>
            </w:pPr>
            <w:r>
              <w:rPr>
                <w:sz w:val="21"/>
              </w:rPr>
              <w:t>对应措施</w:t>
            </w:r>
          </w:p>
        </w:tc>
        <w:tc>
          <w:tcPr>
            <w:tcW w:w="172" w:type="dxa"/>
            <w:vMerge w:val="restart"/>
            <w:tcBorders>
              <w:top w:val="nil"/>
              <w:left w:val="nil"/>
            </w:tcBorders>
          </w:tcPr>
          <w:p>
            <w:pPr>
              <w:pStyle w:val="TableParagraph"/>
              <w:jc w:val="left"/>
              <w:rPr>
                <w:rFonts w:ascii="Times New Roman"/>
                <w:sz w:val="22"/>
              </w:rPr>
            </w:pPr>
          </w:p>
        </w:tc>
      </w:tr>
      <w:tr>
        <w:trPr>
          <w:trHeight w:val="408" w:hRule="atLeast"/>
        </w:trPr>
        <w:tc>
          <w:tcPr>
            <w:tcW w:w="171" w:type="dxa"/>
            <w:vMerge/>
            <w:tcBorders>
              <w:top w:val="nil"/>
              <w:right w:val="nil"/>
            </w:tcBorders>
          </w:tcPr>
          <w:p>
            <w:pPr>
              <w:rPr>
                <w:sz w:val="2"/>
                <w:szCs w:val="2"/>
              </w:rPr>
            </w:pPr>
          </w:p>
        </w:tc>
        <w:tc>
          <w:tcPr>
            <w:tcW w:w="1080" w:type="dxa"/>
            <w:tcBorders>
              <w:top w:val="single" w:sz="12" w:space="0" w:color="000000"/>
              <w:left w:val="nil"/>
              <w:bottom w:val="nil"/>
            </w:tcBorders>
          </w:tcPr>
          <w:p>
            <w:pPr>
              <w:pStyle w:val="TableParagraph"/>
              <w:jc w:val="left"/>
              <w:rPr>
                <w:rFonts w:ascii="Times New Roman"/>
                <w:sz w:val="22"/>
              </w:rPr>
            </w:pPr>
          </w:p>
        </w:tc>
        <w:tc>
          <w:tcPr>
            <w:tcW w:w="1107" w:type="dxa"/>
            <w:tcBorders>
              <w:top w:val="single" w:sz="12" w:space="0" w:color="000000"/>
              <w:bottom w:val="nil"/>
            </w:tcBorders>
          </w:tcPr>
          <w:p>
            <w:pPr>
              <w:pStyle w:val="TableParagraph"/>
              <w:jc w:val="left"/>
              <w:rPr>
                <w:rFonts w:ascii="Times New Roman"/>
                <w:sz w:val="22"/>
              </w:rPr>
            </w:pPr>
          </w:p>
        </w:tc>
        <w:tc>
          <w:tcPr>
            <w:tcW w:w="6728" w:type="dxa"/>
            <w:tcBorders>
              <w:top w:val="single" w:sz="12" w:space="0" w:color="000000"/>
              <w:bottom w:val="nil"/>
              <w:right w:val="nil"/>
            </w:tcBorders>
          </w:tcPr>
          <w:p>
            <w:pPr>
              <w:pStyle w:val="TableParagraph"/>
              <w:spacing w:before="69"/>
              <w:ind w:left="106"/>
              <w:jc w:val="left"/>
              <w:rPr>
                <w:sz w:val="21"/>
              </w:rPr>
            </w:pPr>
            <w:r>
              <w:rPr>
                <w:spacing w:val="13"/>
                <w:w w:val="95"/>
                <w:sz w:val="21"/>
              </w:rPr>
              <w:t>①本项目 </w:t>
            </w:r>
            <w:r>
              <w:rPr>
                <w:rFonts w:ascii="Times New Roman" w:hAnsi="Times New Roman" w:eastAsia="Times New Roman"/>
                <w:w w:val="95"/>
                <w:sz w:val="21"/>
              </w:rPr>
              <w:t>DSA</w:t>
            </w:r>
            <w:r>
              <w:rPr>
                <w:rFonts w:ascii="Times New Roman" w:hAnsi="Times New Roman" w:eastAsia="Times New Roman"/>
                <w:spacing w:val="125"/>
                <w:sz w:val="21"/>
              </w:rPr>
              <w:t> </w:t>
            </w:r>
            <w:r>
              <w:rPr>
                <w:spacing w:val="-5"/>
                <w:w w:val="95"/>
                <w:sz w:val="21"/>
              </w:rPr>
              <w:t>机房及附属设施纳入医院日常安保巡逻工作范围，并划为</w:t>
            </w:r>
          </w:p>
        </w:tc>
        <w:tc>
          <w:tcPr>
            <w:tcW w:w="172" w:type="dxa"/>
            <w:vMerge/>
            <w:tcBorders>
              <w:top w:val="nil"/>
              <w:left w:val="nil"/>
            </w:tcBorders>
          </w:tcPr>
          <w:p>
            <w:pPr>
              <w:rPr>
                <w:sz w:val="2"/>
                <w:szCs w:val="2"/>
              </w:rPr>
            </w:pPr>
          </w:p>
        </w:tc>
      </w:tr>
      <w:tr>
        <w:trPr>
          <w:trHeight w:val="386" w:hRule="atLeast"/>
        </w:trPr>
        <w:tc>
          <w:tcPr>
            <w:tcW w:w="171" w:type="dxa"/>
            <w:vMerge/>
            <w:tcBorders>
              <w:top w:val="nil"/>
              <w:right w:val="nil"/>
            </w:tcBorders>
          </w:tcPr>
          <w:p>
            <w:pPr>
              <w:rPr>
                <w:sz w:val="2"/>
                <w:szCs w:val="2"/>
              </w:rPr>
            </w:pPr>
          </w:p>
        </w:tc>
        <w:tc>
          <w:tcPr>
            <w:tcW w:w="1080" w:type="dxa"/>
            <w:tcBorders>
              <w:top w:val="nil"/>
              <w:left w:val="nil"/>
              <w:bottom w:val="nil"/>
            </w:tcBorders>
          </w:tcPr>
          <w:p>
            <w:pPr>
              <w:pStyle w:val="TableParagraph"/>
              <w:jc w:val="left"/>
              <w:rPr>
                <w:rFonts w:ascii="Times New Roman"/>
                <w:sz w:val="22"/>
              </w:rPr>
            </w:pPr>
          </w:p>
        </w:tc>
        <w:tc>
          <w:tcPr>
            <w:tcW w:w="1107" w:type="dxa"/>
            <w:tcBorders>
              <w:top w:val="nil"/>
              <w:bottom w:val="nil"/>
            </w:tcBorders>
          </w:tcPr>
          <w:p>
            <w:pPr>
              <w:pStyle w:val="TableParagraph"/>
              <w:jc w:val="left"/>
              <w:rPr>
                <w:rFonts w:ascii="Times New Roman"/>
                <w:sz w:val="22"/>
              </w:rPr>
            </w:pPr>
          </w:p>
        </w:tc>
        <w:tc>
          <w:tcPr>
            <w:tcW w:w="6728" w:type="dxa"/>
            <w:tcBorders>
              <w:top w:val="nil"/>
              <w:bottom w:val="nil"/>
              <w:right w:val="nil"/>
            </w:tcBorders>
          </w:tcPr>
          <w:p>
            <w:pPr>
              <w:pStyle w:val="TableParagraph"/>
              <w:spacing w:before="53"/>
              <w:ind w:left="106"/>
              <w:jc w:val="left"/>
              <w:rPr>
                <w:sz w:val="21"/>
              </w:rPr>
            </w:pPr>
            <w:r>
              <w:rPr>
                <w:sz w:val="21"/>
              </w:rPr>
              <w:t>重点区域，加强巡视管理，以防遭到破坏；</w:t>
            </w:r>
          </w:p>
        </w:tc>
        <w:tc>
          <w:tcPr>
            <w:tcW w:w="172" w:type="dxa"/>
            <w:vMerge/>
            <w:tcBorders>
              <w:top w:val="nil"/>
              <w:left w:val="nil"/>
            </w:tcBorders>
          </w:tcPr>
          <w:p>
            <w:pPr>
              <w:rPr>
                <w:sz w:val="2"/>
                <w:szCs w:val="2"/>
              </w:rPr>
            </w:pPr>
          </w:p>
        </w:tc>
      </w:tr>
      <w:tr>
        <w:trPr>
          <w:trHeight w:val="797" w:hRule="atLeast"/>
        </w:trPr>
        <w:tc>
          <w:tcPr>
            <w:tcW w:w="171" w:type="dxa"/>
            <w:vMerge/>
            <w:tcBorders>
              <w:top w:val="nil"/>
              <w:right w:val="nil"/>
            </w:tcBorders>
          </w:tcPr>
          <w:p>
            <w:pPr>
              <w:rPr>
                <w:sz w:val="2"/>
                <w:szCs w:val="2"/>
              </w:rPr>
            </w:pPr>
          </w:p>
        </w:tc>
        <w:tc>
          <w:tcPr>
            <w:tcW w:w="1080" w:type="dxa"/>
            <w:tcBorders>
              <w:top w:val="nil"/>
              <w:left w:val="nil"/>
              <w:bottom w:val="nil"/>
            </w:tcBorders>
          </w:tcPr>
          <w:p>
            <w:pPr>
              <w:pStyle w:val="TableParagraph"/>
              <w:jc w:val="left"/>
              <w:rPr>
                <w:rFonts w:ascii="Times New Roman"/>
                <w:sz w:val="22"/>
              </w:rPr>
            </w:pPr>
          </w:p>
        </w:tc>
        <w:tc>
          <w:tcPr>
            <w:tcW w:w="1107" w:type="dxa"/>
            <w:tcBorders>
              <w:top w:val="nil"/>
              <w:bottom w:val="nil"/>
            </w:tcBorders>
          </w:tcPr>
          <w:p>
            <w:pPr>
              <w:pStyle w:val="TableParagraph"/>
              <w:spacing w:line="278" w:lineRule="auto" w:before="111"/>
              <w:ind w:left="342" w:right="125" w:hanging="212"/>
              <w:jc w:val="left"/>
              <w:rPr>
                <w:sz w:val="21"/>
              </w:rPr>
            </w:pPr>
            <w:r>
              <w:rPr>
                <w:spacing w:val="-2"/>
                <w:sz w:val="21"/>
              </w:rPr>
              <w:t>防盗和防</w:t>
            </w:r>
            <w:r>
              <w:rPr>
                <w:sz w:val="21"/>
              </w:rPr>
              <w:t>破坏</w:t>
            </w:r>
          </w:p>
        </w:tc>
        <w:tc>
          <w:tcPr>
            <w:tcW w:w="6728" w:type="dxa"/>
            <w:tcBorders>
              <w:top w:val="nil"/>
              <w:bottom w:val="nil"/>
              <w:right w:val="nil"/>
            </w:tcBorders>
          </w:tcPr>
          <w:p>
            <w:pPr>
              <w:pStyle w:val="TableParagraph"/>
              <w:spacing w:before="63"/>
              <w:ind w:left="106"/>
              <w:jc w:val="left"/>
              <w:rPr>
                <w:sz w:val="21"/>
              </w:rPr>
            </w:pPr>
            <w:r>
              <w:rPr>
                <w:sz w:val="21"/>
              </w:rPr>
              <w:t>②安排有专人进行管理和维护，并进行台账记录，一旦发生盗抢事件，</w:t>
            </w:r>
          </w:p>
          <w:p>
            <w:pPr>
              <w:pStyle w:val="TableParagraph"/>
              <w:spacing w:before="136"/>
              <w:ind w:left="106"/>
              <w:jc w:val="left"/>
              <w:rPr>
                <w:sz w:val="21"/>
              </w:rPr>
            </w:pPr>
            <w:r>
              <w:rPr>
                <w:sz w:val="21"/>
              </w:rPr>
              <w:t>立即关闭设备和防护门，并立即向公安机关报案；</w:t>
            </w:r>
          </w:p>
        </w:tc>
        <w:tc>
          <w:tcPr>
            <w:tcW w:w="172" w:type="dxa"/>
            <w:vMerge/>
            <w:tcBorders>
              <w:top w:val="nil"/>
              <w:left w:val="nil"/>
            </w:tcBorders>
          </w:tcPr>
          <w:p>
            <w:pPr>
              <w:rPr>
                <w:sz w:val="2"/>
                <w:szCs w:val="2"/>
              </w:rPr>
            </w:pPr>
          </w:p>
        </w:tc>
      </w:tr>
      <w:tr>
        <w:trPr>
          <w:trHeight w:val="811" w:hRule="atLeast"/>
        </w:trPr>
        <w:tc>
          <w:tcPr>
            <w:tcW w:w="171" w:type="dxa"/>
            <w:vMerge/>
            <w:tcBorders>
              <w:top w:val="nil"/>
              <w:right w:val="nil"/>
            </w:tcBorders>
          </w:tcPr>
          <w:p>
            <w:pPr>
              <w:rPr>
                <w:sz w:val="2"/>
                <w:szCs w:val="2"/>
              </w:rPr>
            </w:pPr>
          </w:p>
        </w:tc>
        <w:tc>
          <w:tcPr>
            <w:tcW w:w="1080" w:type="dxa"/>
            <w:tcBorders>
              <w:top w:val="nil"/>
              <w:left w:val="nil"/>
              <w:bottom w:val="nil"/>
            </w:tcBorders>
          </w:tcPr>
          <w:p>
            <w:pPr>
              <w:pStyle w:val="TableParagraph"/>
              <w:spacing w:before="119"/>
              <w:ind w:left="203"/>
              <w:jc w:val="left"/>
              <w:rPr>
                <w:sz w:val="21"/>
              </w:rPr>
            </w:pPr>
            <w:r>
              <w:rPr>
                <w:rFonts w:ascii="Times New Roman" w:eastAsia="Times New Roman"/>
                <w:sz w:val="21"/>
              </w:rPr>
              <w:t>DSA</w:t>
            </w:r>
            <w:r>
              <w:rPr>
                <w:rFonts w:ascii="Times New Roman" w:eastAsia="Times New Roman"/>
                <w:spacing w:val="-2"/>
                <w:sz w:val="21"/>
              </w:rPr>
              <w:t> </w:t>
            </w:r>
            <w:r>
              <w:rPr>
                <w:sz w:val="21"/>
              </w:rPr>
              <w:t>工</w:t>
            </w:r>
          </w:p>
          <w:p>
            <w:pPr>
              <w:pStyle w:val="TableParagraph"/>
              <w:spacing w:before="43"/>
              <w:ind w:left="230"/>
              <w:jc w:val="left"/>
              <w:rPr>
                <w:sz w:val="21"/>
              </w:rPr>
            </w:pPr>
            <w:r>
              <w:rPr>
                <w:w w:val="95"/>
                <w:sz w:val="21"/>
              </w:rPr>
              <w:t>作场所</w:t>
            </w:r>
          </w:p>
        </w:tc>
        <w:tc>
          <w:tcPr>
            <w:tcW w:w="1107" w:type="dxa"/>
            <w:tcBorders>
              <w:top w:val="nil"/>
            </w:tcBorders>
          </w:tcPr>
          <w:p>
            <w:pPr>
              <w:pStyle w:val="TableParagraph"/>
              <w:jc w:val="left"/>
              <w:rPr>
                <w:rFonts w:ascii="Times New Roman"/>
                <w:sz w:val="22"/>
              </w:rPr>
            </w:pPr>
          </w:p>
        </w:tc>
        <w:tc>
          <w:tcPr>
            <w:tcW w:w="6728" w:type="dxa"/>
            <w:tcBorders>
              <w:top w:val="nil"/>
              <w:right w:val="nil"/>
            </w:tcBorders>
          </w:tcPr>
          <w:p>
            <w:pPr>
              <w:pStyle w:val="TableParagraph"/>
              <w:spacing w:before="66"/>
              <w:ind w:left="106"/>
              <w:jc w:val="left"/>
              <w:rPr>
                <w:sz w:val="21"/>
              </w:rPr>
            </w:pPr>
            <w:r>
              <w:rPr>
                <w:sz w:val="21"/>
              </w:rPr>
              <w:t>③</w:t>
            </w:r>
            <w:r>
              <w:rPr>
                <w:rFonts w:ascii="Times New Roman" w:hAnsi="Times New Roman" w:eastAsia="Times New Roman"/>
                <w:sz w:val="21"/>
              </w:rPr>
              <w:t>DSA</w:t>
            </w:r>
            <w:r>
              <w:rPr>
                <w:rFonts w:ascii="Times New Roman" w:hAnsi="Times New Roman" w:eastAsia="Times New Roman"/>
                <w:spacing w:val="-8"/>
                <w:sz w:val="21"/>
              </w:rPr>
              <w:t> </w:t>
            </w:r>
            <w:r>
              <w:rPr>
                <w:sz w:val="21"/>
              </w:rPr>
              <w:t>机房和邻近房间不得存放易燃、易爆、腐蚀性物品等物品。</w:t>
            </w:r>
          </w:p>
          <w:p>
            <w:pPr>
              <w:pStyle w:val="TableParagraph"/>
              <w:spacing w:before="139"/>
              <w:ind w:left="106"/>
              <w:jc w:val="left"/>
              <w:rPr>
                <w:sz w:val="21"/>
              </w:rPr>
            </w:pPr>
            <w:r>
              <w:rPr>
                <w:sz w:val="21"/>
              </w:rPr>
              <w:t>④</w:t>
            </w:r>
            <w:r>
              <w:rPr>
                <w:rFonts w:ascii="Times New Roman" w:hAnsi="Times New Roman" w:eastAsia="Times New Roman"/>
                <w:sz w:val="21"/>
              </w:rPr>
              <w:t>DSA</w:t>
            </w:r>
            <w:r>
              <w:rPr>
                <w:rFonts w:ascii="Times New Roman" w:hAnsi="Times New Roman" w:eastAsia="Times New Roman"/>
                <w:spacing w:val="-6"/>
                <w:sz w:val="21"/>
              </w:rPr>
              <w:t> </w:t>
            </w:r>
            <w:r>
              <w:rPr>
                <w:sz w:val="21"/>
              </w:rPr>
              <w:t>机房内配置了火灾报警系统及灭火器等。</w:t>
            </w:r>
          </w:p>
        </w:tc>
        <w:tc>
          <w:tcPr>
            <w:tcW w:w="172" w:type="dxa"/>
            <w:vMerge/>
            <w:tcBorders>
              <w:top w:val="nil"/>
              <w:left w:val="nil"/>
            </w:tcBorders>
          </w:tcPr>
          <w:p>
            <w:pPr>
              <w:rPr>
                <w:sz w:val="2"/>
                <w:szCs w:val="2"/>
              </w:rPr>
            </w:pPr>
          </w:p>
        </w:tc>
      </w:tr>
      <w:tr>
        <w:trPr>
          <w:trHeight w:val="395" w:hRule="atLeast"/>
        </w:trPr>
        <w:tc>
          <w:tcPr>
            <w:tcW w:w="171" w:type="dxa"/>
            <w:vMerge/>
            <w:tcBorders>
              <w:top w:val="nil"/>
              <w:right w:val="nil"/>
            </w:tcBorders>
          </w:tcPr>
          <w:p>
            <w:pPr>
              <w:rPr>
                <w:sz w:val="2"/>
                <w:szCs w:val="2"/>
              </w:rPr>
            </w:pPr>
          </w:p>
        </w:tc>
        <w:tc>
          <w:tcPr>
            <w:tcW w:w="1080" w:type="dxa"/>
            <w:tcBorders>
              <w:top w:val="nil"/>
              <w:left w:val="nil"/>
              <w:bottom w:val="nil"/>
            </w:tcBorders>
          </w:tcPr>
          <w:p>
            <w:pPr>
              <w:pStyle w:val="TableParagraph"/>
              <w:jc w:val="left"/>
              <w:rPr>
                <w:rFonts w:ascii="Times New Roman"/>
                <w:sz w:val="22"/>
              </w:rPr>
            </w:pPr>
          </w:p>
        </w:tc>
        <w:tc>
          <w:tcPr>
            <w:tcW w:w="1107" w:type="dxa"/>
            <w:tcBorders>
              <w:bottom w:val="nil"/>
            </w:tcBorders>
          </w:tcPr>
          <w:p>
            <w:pPr>
              <w:pStyle w:val="TableParagraph"/>
              <w:jc w:val="left"/>
              <w:rPr>
                <w:rFonts w:ascii="Times New Roman"/>
                <w:sz w:val="22"/>
              </w:rPr>
            </w:pPr>
          </w:p>
        </w:tc>
        <w:tc>
          <w:tcPr>
            <w:tcW w:w="6728" w:type="dxa"/>
            <w:tcBorders>
              <w:bottom w:val="nil"/>
              <w:right w:val="nil"/>
            </w:tcBorders>
          </w:tcPr>
          <w:p>
            <w:pPr>
              <w:pStyle w:val="TableParagraph"/>
              <w:spacing w:before="66"/>
              <w:ind w:left="106"/>
              <w:jc w:val="left"/>
              <w:rPr>
                <w:sz w:val="21"/>
              </w:rPr>
            </w:pPr>
            <w:r>
              <w:rPr>
                <w:sz w:val="21"/>
              </w:rPr>
              <w:t>①本项目所使用的射线装置购置于正规厂家，泄漏辐射不会超过《放射</w:t>
            </w:r>
          </w:p>
        </w:tc>
        <w:tc>
          <w:tcPr>
            <w:tcW w:w="172" w:type="dxa"/>
            <w:vMerge/>
            <w:tcBorders>
              <w:top w:val="nil"/>
              <w:left w:val="nil"/>
            </w:tcBorders>
          </w:tcPr>
          <w:p>
            <w:pPr>
              <w:rPr>
                <w:sz w:val="2"/>
                <w:szCs w:val="2"/>
              </w:rPr>
            </w:pPr>
          </w:p>
        </w:tc>
      </w:tr>
      <w:tr>
        <w:trPr>
          <w:trHeight w:val="812" w:hRule="atLeast"/>
        </w:trPr>
        <w:tc>
          <w:tcPr>
            <w:tcW w:w="171" w:type="dxa"/>
            <w:vMerge/>
            <w:tcBorders>
              <w:top w:val="nil"/>
              <w:right w:val="nil"/>
            </w:tcBorders>
          </w:tcPr>
          <w:p>
            <w:pPr>
              <w:rPr>
                <w:sz w:val="2"/>
                <w:szCs w:val="2"/>
              </w:rPr>
            </w:pPr>
          </w:p>
        </w:tc>
        <w:tc>
          <w:tcPr>
            <w:tcW w:w="1080" w:type="dxa"/>
            <w:tcBorders>
              <w:top w:val="nil"/>
              <w:left w:val="nil"/>
              <w:bottom w:val="nil"/>
            </w:tcBorders>
          </w:tcPr>
          <w:p>
            <w:pPr>
              <w:pStyle w:val="TableParagraph"/>
              <w:jc w:val="left"/>
              <w:rPr>
                <w:rFonts w:ascii="Times New Roman"/>
                <w:sz w:val="22"/>
              </w:rPr>
            </w:pPr>
          </w:p>
        </w:tc>
        <w:tc>
          <w:tcPr>
            <w:tcW w:w="1107" w:type="dxa"/>
            <w:tcBorders>
              <w:top w:val="nil"/>
              <w:bottom w:val="nil"/>
            </w:tcBorders>
          </w:tcPr>
          <w:p>
            <w:pPr>
              <w:pStyle w:val="TableParagraph"/>
              <w:spacing w:before="1"/>
              <w:jc w:val="left"/>
              <w:rPr>
                <w:sz w:val="21"/>
              </w:rPr>
            </w:pPr>
          </w:p>
          <w:p>
            <w:pPr>
              <w:pStyle w:val="TableParagraph"/>
              <w:ind w:left="110" w:right="104"/>
              <w:rPr>
                <w:sz w:val="21"/>
              </w:rPr>
            </w:pPr>
            <w:r>
              <w:rPr>
                <w:sz w:val="21"/>
              </w:rPr>
              <w:t>防泄漏</w:t>
            </w:r>
          </w:p>
        </w:tc>
        <w:tc>
          <w:tcPr>
            <w:tcW w:w="6728" w:type="dxa"/>
            <w:tcBorders>
              <w:top w:val="nil"/>
              <w:bottom w:val="nil"/>
              <w:right w:val="nil"/>
            </w:tcBorders>
          </w:tcPr>
          <w:p>
            <w:pPr>
              <w:pStyle w:val="TableParagraph"/>
              <w:spacing w:before="66"/>
              <w:ind w:left="106"/>
              <w:jc w:val="left"/>
              <w:rPr>
                <w:sz w:val="21"/>
              </w:rPr>
            </w:pPr>
            <w:r>
              <w:rPr>
                <w:sz w:val="21"/>
              </w:rPr>
              <w:t>诊断放射防护要求》（</w:t>
            </w:r>
            <w:r>
              <w:rPr>
                <w:rFonts w:ascii="Times New Roman" w:eastAsia="Times New Roman"/>
                <w:sz w:val="21"/>
              </w:rPr>
              <w:t>GBZ130-2020</w:t>
            </w:r>
            <w:r>
              <w:rPr>
                <w:sz w:val="21"/>
              </w:rPr>
              <w:t>）规定的约束值；</w:t>
            </w:r>
          </w:p>
          <w:p>
            <w:pPr>
              <w:pStyle w:val="TableParagraph"/>
              <w:spacing w:before="136"/>
              <w:ind w:left="106"/>
              <w:jc w:val="left"/>
              <w:rPr>
                <w:sz w:val="21"/>
              </w:rPr>
            </w:pPr>
            <w:r>
              <w:rPr>
                <w:spacing w:val="13"/>
                <w:w w:val="95"/>
                <w:sz w:val="21"/>
              </w:rPr>
              <w:t>②本项目 </w:t>
            </w:r>
            <w:r>
              <w:rPr>
                <w:rFonts w:ascii="Times New Roman" w:hAnsi="Times New Roman" w:eastAsia="Times New Roman"/>
                <w:w w:val="95"/>
                <w:sz w:val="21"/>
              </w:rPr>
              <w:t>DSA</w:t>
            </w:r>
            <w:r>
              <w:rPr>
                <w:rFonts w:ascii="Times New Roman" w:hAnsi="Times New Roman" w:eastAsia="Times New Roman"/>
                <w:spacing w:val="125"/>
                <w:sz w:val="21"/>
              </w:rPr>
              <w:t> </w:t>
            </w:r>
            <w:r>
              <w:rPr>
                <w:spacing w:val="-5"/>
                <w:w w:val="95"/>
                <w:sz w:val="21"/>
              </w:rPr>
              <w:t>机房均已按照有关规范要求进行了辐射防护设计，只要按</w:t>
            </w:r>
          </w:p>
        </w:tc>
        <w:tc>
          <w:tcPr>
            <w:tcW w:w="172" w:type="dxa"/>
            <w:vMerge/>
            <w:tcBorders>
              <w:top w:val="nil"/>
              <w:left w:val="nil"/>
            </w:tcBorders>
          </w:tcPr>
          <w:p>
            <w:pPr>
              <w:rPr>
                <w:sz w:val="2"/>
                <w:szCs w:val="2"/>
              </w:rPr>
            </w:pPr>
          </w:p>
        </w:tc>
      </w:tr>
      <w:tr>
        <w:trPr>
          <w:trHeight w:val="395" w:hRule="atLeast"/>
        </w:trPr>
        <w:tc>
          <w:tcPr>
            <w:tcW w:w="171" w:type="dxa"/>
            <w:vMerge/>
            <w:tcBorders>
              <w:top w:val="nil"/>
              <w:right w:val="nil"/>
            </w:tcBorders>
          </w:tcPr>
          <w:p>
            <w:pPr>
              <w:rPr>
                <w:sz w:val="2"/>
                <w:szCs w:val="2"/>
              </w:rPr>
            </w:pPr>
          </w:p>
        </w:tc>
        <w:tc>
          <w:tcPr>
            <w:tcW w:w="1080" w:type="dxa"/>
            <w:tcBorders>
              <w:top w:val="nil"/>
              <w:left w:val="nil"/>
              <w:bottom w:val="thinThickMediumGap" w:sz="6" w:space="0" w:color="000000"/>
            </w:tcBorders>
          </w:tcPr>
          <w:p>
            <w:pPr>
              <w:pStyle w:val="TableParagraph"/>
              <w:jc w:val="left"/>
              <w:rPr>
                <w:rFonts w:ascii="Times New Roman"/>
                <w:sz w:val="22"/>
              </w:rPr>
            </w:pPr>
          </w:p>
        </w:tc>
        <w:tc>
          <w:tcPr>
            <w:tcW w:w="1107" w:type="dxa"/>
            <w:tcBorders>
              <w:top w:val="nil"/>
              <w:bottom w:val="thinThickMediumGap" w:sz="6" w:space="0" w:color="000000"/>
            </w:tcBorders>
          </w:tcPr>
          <w:p>
            <w:pPr>
              <w:pStyle w:val="TableParagraph"/>
              <w:jc w:val="left"/>
              <w:rPr>
                <w:rFonts w:ascii="Times New Roman"/>
                <w:sz w:val="22"/>
              </w:rPr>
            </w:pPr>
          </w:p>
        </w:tc>
        <w:tc>
          <w:tcPr>
            <w:tcW w:w="6728" w:type="dxa"/>
            <w:tcBorders>
              <w:top w:val="nil"/>
              <w:bottom w:val="thinThickMediumGap" w:sz="6" w:space="0" w:color="000000"/>
              <w:right w:val="nil"/>
            </w:tcBorders>
          </w:tcPr>
          <w:p>
            <w:pPr>
              <w:pStyle w:val="TableParagraph"/>
              <w:spacing w:before="55"/>
              <w:ind w:left="106"/>
              <w:jc w:val="left"/>
              <w:rPr>
                <w:sz w:val="21"/>
              </w:rPr>
            </w:pPr>
            <w:r>
              <w:rPr>
                <w:sz w:val="21"/>
              </w:rPr>
              <w:t>照设计和环评要求进行落实，机房是不存在辐射泄漏的情况。</w:t>
            </w:r>
          </w:p>
        </w:tc>
        <w:tc>
          <w:tcPr>
            <w:tcW w:w="172" w:type="dxa"/>
            <w:vMerge/>
            <w:tcBorders>
              <w:top w:val="nil"/>
              <w:left w:val="nil"/>
            </w:tcBorders>
          </w:tcPr>
          <w:p>
            <w:pPr>
              <w:rPr>
                <w:sz w:val="2"/>
                <w:szCs w:val="2"/>
              </w:rPr>
            </w:pPr>
          </w:p>
        </w:tc>
      </w:tr>
    </w:tbl>
    <w:p>
      <w:pPr>
        <w:spacing w:after="0"/>
        <w:rPr>
          <w:sz w:val="2"/>
          <w:szCs w:val="2"/>
        </w:rPr>
        <w:sectPr>
          <w:pgSz w:w="11910" w:h="16840"/>
          <w:pgMar w:header="0" w:footer="1383" w:top="1420" w:bottom="1580" w:left="1240" w:right="1040"/>
        </w:sectPr>
      </w:pPr>
    </w:p>
    <w:tbl>
      <w:tblPr>
        <w:tblW w:w="0" w:type="auto"/>
        <w:jc w:val="left"/>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7"/>
        <w:gridCol w:w="1320"/>
        <w:gridCol w:w="3593"/>
        <w:gridCol w:w="1487"/>
        <w:gridCol w:w="1582"/>
        <w:gridCol w:w="149"/>
      </w:tblGrid>
      <w:tr>
        <w:trPr>
          <w:trHeight w:val="11849" w:hRule="atLeast"/>
        </w:trPr>
        <w:tc>
          <w:tcPr>
            <w:tcW w:w="9258" w:type="dxa"/>
            <w:gridSpan w:val="6"/>
            <w:tcBorders>
              <w:bottom w:val="single" w:sz="12" w:space="0" w:color="000000"/>
            </w:tcBorders>
          </w:tcPr>
          <w:p>
            <w:pPr>
              <w:pStyle w:val="TableParagraph"/>
              <w:spacing w:before="133"/>
              <w:ind w:left="686"/>
              <w:jc w:val="left"/>
              <w:rPr>
                <w:sz w:val="28"/>
              </w:rPr>
            </w:pPr>
            <w:r>
              <w:rPr>
                <w:sz w:val="28"/>
              </w:rPr>
              <w:t>四、辐射安全防护设施对照分析</w:t>
            </w:r>
          </w:p>
          <w:p>
            <w:pPr>
              <w:pStyle w:val="TableParagraph"/>
              <w:spacing w:line="364" w:lineRule="auto" w:before="212"/>
              <w:ind w:left="108" w:right="-29" w:firstLine="480"/>
              <w:jc w:val="both"/>
              <w:rPr>
                <w:sz w:val="24"/>
              </w:rPr>
            </w:pPr>
            <w:r>
              <w:rPr>
                <w:sz w:val="24"/>
              </w:rPr>
              <w:t>根据《环境保护部辐射安全与防护监督检查技术程序（第三版）》和《四川省核技术利用辐射安全与防护监督检查大纲》（川环函</w:t>
            </w:r>
            <w:r>
              <w:rPr>
                <w:rFonts w:ascii="Times New Roman" w:hAnsi="Times New Roman" w:eastAsia="Times New Roman"/>
                <w:sz w:val="24"/>
              </w:rPr>
              <w:t>[2016]1400</w:t>
            </w:r>
            <w:r>
              <w:rPr>
                <w:rFonts w:ascii="Times New Roman" w:hAnsi="Times New Roman" w:eastAsia="Times New Roman"/>
                <w:spacing w:val="6"/>
                <w:sz w:val="24"/>
              </w:rPr>
              <w:t> </w:t>
            </w:r>
            <w:r>
              <w:rPr>
                <w:sz w:val="24"/>
              </w:rPr>
              <w:t>号）对</w:t>
            </w:r>
            <w:r>
              <w:rPr>
                <w:rFonts w:ascii="Times New Roman" w:hAnsi="Times New Roman" w:eastAsia="Times New Roman"/>
                <w:sz w:val="24"/>
              </w:rPr>
              <w:t>Ⅱ</w:t>
            </w:r>
            <w:r>
              <w:rPr>
                <w:sz w:val="24"/>
              </w:rPr>
              <w:t>类医用射线装置的</w:t>
            </w:r>
            <w:r>
              <w:rPr>
                <w:spacing w:val="-19"/>
                <w:sz w:val="24"/>
              </w:rPr>
              <w:t>要求，本次评价根据建设单位采取的辐射安全措施进行了对照分析，具体情况见表 </w:t>
            </w:r>
            <w:r>
              <w:rPr>
                <w:rFonts w:ascii="Times New Roman" w:hAnsi="Times New Roman" w:eastAsia="Times New Roman"/>
                <w:sz w:val="24"/>
              </w:rPr>
              <w:t>10-5</w:t>
            </w:r>
            <w:r>
              <w:rPr>
                <w:sz w:val="24"/>
              </w:rPr>
              <w:t>：</w:t>
            </w:r>
          </w:p>
          <w:p>
            <w:pPr>
              <w:pStyle w:val="TableParagraph"/>
              <w:spacing w:before="20"/>
              <w:ind w:left="2572"/>
              <w:jc w:val="both"/>
              <w:rPr>
                <w:sz w:val="21"/>
              </w:rPr>
            </w:pPr>
            <w:r>
              <w:rPr>
                <w:spacing w:val="-1"/>
                <w:w w:val="95"/>
                <w:sz w:val="21"/>
              </w:rPr>
              <w:t>表 </w:t>
            </w:r>
            <w:r>
              <w:rPr>
                <w:rFonts w:ascii="Times New Roman" w:eastAsia="Times New Roman"/>
                <w:b/>
                <w:w w:val="95"/>
                <w:sz w:val="21"/>
              </w:rPr>
              <w:t>10-5</w:t>
            </w:r>
            <w:r>
              <w:rPr>
                <w:rFonts w:ascii="Times New Roman" w:eastAsia="Times New Roman"/>
                <w:b/>
                <w:spacing w:val="48"/>
                <w:sz w:val="21"/>
              </w:rPr>
              <w:t>  </w:t>
            </w:r>
            <w:r>
              <w:rPr>
                <w:w w:val="95"/>
                <w:sz w:val="21"/>
              </w:rPr>
              <w:t>本项目辐射安全防护设施对照分析表</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2"/>
              <w:jc w:val="left"/>
              <w:rPr>
                <w:sz w:val="17"/>
              </w:rPr>
            </w:pPr>
          </w:p>
          <w:p>
            <w:pPr>
              <w:pStyle w:val="TableParagraph"/>
              <w:spacing w:before="1"/>
              <w:ind w:left="108"/>
              <w:jc w:val="left"/>
              <w:rPr>
                <w:sz w:val="28"/>
              </w:rPr>
            </w:pPr>
            <w:r>
              <w:rPr>
                <w:sz w:val="28"/>
              </w:rPr>
              <w:t>五、环保设施及投资分析</w:t>
            </w:r>
          </w:p>
          <w:p>
            <w:pPr>
              <w:pStyle w:val="TableParagraph"/>
              <w:spacing w:line="510" w:lineRule="atLeast" w:before="118"/>
              <w:ind w:left="108" w:right="94" w:firstLine="480"/>
              <w:jc w:val="left"/>
              <w:rPr>
                <w:sz w:val="24"/>
              </w:rPr>
            </w:pPr>
            <w:r>
              <w:rPr>
                <w:spacing w:val="-2"/>
                <w:sz w:val="24"/>
              </w:rPr>
              <w:t>本项目总投资</w:t>
            </w:r>
            <w:r>
              <w:rPr>
                <w:rFonts w:ascii="Times New Roman" w:eastAsia="Times New Roman"/>
                <w:b/>
                <w:spacing w:val="-1"/>
                <w:sz w:val="32"/>
              </w:rPr>
              <w:t>***</w:t>
            </w:r>
            <w:r>
              <w:rPr>
                <w:spacing w:val="-1"/>
                <w:sz w:val="24"/>
              </w:rPr>
              <w:t>万元，其中环保投资</w:t>
            </w:r>
            <w:r>
              <w:rPr>
                <w:rFonts w:ascii="Times New Roman" w:eastAsia="Times New Roman"/>
                <w:b/>
                <w:spacing w:val="-1"/>
                <w:sz w:val="32"/>
              </w:rPr>
              <w:t>***</w:t>
            </w:r>
            <w:r>
              <w:rPr>
                <w:spacing w:val="-1"/>
                <w:sz w:val="24"/>
              </w:rPr>
              <w:t>万元，占总投资约</w:t>
            </w:r>
            <w:r>
              <w:rPr>
                <w:rFonts w:ascii="Times New Roman" w:eastAsia="Times New Roman"/>
                <w:b/>
                <w:spacing w:val="-1"/>
                <w:sz w:val="32"/>
              </w:rPr>
              <w:t>***</w:t>
            </w:r>
            <w:r>
              <w:rPr>
                <w:rFonts w:ascii="Times New Roman" w:eastAsia="Times New Roman"/>
                <w:spacing w:val="-1"/>
                <w:sz w:val="24"/>
              </w:rPr>
              <w:t>%</w:t>
            </w:r>
            <w:r>
              <w:rPr>
                <w:spacing w:val="-1"/>
                <w:sz w:val="24"/>
              </w:rPr>
              <w:t>。具体环保设</w:t>
            </w:r>
            <w:r>
              <w:rPr>
                <w:spacing w:val="-9"/>
                <w:sz w:val="24"/>
              </w:rPr>
              <w:t>施及投资见表 </w:t>
            </w:r>
            <w:r>
              <w:rPr>
                <w:rFonts w:ascii="Times New Roman" w:eastAsia="Times New Roman"/>
                <w:sz w:val="24"/>
              </w:rPr>
              <w:t>10-6</w:t>
            </w:r>
            <w:r>
              <w:rPr>
                <w:sz w:val="24"/>
              </w:rPr>
              <w:t>。</w:t>
            </w:r>
          </w:p>
          <w:p>
            <w:pPr>
              <w:pStyle w:val="TableParagraph"/>
              <w:spacing w:before="106"/>
              <w:ind w:left="2686" w:right="2670"/>
              <w:rPr>
                <w:sz w:val="21"/>
              </w:rPr>
            </w:pPr>
            <w:r>
              <w:rPr>
                <w:spacing w:val="-6"/>
                <w:w w:val="95"/>
                <w:sz w:val="21"/>
              </w:rPr>
              <w:t>表 </w:t>
            </w:r>
            <w:r>
              <w:rPr>
                <w:rFonts w:ascii="Times New Roman" w:eastAsia="Times New Roman"/>
                <w:b/>
                <w:w w:val="95"/>
                <w:sz w:val="21"/>
              </w:rPr>
              <w:t>10-6</w:t>
            </w:r>
            <w:r>
              <w:rPr>
                <w:rFonts w:ascii="Times New Roman" w:eastAsia="Times New Roman"/>
                <w:b/>
                <w:spacing w:val="115"/>
                <w:sz w:val="21"/>
              </w:rPr>
              <w:t> </w:t>
            </w:r>
            <w:r>
              <w:rPr>
                <w:w w:val="95"/>
                <w:sz w:val="21"/>
              </w:rPr>
              <w:t>环保设施及投资一览表</w:t>
            </w:r>
          </w:p>
        </w:tc>
      </w:tr>
      <w:tr>
        <w:trPr>
          <w:trHeight w:val="312" w:hRule="atLeast"/>
        </w:trPr>
        <w:tc>
          <w:tcPr>
            <w:tcW w:w="2447" w:type="dxa"/>
            <w:gridSpan w:val="2"/>
            <w:tcBorders>
              <w:top w:val="single" w:sz="12" w:space="0" w:color="000000"/>
              <w:bottom w:val="single" w:sz="12" w:space="0" w:color="000000"/>
            </w:tcBorders>
          </w:tcPr>
          <w:p>
            <w:pPr>
              <w:pStyle w:val="TableParagraph"/>
              <w:spacing w:before="21"/>
              <w:ind w:left="1045" w:right="931"/>
              <w:rPr>
                <w:sz w:val="21"/>
              </w:rPr>
            </w:pPr>
            <w:r>
              <w:rPr>
                <w:sz w:val="21"/>
              </w:rPr>
              <w:t>项目</w:t>
            </w:r>
          </w:p>
        </w:tc>
        <w:tc>
          <w:tcPr>
            <w:tcW w:w="3593" w:type="dxa"/>
            <w:tcBorders>
              <w:top w:val="single" w:sz="12" w:space="0" w:color="000000"/>
              <w:bottom w:val="single" w:sz="12" w:space="0" w:color="000000"/>
            </w:tcBorders>
          </w:tcPr>
          <w:p>
            <w:pPr>
              <w:pStyle w:val="TableParagraph"/>
              <w:spacing w:before="2"/>
              <w:ind w:left="107" w:right="95"/>
              <w:rPr>
                <w:sz w:val="21"/>
              </w:rPr>
            </w:pPr>
            <w:r>
              <w:rPr>
                <w:w w:val="95"/>
                <w:sz w:val="21"/>
              </w:rPr>
              <w:t>环保设施</w:t>
            </w:r>
          </w:p>
        </w:tc>
        <w:tc>
          <w:tcPr>
            <w:tcW w:w="1487" w:type="dxa"/>
            <w:tcBorders>
              <w:top w:val="single" w:sz="12" w:space="0" w:color="000000"/>
              <w:bottom w:val="single" w:sz="12" w:space="0" w:color="000000"/>
            </w:tcBorders>
          </w:tcPr>
          <w:p>
            <w:pPr>
              <w:pStyle w:val="TableParagraph"/>
              <w:spacing w:before="2"/>
              <w:ind w:left="120" w:right="110"/>
              <w:rPr>
                <w:sz w:val="21"/>
              </w:rPr>
            </w:pPr>
            <w:r>
              <w:rPr>
                <w:sz w:val="21"/>
              </w:rPr>
              <w:t>数量</w:t>
            </w:r>
          </w:p>
        </w:tc>
        <w:tc>
          <w:tcPr>
            <w:tcW w:w="1582" w:type="dxa"/>
            <w:tcBorders>
              <w:top w:val="single" w:sz="12" w:space="0" w:color="000000"/>
              <w:bottom w:val="single" w:sz="12" w:space="0" w:color="000000"/>
            </w:tcBorders>
          </w:tcPr>
          <w:p>
            <w:pPr>
              <w:pStyle w:val="TableParagraph"/>
              <w:spacing w:before="2"/>
              <w:ind w:left="89" w:right="78"/>
              <w:rPr>
                <w:sz w:val="21"/>
              </w:rPr>
            </w:pPr>
            <w:r>
              <w:rPr>
                <w:w w:val="95"/>
                <w:sz w:val="21"/>
              </w:rPr>
              <w:t>投资（万元）</w:t>
            </w:r>
          </w:p>
        </w:tc>
        <w:tc>
          <w:tcPr>
            <w:tcW w:w="149" w:type="dxa"/>
            <w:tcBorders>
              <w:top w:val="nil"/>
              <w:bottom w:val="nil"/>
            </w:tcBorders>
          </w:tcPr>
          <w:p>
            <w:pPr>
              <w:pStyle w:val="TableParagraph"/>
              <w:jc w:val="left"/>
              <w:rPr>
                <w:rFonts w:ascii="Times New Roman"/>
                <w:sz w:val="22"/>
              </w:rPr>
            </w:pPr>
          </w:p>
        </w:tc>
      </w:tr>
      <w:tr>
        <w:trPr>
          <w:trHeight w:val="358" w:hRule="atLeast"/>
        </w:trPr>
        <w:tc>
          <w:tcPr>
            <w:tcW w:w="1127" w:type="dxa"/>
            <w:vMerge w:val="restart"/>
            <w:tcBorders>
              <w:top w:val="single" w:sz="12" w:space="0" w:color="000000"/>
              <w:bottom w:val="single" w:sz="12" w:space="0" w:color="000000"/>
            </w:tcBorders>
          </w:tcPr>
          <w:p>
            <w:pPr>
              <w:pStyle w:val="TableParagraph"/>
              <w:spacing w:before="6"/>
              <w:jc w:val="left"/>
              <w:rPr>
                <w:sz w:val="29"/>
              </w:rPr>
            </w:pPr>
          </w:p>
          <w:p>
            <w:pPr>
              <w:pStyle w:val="TableParagraph"/>
              <w:ind w:left="256" w:right="139"/>
              <w:rPr>
                <w:sz w:val="21"/>
              </w:rPr>
            </w:pPr>
            <w:r>
              <w:rPr>
                <w:rFonts w:ascii="Times New Roman" w:eastAsia="Times New Roman"/>
                <w:sz w:val="21"/>
              </w:rPr>
              <w:t>DSA</w:t>
            </w:r>
            <w:r>
              <w:rPr>
                <w:rFonts w:ascii="Times New Roman" w:eastAsia="Times New Roman"/>
                <w:spacing w:val="-1"/>
                <w:sz w:val="21"/>
              </w:rPr>
              <w:t> </w:t>
            </w:r>
            <w:r>
              <w:rPr>
                <w:sz w:val="21"/>
              </w:rPr>
              <w:t>机</w:t>
            </w:r>
          </w:p>
          <w:p>
            <w:pPr>
              <w:pStyle w:val="TableParagraph"/>
              <w:spacing w:before="5"/>
              <w:ind w:left="114"/>
              <w:rPr>
                <w:sz w:val="21"/>
              </w:rPr>
            </w:pPr>
            <w:r>
              <w:rPr>
                <w:w w:val="99"/>
                <w:sz w:val="21"/>
              </w:rPr>
              <w:t>房</w:t>
            </w:r>
          </w:p>
        </w:tc>
        <w:tc>
          <w:tcPr>
            <w:tcW w:w="1320" w:type="dxa"/>
            <w:vMerge w:val="restart"/>
            <w:tcBorders>
              <w:top w:val="single" w:sz="12" w:space="0" w:color="000000"/>
              <w:bottom w:val="single" w:sz="12" w:space="0" w:color="000000"/>
            </w:tcBorders>
          </w:tcPr>
          <w:p>
            <w:pPr>
              <w:pStyle w:val="TableParagraph"/>
              <w:spacing w:before="6"/>
              <w:jc w:val="left"/>
              <w:rPr>
                <w:sz w:val="29"/>
              </w:rPr>
            </w:pPr>
          </w:p>
          <w:p>
            <w:pPr>
              <w:pStyle w:val="TableParagraph"/>
              <w:spacing w:line="244" w:lineRule="auto"/>
              <w:ind w:left="555" w:right="123" w:hanging="420"/>
              <w:jc w:val="left"/>
              <w:rPr>
                <w:sz w:val="21"/>
              </w:rPr>
            </w:pPr>
            <w:r>
              <w:rPr>
                <w:spacing w:val="-1"/>
                <w:sz w:val="21"/>
              </w:rPr>
              <w:t>辐射屏蔽措</w:t>
            </w:r>
            <w:r>
              <w:rPr>
                <w:sz w:val="21"/>
              </w:rPr>
              <w:t>施</w:t>
            </w:r>
          </w:p>
        </w:tc>
        <w:tc>
          <w:tcPr>
            <w:tcW w:w="3593" w:type="dxa"/>
            <w:tcBorders>
              <w:top w:val="single" w:sz="12" w:space="0" w:color="000000"/>
            </w:tcBorders>
          </w:tcPr>
          <w:p>
            <w:pPr>
              <w:pStyle w:val="TableParagraph"/>
              <w:spacing w:before="49"/>
              <w:ind w:left="102" w:right="95"/>
              <w:rPr>
                <w:sz w:val="21"/>
              </w:rPr>
            </w:pPr>
            <w:r>
              <w:rPr>
                <w:sz w:val="21"/>
              </w:rPr>
              <w:t>观察窗（</w:t>
            </w:r>
            <w:r>
              <w:rPr>
                <w:rFonts w:ascii="Times New Roman" w:eastAsia="Times New Roman"/>
                <w:sz w:val="21"/>
              </w:rPr>
              <w:t>4mm</w:t>
            </w:r>
            <w:r>
              <w:rPr>
                <w:rFonts w:ascii="Times New Roman" w:eastAsia="Times New Roman"/>
                <w:spacing w:val="-4"/>
                <w:sz w:val="21"/>
              </w:rPr>
              <w:t> </w:t>
            </w:r>
            <w:r>
              <w:rPr>
                <w:sz w:val="21"/>
              </w:rPr>
              <w:t>铅当量）</w:t>
            </w:r>
          </w:p>
        </w:tc>
        <w:tc>
          <w:tcPr>
            <w:tcW w:w="1487" w:type="dxa"/>
            <w:tcBorders>
              <w:top w:val="single" w:sz="12" w:space="0" w:color="000000"/>
            </w:tcBorders>
          </w:tcPr>
          <w:p>
            <w:pPr>
              <w:pStyle w:val="TableParagraph"/>
              <w:spacing w:before="49"/>
              <w:ind w:left="120" w:right="112"/>
              <w:rPr>
                <w:sz w:val="21"/>
              </w:rPr>
            </w:pPr>
            <w:r>
              <w:rPr>
                <w:rFonts w:ascii="Times New Roman" w:eastAsia="Times New Roman"/>
                <w:sz w:val="21"/>
              </w:rPr>
              <w:t>1</w:t>
            </w:r>
            <w:r>
              <w:rPr>
                <w:rFonts w:ascii="Times New Roman" w:eastAsia="Times New Roman"/>
                <w:spacing w:val="-2"/>
                <w:sz w:val="21"/>
              </w:rPr>
              <w:t> </w:t>
            </w:r>
            <w:r>
              <w:rPr>
                <w:sz w:val="21"/>
              </w:rPr>
              <w:t>扇</w:t>
            </w:r>
          </w:p>
        </w:tc>
        <w:tc>
          <w:tcPr>
            <w:tcW w:w="1582" w:type="dxa"/>
            <w:tcBorders>
              <w:top w:val="single" w:sz="12" w:space="0" w:color="000000"/>
            </w:tcBorders>
          </w:tcPr>
          <w:p>
            <w:pPr>
              <w:pStyle w:val="TableParagraph"/>
              <w:spacing w:line="337" w:lineRule="exact" w:before="1"/>
              <w:ind w:left="89" w:right="80"/>
              <w:rPr>
                <w:rFonts w:ascii="Times New Roman"/>
                <w:b/>
                <w:sz w:val="32"/>
              </w:rPr>
            </w:pPr>
            <w:r>
              <w:rPr>
                <w:rFonts w:ascii="Times New Roman"/>
                <w:b/>
                <w:sz w:val="32"/>
              </w:rPr>
              <w:t>***</w:t>
            </w:r>
          </w:p>
        </w:tc>
        <w:tc>
          <w:tcPr>
            <w:tcW w:w="149" w:type="dxa"/>
            <w:tcBorders>
              <w:top w:val="nil"/>
              <w:bottom w:val="nil"/>
            </w:tcBorders>
          </w:tcPr>
          <w:p>
            <w:pPr>
              <w:pStyle w:val="TableParagraph"/>
              <w:jc w:val="left"/>
              <w:rPr>
                <w:rFonts w:ascii="Times New Roman"/>
                <w:sz w:val="22"/>
              </w:rPr>
            </w:pPr>
          </w:p>
        </w:tc>
      </w:tr>
      <w:tr>
        <w:trPr>
          <w:trHeight w:val="347" w:hRule="atLeast"/>
        </w:trPr>
        <w:tc>
          <w:tcPr>
            <w:tcW w:w="1127" w:type="dxa"/>
            <w:vMerge/>
            <w:tcBorders>
              <w:top w:val="nil"/>
              <w:bottom w:val="single" w:sz="12" w:space="0" w:color="000000"/>
            </w:tcBorders>
          </w:tcPr>
          <w:p>
            <w:pPr>
              <w:rPr>
                <w:sz w:val="2"/>
                <w:szCs w:val="2"/>
              </w:rPr>
            </w:pPr>
          </w:p>
        </w:tc>
        <w:tc>
          <w:tcPr>
            <w:tcW w:w="1320" w:type="dxa"/>
            <w:vMerge/>
            <w:tcBorders>
              <w:top w:val="nil"/>
              <w:bottom w:val="single" w:sz="12" w:space="0" w:color="000000"/>
            </w:tcBorders>
          </w:tcPr>
          <w:p>
            <w:pPr>
              <w:rPr>
                <w:sz w:val="2"/>
                <w:szCs w:val="2"/>
              </w:rPr>
            </w:pPr>
          </w:p>
        </w:tc>
        <w:tc>
          <w:tcPr>
            <w:tcW w:w="3593" w:type="dxa"/>
          </w:tcPr>
          <w:p>
            <w:pPr>
              <w:pStyle w:val="TableParagraph"/>
              <w:spacing w:before="37"/>
              <w:ind w:left="104" w:right="95"/>
              <w:rPr>
                <w:sz w:val="21"/>
              </w:rPr>
            </w:pPr>
            <w:r>
              <w:rPr>
                <w:sz w:val="21"/>
              </w:rPr>
              <w:t>铅防护门（</w:t>
            </w:r>
            <w:r>
              <w:rPr>
                <w:rFonts w:ascii="Times New Roman" w:eastAsia="Times New Roman"/>
                <w:sz w:val="21"/>
              </w:rPr>
              <w:t>4mm</w:t>
            </w:r>
            <w:r>
              <w:rPr>
                <w:rFonts w:ascii="Times New Roman" w:eastAsia="Times New Roman"/>
                <w:spacing w:val="-2"/>
                <w:sz w:val="21"/>
              </w:rPr>
              <w:t> </w:t>
            </w:r>
            <w:r>
              <w:rPr>
                <w:sz w:val="21"/>
              </w:rPr>
              <w:t>铅当量）</w:t>
            </w:r>
          </w:p>
        </w:tc>
        <w:tc>
          <w:tcPr>
            <w:tcW w:w="1487" w:type="dxa"/>
          </w:tcPr>
          <w:p>
            <w:pPr>
              <w:pStyle w:val="TableParagraph"/>
              <w:spacing w:before="37"/>
              <w:ind w:left="120" w:right="112"/>
              <w:rPr>
                <w:sz w:val="21"/>
              </w:rPr>
            </w:pPr>
            <w:r>
              <w:rPr>
                <w:rFonts w:ascii="Times New Roman" w:eastAsia="Times New Roman"/>
                <w:sz w:val="21"/>
              </w:rPr>
              <w:t>4</w:t>
            </w:r>
            <w:r>
              <w:rPr>
                <w:rFonts w:ascii="Times New Roman" w:eastAsia="Times New Roman"/>
                <w:spacing w:val="-2"/>
                <w:sz w:val="21"/>
              </w:rPr>
              <w:t> </w:t>
            </w:r>
            <w:r>
              <w:rPr>
                <w:sz w:val="21"/>
              </w:rPr>
              <w:t>扇</w:t>
            </w:r>
          </w:p>
        </w:tc>
        <w:tc>
          <w:tcPr>
            <w:tcW w:w="1582" w:type="dxa"/>
          </w:tcPr>
          <w:p>
            <w:pPr>
              <w:pStyle w:val="TableParagraph"/>
              <w:spacing w:line="328" w:lineRule="exact"/>
              <w:ind w:left="89" w:right="80"/>
              <w:rPr>
                <w:rFonts w:ascii="Times New Roman"/>
                <w:b/>
                <w:sz w:val="32"/>
              </w:rPr>
            </w:pPr>
            <w:r>
              <w:rPr>
                <w:rFonts w:ascii="Times New Roman"/>
                <w:b/>
                <w:sz w:val="32"/>
              </w:rPr>
              <w:t>***</w:t>
            </w:r>
          </w:p>
        </w:tc>
        <w:tc>
          <w:tcPr>
            <w:tcW w:w="149" w:type="dxa"/>
            <w:tcBorders>
              <w:top w:val="nil"/>
              <w:bottom w:val="nil"/>
            </w:tcBorders>
          </w:tcPr>
          <w:p>
            <w:pPr>
              <w:pStyle w:val="TableParagraph"/>
              <w:jc w:val="left"/>
              <w:rPr>
                <w:rFonts w:ascii="Times New Roman"/>
                <w:sz w:val="22"/>
              </w:rPr>
            </w:pPr>
          </w:p>
        </w:tc>
      </w:tr>
      <w:tr>
        <w:trPr>
          <w:trHeight w:val="532" w:hRule="atLeast"/>
        </w:trPr>
        <w:tc>
          <w:tcPr>
            <w:tcW w:w="1127" w:type="dxa"/>
            <w:vMerge/>
            <w:tcBorders>
              <w:top w:val="nil"/>
              <w:bottom w:val="single" w:sz="12" w:space="0" w:color="000000"/>
            </w:tcBorders>
          </w:tcPr>
          <w:p>
            <w:pPr>
              <w:rPr>
                <w:sz w:val="2"/>
                <w:szCs w:val="2"/>
              </w:rPr>
            </w:pPr>
          </w:p>
        </w:tc>
        <w:tc>
          <w:tcPr>
            <w:tcW w:w="1320" w:type="dxa"/>
            <w:vMerge/>
            <w:tcBorders>
              <w:top w:val="nil"/>
              <w:bottom w:val="single" w:sz="12" w:space="0" w:color="000000"/>
            </w:tcBorders>
          </w:tcPr>
          <w:p>
            <w:pPr>
              <w:rPr>
                <w:sz w:val="2"/>
                <w:szCs w:val="2"/>
              </w:rPr>
            </w:pPr>
          </w:p>
        </w:tc>
        <w:tc>
          <w:tcPr>
            <w:tcW w:w="3593" w:type="dxa"/>
            <w:tcBorders>
              <w:bottom w:val="single" w:sz="8" w:space="0" w:color="000000"/>
            </w:tcBorders>
          </w:tcPr>
          <w:p>
            <w:pPr>
              <w:pStyle w:val="TableParagraph"/>
              <w:spacing w:line="260" w:lineRule="exact"/>
              <w:ind w:left="152"/>
              <w:jc w:val="left"/>
              <w:rPr>
                <w:sz w:val="21"/>
              </w:rPr>
            </w:pPr>
            <w:r>
              <w:rPr>
                <w:sz w:val="21"/>
              </w:rPr>
              <w:t>屋顶：</w:t>
            </w:r>
            <w:r>
              <w:rPr>
                <w:rFonts w:ascii="Times New Roman" w:eastAsia="Times New Roman"/>
                <w:sz w:val="21"/>
              </w:rPr>
              <w:t>150mm</w:t>
            </w:r>
            <w:r>
              <w:rPr>
                <w:rFonts w:ascii="Times New Roman" w:eastAsia="Times New Roman"/>
                <w:spacing w:val="-4"/>
                <w:sz w:val="21"/>
              </w:rPr>
              <w:t> </w:t>
            </w:r>
            <w:r>
              <w:rPr>
                <w:sz w:val="21"/>
              </w:rPr>
              <w:t>厚混凝土</w:t>
            </w:r>
            <w:r>
              <w:rPr>
                <w:rFonts w:ascii="Times New Roman" w:eastAsia="Times New Roman"/>
                <w:sz w:val="21"/>
              </w:rPr>
              <w:t>+20mm</w:t>
            </w:r>
            <w:r>
              <w:rPr>
                <w:rFonts w:ascii="Times New Roman" w:eastAsia="Times New Roman"/>
                <w:spacing w:val="-4"/>
                <w:sz w:val="21"/>
              </w:rPr>
              <w:t> </w:t>
            </w:r>
            <w:r>
              <w:rPr>
                <w:sz w:val="21"/>
              </w:rPr>
              <w:t>厚射</w:t>
            </w:r>
          </w:p>
          <w:p>
            <w:pPr>
              <w:pStyle w:val="TableParagraph"/>
              <w:spacing w:line="251" w:lineRule="exact" w:before="2"/>
              <w:ind w:left="109"/>
              <w:jc w:val="left"/>
              <w:rPr>
                <w:sz w:val="21"/>
              </w:rPr>
            </w:pPr>
            <w:r>
              <w:rPr>
                <w:w w:val="95"/>
                <w:sz w:val="21"/>
              </w:rPr>
              <w:t>线防护复合微晶石板（</w:t>
            </w:r>
            <w:r>
              <w:rPr>
                <w:spacing w:val="-5"/>
                <w:w w:val="95"/>
                <w:sz w:val="21"/>
              </w:rPr>
              <w:t>折合 </w:t>
            </w:r>
            <w:r>
              <w:rPr>
                <w:rFonts w:ascii="Times New Roman" w:eastAsia="Times New Roman"/>
                <w:w w:val="95"/>
                <w:sz w:val="21"/>
              </w:rPr>
              <w:t>4.5mm</w:t>
            </w:r>
            <w:r>
              <w:rPr>
                <w:rFonts w:ascii="Times New Roman" w:eastAsia="Times New Roman"/>
                <w:spacing w:val="34"/>
                <w:w w:val="95"/>
                <w:sz w:val="21"/>
              </w:rPr>
              <w:t> </w:t>
            </w:r>
            <w:r>
              <w:rPr>
                <w:w w:val="95"/>
                <w:sz w:val="21"/>
              </w:rPr>
              <w:t>铅</w:t>
            </w:r>
          </w:p>
        </w:tc>
        <w:tc>
          <w:tcPr>
            <w:tcW w:w="1487" w:type="dxa"/>
            <w:tcBorders>
              <w:bottom w:val="single" w:sz="8" w:space="0" w:color="000000"/>
            </w:tcBorders>
          </w:tcPr>
          <w:p>
            <w:pPr>
              <w:pStyle w:val="TableParagraph"/>
              <w:spacing w:before="139"/>
              <w:ind w:left="8"/>
              <w:rPr>
                <w:rFonts w:ascii="Times New Roman"/>
                <w:sz w:val="21"/>
              </w:rPr>
            </w:pPr>
            <w:r>
              <w:rPr>
                <w:rFonts w:ascii="Times New Roman"/>
                <w:w w:val="99"/>
                <w:sz w:val="21"/>
              </w:rPr>
              <w:t>/</w:t>
            </w:r>
          </w:p>
        </w:tc>
        <w:tc>
          <w:tcPr>
            <w:tcW w:w="1582" w:type="dxa"/>
            <w:tcBorders>
              <w:bottom w:val="single" w:sz="12" w:space="0" w:color="000000"/>
            </w:tcBorders>
          </w:tcPr>
          <w:p>
            <w:pPr>
              <w:pStyle w:val="TableParagraph"/>
              <w:spacing w:before="77"/>
              <w:ind w:left="89" w:right="80"/>
              <w:rPr>
                <w:rFonts w:ascii="Times New Roman"/>
                <w:b/>
                <w:sz w:val="32"/>
              </w:rPr>
            </w:pPr>
            <w:r>
              <w:rPr>
                <w:rFonts w:ascii="Times New Roman"/>
                <w:b/>
                <w:sz w:val="32"/>
              </w:rPr>
              <w:t>***</w:t>
            </w:r>
          </w:p>
        </w:tc>
        <w:tc>
          <w:tcPr>
            <w:tcW w:w="149" w:type="dxa"/>
            <w:tcBorders>
              <w:top w:val="nil"/>
            </w:tcBorders>
          </w:tcPr>
          <w:p>
            <w:pPr>
              <w:pStyle w:val="TableParagraph"/>
              <w:jc w:val="left"/>
              <w:rPr>
                <w:rFonts w:ascii="Times New Roman"/>
                <w:sz w:val="22"/>
              </w:rPr>
            </w:pPr>
          </w:p>
        </w:tc>
      </w:tr>
    </w:tbl>
    <w:p>
      <w:pPr>
        <w:rPr>
          <w:sz w:val="2"/>
          <w:szCs w:val="2"/>
        </w:rPr>
      </w:pPr>
      <w:r>
        <w:rPr/>
        <w:pict>
          <v:shape style="position:absolute;margin-left:79.980003pt;margin-top:197.300018pt;width:449.1pt;height:366.25pt;mso-position-horizontal-relative:page;mso-position-vertical-relative:page;z-index:15742976"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1"/>
                    <w:gridCol w:w="2399"/>
                    <w:gridCol w:w="2732"/>
                    <w:gridCol w:w="3116"/>
                  </w:tblGrid>
                  <w:tr>
                    <w:trPr>
                      <w:trHeight w:val="322" w:hRule="atLeast"/>
                    </w:trPr>
                    <w:tc>
                      <w:tcPr>
                        <w:tcW w:w="691" w:type="dxa"/>
                        <w:tcBorders>
                          <w:left w:val="nil"/>
                          <w:right w:val="single" w:sz="4" w:space="0" w:color="000000"/>
                        </w:tcBorders>
                      </w:tcPr>
                      <w:p>
                        <w:pPr>
                          <w:pStyle w:val="TableParagraph"/>
                          <w:spacing w:before="27"/>
                          <w:ind w:left="159"/>
                          <w:jc w:val="left"/>
                          <w:rPr>
                            <w:sz w:val="21"/>
                          </w:rPr>
                        </w:pPr>
                        <w:r>
                          <w:rPr>
                            <w:sz w:val="21"/>
                          </w:rPr>
                          <w:t>项目</w:t>
                        </w:r>
                      </w:p>
                    </w:tc>
                    <w:tc>
                      <w:tcPr>
                        <w:tcW w:w="2399" w:type="dxa"/>
                        <w:tcBorders>
                          <w:left w:val="single" w:sz="4" w:space="0" w:color="000000"/>
                          <w:right w:val="single" w:sz="4" w:space="0" w:color="000000"/>
                        </w:tcBorders>
                      </w:tcPr>
                      <w:p>
                        <w:pPr>
                          <w:pStyle w:val="TableParagraph"/>
                          <w:spacing w:before="27"/>
                          <w:ind w:left="368"/>
                          <w:jc w:val="left"/>
                          <w:rPr>
                            <w:sz w:val="21"/>
                          </w:rPr>
                        </w:pPr>
                        <w:r>
                          <w:rPr>
                            <w:sz w:val="21"/>
                          </w:rPr>
                          <w:t>规定的措施和制度</w:t>
                        </w:r>
                      </w:p>
                    </w:tc>
                    <w:tc>
                      <w:tcPr>
                        <w:tcW w:w="2732" w:type="dxa"/>
                        <w:tcBorders>
                          <w:left w:val="single" w:sz="4" w:space="0" w:color="000000"/>
                          <w:right w:val="single" w:sz="4" w:space="0" w:color="000000"/>
                        </w:tcBorders>
                      </w:tcPr>
                      <w:p>
                        <w:pPr>
                          <w:pStyle w:val="TableParagraph"/>
                          <w:spacing w:before="27"/>
                          <w:ind w:left="933" w:right="908"/>
                          <w:rPr>
                            <w:sz w:val="21"/>
                          </w:rPr>
                        </w:pPr>
                        <w:r>
                          <w:rPr>
                            <w:sz w:val="21"/>
                          </w:rPr>
                          <w:t>落实情况</w:t>
                        </w:r>
                      </w:p>
                    </w:tc>
                    <w:tc>
                      <w:tcPr>
                        <w:tcW w:w="3116" w:type="dxa"/>
                        <w:tcBorders>
                          <w:left w:val="single" w:sz="4" w:space="0" w:color="000000"/>
                          <w:right w:val="nil"/>
                        </w:tcBorders>
                      </w:tcPr>
                      <w:p>
                        <w:pPr>
                          <w:pStyle w:val="TableParagraph"/>
                          <w:spacing w:before="27"/>
                          <w:ind w:left="147" w:right="126"/>
                          <w:rPr>
                            <w:sz w:val="21"/>
                          </w:rPr>
                        </w:pPr>
                        <w:r>
                          <w:rPr>
                            <w:sz w:val="21"/>
                          </w:rPr>
                          <w:t>应增加的措施</w:t>
                        </w:r>
                      </w:p>
                    </w:tc>
                  </w:tr>
                  <w:tr>
                    <w:trPr>
                      <w:trHeight w:val="413" w:hRule="atLeast"/>
                    </w:trPr>
                    <w:tc>
                      <w:tcPr>
                        <w:tcW w:w="691" w:type="dxa"/>
                        <w:vMerge w:val="restart"/>
                        <w:tcBorders>
                          <w:left w:val="nil"/>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8"/>
                          <w:jc w:val="left"/>
                          <w:rPr>
                            <w:sz w:val="18"/>
                          </w:rPr>
                        </w:pPr>
                      </w:p>
                      <w:p>
                        <w:pPr>
                          <w:pStyle w:val="TableParagraph"/>
                          <w:spacing w:line="278" w:lineRule="auto"/>
                          <w:ind w:left="150" w:right="116"/>
                          <w:jc w:val="left"/>
                          <w:rPr>
                            <w:sz w:val="21"/>
                          </w:rPr>
                        </w:pPr>
                        <w:r>
                          <w:rPr>
                            <w:spacing w:val="-4"/>
                            <w:sz w:val="21"/>
                          </w:rPr>
                          <w:t>场所设施</w:t>
                        </w:r>
                      </w:p>
                    </w:tc>
                    <w:tc>
                      <w:tcPr>
                        <w:tcW w:w="2399" w:type="dxa"/>
                        <w:tcBorders>
                          <w:left w:val="single" w:sz="4" w:space="0" w:color="000000"/>
                          <w:bottom w:val="single" w:sz="4" w:space="0" w:color="000000"/>
                          <w:right w:val="single" w:sz="4" w:space="0" w:color="000000"/>
                        </w:tcBorders>
                      </w:tcPr>
                      <w:p>
                        <w:pPr>
                          <w:pStyle w:val="TableParagraph"/>
                          <w:spacing w:before="71"/>
                          <w:ind w:left="692"/>
                          <w:jc w:val="left"/>
                          <w:rPr>
                            <w:sz w:val="21"/>
                          </w:rPr>
                        </w:pPr>
                        <w:r>
                          <w:rPr>
                            <w:sz w:val="21"/>
                          </w:rPr>
                          <w:t>观察窗屏蔽</w:t>
                        </w:r>
                      </w:p>
                    </w:tc>
                    <w:tc>
                      <w:tcPr>
                        <w:tcW w:w="2732" w:type="dxa"/>
                        <w:tcBorders>
                          <w:left w:val="single" w:sz="4" w:space="0" w:color="000000"/>
                          <w:bottom w:val="single" w:sz="4" w:space="0" w:color="000000"/>
                          <w:right w:val="single" w:sz="4" w:space="0" w:color="000000"/>
                        </w:tcBorders>
                      </w:tcPr>
                      <w:p>
                        <w:pPr>
                          <w:pStyle w:val="TableParagraph"/>
                          <w:spacing w:before="71"/>
                          <w:ind w:left="117"/>
                          <w:jc w:val="left"/>
                          <w:rPr>
                            <w:sz w:val="21"/>
                          </w:rPr>
                        </w:pPr>
                        <w:r>
                          <w:rPr>
                            <w:rFonts w:ascii="Times New Roman" w:eastAsia="Times New Roman"/>
                            <w:w w:val="95"/>
                            <w:sz w:val="21"/>
                          </w:rPr>
                          <w:t>1</w:t>
                        </w:r>
                        <w:r>
                          <w:rPr>
                            <w:rFonts w:ascii="Times New Roman" w:eastAsia="Times New Roman"/>
                            <w:spacing w:val="24"/>
                            <w:w w:val="95"/>
                            <w:sz w:val="21"/>
                          </w:rPr>
                          <w:t> </w:t>
                        </w:r>
                        <w:r>
                          <w:rPr>
                            <w:spacing w:val="-4"/>
                            <w:w w:val="95"/>
                            <w:sz w:val="21"/>
                          </w:rPr>
                          <w:t>扇铅窗，为 </w:t>
                        </w:r>
                        <w:r>
                          <w:rPr>
                            <w:rFonts w:ascii="Times New Roman" w:eastAsia="Times New Roman"/>
                            <w:w w:val="95"/>
                            <w:sz w:val="21"/>
                          </w:rPr>
                          <w:t>4mm</w:t>
                        </w:r>
                        <w:r>
                          <w:rPr>
                            <w:rFonts w:ascii="Times New Roman" w:eastAsia="Times New Roman"/>
                            <w:spacing w:val="30"/>
                            <w:w w:val="95"/>
                            <w:sz w:val="21"/>
                          </w:rPr>
                          <w:t> </w:t>
                        </w:r>
                        <w:r>
                          <w:rPr>
                            <w:w w:val="95"/>
                            <w:sz w:val="21"/>
                          </w:rPr>
                          <w:t>铅当量</w:t>
                        </w:r>
                      </w:p>
                    </w:tc>
                    <w:tc>
                      <w:tcPr>
                        <w:tcW w:w="3116" w:type="dxa"/>
                        <w:tcBorders>
                          <w:left w:val="single" w:sz="4" w:space="0" w:color="000000"/>
                          <w:bottom w:val="single" w:sz="4" w:space="0" w:color="000000"/>
                          <w:right w:val="nil"/>
                        </w:tcBorders>
                      </w:tcPr>
                      <w:p>
                        <w:pPr>
                          <w:pStyle w:val="TableParagraph"/>
                          <w:spacing w:before="71"/>
                          <w:ind w:left="149" w:right="126"/>
                          <w:rPr>
                            <w:sz w:val="21"/>
                          </w:rPr>
                        </w:pPr>
                        <w:r>
                          <w:rPr>
                            <w:sz w:val="21"/>
                          </w:rPr>
                          <w:t>设计中已有</w:t>
                        </w:r>
                      </w:p>
                    </w:tc>
                  </w:tr>
                  <w:tr>
                    <w:trPr>
                      <w:trHeight w:val="4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70"/>
                          <w:ind w:left="692"/>
                          <w:jc w:val="left"/>
                          <w:rPr>
                            <w:sz w:val="21"/>
                          </w:rPr>
                        </w:pPr>
                        <w:r>
                          <w:rPr>
                            <w:sz w:val="21"/>
                          </w:rPr>
                          <w:t>机房防护门</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70"/>
                          <w:ind w:left="117"/>
                          <w:jc w:val="left"/>
                          <w:rPr>
                            <w:sz w:val="21"/>
                          </w:rPr>
                        </w:pPr>
                        <w:r>
                          <w:rPr>
                            <w:rFonts w:ascii="Times New Roman" w:eastAsia="Times New Roman"/>
                            <w:w w:val="95"/>
                            <w:sz w:val="21"/>
                          </w:rPr>
                          <w:t>4</w:t>
                        </w:r>
                        <w:r>
                          <w:rPr>
                            <w:rFonts w:ascii="Times New Roman" w:eastAsia="Times New Roman"/>
                            <w:spacing w:val="28"/>
                            <w:w w:val="95"/>
                            <w:sz w:val="21"/>
                          </w:rPr>
                          <w:t> </w:t>
                        </w:r>
                        <w:r>
                          <w:rPr>
                            <w:spacing w:val="-13"/>
                            <w:w w:val="95"/>
                            <w:sz w:val="21"/>
                          </w:rPr>
                          <w:t>扇铅门，均为 </w:t>
                        </w:r>
                        <w:r>
                          <w:rPr>
                            <w:rFonts w:ascii="Times New Roman" w:eastAsia="Times New Roman"/>
                            <w:w w:val="95"/>
                            <w:sz w:val="21"/>
                          </w:rPr>
                          <w:t>4mm</w:t>
                        </w:r>
                        <w:r>
                          <w:rPr>
                            <w:rFonts w:ascii="Times New Roman" w:eastAsia="Times New Roman"/>
                            <w:spacing w:val="31"/>
                            <w:w w:val="95"/>
                            <w:sz w:val="21"/>
                          </w:rPr>
                          <w:t> </w:t>
                        </w:r>
                        <w:r>
                          <w:rPr>
                            <w:w w:val="95"/>
                            <w:sz w:val="21"/>
                          </w:rPr>
                          <w:t>铅当量</w:t>
                        </w:r>
                      </w:p>
                    </w:tc>
                    <w:tc>
                      <w:tcPr>
                        <w:tcW w:w="3116" w:type="dxa"/>
                        <w:tcBorders>
                          <w:top w:val="single" w:sz="4" w:space="0" w:color="000000"/>
                          <w:left w:val="single" w:sz="4" w:space="0" w:color="000000"/>
                          <w:bottom w:val="single" w:sz="4" w:space="0" w:color="000000"/>
                          <w:right w:val="nil"/>
                        </w:tcBorders>
                      </w:tcPr>
                      <w:p>
                        <w:pPr>
                          <w:pStyle w:val="TableParagraph"/>
                          <w:spacing w:before="70"/>
                          <w:ind w:left="149" w:right="126"/>
                          <w:rPr>
                            <w:sz w:val="21"/>
                          </w:rPr>
                        </w:pPr>
                        <w:r>
                          <w:rPr>
                            <w:sz w:val="21"/>
                          </w:rPr>
                          <w:t>设计中已有</w:t>
                        </w:r>
                      </w:p>
                    </w:tc>
                  </w:tr>
                  <w:tr>
                    <w:trPr>
                      <w:trHeight w:val="624"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2"/>
                          <w:ind w:left="148" w:right="101"/>
                          <w:rPr>
                            <w:sz w:val="21"/>
                          </w:rPr>
                        </w:pPr>
                        <w:r>
                          <w:rPr>
                            <w:sz w:val="21"/>
                          </w:rPr>
                          <w:t>操作位局部屏蔽防护设</w:t>
                        </w:r>
                      </w:p>
                      <w:p>
                        <w:pPr>
                          <w:pStyle w:val="TableParagraph"/>
                          <w:spacing w:before="43"/>
                          <w:ind w:left="44"/>
                          <w:rPr>
                            <w:sz w:val="21"/>
                          </w:rPr>
                        </w:pPr>
                        <w:r>
                          <w:rPr>
                            <w:w w:val="99"/>
                            <w:sz w:val="21"/>
                          </w:rPr>
                          <w:t>施</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178"/>
                          <w:ind w:left="746"/>
                          <w:jc w:val="left"/>
                          <w:rPr>
                            <w:sz w:val="21"/>
                          </w:rPr>
                        </w:pPr>
                        <w:r>
                          <w:rPr>
                            <w:sz w:val="21"/>
                          </w:rPr>
                          <w:t>设备自带铅帘</w:t>
                        </w:r>
                      </w:p>
                    </w:tc>
                    <w:tc>
                      <w:tcPr>
                        <w:tcW w:w="3116" w:type="dxa"/>
                        <w:tcBorders>
                          <w:top w:val="single" w:sz="4" w:space="0" w:color="000000"/>
                          <w:left w:val="single" w:sz="4" w:space="0" w:color="000000"/>
                          <w:bottom w:val="single" w:sz="4" w:space="0" w:color="000000"/>
                          <w:right w:val="nil"/>
                        </w:tcBorders>
                      </w:tcPr>
                      <w:p>
                        <w:pPr>
                          <w:pStyle w:val="TableParagraph"/>
                          <w:spacing w:before="178"/>
                          <w:ind w:left="149" w:right="126"/>
                          <w:rPr>
                            <w:sz w:val="21"/>
                          </w:rPr>
                        </w:pPr>
                        <w:r>
                          <w:rPr>
                            <w:sz w:val="21"/>
                          </w:rPr>
                          <w:t>设计中已有</w:t>
                        </w:r>
                      </w:p>
                    </w:tc>
                  </w:tr>
                  <w:tr>
                    <w:trPr>
                      <w:trHeight w:val="3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1"/>
                          <w:ind w:left="788"/>
                          <w:jc w:val="left"/>
                          <w:rPr>
                            <w:sz w:val="21"/>
                          </w:rPr>
                        </w:pPr>
                        <w:r>
                          <w:rPr>
                            <w:sz w:val="21"/>
                          </w:rPr>
                          <w:t>通风设施</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21"/>
                          <w:ind w:left="746"/>
                          <w:jc w:val="left"/>
                          <w:rPr>
                            <w:sz w:val="21"/>
                          </w:rPr>
                        </w:pPr>
                        <w:r>
                          <w:rPr>
                            <w:spacing w:val="-7"/>
                            <w:w w:val="95"/>
                            <w:sz w:val="21"/>
                          </w:rPr>
                          <w:t>排风系统 </w:t>
                        </w:r>
                        <w:r>
                          <w:rPr>
                            <w:rFonts w:ascii="Times New Roman" w:eastAsia="Times New Roman"/>
                            <w:w w:val="95"/>
                            <w:sz w:val="21"/>
                          </w:rPr>
                          <w:t>1</w:t>
                        </w:r>
                        <w:r>
                          <w:rPr>
                            <w:rFonts w:ascii="Times New Roman" w:eastAsia="Times New Roman"/>
                            <w:spacing w:val="20"/>
                            <w:w w:val="95"/>
                            <w:sz w:val="21"/>
                          </w:rPr>
                          <w:t> </w:t>
                        </w:r>
                        <w:r>
                          <w:rPr>
                            <w:w w:val="95"/>
                            <w:sz w:val="21"/>
                          </w:rPr>
                          <w:t>套</w:t>
                        </w:r>
                      </w:p>
                    </w:tc>
                    <w:tc>
                      <w:tcPr>
                        <w:tcW w:w="3116" w:type="dxa"/>
                        <w:tcBorders>
                          <w:top w:val="single" w:sz="4" w:space="0" w:color="000000"/>
                          <w:left w:val="single" w:sz="4" w:space="0" w:color="000000"/>
                          <w:bottom w:val="single" w:sz="4" w:space="0" w:color="000000"/>
                          <w:right w:val="nil"/>
                        </w:tcBorders>
                      </w:tcPr>
                      <w:p>
                        <w:pPr>
                          <w:pStyle w:val="TableParagraph"/>
                          <w:spacing w:before="21"/>
                          <w:ind w:left="149" w:right="126"/>
                          <w:rPr>
                            <w:sz w:val="21"/>
                          </w:rPr>
                        </w:pPr>
                        <w:r>
                          <w:rPr>
                            <w:sz w:val="21"/>
                          </w:rPr>
                          <w:t>设计中已有</w:t>
                        </w:r>
                      </w:p>
                    </w:tc>
                  </w:tr>
                  <w:tr>
                    <w:trPr>
                      <w:trHeight w:val="3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1"/>
                          <w:ind w:left="589"/>
                          <w:jc w:val="left"/>
                          <w:rPr>
                            <w:sz w:val="21"/>
                          </w:rPr>
                        </w:pPr>
                        <w:r>
                          <w:rPr>
                            <w:sz w:val="21"/>
                          </w:rPr>
                          <w:t>紧急停机按钮</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21"/>
                          <w:ind w:left="933" w:right="908"/>
                          <w:rPr>
                            <w:sz w:val="21"/>
                          </w:rPr>
                        </w:pPr>
                        <w:r>
                          <w:rPr>
                            <w:sz w:val="21"/>
                          </w:rPr>
                          <w:t>设备自带</w:t>
                        </w:r>
                      </w:p>
                    </w:tc>
                    <w:tc>
                      <w:tcPr>
                        <w:tcW w:w="3116" w:type="dxa"/>
                        <w:tcBorders>
                          <w:top w:val="single" w:sz="4" w:space="0" w:color="000000"/>
                          <w:left w:val="single" w:sz="4" w:space="0" w:color="000000"/>
                          <w:bottom w:val="single" w:sz="4" w:space="0" w:color="000000"/>
                          <w:right w:val="nil"/>
                        </w:tcBorders>
                      </w:tcPr>
                      <w:p>
                        <w:pPr>
                          <w:pStyle w:val="TableParagraph"/>
                          <w:spacing w:before="21"/>
                          <w:ind w:left="149" w:right="126"/>
                          <w:rPr>
                            <w:sz w:val="21"/>
                          </w:rPr>
                        </w:pPr>
                        <w:r>
                          <w:rPr>
                            <w:sz w:val="21"/>
                          </w:rPr>
                          <w:t>设计中已有</w:t>
                        </w:r>
                      </w:p>
                    </w:tc>
                  </w:tr>
                  <w:tr>
                    <w:trPr>
                      <w:trHeight w:val="311"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1"/>
                          <w:ind w:left="798"/>
                          <w:jc w:val="left"/>
                          <w:rPr>
                            <w:sz w:val="21"/>
                          </w:rPr>
                        </w:pPr>
                        <w:r>
                          <w:rPr>
                            <w:sz w:val="21"/>
                          </w:rPr>
                          <w:t>门灯联锁</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34"/>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1"/>
                          <w:ind w:left="147" w:right="126"/>
                          <w:rPr>
                            <w:sz w:val="21"/>
                          </w:rPr>
                        </w:pPr>
                        <w:r>
                          <w:rPr>
                            <w:sz w:val="21"/>
                          </w:rPr>
                          <w:t>需配备</w:t>
                        </w:r>
                      </w:p>
                    </w:tc>
                  </w:tr>
                  <w:tr>
                    <w:trPr>
                      <w:trHeight w:val="3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0"/>
                          <w:ind w:left="798"/>
                          <w:jc w:val="left"/>
                          <w:rPr>
                            <w:sz w:val="21"/>
                          </w:rPr>
                        </w:pPr>
                        <w:r>
                          <w:rPr>
                            <w:sz w:val="21"/>
                          </w:rPr>
                          <w:t>对讲系统</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34"/>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0"/>
                          <w:ind w:left="147" w:right="126"/>
                          <w:rPr>
                            <w:sz w:val="21"/>
                          </w:rPr>
                        </w:pPr>
                        <w:r>
                          <w:rPr>
                            <w:sz w:val="21"/>
                          </w:rPr>
                          <w:t>需配备</w:t>
                        </w:r>
                      </w:p>
                    </w:tc>
                  </w:tr>
                  <w:tr>
                    <w:trPr>
                      <w:trHeight w:val="331"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32"/>
                          <w:ind w:left="378"/>
                          <w:jc w:val="left"/>
                          <w:rPr>
                            <w:sz w:val="21"/>
                          </w:rPr>
                        </w:pPr>
                        <w:r>
                          <w:rPr>
                            <w:sz w:val="21"/>
                          </w:rPr>
                          <w:t>电离辐射警告标志</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46"/>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32"/>
                          <w:ind w:left="147" w:right="126"/>
                          <w:rPr>
                            <w:sz w:val="21"/>
                          </w:rPr>
                        </w:pPr>
                        <w:r>
                          <w:rPr>
                            <w:sz w:val="21"/>
                          </w:rPr>
                          <w:t>需配备</w:t>
                        </w:r>
                      </w:p>
                    </w:tc>
                  </w:tr>
                  <w:tr>
                    <w:trPr>
                      <w:trHeight w:val="3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1"/>
                          <w:ind w:left="169"/>
                          <w:jc w:val="left"/>
                          <w:rPr>
                            <w:sz w:val="21"/>
                          </w:rPr>
                        </w:pPr>
                        <w:r>
                          <w:rPr>
                            <w:sz w:val="21"/>
                          </w:rPr>
                          <w:t>机器工作状态指示灯箱</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35"/>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1"/>
                          <w:ind w:left="147" w:right="126"/>
                          <w:rPr>
                            <w:sz w:val="21"/>
                          </w:rPr>
                        </w:pPr>
                        <w:r>
                          <w:rPr>
                            <w:sz w:val="21"/>
                          </w:rPr>
                          <w:t>需配备</w:t>
                        </w:r>
                      </w:p>
                    </w:tc>
                  </w:tr>
                  <w:tr>
                    <w:trPr>
                      <w:trHeight w:val="311" w:hRule="atLeast"/>
                    </w:trPr>
                    <w:tc>
                      <w:tcPr>
                        <w:tcW w:w="691" w:type="dxa"/>
                        <w:vMerge w:val="restart"/>
                        <w:tcBorders>
                          <w:top w:val="single" w:sz="4" w:space="0" w:color="000000"/>
                          <w:left w:val="nil"/>
                          <w:bottom w:val="single" w:sz="4" w:space="0" w:color="000000"/>
                          <w:right w:val="single" w:sz="4" w:space="0" w:color="000000"/>
                        </w:tcBorders>
                      </w:tcPr>
                      <w:p>
                        <w:pPr>
                          <w:pStyle w:val="TableParagraph"/>
                          <w:spacing w:before="7"/>
                          <w:jc w:val="left"/>
                          <w:rPr>
                            <w:sz w:val="14"/>
                          </w:rPr>
                        </w:pPr>
                      </w:p>
                      <w:p>
                        <w:pPr>
                          <w:pStyle w:val="TableParagraph"/>
                          <w:spacing w:line="278" w:lineRule="auto"/>
                          <w:ind w:left="150" w:right="116"/>
                          <w:jc w:val="left"/>
                          <w:rPr>
                            <w:sz w:val="21"/>
                          </w:rPr>
                        </w:pPr>
                        <w:r>
                          <w:rPr>
                            <w:spacing w:val="-4"/>
                            <w:sz w:val="21"/>
                          </w:rPr>
                          <w:t>监测设备</w:t>
                        </w: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1"/>
                          <w:ind w:left="428"/>
                          <w:jc w:val="left"/>
                          <w:rPr>
                            <w:sz w:val="21"/>
                          </w:rPr>
                        </w:pPr>
                        <w:r>
                          <w:rPr>
                            <w:sz w:val="21"/>
                          </w:rPr>
                          <w:t>便携式辐射监测仪</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34"/>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1"/>
                          <w:ind w:left="147" w:right="126"/>
                          <w:rPr>
                            <w:sz w:val="21"/>
                          </w:rPr>
                        </w:pPr>
                        <w:r>
                          <w:rPr>
                            <w:spacing w:val="-12"/>
                            <w:w w:val="95"/>
                            <w:sz w:val="21"/>
                          </w:rPr>
                          <w:t>利旧 </w:t>
                        </w:r>
                        <w:r>
                          <w:rPr>
                            <w:rFonts w:ascii="Times New Roman" w:eastAsia="Times New Roman"/>
                            <w:w w:val="95"/>
                            <w:sz w:val="21"/>
                          </w:rPr>
                          <w:t>1</w:t>
                        </w:r>
                        <w:r>
                          <w:rPr>
                            <w:rFonts w:ascii="Times New Roman" w:eastAsia="Times New Roman"/>
                            <w:spacing w:val="13"/>
                            <w:w w:val="95"/>
                            <w:sz w:val="21"/>
                          </w:rPr>
                          <w:t> </w:t>
                        </w:r>
                        <w:r>
                          <w:rPr>
                            <w:w w:val="95"/>
                            <w:sz w:val="21"/>
                          </w:rPr>
                          <w:t>台</w:t>
                        </w:r>
                      </w:p>
                    </w:tc>
                  </w:tr>
                  <w:tr>
                    <w:trPr>
                      <w:trHeight w:val="3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0"/>
                          <w:ind w:left="745"/>
                          <w:jc w:val="left"/>
                          <w:rPr>
                            <w:sz w:val="21"/>
                          </w:rPr>
                        </w:pPr>
                        <w:r>
                          <w:rPr>
                            <w:sz w:val="21"/>
                          </w:rPr>
                          <w:t>个人剂量计</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34"/>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0"/>
                          <w:ind w:left="150" w:right="126"/>
                          <w:rPr>
                            <w:sz w:val="21"/>
                          </w:rPr>
                        </w:pPr>
                        <w:r>
                          <w:rPr>
                            <w:spacing w:val="-13"/>
                            <w:w w:val="95"/>
                            <w:sz w:val="21"/>
                          </w:rPr>
                          <w:t>利旧 </w:t>
                        </w:r>
                        <w:r>
                          <w:rPr>
                            <w:rFonts w:ascii="Times New Roman" w:eastAsia="Times New Roman"/>
                            <w:w w:val="95"/>
                            <w:sz w:val="21"/>
                          </w:rPr>
                          <w:t>16</w:t>
                        </w:r>
                        <w:r>
                          <w:rPr>
                            <w:rFonts w:ascii="Times New Roman" w:eastAsia="Times New Roman"/>
                            <w:spacing w:val="15"/>
                            <w:w w:val="95"/>
                            <w:sz w:val="21"/>
                          </w:rPr>
                          <w:t> </w:t>
                        </w:r>
                        <w:r>
                          <w:rPr>
                            <w:w w:val="95"/>
                            <w:sz w:val="21"/>
                          </w:rPr>
                          <w:t>套</w:t>
                        </w:r>
                      </w:p>
                    </w:tc>
                  </w:tr>
                  <w:tr>
                    <w:trPr>
                      <w:trHeight w:val="312"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spacing w:before="20"/>
                          <w:ind w:left="534"/>
                          <w:jc w:val="left"/>
                          <w:rPr>
                            <w:sz w:val="21"/>
                          </w:rPr>
                        </w:pPr>
                        <w:r>
                          <w:rPr>
                            <w:sz w:val="21"/>
                          </w:rPr>
                          <w:t>个人剂量报警仪</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34"/>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0"/>
                          <w:ind w:left="150" w:right="126"/>
                          <w:rPr>
                            <w:sz w:val="21"/>
                          </w:rPr>
                        </w:pPr>
                        <w:r>
                          <w:rPr>
                            <w:spacing w:val="-9"/>
                            <w:w w:val="95"/>
                            <w:sz w:val="21"/>
                          </w:rPr>
                          <w:t>需配备 </w:t>
                        </w:r>
                        <w:r>
                          <w:rPr>
                            <w:rFonts w:ascii="Times New Roman" w:eastAsia="Times New Roman"/>
                            <w:w w:val="95"/>
                            <w:sz w:val="21"/>
                          </w:rPr>
                          <w:t>2</w:t>
                        </w:r>
                        <w:r>
                          <w:rPr>
                            <w:rFonts w:ascii="Times New Roman" w:eastAsia="Times New Roman"/>
                            <w:spacing w:val="17"/>
                            <w:w w:val="95"/>
                            <w:sz w:val="21"/>
                          </w:rPr>
                          <w:t> </w:t>
                        </w:r>
                        <w:r>
                          <w:rPr>
                            <w:w w:val="95"/>
                            <w:sz w:val="21"/>
                          </w:rPr>
                          <w:t>台</w:t>
                        </w:r>
                      </w:p>
                    </w:tc>
                  </w:tr>
                  <w:tr>
                    <w:trPr>
                      <w:trHeight w:val="935" w:hRule="atLeast"/>
                    </w:trPr>
                    <w:tc>
                      <w:tcPr>
                        <w:tcW w:w="691" w:type="dxa"/>
                        <w:vMerge w:val="restart"/>
                        <w:tcBorders>
                          <w:top w:val="single" w:sz="4" w:space="0" w:color="000000"/>
                          <w:left w:val="nil"/>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line="278" w:lineRule="auto" w:before="138"/>
                          <w:ind w:left="150" w:right="116"/>
                          <w:jc w:val="left"/>
                          <w:rPr>
                            <w:sz w:val="21"/>
                          </w:rPr>
                        </w:pPr>
                        <w:r>
                          <w:rPr>
                            <w:spacing w:val="-4"/>
                            <w:sz w:val="21"/>
                          </w:rPr>
                          <w:t>防护器材</w:t>
                        </w:r>
                      </w:p>
                    </w:tc>
                    <w:tc>
                      <w:tcPr>
                        <w:tcW w:w="2399"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spacing w:before="1"/>
                          <w:ind w:left="378"/>
                          <w:jc w:val="left"/>
                          <w:rPr>
                            <w:sz w:val="21"/>
                          </w:rPr>
                        </w:pPr>
                        <w:r>
                          <w:rPr>
                            <w:sz w:val="21"/>
                          </w:rPr>
                          <w:t>医护人员个人防护</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27"/>
                          </w:rPr>
                        </w:pPr>
                      </w:p>
                      <w:p>
                        <w:pPr>
                          <w:pStyle w:val="TableParagraph"/>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line="278" w:lineRule="auto" w:before="22"/>
                          <w:ind w:left="116" w:right="93" w:hanging="1"/>
                          <w:rPr>
                            <w:sz w:val="21"/>
                          </w:rPr>
                        </w:pPr>
                        <w:r>
                          <w:rPr>
                            <w:sz w:val="21"/>
                          </w:rPr>
                          <w:t>需配备铅橡胶围裙、铅橡胶颈</w:t>
                        </w:r>
                        <w:r>
                          <w:rPr>
                            <w:w w:val="95"/>
                            <w:sz w:val="21"/>
                          </w:rPr>
                          <w:t>套、铅防护眼镜、介入防护手套</w:t>
                        </w:r>
                      </w:p>
                      <w:p>
                        <w:pPr>
                          <w:pStyle w:val="TableParagraph"/>
                          <w:spacing w:line="269" w:lineRule="exact"/>
                          <w:ind w:left="147" w:right="126"/>
                          <w:rPr>
                            <w:sz w:val="21"/>
                          </w:rPr>
                        </w:pPr>
                        <w:r>
                          <w:rPr>
                            <w:spacing w:val="-21"/>
                            <w:w w:val="95"/>
                            <w:sz w:val="21"/>
                          </w:rPr>
                          <w:t>各 </w:t>
                        </w:r>
                        <w:r>
                          <w:rPr>
                            <w:rFonts w:ascii="Times New Roman" w:eastAsia="Times New Roman"/>
                            <w:w w:val="95"/>
                            <w:sz w:val="21"/>
                          </w:rPr>
                          <w:t>2</w:t>
                        </w:r>
                        <w:r>
                          <w:rPr>
                            <w:rFonts w:ascii="Times New Roman" w:eastAsia="Times New Roman"/>
                            <w:spacing w:val="11"/>
                            <w:w w:val="95"/>
                            <w:sz w:val="21"/>
                          </w:rPr>
                          <w:t> </w:t>
                        </w:r>
                        <w:r>
                          <w:rPr>
                            <w:w w:val="95"/>
                            <w:sz w:val="21"/>
                          </w:rPr>
                          <w:t>套</w:t>
                        </w:r>
                      </w:p>
                    </w:tc>
                  </w:tr>
                  <w:tr>
                    <w:trPr>
                      <w:trHeight w:val="936" w:hRule="atLeast"/>
                    </w:trPr>
                    <w:tc>
                      <w:tcPr>
                        <w:tcW w:w="691" w:type="dxa"/>
                        <w:vMerge/>
                        <w:tcBorders>
                          <w:top w:val="nil"/>
                          <w:left w:val="nil"/>
                          <w:bottom w:val="single" w:sz="4" w:space="0" w:color="000000"/>
                          <w:right w:val="single" w:sz="4" w:space="0" w:color="000000"/>
                        </w:tcBorders>
                      </w:tcPr>
                      <w:p>
                        <w:pPr>
                          <w:rPr>
                            <w:sz w:val="2"/>
                            <w:szCs w:val="2"/>
                          </w:rPr>
                        </w:pPr>
                      </w:p>
                    </w:tc>
                    <w:tc>
                      <w:tcPr>
                        <w:tcW w:w="2399"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ind w:left="798"/>
                          <w:jc w:val="left"/>
                          <w:rPr>
                            <w:sz w:val="21"/>
                          </w:rPr>
                        </w:pPr>
                        <w:r>
                          <w:rPr>
                            <w:sz w:val="21"/>
                          </w:rPr>
                          <w:t>患者防护</w:t>
                        </w:r>
                      </w:p>
                    </w:tc>
                    <w:tc>
                      <w:tcPr>
                        <w:tcW w:w="2732" w:type="dxa"/>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7"/>
                          </w:rPr>
                        </w:pPr>
                      </w:p>
                      <w:p>
                        <w:pPr>
                          <w:pStyle w:val="TableParagraph"/>
                          <w:ind w:left="28"/>
                          <w:rPr>
                            <w:rFonts w:ascii="Times New Roman"/>
                            <w:sz w:val="21"/>
                          </w:rPr>
                        </w:pPr>
                        <w:r>
                          <w:rPr>
                            <w:rFonts w:ascii="Times New Roman"/>
                            <w:w w:val="99"/>
                            <w:sz w:val="21"/>
                          </w:rPr>
                          <w:t>/</w:t>
                        </w:r>
                      </w:p>
                    </w:tc>
                    <w:tc>
                      <w:tcPr>
                        <w:tcW w:w="3116" w:type="dxa"/>
                        <w:tcBorders>
                          <w:top w:val="single" w:sz="4" w:space="0" w:color="000000"/>
                          <w:left w:val="single" w:sz="4" w:space="0" w:color="000000"/>
                          <w:bottom w:val="single" w:sz="4" w:space="0" w:color="000000"/>
                          <w:right w:val="nil"/>
                        </w:tcBorders>
                      </w:tcPr>
                      <w:p>
                        <w:pPr>
                          <w:pStyle w:val="TableParagraph"/>
                          <w:spacing w:before="21"/>
                          <w:ind w:left="147" w:right="126"/>
                          <w:rPr>
                            <w:sz w:val="21"/>
                          </w:rPr>
                        </w:pPr>
                        <w:r>
                          <w:rPr>
                            <w:sz w:val="21"/>
                          </w:rPr>
                          <w:t>需配备铅橡胶性腺防护围裙</w:t>
                        </w:r>
                      </w:p>
                      <w:p>
                        <w:pPr>
                          <w:pStyle w:val="TableParagraph"/>
                          <w:spacing w:line="310" w:lineRule="atLeast" w:before="2"/>
                          <w:ind w:left="150" w:right="126"/>
                          <w:rPr>
                            <w:sz w:val="21"/>
                          </w:rPr>
                        </w:pPr>
                        <w:r>
                          <w:rPr>
                            <w:sz w:val="21"/>
                          </w:rPr>
                          <w:t>（方形）</w:t>
                        </w:r>
                        <w:r>
                          <w:rPr>
                            <w:spacing w:val="-3"/>
                            <w:sz w:val="21"/>
                          </w:rPr>
                          <w:t>或方巾、铅橡 胶颈套</w:t>
                        </w:r>
                        <w:r>
                          <w:rPr>
                            <w:spacing w:val="-24"/>
                            <w:w w:val="95"/>
                            <w:sz w:val="21"/>
                          </w:rPr>
                          <w:t>各 </w:t>
                        </w:r>
                        <w:r>
                          <w:rPr>
                            <w:rFonts w:ascii="Times New Roman" w:eastAsia="Times New Roman"/>
                            <w:w w:val="95"/>
                            <w:sz w:val="21"/>
                          </w:rPr>
                          <w:t>1</w:t>
                        </w:r>
                        <w:r>
                          <w:rPr>
                            <w:rFonts w:ascii="Times New Roman" w:eastAsia="Times New Roman"/>
                            <w:spacing w:val="4"/>
                            <w:w w:val="95"/>
                            <w:sz w:val="21"/>
                          </w:rPr>
                          <w:t> </w:t>
                        </w:r>
                        <w:r>
                          <w:rPr>
                            <w:w w:val="95"/>
                            <w:sz w:val="21"/>
                          </w:rPr>
                          <w:t>套</w:t>
                        </w:r>
                      </w:p>
                    </w:tc>
                  </w:tr>
                  <w:tr>
                    <w:trPr>
                      <w:trHeight w:val="623" w:hRule="atLeast"/>
                    </w:trPr>
                    <w:tc>
                      <w:tcPr>
                        <w:tcW w:w="691" w:type="dxa"/>
                        <w:tcBorders>
                          <w:top w:val="single" w:sz="4" w:space="0" w:color="000000"/>
                          <w:left w:val="nil"/>
                          <w:right w:val="single" w:sz="4" w:space="0" w:color="000000"/>
                        </w:tcBorders>
                      </w:tcPr>
                      <w:p>
                        <w:pPr>
                          <w:pStyle w:val="TableParagraph"/>
                          <w:spacing w:before="21"/>
                          <w:ind w:left="315"/>
                          <w:jc w:val="left"/>
                          <w:rPr>
                            <w:sz w:val="21"/>
                          </w:rPr>
                        </w:pPr>
                        <w:r>
                          <w:rPr>
                            <w:w w:val="99"/>
                            <w:sz w:val="21"/>
                          </w:rPr>
                          <w:t>其</w:t>
                        </w:r>
                      </w:p>
                      <w:p>
                        <w:pPr>
                          <w:pStyle w:val="TableParagraph"/>
                          <w:spacing w:before="43"/>
                          <w:ind w:left="315"/>
                          <w:jc w:val="left"/>
                          <w:rPr>
                            <w:sz w:val="21"/>
                          </w:rPr>
                        </w:pPr>
                        <w:r>
                          <w:rPr>
                            <w:w w:val="99"/>
                            <w:sz w:val="21"/>
                          </w:rPr>
                          <w:t>他</w:t>
                        </w:r>
                      </w:p>
                    </w:tc>
                    <w:tc>
                      <w:tcPr>
                        <w:tcW w:w="2399" w:type="dxa"/>
                        <w:tcBorders>
                          <w:top w:val="single" w:sz="4" w:space="0" w:color="000000"/>
                          <w:left w:val="single" w:sz="4" w:space="0" w:color="000000"/>
                          <w:right w:val="single" w:sz="4" w:space="0" w:color="000000"/>
                        </w:tcBorders>
                      </w:tcPr>
                      <w:p>
                        <w:pPr>
                          <w:pStyle w:val="TableParagraph"/>
                          <w:spacing w:before="177"/>
                          <w:ind w:left="848"/>
                          <w:jc w:val="left"/>
                          <w:rPr>
                            <w:sz w:val="21"/>
                          </w:rPr>
                        </w:pPr>
                        <w:r>
                          <w:rPr>
                            <w:sz w:val="21"/>
                          </w:rPr>
                          <w:t>灭火器材</w:t>
                        </w:r>
                      </w:p>
                    </w:tc>
                    <w:tc>
                      <w:tcPr>
                        <w:tcW w:w="2732" w:type="dxa"/>
                        <w:tcBorders>
                          <w:top w:val="single" w:sz="4" w:space="0" w:color="000000"/>
                          <w:left w:val="single" w:sz="4" w:space="0" w:color="000000"/>
                          <w:right w:val="single" w:sz="4" w:space="0" w:color="000000"/>
                        </w:tcBorders>
                      </w:tcPr>
                      <w:p>
                        <w:pPr>
                          <w:pStyle w:val="TableParagraph"/>
                          <w:spacing w:before="191"/>
                          <w:ind w:left="28"/>
                          <w:rPr>
                            <w:rFonts w:ascii="Times New Roman"/>
                            <w:sz w:val="21"/>
                          </w:rPr>
                        </w:pPr>
                        <w:r>
                          <w:rPr>
                            <w:rFonts w:ascii="Times New Roman"/>
                            <w:w w:val="99"/>
                            <w:sz w:val="21"/>
                          </w:rPr>
                          <w:t>/</w:t>
                        </w:r>
                      </w:p>
                    </w:tc>
                    <w:tc>
                      <w:tcPr>
                        <w:tcW w:w="3116" w:type="dxa"/>
                        <w:tcBorders>
                          <w:top w:val="single" w:sz="4" w:space="0" w:color="000000"/>
                          <w:left w:val="single" w:sz="4" w:space="0" w:color="000000"/>
                          <w:right w:val="nil"/>
                        </w:tcBorders>
                      </w:tcPr>
                      <w:p>
                        <w:pPr>
                          <w:pStyle w:val="TableParagraph"/>
                          <w:spacing w:before="177"/>
                          <w:ind w:left="150" w:right="126"/>
                          <w:rPr>
                            <w:sz w:val="21"/>
                          </w:rPr>
                        </w:pPr>
                        <w:r>
                          <w:rPr>
                            <w:spacing w:val="-9"/>
                            <w:w w:val="95"/>
                            <w:sz w:val="21"/>
                          </w:rPr>
                          <w:t>需配备 </w:t>
                        </w:r>
                        <w:r>
                          <w:rPr>
                            <w:rFonts w:ascii="Times New Roman" w:eastAsia="Times New Roman"/>
                            <w:w w:val="95"/>
                            <w:sz w:val="21"/>
                          </w:rPr>
                          <w:t>2</w:t>
                        </w:r>
                        <w:r>
                          <w:rPr>
                            <w:rFonts w:ascii="Times New Roman" w:eastAsia="Times New Roman"/>
                            <w:spacing w:val="17"/>
                            <w:w w:val="95"/>
                            <w:sz w:val="21"/>
                          </w:rPr>
                          <w:t> </w:t>
                        </w:r>
                        <w:r>
                          <w:rPr>
                            <w:w w:val="95"/>
                            <w:sz w:val="21"/>
                          </w:rPr>
                          <w:t>个</w:t>
                        </w:r>
                      </w:p>
                    </w:tc>
                  </w:tr>
                </w:tbl>
                <w:p>
                  <w:pPr>
                    <w:pStyle w:val="BodyText"/>
                  </w:pPr>
                </w:p>
              </w:txbxContent>
            </v:textbox>
            <w10:wrap type="none"/>
          </v:shape>
        </w:pict>
      </w:r>
    </w:p>
    <w:p>
      <w:pPr>
        <w:spacing w:after="0"/>
        <w:rPr>
          <w:sz w:val="2"/>
          <w:szCs w:val="2"/>
        </w:rPr>
        <w:sectPr>
          <w:pgSz w:w="11910" w:h="16840"/>
          <w:pgMar w:header="0" w:footer="1383" w:top="1420" w:bottom="1580" w:left="1240" w:right="1040"/>
        </w:sectPr>
      </w:pPr>
    </w:p>
    <w:tbl>
      <w:tblPr>
        <w:tblW w:w="0" w:type="auto"/>
        <w:jc w:val="left"/>
        <w:tblInd w:w="2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27"/>
        <w:gridCol w:w="1320"/>
        <w:gridCol w:w="3593"/>
        <w:gridCol w:w="1487"/>
        <w:gridCol w:w="1582"/>
        <w:gridCol w:w="149"/>
      </w:tblGrid>
      <w:tr>
        <w:trPr>
          <w:trHeight w:val="319" w:hRule="atLeast"/>
        </w:trPr>
        <w:tc>
          <w:tcPr>
            <w:tcW w:w="1127" w:type="dxa"/>
            <w:vMerge w:val="restart"/>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320" w:type="dxa"/>
            <w:vMerge w:val="restart"/>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3593" w:type="dxa"/>
            <w:tcBorders>
              <w:top w:val="single" w:sz="8" w:space="0" w:color="000000"/>
              <w:left w:val="single" w:sz="4" w:space="0" w:color="000000"/>
              <w:bottom w:val="single" w:sz="4" w:space="0" w:color="000000"/>
              <w:right w:val="single" w:sz="4" w:space="0" w:color="000000"/>
            </w:tcBorders>
          </w:tcPr>
          <w:p>
            <w:pPr>
              <w:pStyle w:val="TableParagraph"/>
              <w:spacing w:line="251" w:lineRule="exact"/>
              <w:ind w:left="100" w:right="95"/>
              <w:rPr>
                <w:sz w:val="21"/>
              </w:rPr>
            </w:pPr>
            <w:r>
              <w:rPr>
                <w:sz w:val="21"/>
              </w:rPr>
              <w:t>当量）</w:t>
            </w:r>
          </w:p>
        </w:tc>
        <w:tc>
          <w:tcPr>
            <w:tcW w:w="1487" w:type="dxa"/>
            <w:tcBorders>
              <w:top w:val="single" w:sz="8"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c>
          <w:tcPr>
            <w:tcW w:w="1582" w:type="dxa"/>
            <w:vMerge w:val="restart"/>
            <w:tcBorders>
              <w:top w:val="single" w:sz="8" w:space="0" w:color="000000"/>
              <w:left w:val="single" w:sz="4" w:space="0" w:color="000000"/>
              <w:bottom w:val="single" w:sz="4" w:space="0" w:color="000000"/>
              <w:right w:val="single" w:sz="4" w:space="0" w:color="000000"/>
            </w:tcBorders>
          </w:tcPr>
          <w:p>
            <w:pPr>
              <w:pStyle w:val="TableParagraph"/>
              <w:jc w:val="left"/>
              <w:rPr>
                <w:rFonts w:ascii="Times New Roman"/>
                <w:sz w:val="22"/>
              </w:rPr>
            </w:pPr>
          </w:p>
        </w:tc>
        <w:tc>
          <w:tcPr>
            <w:tcW w:w="149" w:type="dxa"/>
            <w:vMerge w:val="restart"/>
            <w:tcBorders>
              <w:top w:val="single" w:sz="4" w:space="0" w:color="000000"/>
              <w:left w:val="single" w:sz="4" w:space="0" w:color="000000"/>
              <w:bottom w:val="nil"/>
              <w:right w:val="single" w:sz="4" w:space="0" w:color="000000"/>
            </w:tcBorders>
          </w:tcPr>
          <w:p>
            <w:pPr>
              <w:pStyle w:val="TableParagraph"/>
              <w:jc w:val="left"/>
              <w:rPr>
                <w:rFonts w:ascii="Times New Roman"/>
                <w:sz w:val="22"/>
              </w:rPr>
            </w:pPr>
          </w:p>
        </w:tc>
      </w:tr>
      <w:tr>
        <w:trPr>
          <w:trHeight w:val="1086"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27"/>
              <w:ind w:left="109" w:right="95"/>
              <w:rPr>
                <w:sz w:val="21"/>
              </w:rPr>
            </w:pPr>
            <w:r>
              <w:rPr>
                <w:w w:val="95"/>
                <w:sz w:val="21"/>
              </w:rPr>
              <w:t>四周墙体：</w:t>
            </w:r>
            <w:r>
              <w:rPr>
                <w:rFonts w:ascii="Times New Roman" w:eastAsia="Times New Roman"/>
                <w:w w:val="95"/>
                <w:sz w:val="21"/>
              </w:rPr>
              <w:t>240mm</w:t>
            </w:r>
            <w:r>
              <w:rPr>
                <w:rFonts w:ascii="Times New Roman" w:eastAsia="Times New Roman"/>
                <w:spacing w:val="27"/>
                <w:w w:val="95"/>
                <w:sz w:val="21"/>
              </w:rPr>
              <w:t> </w:t>
            </w:r>
            <w:r>
              <w:rPr>
                <w:w w:val="95"/>
                <w:sz w:val="21"/>
              </w:rPr>
              <w:t>厚实心砖墙</w:t>
            </w:r>
            <w:r>
              <w:rPr>
                <w:rFonts w:ascii="Times New Roman" w:eastAsia="Times New Roman"/>
                <w:w w:val="95"/>
                <w:sz w:val="21"/>
              </w:rPr>
              <w:t>+20mm</w:t>
            </w:r>
            <w:r>
              <w:rPr>
                <w:rFonts w:ascii="Times New Roman" w:eastAsia="Times New Roman"/>
                <w:spacing w:val="-47"/>
                <w:w w:val="95"/>
                <w:sz w:val="21"/>
              </w:rPr>
              <w:t> </w:t>
            </w:r>
            <w:r>
              <w:rPr>
                <w:sz w:val="21"/>
              </w:rPr>
              <w:t>厚射线防护射线防护复合微晶石板</w:t>
            </w:r>
          </w:p>
          <w:p>
            <w:pPr>
              <w:pStyle w:val="TableParagraph"/>
              <w:spacing w:before="1"/>
              <w:ind w:left="102" w:right="95"/>
              <w:rPr>
                <w:sz w:val="21"/>
              </w:rPr>
            </w:pPr>
            <w:r>
              <w:rPr>
                <w:w w:val="95"/>
                <w:sz w:val="21"/>
              </w:rPr>
              <w:t>（</w:t>
            </w:r>
            <w:r>
              <w:rPr>
                <w:spacing w:val="-8"/>
                <w:w w:val="95"/>
                <w:sz w:val="21"/>
              </w:rPr>
              <w:t>折合 </w:t>
            </w:r>
            <w:r>
              <w:rPr>
                <w:rFonts w:ascii="Times New Roman" w:eastAsia="Times New Roman"/>
                <w:w w:val="95"/>
                <w:sz w:val="21"/>
              </w:rPr>
              <w:t>4.9mm</w:t>
            </w:r>
            <w:r>
              <w:rPr>
                <w:rFonts w:ascii="Times New Roman" w:eastAsia="Times New Roman"/>
                <w:spacing w:val="35"/>
                <w:w w:val="95"/>
                <w:sz w:val="21"/>
              </w:rPr>
              <w:t> </w:t>
            </w:r>
            <w:r>
              <w:rPr>
                <w:w w:val="95"/>
                <w:sz w:val="21"/>
              </w:rPr>
              <w:t>铅当量）</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4"/>
              <w:jc w:val="left"/>
              <w:rPr>
                <w:sz w:val="32"/>
              </w:rPr>
            </w:pPr>
          </w:p>
          <w:p>
            <w:pPr>
              <w:pStyle w:val="TableParagraph"/>
              <w:ind w:left="8"/>
              <w:rPr>
                <w:rFonts w:ascii="Times New Roman"/>
                <w:sz w:val="21"/>
              </w:rPr>
            </w:pPr>
            <w:r>
              <w:rPr>
                <w:rFonts w:ascii="Times New Roman"/>
                <w:w w:val="99"/>
                <w:sz w:val="21"/>
              </w:rPr>
              <w:t>/</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817"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ind w:left="152" w:right="140"/>
              <w:rPr>
                <w:sz w:val="21"/>
              </w:rPr>
            </w:pPr>
            <w:r>
              <w:rPr>
                <w:sz w:val="21"/>
              </w:rPr>
              <w:t>地面：</w:t>
            </w:r>
            <w:r>
              <w:rPr>
                <w:rFonts w:ascii="Times New Roman" w:eastAsia="Times New Roman"/>
                <w:sz w:val="21"/>
              </w:rPr>
              <w:t>150mm</w:t>
            </w:r>
            <w:r>
              <w:rPr>
                <w:rFonts w:ascii="Times New Roman" w:eastAsia="Times New Roman"/>
                <w:spacing w:val="-7"/>
                <w:sz w:val="21"/>
              </w:rPr>
              <w:t> </w:t>
            </w:r>
            <w:r>
              <w:rPr>
                <w:sz w:val="21"/>
              </w:rPr>
              <w:t>厚混凝土</w:t>
            </w:r>
            <w:r>
              <w:rPr>
                <w:rFonts w:ascii="Times New Roman" w:eastAsia="Times New Roman"/>
                <w:sz w:val="21"/>
              </w:rPr>
              <w:t>+30mm</w:t>
            </w:r>
            <w:r>
              <w:rPr>
                <w:rFonts w:ascii="Times New Roman" w:eastAsia="Times New Roman"/>
                <w:spacing w:val="-3"/>
                <w:sz w:val="21"/>
              </w:rPr>
              <w:t> </w:t>
            </w:r>
            <w:r>
              <w:rPr>
                <w:sz w:val="21"/>
              </w:rPr>
              <w:t>厚、</w:t>
            </w:r>
            <w:r>
              <w:rPr>
                <w:spacing w:val="-5"/>
                <w:w w:val="95"/>
                <w:sz w:val="21"/>
              </w:rPr>
              <w:t>密度为 </w:t>
            </w:r>
            <w:r>
              <w:rPr>
                <w:rFonts w:ascii="Times New Roman" w:eastAsia="Times New Roman"/>
                <w:w w:val="95"/>
                <w:sz w:val="21"/>
              </w:rPr>
              <w:t>3.2g/cm</w:t>
            </w:r>
            <w:r>
              <w:rPr>
                <w:rFonts w:ascii="Times New Roman" w:eastAsia="Times New Roman"/>
                <w:w w:val="95"/>
                <w:sz w:val="21"/>
                <w:vertAlign w:val="superscript"/>
              </w:rPr>
              <w:t>3</w:t>
            </w:r>
            <w:r>
              <w:rPr>
                <w:rFonts w:ascii="Times New Roman" w:eastAsia="Times New Roman"/>
                <w:spacing w:val="5"/>
                <w:w w:val="95"/>
                <w:sz w:val="21"/>
                <w:vertAlign w:val="baseline"/>
              </w:rPr>
              <w:t> </w:t>
            </w:r>
            <w:r>
              <w:rPr>
                <w:w w:val="95"/>
                <w:sz w:val="21"/>
                <w:vertAlign w:val="baseline"/>
              </w:rPr>
              <w:t>硫酸钡砂浆（折合</w:t>
            </w:r>
          </w:p>
          <w:p>
            <w:pPr>
              <w:pStyle w:val="TableParagraph"/>
              <w:spacing w:line="256" w:lineRule="exact"/>
              <w:ind w:left="100" w:right="95"/>
              <w:rPr>
                <w:sz w:val="21"/>
              </w:rPr>
            </w:pPr>
            <w:r>
              <w:rPr>
                <w:rFonts w:ascii="Times New Roman" w:eastAsia="Times New Roman"/>
                <w:sz w:val="21"/>
              </w:rPr>
              <w:t>3.6mm</w:t>
            </w:r>
            <w:r>
              <w:rPr>
                <w:rFonts w:ascii="Times New Roman" w:eastAsia="Times New Roman"/>
                <w:spacing w:val="-3"/>
                <w:sz w:val="21"/>
              </w:rPr>
              <w:t> </w:t>
            </w:r>
            <w:r>
              <w:rPr>
                <w:sz w:val="21"/>
              </w:rPr>
              <w:t>铅当量）</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1"/>
              <w:jc w:val="left"/>
              <w:rPr>
                <w:sz w:val="21"/>
              </w:rPr>
            </w:pPr>
          </w:p>
          <w:p>
            <w:pPr>
              <w:pStyle w:val="TableParagraph"/>
              <w:ind w:left="8"/>
              <w:rPr>
                <w:rFonts w:ascii="Times New Roman"/>
                <w:sz w:val="21"/>
              </w:rPr>
            </w:pPr>
            <w:r>
              <w:rPr>
                <w:rFonts w:ascii="Times New Roman"/>
                <w:w w:val="99"/>
                <w:sz w:val="21"/>
              </w:rPr>
              <w:t>/</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312"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32"/>
              <w:ind w:left="238"/>
              <w:jc w:val="left"/>
              <w:rPr>
                <w:sz w:val="21"/>
              </w:rPr>
            </w:pPr>
            <w:r>
              <w:rPr>
                <w:sz w:val="21"/>
              </w:rPr>
              <w:t>安全装置</w:t>
            </w: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2"/>
              <w:ind w:left="102" w:right="95"/>
              <w:rPr>
                <w:sz w:val="21"/>
              </w:rPr>
            </w:pPr>
            <w:r>
              <w:rPr>
                <w:sz w:val="21"/>
              </w:rPr>
              <w:t>工作状态指示灯箱</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2"/>
              <w:ind w:left="120" w:right="112"/>
              <w:rPr>
                <w:sz w:val="21"/>
              </w:rPr>
            </w:pPr>
            <w:r>
              <w:rPr>
                <w:rFonts w:ascii="Times New Roman" w:eastAsia="Times New Roman"/>
                <w:sz w:val="21"/>
              </w:rPr>
              <w:t>2</w:t>
            </w:r>
            <w:r>
              <w:rPr>
                <w:rFonts w:ascii="Times New Roman" w:eastAsia="Times New Roman"/>
                <w:spacing w:val="-2"/>
                <w:sz w:val="21"/>
              </w:rPr>
              <w:t> </w:t>
            </w:r>
            <w:r>
              <w:rPr>
                <w:sz w:val="21"/>
              </w:rPr>
              <w:t>个</w:t>
            </w:r>
          </w:p>
        </w:tc>
        <w:tc>
          <w:tcPr>
            <w:tcW w:w="158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jc w:val="left"/>
              <w:rPr>
                <w:sz w:val="47"/>
              </w:rPr>
            </w:pPr>
          </w:p>
          <w:p>
            <w:pPr>
              <w:pStyle w:val="TableParagraph"/>
              <w:spacing w:before="1"/>
              <w:ind w:left="89" w:right="80"/>
              <w:rPr>
                <w:rFonts w:ascii="Times New Roman"/>
                <w:b/>
                <w:sz w:val="32"/>
              </w:rPr>
            </w:pPr>
            <w:r>
              <w:rPr>
                <w:rFonts w:ascii="Times New Roman"/>
                <w:b/>
                <w:sz w:val="32"/>
              </w:rPr>
              <w:t>***</w:t>
            </w:r>
          </w:p>
        </w:tc>
        <w:tc>
          <w:tcPr>
            <w:tcW w:w="149" w:type="dxa"/>
            <w:vMerge w:val="restart"/>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312"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2"/>
              <w:ind w:left="102" w:right="95"/>
              <w:rPr>
                <w:sz w:val="21"/>
              </w:rPr>
            </w:pPr>
            <w:r>
              <w:rPr>
                <w:sz w:val="21"/>
              </w:rPr>
              <w:t>电离辐射警告标志</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2"/>
              <w:ind w:left="120" w:right="112"/>
              <w:rPr>
                <w:sz w:val="21"/>
              </w:rPr>
            </w:pPr>
            <w:r>
              <w:rPr>
                <w:rFonts w:ascii="Times New Roman" w:eastAsia="Times New Roman"/>
                <w:sz w:val="21"/>
              </w:rPr>
              <w:t>2</w:t>
            </w:r>
            <w:r>
              <w:rPr>
                <w:rFonts w:ascii="Times New Roman" w:eastAsia="Times New Roman"/>
                <w:spacing w:val="-2"/>
                <w:sz w:val="21"/>
              </w:rPr>
              <w:t> </w:t>
            </w:r>
            <w:r>
              <w:rPr>
                <w:sz w:val="21"/>
              </w:rPr>
              <w:t>个</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312"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4"/>
              <w:ind w:left="109" w:right="85"/>
              <w:rPr>
                <w:sz w:val="21"/>
              </w:rPr>
            </w:pPr>
            <w:r>
              <w:rPr>
                <w:sz w:val="21"/>
              </w:rPr>
              <w:t>紧急止动装置</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2"/>
              <w:ind w:left="120" w:right="112"/>
              <w:rPr>
                <w:sz w:val="21"/>
              </w:rPr>
            </w:pPr>
            <w:r>
              <w:rPr>
                <w:rFonts w:ascii="Times New Roman" w:eastAsia="Times New Roman"/>
                <w:sz w:val="21"/>
              </w:rPr>
              <w:t>1</w:t>
            </w:r>
            <w:r>
              <w:rPr>
                <w:rFonts w:ascii="Times New Roman" w:eastAsia="Times New Roman"/>
                <w:spacing w:val="-2"/>
                <w:sz w:val="21"/>
              </w:rPr>
              <w:t> </w:t>
            </w:r>
            <w:r>
              <w:rPr>
                <w:sz w:val="21"/>
              </w:rPr>
              <w:t>套</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311"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4"/>
              <w:ind w:left="109" w:right="83"/>
              <w:rPr>
                <w:sz w:val="21"/>
              </w:rPr>
            </w:pPr>
            <w:r>
              <w:rPr>
                <w:sz w:val="21"/>
              </w:rPr>
              <w:t>门灯联锁装置</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1"/>
              <w:ind w:left="120" w:right="112"/>
              <w:rPr>
                <w:sz w:val="21"/>
              </w:rPr>
            </w:pPr>
            <w:r>
              <w:rPr>
                <w:rFonts w:ascii="Times New Roman" w:eastAsia="Times New Roman"/>
                <w:sz w:val="21"/>
              </w:rPr>
              <w:t>1</w:t>
            </w:r>
            <w:r>
              <w:rPr>
                <w:rFonts w:ascii="Times New Roman" w:eastAsia="Times New Roman"/>
                <w:spacing w:val="-2"/>
                <w:sz w:val="21"/>
              </w:rPr>
              <w:t> </w:t>
            </w:r>
            <w:r>
              <w:rPr>
                <w:sz w:val="21"/>
              </w:rPr>
              <w:t>套</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312"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3"/>
              <w:ind w:left="102" w:right="95"/>
              <w:rPr>
                <w:sz w:val="21"/>
              </w:rPr>
            </w:pPr>
            <w:r>
              <w:rPr>
                <w:sz w:val="21"/>
              </w:rPr>
              <w:t>对讲系统</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3"/>
              <w:ind w:left="120" w:right="112"/>
              <w:rPr>
                <w:sz w:val="21"/>
              </w:rPr>
            </w:pPr>
            <w:r>
              <w:rPr>
                <w:rFonts w:ascii="Times New Roman" w:eastAsia="Times New Roman"/>
                <w:sz w:val="21"/>
              </w:rPr>
              <w:t>1</w:t>
            </w:r>
            <w:r>
              <w:rPr>
                <w:rFonts w:ascii="Times New Roman" w:eastAsia="Times New Roman"/>
                <w:spacing w:val="-2"/>
                <w:sz w:val="21"/>
              </w:rPr>
              <w:t> </w:t>
            </w:r>
            <w:r>
              <w:rPr>
                <w:sz w:val="21"/>
              </w:rPr>
              <w:t>套</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311"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3"/>
              <w:ind w:left="109" w:right="-15"/>
              <w:rPr>
                <w:sz w:val="21"/>
              </w:rPr>
            </w:pPr>
            <w:r>
              <w:rPr>
                <w:spacing w:val="-6"/>
                <w:sz w:val="21"/>
              </w:rPr>
              <w:t>床下铅帘（</w:t>
            </w:r>
            <w:r>
              <w:rPr>
                <w:spacing w:val="-5"/>
                <w:sz w:val="21"/>
              </w:rPr>
              <w:t>机器自带、</w:t>
            </w:r>
            <w:r>
              <w:rPr>
                <w:rFonts w:ascii="Times New Roman" w:eastAsia="Times New Roman"/>
                <w:spacing w:val="-5"/>
                <w:sz w:val="21"/>
              </w:rPr>
              <w:t>0.5mm</w:t>
            </w:r>
            <w:r>
              <w:rPr>
                <w:rFonts w:ascii="Times New Roman" w:eastAsia="Times New Roman"/>
                <w:spacing w:val="-8"/>
                <w:sz w:val="21"/>
              </w:rPr>
              <w:t> </w:t>
            </w:r>
            <w:r>
              <w:rPr>
                <w:spacing w:val="-5"/>
                <w:sz w:val="21"/>
              </w:rPr>
              <w:t>铅当量）</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3"/>
              <w:ind w:left="120" w:right="112"/>
              <w:rPr>
                <w:sz w:val="21"/>
              </w:rPr>
            </w:pPr>
            <w:r>
              <w:rPr>
                <w:rFonts w:ascii="Times New Roman" w:eastAsia="Times New Roman"/>
                <w:sz w:val="21"/>
              </w:rPr>
              <w:t>1</w:t>
            </w:r>
            <w:r>
              <w:rPr>
                <w:rFonts w:ascii="Times New Roman" w:eastAsia="Times New Roman"/>
                <w:spacing w:val="-2"/>
                <w:sz w:val="21"/>
              </w:rPr>
              <w:t> </w:t>
            </w:r>
            <w:r>
              <w:rPr>
                <w:sz w:val="21"/>
              </w:rPr>
              <w:t>套</w:t>
            </w:r>
          </w:p>
        </w:tc>
        <w:tc>
          <w:tcPr>
            <w:tcW w:w="1582"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360" w:lineRule="exact"/>
              <w:ind w:left="89" w:right="80"/>
              <w:rPr>
                <w:rFonts w:ascii="Times New Roman"/>
                <w:b/>
                <w:sz w:val="32"/>
              </w:rPr>
            </w:pPr>
            <w:r>
              <w:rPr>
                <w:rFonts w:ascii="Times New Roman"/>
                <w:b/>
                <w:sz w:val="32"/>
              </w:rPr>
              <w:t>***</w:t>
            </w:r>
          </w:p>
          <w:p>
            <w:pPr>
              <w:pStyle w:val="TableParagraph"/>
              <w:spacing w:before="129"/>
              <w:ind w:left="89" w:right="962"/>
              <w:rPr>
                <w:rFonts w:ascii="Times New Roman"/>
                <w:b/>
                <w:sz w:val="32"/>
              </w:rPr>
            </w:pPr>
            <w:r>
              <w:rPr>
                <w:rFonts w:ascii="Times New Roman"/>
                <w:b/>
                <w:sz w:val="32"/>
              </w:rPr>
              <w:t>***</w:t>
            </w:r>
          </w:p>
        </w:tc>
        <w:tc>
          <w:tcPr>
            <w:tcW w:w="149" w:type="dxa"/>
            <w:vMerge w:val="restart"/>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670"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90"/>
              <w:ind w:left="109" w:right="-15"/>
              <w:rPr>
                <w:sz w:val="21"/>
              </w:rPr>
            </w:pPr>
            <w:r>
              <w:rPr>
                <w:spacing w:val="-6"/>
                <w:sz w:val="21"/>
              </w:rPr>
              <w:t>悬吊铅帘（</w:t>
            </w:r>
            <w:r>
              <w:rPr>
                <w:spacing w:val="-5"/>
                <w:sz w:val="21"/>
              </w:rPr>
              <w:t>机器自带、</w:t>
            </w:r>
            <w:r>
              <w:rPr>
                <w:rFonts w:ascii="Times New Roman" w:eastAsia="Times New Roman"/>
                <w:spacing w:val="-5"/>
                <w:sz w:val="21"/>
              </w:rPr>
              <w:t>0.5mm</w:t>
            </w:r>
            <w:r>
              <w:rPr>
                <w:rFonts w:ascii="Times New Roman" w:eastAsia="Times New Roman"/>
                <w:spacing w:val="-8"/>
                <w:sz w:val="21"/>
              </w:rPr>
              <w:t> </w:t>
            </w:r>
            <w:r>
              <w:rPr>
                <w:spacing w:val="-5"/>
                <w:sz w:val="21"/>
              </w:rPr>
              <w:t>铅当量）</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90"/>
              <w:ind w:left="120" w:right="112"/>
              <w:rPr>
                <w:sz w:val="21"/>
              </w:rPr>
            </w:pPr>
            <w:r>
              <w:rPr>
                <w:rFonts w:ascii="Times New Roman" w:eastAsia="Times New Roman"/>
                <w:sz w:val="21"/>
              </w:rPr>
              <w:t>1</w:t>
            </w:r>
            <w:r>
              <w:rPr>
                <w:rFonts w:ascii="Times New Roman" w:eastAsia="Times New Roman"/>
                <w:spacing w:val="-2"/>
                <w:sz w:val="21"/>
              </w:rPr>
              <w:t> </w:t>
            </w:r>
            <w:r>
              <w:rPr>
                <w:sz w:val="21"/>
              </w:rPr>
              <w:t>套</w:t>
            </w:r>
          </w:p>
        </w:tc>
        <w:tc>
          <w:tcPr>
            <w:tcW w:w="1582" w:type="dxa"/>
            <w:vMerge/>
            <w:tcBorders>
              <w:top w:val="nil"/>
              <w:left w:val="single" w:sz="4" w:space="0" w:color="000000"/>
              <w:bottom w:val="single" w:sz="4" w:space="0" w:color="000000"/>
              <w:right w:val="single" w:sz="4" w:space="0" w:color="000000"/>
            </w:tcBorders>
          </w:tcPr>
          <w:p>
            <w:pPr>
              <w:rPr>
                <w:sz w:val="2"/>
                <w:szCs w:val="2"/>
              </w:rPr>
            </w:pPr>
          </w:p>
        </w:tc>
        <w:tc>
          <w:tcPr>
            <w:tcW w:w="149" w:type="dxa"/>
            <w:vMerge/>
            <w:tcBorders>
              <w:top w:val="nil"/>
              <w:left w:val="single" w:sz="4" w:space="0" w:color="000000"/>
              <w:bottom w:val="nil"/>
              <w:right w:val="single" w:sz="4" w:space="0" w:color="000000"/>
            </w:tcBorders>
          </w:tcPr>
          <w:p>
            <w:pPr>
              <w:rPr>
                <w:sz w:val="2"/>
                <w:szCs w:val="2"/>
              </w:rPr>
            </w:pPr>
          </w:p>
        </w:tc>
      </w:tr>
      <w:tr>
        <w:trPr>
          <w:trHeight w:val="368"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8"/>
              <w:jc w:val="left"/>
              <w:rPr>
                <w:sz w:val="14"/>
              </w:rPr>
            </w:pPr>
          </w:p>
          <w:p>
            <w:pPr>
              <w:pStyle w:val="TableParagraph"/>
              <w:spacing w:line="242" w:lineRule="auto" w:before="1"/>
              <w:ind w:left="135" w:right="123"/>
              <w:rPr>
                <w:sz w:val="21"/>
              </w:rPr>
            </w:pPr>
            <w:r>
              <w:rPr>
                <w:spacing w:val="-1"/>
                <w:sz w:val="21"/>
              </w:rPr>
              <w:t>监测仪器及个人防护用</w:t>
            </w:r>
            <w:r>
              <w:rPr>
                <w:sz w:val="21"/>
              </w:rPr>
              <w:t>品</w:t>
            </w: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40"/>
              <w:ind w:left="102" w:right="95"/>
              <w:rPr>
                <w:sz w:val="21"/>
              </w:rPr>
            </w:pPr>
            <w:r>
              <w:rPr>
                <w:sz w:val="21"/>
              </w:rPr>
              <w:t>个人剂量计</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40"/>
              <w:ind w:left="120" w:right="112"/>
              <w:rPr>
                <w:sz w:val="21"/>
              </w:rPr>
            </w:pPr>
            <w:r>
              <w:rPr>
                <w:rFonts w:ascii="Times New Roman" w:eastAsia="Times New Roman"/>
                <w:sz w:val="21"/>
              </w:rPr>
              <w:t>16</w:t>
            </w:r>
            <w:r>
              <w:rPr>
                <w:rFonts w:ascii="Times New Roman" w:eastAsia="Times New Roman"/>
                <w:spacing w:val="-1"/>
                <w:sz w:val="21"/>
              </w:rPr>
              <w:t> </w:t>
            </w:r>
            <w:r>
              <w:rPr>
                <w:sz w:val="21"/>
              </w:rPr>
              <w:t>套</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spacing w:line="348" w:lineRule="exact"/>
              <w:ind w:left="89" w:right="80"/>
              <w:rPr>
                <w:rFonts w:ascii="Times New Roman"/>
                <w:b/>
                <w:sz w:val="32"/>
              </w:rPr>
            </w:pPr>
            <w:r>
              <w:rPr>
                <w:rFonts w:ascii="Times New Roman"/>
                <w:b/>
                <w:sz w:val="32"/>
              </w:rPr>
              <w:t>***</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367"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39"/>
              <w:ind w:left="100" w:right="95"/>
              <w:rPr>
                <w:sz w:val="21"/>
              </w:rPr>
            </w:pPr>
            <w:r>
              <w:rPr>
                <w:sz w:val="21"/>
              </w:rPr>
              <w:t>个人剂量报警仪</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39"/>
              <w:ind w:left="120" w:right="112"/>
              <w:rPr>
                <w:sz w:val="21"/>
              </w:rPr>
            </w:pPr>
            <w:r>
              <w:rPr>
                <w:rFonts w:ascii="Times New Roman" w:eastAsia="Times New Roman"/>
                <w:sz w:val="21"/>
              </w:rPr>
              <w:t>2</w:t>
            </w:r>
            <w:r>
              <w:rPr>
                <w:rFonts w:ascii="Times New Roman" w:eastAsia="Times New Roman"/>
                <w:spacing w:val="-2"/>
                <w:sz w:val="21"/>
              </w:rPr>
              <w:t> </w:t>
            </w:r>
            <w:r>
              <w:rPr>
                <w:sz w:val="21"/>
              </w:rPr>
              <w:t>台</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spacing w:line="348" w:lineRule="exact"/>
              <w:ind w:left="89" w:right="80"/>
              <w:rPr>
                <w:rFonts w:ascii="Times New Roman"/>
                <w:b/>
                <w:sz w:val="32"/>
              </w:rPr>
            </w:pPr>
            <w:r>
              <w:rPr>
                <w:rFonts w:ascii="Times New Roman"/>
                <w:b/>
                <w:sz w:val="32"/>
              </w:rPr>
              <w:t>***</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367"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38"/>
              <w:ind w:left="102" w:right="95"/>
              <w:rPr>
                <w:sz w:val="21"/>
              </w:rPr>
            </w:pPr>
            <w:r>
              <w:rPr>
                <w:sz w:val="21"/>
              </w:rPr>
              <w:t>便携式辐射监测仪</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38"/>
              <w:ind w:left="120" w:right="112"/>
              <w:rPr>
                <w:sz w:val="21"/>
              </w:rPr>
            </w:pPr>
            <w:r>
              <w:rPr>
                <w:rFonts w:ascii="Times New Roman" w:eastAsia="Times New Roman"/>
                <w:sz w:val="21"/>
              </w:rPr>
              <w:t>1</w:t>
            </w:r>
            <w:r>
              <w:rPr>
                <w:rFonts w:ascii="Times New Roman" w:eastAsia="Times New Roman"/>
                <w:spacing w:val="-2"/>
                <w:sz w:val="21"/>
              </w:rPr>
              <w:t> </w:t>
            </w:r>
            <w:r>
              <w:rPr>
                <w:sz w:val="21"/>
              </w:rPr>
              <w:t>台</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spacing w:line="348" w:lineRule="exact"/>
              <w:ind w:left="89" w:right="80"/>
              <w:rPr>
                <w:rFonts w:ascii="Times New Roman"/>
                <w:b/>
                <w:sz w:val="32"/>
              </w:rPr>
            </w:pPr>
            <w:r>
              <w:rPr>
                <w:rFonts w:ascii="Times New Roman"/>
                <w:b/>
                <w:sz w:val="32"/>
              </w:rPr>
              <w:t>***</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545"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22" w:right="15"/>
              <w:rPr>
                <w:sz w:val="21"/>
              </w:rPr>
            </w:pPr>
            <w:r>
              <w:rPr>
                <w:sz w:val="21"/>
              </w:rPr>
              <w:t>铅橡胶围裙、铅橡胶颈套、铅防护眼</w:t>
            </w:r>
          </w:p>
          <w:p>
            <w:pPr>
              <w:pStyle w:val="TableParagraph"/>
              <w:spacing w:line="260" w:lineRule="exact" w:before="4"/>
              <w:ind w:left="102" w:right="95"/>
              <w:rPr>
                <w:sz w:val="21"/>
              </w:rPr>
            </w:pPr>
            <w:r>
              <w:rPr>
                <w:sz w:val="21"/>
              </w:rPr>
              <w:t>镜、介入防护手套</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120" w:right="112"/>
              <w:rPr>
                <w:sz w:val="21"/>
              </w:rPr>
            </w:pPr>
            <w:r>
              <w:rPr>
                <w:rFonts w:ascii="Times New Roman" w:eastAsia="Times New Roman"/>
                <w:sz w:val="21"/>
              </w:rPr>
              <w:t>2</w:t>
            </w:r>
            <w:r>
              <w:rPr>
                <w:rFonts w:ascii="Times New Roman" w:eastAsia="Times New Roman"/>
                <w:spacing w:val="-3"/>
                <w:sz w:val="21"/>
              </w:rPr>
              <w:t> </w:t>
            </w:r>
            <w:r>
              <w:rPr>
                <w:sz w:val="21"/>
              </w:rPr>
              <w:t>套（医护人</w:t>
            </w:r>
          </w:p>
          <w:p>
            <w:pPr>
              <w:pStyle w:val="TableParagraph"/>
              <w:spacing w:line="260" w:lineRule="exact" w:before="4"/>
              <w:ind w:left="117" w:right="112"/>
              <w:rPr>
                <w:sz w:val="21"/>
              </w:rPr>
            </w:pPr>
            <w:r>
              <w:rPr>
                <w:sz w:val="21"/>
              </w:rPr>
              <w:t>员使用）</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spacing w:before="80"/>
              <w:ind w:left="89" w:right="80"/>
              <w:rPr>
                <w:rFonts w:ascii="Times New Roman"/>
                <w:b/>
                <w:sz w:val="32"/>
              </w:rPr>
            </w:pPr>
            <w:r>
              <w:rPr>
                <w:rFonts w:ascii="Times New Roman"/>
                <w:b/>
                <w:sz w:val="32"/>
              </w:rPr>
              <w:t>***</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544"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vMerge/>
            <w:tcBorders>
              <w:top w:val="nil"/>
              <w:left w:val="single" w:sz="4" w:space="0" w:color="000000"/>
              <w:bottom w:val="single" w:sz="4" w:space="0" w:color="000000"/>
              <w:right w:val="single" w:sz="4" w:space="0" w:color="000000"/>
            </w:tcBorders>
          </w:tcPr>
          <w:p>
            <w:pPr>
              <w:rPr>
                <w:sz w:val="2"/>
                <w:szCs w:val="2"/>
              </w:rPr>
            </w:pP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ind w:left="136" w:right="15"/>
              <w:rPr>
                <w:sz w:val="21"/>
              </w:rPr>
            </w:pPr>
            <w:r>
              <w:rPr>
                <w:w w:val="95"/>
                <w:sz w:val="21"/>
              </w:rPr>
              <w:t>铅橡胶性腺防护围裙（方形）或方巾、</w:t>
            </w:r>
          </w:p>
          <w:p>
            <w:pPr>
              <w:pStyle w:val="TableParagraph"/>
              <w:spacing w:line="259" w:lineRule="exact" w:before="2"/>
              <w:ind w:left="102" w:right="95"/>
              <w:rPr>
                <w:sz w:val="21"/>
              </w:rPr>
            </w:pPr>
            <w:r>
              <w:rPr>
                <w:sz w:val="21"/>
              </w:rPr>
              <w:t>铅橡胶颈套</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ind w:left="120" w:right="112"/>
              <w:rPr>
                <w:sz w:val="21"/>
              </w:rPr>
            </w:pPr>
            <w:r>
              <w:rPr>
                <w:rFonts w:ascii="Times New Roman" w:eastAsia="Times New Roman"/>
                <w:sz w:val="21"/>
              </w:rPr>
              <w:t>1</w:t>
            </w:r>
            <w:r>
              <w:rPr>
                <w:rFonts w:ascii="Times New Roman" w:eastAsia="Times New Roman"/>
                <w:spacing w:val="-3"/>
                <w:sz w:val="21"/>
              </w:rPr>
              <w:t> </w:t>
            </w:r>
            <w:r>
              <w:rPr>
                <w:sz w:val="21"/>
              </w:rPr>
              <w:t>套（患者使</w:t>
            </w:r>
          </w:p>
          <w:p>
            <w:pPr>
              <w:pStyle w:val="TableParagraph"/>
              <w:spacing w:line="259" w:lineRule="exact" w:before="2"/>
              <w:ind w:left="120" w:right="112"/>
              <w:rPr>
                <w:sz w:val="21"/>
              </w:rPr>
            </w:pPr>
            <w:r>
              <w:rPr>
                <w:sz w:val="21"/>
              </w:rPr>
              <w:t>用）</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spacing w:before="80"/>
              <w:ind w:left="89" w:right="80"/>
              <w:rPr>
                <w:rFonts w:ascii="Times New Roman"/>
                <w:b/>
                <w:sz w:val="32"/>
              </w:rPr>
            </w:pPr>
            <w:r>
              <w:rPr>
                <w:rFonts w:ascii="Times New Roman"/>
                <w:b/>
                <w:sz w:val="32"/>
              </w:rPr>
              <w:t>***</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623" w:hRule="atLeast"/>
        </w:trPr>
        <w:tc>
          <w:tcPr>
            <w:tcW w:w="1127" w:type="dxa"/>
            <w:vMerge/>
            <w:tcBorders>
              <w:top w:val="nil"/>
              <w:left w:val="single" w:sz="4" w:space="0" w:color="000000"/>
              <w:bottom w:val="single" w:sz="4" w:space="0" w:color="000000"/>
              <w:right w:val="single" w:sz="4" w:space="0" w:color="000000"/>
            </w:tcBorders>
          </w:tcPr>
          <w:p>
            <w:pPr>
              <w:rPr>
                <w:sz w:val="2"/>
                <w:szCs w:val="2"/>
              </w:rPr>
            </w:pPr>
          </w:p>
        </w:tc>
        <w:tc>
          <w:tcPr>
            <w:tcW w:w="1320" w:type="dxa"/>
            <w:tcBorders>
              <w:top w:val="single" w:sz="4" w:space="0" w:color="000000"/>
              <w:left w:val="single" w:sz="4" w:space="0" w:color="000000"/>
              <w:bottom w:val="single" w:sz="4" w:space="0" w:color="000000"/>
              <w:right w:val="single" w:sz="4" w:space="0" w:color="000000"/>
            </w:tcBorders>
          </w:tcPr>
          <w:p>
            <w:pPr>
              <w:pStyle w:val="TableParagraph"/>
              <w:spacing w:before="169"/>
              <w:ind w:left="130" w:right="123"/>
              <w:rPr>
                <w:sz w:val="21"/>
              </w:rPr>
            </w:pPr>
            <w:r>
              <w:rPr>
                <w:sz w:val="21"/>
              </w:rPr>
              <w:t>其他</w:t>
            </w:r>
          </w:p>
        </w:tc>
        <w:tc>
          <w:tcPr>
            <w:tcW w:w="3593" w:type="dxa"/>
            <w:tcBorders>
              <w:top w:val="single" w:sz="4" w:space="0" w:color="000000"/>
              <w:left w:val="single" w:sz="4" w:space="0" w:color="000000"/>
              <w:bottom w:val="single" w:sz="4" w:space="0" w:color="000000"/>
              <w:right w:val="single" w:sz="4" w:space="0" w:color="000000"/>
            </w:tcBorders>
          </w:tcPr>
          <w:p>
            <w:pPr>
              <w:pStyle w:val="TableParagraph"/>
              <w:spacing w:before="169"/>
              <w:ind w:left="102" w:right="95"/>
              <w:rPr>
                <w:sz w:val="21"/>
              </w:rPr>
            </w:pPr>
            <w:r>
              <w:rPr>
                <w:sz w:val="21"/>
              </w:rPr>
              <w:t>通风设施</w:t>
            </w:r>
          </w:p>
        </w:tc>
        <w:tc>
          <w:tcPr>
            <w:tcW w:w="1487" w:type="dxa"/>
            <w:tcBorders>
              <w:top w:val="single" w:sz="4" w:space="0" w:color="000000"/>
              <w:left w:val="single" w:sz="4" w:space="0" w:color="000000"/>
              <w:bottom w:val="single" w:sz="4" w:space="0" w:color="000000"/>
              <w:right w:val="single" w:sz="4" w:space="0" w:color="000000"/>
            </w:tcBorders>
          </w:tcPr>
          <w:p>
            <w:pPr>
              <w:pStyle w:val="TableParagraph"/>
              <w:spacing w:before="13"/>
              <w:ind w:left="120" w:right="112"/>
              <w:rPr>
                <w:sz w:val="21"/>
              </w:rPr>
            </w:pPr>
            <w:r>
              <w:rPr>
                <w:rFonts w:ascii="Times New Roman" w:eastAsia="Times New Roman"/>
                <w:sz w:val="21"/>
              </w:rPr>
              <w:t>1</w:t>
            </w:r>
            <w:r>
              <w:rPr>
                <w:rFonts w:ascii="Times New Roman" w:eastAsia="Times New Roman"/>
                <w:spacing w:val="-3"/>
                <w:sz w:val="21"/>
              </w:rPr>
              <w:t> </w:t>
            </w:r>
            <w:r>
              <w:rPr>
                <w:sz w:val="21"/>
              </w:rPr>
              <w:t>套（设计中</w:t>
            </w:r>
          </w:p>
          <w:p>
            <w:pPr>
              <w:pStyle w:val="TableParagraph"/>
              <w:spacing w:before="43"/>
              <w:ind w:left="120" w:right="112"/>
              <w:rPr>
                <w:sz w:val="21"/>
              </w:rPr>
            </w:pPr>
            <w:r>
              <w:rPr>
                <w:sz w:val="21"/>
              </w:rPr>
              <w:t>已有）</w:t>
            </w:r>
          </w:p>
        </w:tc>
        <w:tc>
          <w:tcPr>
            <w:tcW w:w="1582" w:type="dxa"/>
            <w:tcBorders>
              <w:top w:val="single" w:sz="4" w:space="0" w:color="000000"/>
              <w:left w:val="single" w:sz="4" w:space="0" w:color="000000"/>
              <w:bottom w:val="single" w:sz="4" w:space="0" w:color="000000"/>
              <w:right w:val="single" w:sz="4" w:space="0" w:color="000000"/>
            </w:tcBorders>
          </w:tcPr>
          <w:p>
            <w:pPr>
              <w:pStyle w:val="TableParagraph"/>
              <w:spacing w:before="121"/>
              <w:ind w:left="89" w:right="80"/>
              <w:rPr>
                <w:rFonts w:ascii="Times New Roman"/>
                <w:b/>
                <w:sz w:val="32"/>
              </w:rPr>
            </w:pPr>
            <w:r>
              <w:rPr>
                <w:rFonts w:ascii="Times New Roman"/>
                <w:b/>
                <w:sz w:val="32"/>
              </w:rPr>
              <w:t>***</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311" w:hRule="atLeast"/>
        </w:trPr>
        <w:tc>
          <w:tcPr>
            <w:tcW w:w="7527" w:type="dxa"/>
            <w:gridSpan w:val="4"/>
            <w:tcBorders>
              <w:top w:val="single" w:sz="4" w:space="0" w:color="000000"/>
              <w:left w:val="single" w:sz="4" w:space="0" w:color="000000"/>
              <w:bottom w:val="single" w:sz="12" w:space="0" w:color="000000"/>
              <w:right w:val="single" w:sz="4" w:space="0" w:color="000000"/>
            </w:tcBorders>
          </w:tcPr>
          <w:p>
            <w:pPr>
              <w:pStyle w:val="TableParagraph"/>
              <w:spacing w:before="12"/>
              <w:ind w:left="3586" w:right="3471"/>
              <w:rPr>
                <w:sz w:val="21"/>
              </w:rPr>
            </w:pPr>
            <w:r>
              <w:rPr>
                <w:sz w:val="21"/>
              </w:rPr>
              <w:t>合计</w:t>
            </w:r>
          </w:p>
        </w:tc>
        <w:tc>
          <w:tcPr>
            <w:tcW w:w="1582" w:type="dxa"/>
            <w:tcBorders>
              <w:top w:val="single" w:sz="4" w:space="0" w:color="000000"/>
              <w:left w:val="single" w:sz="4" w:space="0" w:color="000000"/>
              <w:bottom w:val="single" w:sz="12" w:space="0" w:color="000000"/>
              <w:right w:val="single" w:sz="4" w:space="0" w:color="000000"/>
            </w:tcBorders>
          </w:tcPr>
          <w:p>
            <w:pPr>
              <w:pStyle w:val="TableParagraph"/>
              <w:spacing w:before="26"/>
              <w:ind w:left="89" w:right="79"/>
              <w:rPr>
                <w:rFonts w:ascii="Times New Roman"/>
                <w:sz w:val="21"/>
              </w:rPr>
            </w:pPr>
            <w:r>
              <w:rPr>
                <w:rFonts w:ascii="Times New Roman"/>
                <w:sz w:val="21"/>
              </w:rPr>
              <w:t>95</w:t>
            </w:r>
          </w:p>
        </w:tc>
        <w:tc>
          <w:tcPr>
            <w:tcW w:w="149" w:type="dxa"/>
            <w:tcBorders>
              <w:top w:val="nil"/>
              <w:left w:val="single" w:sz="4" w:space="0" w:color="000000"/>
              <w:bottom w:val="nil"/>
              <w:right w:val="single" w:sz="4" w:space="0" w:color="000000"/>
            </w:tcBorders>
          </w:tcPr>
          <w:p>
            <w:pPr>
              <w:pStyle w:val="TableParagraph"/>
              <w:jc w:val="left"/>
              <w:rPr>
                <w:rFonts w:ascii="Times New Roman"/>
                <w:sz w:val="22"/>
              </w:rPr>
            </w:pPr>
          </w:p>
        </w:tc>
      </w:tr>
      <w:tr>
        <w:trPr>
          <w:trHeight w:val="5152" w:hRule="atLeast"/>
        </w:trPr>
        <w:tc>
          <w:tcPr>
            <w:tcW w:w="9258" w:type="dxa"/>
            <w:gridSpan w:val="6"/>
            <w:tcBorders>
              <w:top w:val="single" w:sz="12" w:space="0" w:color="000000"/>
              <w:left w:val="single" w:sz="4" w:space="0" w:color="000000"/>
              <w:bottom w:val="single" w:sz="4" w:space="0" w:color="000000"/>
              <w:right w:val="single" w:sz="4" w:space="0" w:color="000000"/>
            </w:tcBorders>
          </w:tcPr>
          <w:p>
            <w:pPr>
              <w:pStyle w:val="TableParagraph"/>
              <w:spacing w:line="364" w:lineRule="auto" w:before="73"/>
              <w:ind w:left="108" w:right="97" w:firstLine="504"/>
              <w:jc w:val="left"/>
              <w:rPr>
                <w:sz w:val="24"/>
              </w:rPr>
            </w:pPr>
            <w:r>
              <w:rPr>
                <w:spacing w:val="-11"/>
                <w:sz w:val="24"/>
              </w:rPr>
              <w:t>今后在实践中，医院应根据国家发布的法规内容，结合自身实际情况对环保设施做</w:t>
            </w:r>
            <w:r>
              <w:rPr>
                <w:sz w:val="24"/>
              </w:rPr>
              <w:t>相应补充，使之更能满足实际需要和法规要求。</w:t>
            </w:r>
          </w:p>
          <w:p>
            <w:pPr>
              <w:pStyle w:val="TableParagraph"/>
              <w:spacing w:before="54"/>
              <w:ind w:right="7736"/>
              <w:jc w:val="right"/>
              <w:rPr>
                <w:sz w:val="28"/>
              </w:rPr>
            </w:pPr>
            <w:r>
              <w:rPr>
                <w:sz w:val="28"/>
              </w:rPr>
              <w:t>三废的治理</w:t>
            </w:r>
          </w:p>
          <w:p>
            <w:pPr>
              <w:pStyle w:val="TableParagraph"/>
              <w:spacing w:before="135"/>
              <w:ind w:right="7817"/>
              <w:jc w:val="right"/>
              <w:rPr>
                <w:sz w:val="24"/>
              </w:rPr>
            </w:pPr>
            <w:r>
              <w:rPr>
                <w:rFonts w:ascii="Times New Roman" w:eastAsia="Times New Roman"/>
                <w:sz w:val="24"/>
              </w:rPr>
              <w:t>1</w:t>
            </w:r>
            <w:r>
              <w:rPr>
                <w:sz w:val="24"/>
              </w:rPr>
              <w:t>、废水</w:t>
            </w:r>
          </w:p>
          <w:p>
            <w:pPr>
              <w:pStyle w:val="TableParagraph"/>
              <w:spacing w:line="364" w:lineRule="auto" w:before="2"/>
              <w:ind w:left="108" w:right="97" w:firstLine="480"/>
              <w:jc w:val="left"/>
              <w:rPr>
                <w:sz w:val="24"/>
              </w:rPr>
            </w:pPr>
            <w:r>
              <w:rPr>
                <w:spacing w:val="-3"/>
                <w:sz w:val="24"/>
              </w:rPr>
              <w:t>本项目运行后，废水主要为辐射工作人员的生活污水及项目产生的医疗废水。生活</w:t>
            </w:r>
            <w:r>
              <w:rPr>
                <w:spacing w:val="32"/>
                <w:sz w:val="24"/>
              </w:rPr>
              <w:t>污水及医疗废水经医院污水处理站处理达到《医疗机构水污染物排放标准》</w:t>
            </w:r>
          </w:p>
          <w:p>
            <w:pPr>
              <w:pStyle w:val="TableParagraph"/>
              <w:spacing w:line="362" w:lineRule="auto" w:before="2"/>
              <w:ind w:left="108" w:right="94"/>
              <w:jc w:val="left"/>
              <w:rPr>
                <w:sz w:val="24"/>
              </w:rPr>
            </w:pPr>
            <w:r>
              <w:rPr>
                <w:sz w:val="24"/>
              </w:rPr>
              <w:t>（</w:t>
            </w:r>
            <w:r>
              <w:rPr>
                <w:rFonts w:ascii="Times New Roman" w:eastAsia="Times New Roman"/>
                <w:sz w:val="24"/>
              </w:rPr>
              <w:t>GB18466-2005</w:t>
            </w:r>
            <w:r>
              <w:rPr>
                <w:sz w:val="24"/>
              </w:rPr>
              <w:t>）</w:t>
            </w:r>
            <w:r>
              <w:rPr>
                <w:spacing w:val="-8"/>
                <w:sz w:val="24"/>
              </w:rPr>
              <w:t>中表 </w:t>
            </w:r>
            <w:r>
              <w:rPr>
                <w:rFonts w:ascii="Times New Roman" w:eastAsia="Times New Roman"/>
                <w:sz w:val="24"/>
              </w:rPr>
              <w:t>2</w:t>
            </w:r>
            <w:r>
              <w:rPr>
                <w:rFonts w:ascii="Times New Roman" w:eastAsia="Times New Roman"/>
                <w:spacing w:val="40"/>
                <w:sz w:val="24"/>
              </w:rPr>
              <w:t> </w:t>
            </w:r>
            <w:r>
              <w:rPr>
                <w:sz w:val="24"/>
              </w:rPr>
              <w:t>预处理标准后排入市政管网，进入资阳市城市生活污水处理厂处理达标后排放。</w:t>
            </w:r>
          </w:p>
          <w:p>
            <w:pPr>
              <w:pStyle w:val="TableParagraph"/>
              <w:spacing w:before="81"/>
              <w:ind w:left="588"/>
              <w:jc w:val="left"/>
              <w:rPr>
                <w:sz w:val="24"/>
              </w:rPr>
            </w:pPr>
            <w:r>
              <w:rPr>
                <w:rFonts w:ascii="Times New Roman" w:eastAsia="Times New Roman"/>
                <w:sz w:val="24"/>
              </w:rPr>
              <w:t>2</w:t>
            </w:r>
            <w:r>
              <w:rPr>
                <w:sz w:val="24"/>
              </w:rPr>
              <w:t>、废气</w:t>
            </w:r>
          </w:p>
          <w:p>
            <w:pPr>
              <w:pStyle w:val="TableParagraph"/>
              <w:spacing w:before="161"/>
              <w:ind w:left="588"/>
              <w:jc w:val="left"/>
              <w:rPr>
                <w:rFonts w:ascii="Times New Roman" w:eastAsia="Times New Roman"/>
                <w:sz w:val="24"/>
              </w:rPr>
            </w:pPr>
            <w:r>
              <w:rPr>
                <w:rFonts w:ascii="Times New Roman" w:eastAsia="Times New Roman"/>
                <w:spacing w:val="-1"/>
                <w:sz w:val="24"/>
              </w:rPr>
              <w:t>DSA </w:t>
            </w:r>
            <w:r>
              <w:rPr>
                <w:spacing w:val="-3"/>
                <w:sz w:val="24"/>
              </w:rPr>
              <w:t>在曝光过程中臭氧产生量很小，经排风系统处理后，通过排风管道引至 </w:t>
            </w:r>
            <w:r>
              <w:rPr>
                <w:rFonts w:ascii="Times New Roman" w:eastAsia="Times New Roman"/>
                <w:sz w:val="24"/>
              </w:rPr>
              <w:t>DSA</w:t>
            </w:r>
          </w:p>
          <w:p>
            <w:pPr>
              <w:pStyle w:val="TableParagraph"/>
              <w:spacing w:before="157"/>
              <w:ind w:left="108"/>
              <w:jc w:val="left"/>
              <w:rPr>
                <w:sz w:val="24"/>
              </w:rPr>
            </w:pPr>
            <w:r>
              <w:rPr>
                <w:spacing w:val="-2"/>
                <w:position w:val="2"/>
                <w:sz w:val="24"/>
              </w:rPr>
              <w:t>机房外排放，室外大气扩散条件良好，产生的 </w:t>
            </w:r>
            <w:r>
              <w:rPr>
                <w:rFonts w:ascii="Times New Roman" w:eastAsia="Times New Roman"/>
                <w:position w:val="2"/>
                <w:sz w:val="24"/>
              </w:rPr>
              <w:t>O</w:t>
            </w:r>
            <w:r>
              <w:rPr>
                <w:rFonts w:ascii="Times New Roman" w:eastAsia="Times New Roman"/>
                <w:sz w:val="15"/>
              </w:rPr>
              <w:t>3</w:t>
            </w:r>
            <w:r>
              <w:rPr>
                <w:rFonts w:ascii="Times New Roman" w:eastAsia="Times New Roman"/>
                <w:spacing w:val="18"/>
                <w:sz w:val="15"/>
              </w:rPr>
              <w:t> </w:t>
            </w:r>
            <w:r>
              <w:rPr>
                <w:position w:val="2"/>
                <w:sz w:val="24"/>
              </w:rPr>
              <w:t>气体经自然分解和稀释后，对周围大</w:t>
            </w:r>
          </w:p>
        </w:tc>
      </w:tr>
    </w:tbl>
    <w:p>
      <w:pPr>
        <w:spacing w:after="0"/>
        <w:jc w:val="left"/>
        <w:rPr>
          <w:sz w:val="24"/>
        </w:rPr>
        <w:sectPr>
          <w:pgSz w:w="11910" w:h="16840"/>
          <w:pgMar w:header="0" w:footer="1383" w:top="1420" w:bottom="1580" w:left="1240" w:right="1040"/>
        </w:sectPr>
      </w:pPr>
    </w:p>
    <w:p>
      <w:pPr>
        <w:pStyle w:val="BodyText"/>
        <w:ind w:left="209"/>
        <w:rPr>
          <w:sz w:val="20"/>
        </w:rPr>
      </w:pPr>
      <w:bookmarkStart w:name="表11 环境影响分析" w:id="20"/>
      <w:bookmarkEnd w:id="20"/>
      <w:r>
        <w:rPr/>
      </w:r>
      <w:r>
        <w:rPr>
          <w:sz w:val="20"/>
        </w:rPr>
        <w:pict>
          <v:shape style="width:462.9pt;height:278.1pt;mso-position-horizontal-relative:char;mso-position-vertical-relative:line" type="#_x0000_t202" filled="false" stroked="true" strokeweight=".48pt" strokecolor="#000000">
            <w10:anchorlock/>
            <v:textbox inset="0,0,0,0">
              <w:txbxContent>
                <w:p>
                  <w:pPr>
                    <w:pStyle w:val="BodyText"/>
                    <w:spacing w:before="80"/>
                    <w:ind w:left="103"/>
                  </w:pPr>
                  <w:r>
                    <w:rPr/>
                    <w:t>气环境的影响较小对环境影响较小。</w:t>
                  </w:r>
                </w:p>
                <w:p>
                  <w:pPr>
                    <w:pStyle w:val="BodyText"/>
                    <w:spacing w:before="160"/>
                    <w:ind w:left="583"/>
                  </w:pPr>
                  <w:r>
                    <w:rPr>
                      <w:rFonts w:ascii="Times New Roman" w:eastAsia="Times New Roman"/>
                    </w:rPr>
                    <w:t>3</w:t>
                  </w:r>
                  <w:r>
                    <w:rPr/>
                    <w:t>、固体废物</w:t>
                  </w:r>
                </w:p>
                <w:p>
                  <w:pPr>
                    <w:pStyle w:val="BodyText"/>
                    <w:spacing w:before="84"/>
                    <w:ind w:left="583"/>
                  </w:pPr>
                  <w:r>
                    <w:rPr>
                      <w:spacing w:val="-7"/>
                    </w:rPr>
                    <w:t>①本项目 </w:t>
                  </w:r>
                  <w:r>
                    <w:rPr>
                      <w:rFonts w:ascii="Times New Roman" w:hAnsi="Times New Roman" w:eastAsia="Times New Roman"/>
                      <w:spacing w:val="-1"/>
                    </w:rPr>
                    <w:t>DSA</w:t>
                  </w:r>
                  <w:r>
                    <w:rPr>
                      <w:rFonts w:ascii="Times New Roman" w:hAnsi="Times New Roman" w:eastAsia="Times New Roman"/>
                      <w:spacing w:val="-10"/>
                    </w:rPr>
                    <w:t> </w:t>
                  </w:r>
                  <w:r>
                    <w:rPr>
                      <w:spacing w:val="-1"/>
                    </w:rPr>
                    <w:t>采用数字成像，不打印胶片，因此不会有废胶片产生。</w:t>
                  </w:r>
                </w:p>
                <w:p>
                  <w:pPr>
                    <w:pStyle w:val="BodyText"/>
                    <w:spacing w:line="364" w:lineRule="auto" w:before="158"/>
                    <w:ind w:left="103" w:right="99" w:firstLine="480"/>
                    <w:jc w:val="both"/>
                  </w:pPr>
                  <w:r>
                    <w:rPr>
                      <w:spacing w:val="-3"/>
                    </w:rPr>
                    <w:t>②手术时产生一定量的医用器具和药棉、纱布、手套、废造影剂、废造影剂瓶等医</w:t>
                  </w:r>
                  <w:r>
                    <w:rPr>
                      <w:spacing w:val="6"/>
                    </w:rPr>
                    <w:t>用辅料及手术垃圾，按每台手术产生约 </w:t>
                  </w:r>
                  <w:r>
                    <w:rPr>
                      <w:rFonts w:ascii="Times New Roman" w:hAnsi="Times New Roman" w:eastAsia="Times New Roman"/>
                    </w:rPr>
                    <w:t>2kg</w:t>
                  </w:r>
                  <w:r>
                    <w:rPr>
                      <w:rFonts w:ascii="Times New Roman" w:hAnsi="Times New Roman" w:eastAsia="Times New Roman"/>
                      <w:spacing w:val="12"/>
                    </w:rPr>
                    <w:t> </w:t>
                  </w:r>
                  <w:r>
                    <w:rPr/>
                    <w:t>的医疗废物，每年固体废物产生量约为</w:t>
                  </w:r>
                  <w:r>
                    <w:rPr>
                      <w:rFonts w:ascii="Times New Roman" w:hAnsi="Times New Roman" w:eastAsia="Times New Roman"/>
                      <w:spacing w:val="-2"/>
                    </w:rPr>
                    <w:t>4300kg</w:t>
                  </w:r>
                  <w:r>
                    <w:rPr>
                      <w:spacing w:val="-2"/>
                    </w:rPr>
                    <w:t>。这些医疗废物经分类收集打包好后暂存于污物处置间，为减少恶臭气体及病原</w:t>
                  </w:r>
                  <w:r>
                    <w:rPr/>
                    <w:t>体的产生，要求医疗废物日产日清，交由资质单位处理。</w:t>
                  </w:r>
                </w:p>
                <w:p>
                  <w:pPr>
                    <w:pStyle w:val="BodyText"/>
                    <w:spacing w:line="364" w:lineRule="auto"/>
                    <w:ind w:left="103" w:right="22" w:firstLine="480"/>
                  </w:pPr>
                  <w:r>
                    <w:rPr>
                      <w:spacing w:val="-2"/>
                    </w:rPr>
                    <w:t>③工作人员产生的生活垃圾和办公垃圾不属于医疗废物，医院按照当地管理部门要</w:t>
                  </w:r>
                  <w:r>
                    <w:rPr>
                      <w:spacing w:val="-1"/>
                    </w:rPr>
                    <w:t>求，办公、生活垃圾经袋装依托医院已有的垃圾收集设施统一收集交由市政环卫清运，</w:t>
                  </w:r>
                  <w:r>
                    <w:rPr>
                      <w:spacing w:val="-117"/>
                    </w:rPr>
                    <w:t> </w:t>
                  </w:r>
                  <w:r>
                    <w:rPr>
                      <w:spacing w:val="-1"/>
                    </w:rPr>
                    <w:t>为防止蚊蝇滋生，要求生活垃圾暂存间日产日清。项目产生固废均得到合理处置，不会</w:t>
                  </w:r>
                  <w:r>
                    <w:rPr/>
                    <w:t>对周围环境产生明显影响。</w:t>
                  </w:r>
                </w:p>
              </w:txbxContent>
            </v:textbox>
            <v:stroke dashstyle="solid"/>
          </v:shape>
        </w:pict>
      </w:r>
      <w:r>
        <w:rPr>
          <w:sz w:val="20"/>
        </w:rPr>
      </w:r>
    </w:p>
    <w:p>
      <w:pPr>
        <w:spacing w:after="0"/>
        <w:rPr>
          <w:sz w:val="20"/>
        </w:rPr>
        <w:sectPr>
          <w:pgSz w:w="11910" w:h="16840"/>
          <w:pgMar w:header="0" w:footer="1383" w:top="1420" w:bottom="1580" w:left="1240" w:right="1040"/>
        </w:sectPr>
      </w:pPr>
    </w:p>
    <w:p>
      <w:pPr>
        <w:pStyle w:val="BodyText"/>
        <w:spacing w:before="5"/>
        <w:rPr>
          <w:sz w:val="10"/>
        </w:rPr>
      </w:pPr>
      <w:r>
        <w:rPr/>
        <w:pict>
          <v:shape style="position:absolute;margin-left:70.410004pt;margin-top:121.200027pt;width:462.55pt;height:616.85pt;mso-position-horizontal-relative:page;mso-position-vertical-relative:page;z-index:-20143104" coordorigin="1408,2424" coordsize="9251,12337" path="m1408,2429l10659,2429m1408,14761l10659,14761m1413,2424l1413,14756m10654,2424l10654,14756e" filled="false" stroked="true" strokeweight=".48pt" strokecolor="#000000">
            <v:path arrowok="t"/>
            <v:stroke dashstyle="solid"/>
            <w10:wrap type="none"/>
          </v:shape>
        </w:pict>
      </w:r>
    </w:p>
    <w:p>
      <w:pPr>
        <w:spacing w:before="70"/>
        <w:ind w:left="560" w:right="0" w:firstLine="0"/>
        <w:jc w:val="left"/>
        <w:rPr>
          <w:sz w:val="30"/>
        </w:rPr>
      </w:pPr>
      <w:bookmarkStart w:name="_bookmark9" w:id="21"/>
      <w:bookmarkEnd w:id="21"/>
      <w:r>
        <w:rPr/>
      </w:r>
      <w:r>
        <w:rPr>
          <w:spacing w:val="-39"/>
          <w:sz w:val="30"/>
        </w:rPr>
        <w:t>表 </w:t>
      </w:r>
      <w:r>
        <w:rPr>
          <w:rFonts w:ascii="Times New Roman" w:eastAsia="Times New Roman"/>
          <w:spacing w:val="-1"/>
          <w:sz w:val="30"/>
        </w:rPr>
        <w:t>11</w:t>
      </w:r>
      <w:r>
        <w:rPr>
          <w:rFonts w:ascii="Times New Roman" w:eastAsia="Times New Roman"/>
          <w:spacing w:val="72"/>
          <w:sz w:val="30"/>
        </w:rPr>
        <w:t> </w:t>
      </w:r>
      <w:r>
        <w:rPr>
          <w:spacing w:val="-1"/>
          <w:sz w:val="30"/>
        </w:rPr>
        <w:t>环境影响分析</w:t>
      </w:r>
    </w:p>
    <w:p>
      <w:pPr>
        <w:pStyle w:val="BodyText"/>
        <w:spacing w:before="10"/>
        <w:rPr>
          <w:sz w:val="29"/>
        </w:rPr>
      </w:pPr>
    </w:p>
    <w:p>
      <w:pPr>
        <w:pStyle w:val="Heading2"/>
      </w:pPr>
      <w:r>
        <w:rPr/>
        <w:t>建设阶段对环境的影响</w:t>
      </w:r>
    </w:p>
    <w:p>
      <w:pPr>
        <w:pStyle w:val="BodyText"/>
        <w:spacing w:line="364" w:lineRule="auto" w:before="212"/>
        <w:ind w:left="281" w:right="197" w:firstLine="480"/>
      </w:pPr>
      <w:r>
        <w:rPr>
          <w:spacing w:val="-1"/>
        </w:rPr>
        <w:t>本项目在医院已有建筑内进行建设，不新增用地，施工期主要是对医技楼一层现有</w:t>
      </w:r>
      <w:r>
        <w:rPr>
          <w:spacing w:val="-16"/>
        </w:rPr>
        <w:t>房间进行改造，需要将现有房间的窗户、门和墙体拆除，然后重新建造新的机房防护墙，</w:t>
      </w:r>
      <w:r>
        <w:rPr>
          <w:spacing w:val="-117"/>
        </w:rPr>
        <w:t> </w:t>
      </w:r>
      <w:r>
        <w:rPr>
          <w:spacing w:val="-1"/>
        </w:rPr>
        <w:t>安装防护门和观察窗，在机房墙体和楼板涂刷防护涂料，原有的其他可利用的墙体重新</w:t>
      </w:r>
      <w:r>
        <w:rPr/>
        <w:t>开设门洞，并对机房、控制室等进行装修工程。产生污染物主要包括扬尘、施工废水、噪声及建筑垃圾等。</w:t>
      </w:r>
    </w:p>
    <w:p>
      <w:pPr>
        <w:pStyle w:val="BodyText"/>
        <w:spacing w:before="3"/>
        <w:ind w:left="761"/>
      </w:pPr>
      <w:r>
        <w:rPr/>
        <w:t>本项目施工期主要是射线装置机房装修施工阶段和设备安装、调试阶段。</w:t>
      </w:r>
    </w:p>
    <w:p>
      <w:pPr>
        <w:pStyle w:val="BodyText"/>
        <w:spacing w:before="160"/>
        <w:ind w:left="761"/>
      </w:pPr>
      <w:r>
        <w:rPr/>
        <w:t>一、土建、装饰施工的环境影响分析</w:t>
      </w:r>
    </w:p>
    <w:p>
      <w:pPr>
        <w:pStyle w:val="BodyText"/>
        <w:spacing w:before="161"/>
        <w:ind w:left="761"/>
      </w:pPr>
      <w:r>
        <w:rPr/>
        <w:t>（一）大气环境影响分析</w:t>
      </w:r>
    </w:p>
    <w:p>
      <w:pPr>
        <w:pStyle w:val="BodyText"/>
        <w:spacing w:line="364" w:lineRule="auto" w:before="160"/>
        <w:ind w:left="281" w:right="317" w:firstLine="480"/>
      </w:pPr>
      <w:r>
        <w:rPr>
          <w:spacing w:val="-2"/>
        </w:rPr>
        <w:t>装修过程中采用</w:t>
      </w:r>
      <w:r>
        <w:rPr>
          <w:rFonts w:ascii="Times New Roman" w:hAnsi="Times New Roman" w:eastAsia="Times New Roman"/>
          <w:spacing w:val="-2"/>
        </w:rPr>
        <w:t>“</w:t>
      </w:r>
      <w:r>
        <w:rPr>
          <w:spacing w:val="-2"/>
        </w:rPr>
        <w:t>环保型</w:t>
      </w:r>
      <w:r>
        <w:rPr>
          <w:rFonts w:ascii="Times New Roman" w:hAnsi="Times New Roman" w:eastAsia="Times New Roman"/>
          <w:spacing w:val="-2"/>
        </w:rPr>
        <w:t>”</w:t>
      </w:r>
      <w:r>
        <w:rPr>
          <w:spacing w:val="-2"/>
        </w:rPr>
        <w:t>油漆及涂料，产生的废气污染物主要是扬尘，装修过程中</w:t>
      </w:r>
      <w:r>
        <w:rPr/>
        <w:t>采取湿法作业、加强通风或室内空气净化措施，可尽量降低粉尘对周围环境的影响。</w:t>
      </w:r>
    </w:p>
    <w:p>
      <w:pPr>
        <w:pStyle w:val="BodyText"/>
        <w:spacing w:before="1"/>
        <w:ind w:left="761"/>
      </w:pPr>
      <w:r>
        <w:rPr/>
        <w:t>（二）水环境影响分析</w:t>
      </w:r>
    </w:p>
    <w:p>
      <w:pPr>
        <w:pStyle w:val="BodyText"/>
        <w:spacing w:line="364" w:lineRule="auto" w:before="161"/>
        <w:ind w:left="281" w:right="318" w:firstLine="480"/>
        <w:jc w:val="both"/>
      </w:pPr>
      <w:r>
        <w:rPr>
          <w:spacing w:val="-3"/>
        </w:rPr>
        <w:t>装修过程中施工人员会排放少量的生活污水，可依托医院污水处理站处理，经处理</w:t>
      </w:r>
      <w:r>
        <w:rPr>
          <w:spacing w:val="-5"/>
        </w:rPr>
        <w:t>后通过市政污水管网进入污水处理厂进一步处理达标后排放，不会对周围水环境产生不</w:t>
      </w:r>
      <w:r>
        <w:rPr/>
        <w:t>良影响。</w:t>
      </w:r>
    </w:p>
    <w:p>
      <w:pPr>
        <w:pStyle w:val="BodyText"/>
        <w:spacing w:before="2"/>
        <w:ind w:left="761"/>
      </w:pPr>
      <w:r>
        <w:rPr/>
        <w:t>（三）声环境影响分析</w:t>
      </w:r>
    </w:p>
    <w:p>
      <w:pPr>
        <w:pStyle w:val="BodyText"/>
        <w:spacing w:line="364" w:lineRule="auto" w:before="160"/>
        <w:ind w:left="281" w:right="318" w:firstLine="480"/>
        <w:jc w:val="both"/>
      </w:pPr>
      <w:r>
        <w:rPr>
          <w:spacing w:val="-3"/>
        </w:rPr>
        <w:t>装修过程会产生一定噪声，针对噪声影响，本项目拟采取尽量选择低噪音设备、避免夜间施工、注意对施工设备的维修、保养以使各种施工机械保持良好的运行状态等措</w:t>
      </w:r>
      <w:r>
        <w:rPr/>
        <w:t>施，可大大降低本项目噪声对周围的影响。</w:t>
      </w:r>
    </w:p>
    <w:p>
      <w:pPr>
        <w:pStyle w:val="BodyText"/>
        <w:spacing w:before="2"/>
        <w:ind w:left="761"/>
      </w:pPr>
      <w:r>
        <w:rPr/>
        <w:t>（四）固体废物影响分析</w:t>
      </w:r>
    </w:p>
    <w:p>
      <w:pPr>
        <w:pStyle w:val="BodyText"/>
        <w:spacing w:line="364" w:lineRule="auto" w:before="160"/>
        <w:ind w:left="281" w:right="198" w:firstLine="480"/>
      </w:pPr>
      <w:r>
        <w:rPr>
          <w:spacing w:val="-11"/>
        </w:rPr>
        <w:t>装修过程固体废弃物主要是生活垃圾、建筑垃圾。产生的废弃物如废材料、废纸张、</w:t>
      </w:r>
      <w:r>
        <w:rPr>
          <w:spacing w:val="-1"/>
        </w:rPr>
        <w:t>废包装材料、废塑料薄膜等应妥善保管，及时回收处理；对不可回收的建筑垃圾，应定点堆放，及时送指定的建筑垃圾堆放场；施工人员产生的生活垃圾依托医院生活垃圾收</w:t>
      </w:r>
      <w:r>
        <w:rPr/>
        <w:t>集设施收集后，交由环卫部门统一处理。</w:t>
      </w:r>
    </w:p>
    <w:p>
      <w:pPr>
        <w:pStyle w:val="BodyText"/>
        <w:spacing w:line="364" w:lineRule="auto" w:before="3"/>
        <w:ind w:left="281" w:right="316" w:firstLine="463"/>
      </w:pPr>
      <w:r>
        <w:rPr>
          <w:spacing w:val="-2"/>
        </w:rPr>
        <w:t>此外，在建设过程中严格按照施工规范进行施工，在 </w:t>
      </w:r>
      <w:r>
        <w:rPr>
          <w:rFonts w:ascii="Times New Roman" w:eastAsia="Times New Roman"/>
        </w:rPr>
        <w:t>DSA</w:t>
      </w:r>
      <w:r>
        <w:rPr>
          <w:rFonts w:ascii="Times New Roman" w:eastAsia="Times New Roman"/>
          <w:spacing w:val="16"/>
        </w:rPr>
        <w:t> </w:t>
      </w:r>
      <w:r>
        <w:rPr/>
        <w:t>配套工程新建墙体过程</w:t>
      </w:r>
      <w:r>
        <w:rPr>
          <w:spacing w:val="-3"/>
        </w:rPr>
        <w:t>中，墙与墙之间须紧密贴合，防止射线泄露；使用符合要求的水泥，铅门与墙体重叠部</w:t>
      </w:r>
    </w:p>
    <w:p>
      <w:pPr>
        <w:spacing w:after="0" w:line="364" w:lineRule="auto"/>
        <w:sectPr>
          <w:pgSz w:w="11910" w:h="16840"/>
          <w:pgMar w:header="0" w:footer="1383" w:top="1580" w:bottom="1660" w:left="1240" w:right="1040"/>
        </w:sectPr>
      </w:pPr>
    </w:p>
    <w:p>
      <w:pPr>
        <w:pStyle w:val="BodyText"/>
        <w:spacing w:line="364" w:lineRule="auto" w:before="92"/>
        <w:ind w:left="281" w:right="318"/>
        <w:jc w:val="both"/>
      </w:pPr>
      <w:r>
        <w:rPr/>
        <w:pict>
          <v:shape style="position:absolute;margin-left:70.410004pt;margin-top:72.000023pt;width:462.55pt;height:679.25pt;mso-position-horizontal-relative:page;mso-position-vertical-relative:page;z-index:-20142592" coordorigin="1408,1440" coordsize="9251,13585" path="m1408,1445l10659,1445m1408,15025l10659,15025m1413,1440l1413,15020m10654,1440l10654,15020e" filled="false" stroked="true" strokeweight=".48pt" strokecolor="#000000">
            <v:path arrowok="t"/>
            <v:stroke dashstyle="solid"/>
            <w10:wrap type="none"/>
          </v:shape>
        </w:pict>
      </w:r>
      <w:r>
        <w:rPr>
          <w:spacing w:val="-5"/>
        </w:rPr>
        <w:t>分不小于门与墙体缝隙宽度的 </w:t>
      </w:r>
      <w:r>
        <w:rPr>
          <w:rFonts w:ascii="Times New Roman" w:eastAsia="Times New Roman"/>
        </w:rPr>
        <w:t>10</w:t>
      </w:r>
      <w:r>
        <w:rPr>
          <w:rFonts w:ascii="Times New Roman" w:eastAsia="Times New Roman"/>
          <w:spacing w:val="3"/>
        </w:rPr>
        <w:t> </w:t>
      </w:r>
      <w:r>
        <w:rPr/>
        <w:t>倍；穿过机房墙体的各种管道、电缆不得影响屏蔽墙体的屏蔽防护效果，不得正对工作人员经常停留的地点。</w:t>
      </w:r>
    </w:p>
    <w:p>
      <w:pPr>
        <w:pStyle w:val="BodyText"/>
        <w:spacing w:line="364" w:lineRule="auto" w:before="1"/>
        <w:ind w:left="281" w:right="318" w:firstLine="480"/>
        <w:jc w:val="both"/>
      </w:pPr>
      <w:r>
        <w:rPr>
          <w:spacing w:val="-3"/>
        </w:rPr>
        <w:t>本项目装修施工期很短，施工量较小，在建设单位的严格监督下，施工方遵守文明施工、合理施工的原则，做到各项环保措施，可使其对环境的影响降至最小程度。施工</w:t>
      </w:r>
      <w:r>
        <w:rPr/>
        <w:t>结束后，项目施工期环境影响将随之消除。</w:t>
      </w:r>
    </w:p>
    <w:p>
      <w:pPr>
        <w:pStyle w:val="BodyText"/>
        <w:spacing w:before="2"/>
        <w:ind w:left="761"/>
      </w:pPr>
      <w:r>
        <w:rPr/>
        <w:t>二、设备安装调试期间的环境影响分析</w:t>
      </w:r>
    </w:p>
    <w:p>
      <w:pPr>
        <w:pStyle w:val="BodyText"/>
        <w:spacing w:line="364" w:lineRule="auto" w:before="160"/>
        <w:ind w:left="281" w:right="316" w:firstLine="463"/>
        <w:jc w:val="both"/>
      </w:pPr>
      <w:r>
        <w:rPr>
          <w:spacing w:val="-12"/>
        </w:rPr>
        <w:t>本项目 </w:t>
      </w:r>
      <w:r>
        <w:rPr>
          <w:rFonts w:ascii="Times New Roman" w:eastAsia="Times New Roman"/>
        </w:rPr>
        <w:t>DSA</w:t>
      </w:r>
      <w:r>
        <w:rPr>
          <w:rFonts w:ascii="Times New Roman" w:eastAsia="Times New Roman"/>
          <w:spacing w:val="15"/>
        </w:rPr>
        <w:t> </w:t>
      </w:r>
      <w:r>
        <w:rPr/>
        <w:t>的安装、调试应请设备厂家专业人员进行，医院方不得自行安装及调</w:t>
      </w:r>
      <w:r>
        <w:rPr>
          <w:spacing w:val="-2"/>
        </w:rPr>
        <w:t>试设备。在设备安装调试阶段，主要污染因素为 </w:t>
      </w:r>
      <w:r>
        <w:rPr>
          <w:rFonts w:ascii="Times New Roman" w:eastAsia="Times New Roman"/>
        </w:rPr>
        <w:t>X</w:t>
      </w:r>
      <w:r>
        <w:rPr>
          <w:rFonts w:ascii="Times New Roman" w:eastAsia="Times New Roman"/>
          <w:spacing w:val="30"/>
        </w:rPr>
        <w:t> </w:t>
      </w:r>
      <w:r>
        <w:rPr/>
        <w:t>射线和臭氧。建设单位应加强辐射</w:t>
      </w:r>
      <w:r>
        <w:rPr>
          <w:spacing w:val="-3"/>
        </w:rPr>
        <w:t>防护管理，在此过程中应保证各屏蔽体屏蔽到位，关闭防护门，在机房门外设立电离辐射警告标志，禁止无关人员靠近。人员离开时机房必须上锁并派人看守。设备安装调试阶段，不允许其他无关人员进入设备区域，防止辐射事故发生。由于设备的安装和调试</w:t>
      </w:r>
      <w:r>
        <w:rPr/>
        <w:t>均在机房内进行，经过墙体的屏蔽和距离衰减后对环境的影响较小。</w:t>
      </w:r>
    </w:p>
    <w:p>
      <w:pPr>
        <w:spacing w:after="0" w:line="364" w:lineRule="auto"/>
        <w:jc w:val="both"/>
        <w:sectPr>
          <w:pgSz w:w="11910" w:h="16840"/>
          <w:pgMar w:header="0" w:footer="1383" w:top="1420" w:bottom="1660" w:left="1240" w:right="1040"/>
        </w:sectPr>
      </w:pPr>
    </w:p>
    <w:p>
      <w:pPr>
        <w:pStyle w:val="Heading2"/>
        <w:spacing w:before="145"/>
      </w:pPr>
      <w:r>
        <w:rPr/>
        <w:pict>
          <v:shape style="position:absolute;margin-left:70.410004pt;margin-top:72.000023pt;width:462.55pt;height:686.5pt;mso-position-horizontal-relative:page;mso-position-vertical-relative:page;z-index:-20142080" coordorigin="1408,1440" coordsize="9251,13730" path="m1408,1445l10659,1445m1408,15170l10659,15170m1413,1440l1413,15165m10654,1440l10654,15165e" filled="false" stroked="true" strokeweight=".48pt" strokecolor="#000000">
            <v:path arrowok="t"/>
            <v:stroke dashstyle="solid"/>
            <w10:wrap type="none"/>
          </v:shape>
        </w:pict>
      </w:r>
      <w:r>
        <w:rPr>
          <w:spacing w:val="-1"/>
        </w:rPr>
        <w:t>运行阶段对环境的影响</w:t>
      </w:r>
    </w:p>
    <w:p>
      <w:pPr>
        <w:pStyle w:val="BodyText"/>
        <w:spacing w:before="9"/>
        <w:rPr>
          <w:sz w:val="20"/>
        </w:rPr>
      </w:pPr>
    </w:p>
    <w:p>
      <w:pPr>
        <w:pStyle w:val="Heading2"/>
      </w:pPr>
      <w:r>
        <w:rPr/>
        <w:t>一、辐射环境影响分析</w:t>
      </w:r>
    </w:p>
    <w:p>
      <w:pPr>
        <w:spacing w:before="212"/>
        <w:ind w:left="281" w:right="0" w:firstLine="0"/>
        <w:jc w:val="both"/>
        <w:rPr>
          <w:sz w:val="24"/>
        </w:rPr>
      </w:pPr>
      <w:r>
        <w:rPr>
          <w:sz w:val="24"/>
        </w:rPr>
        <w:t>（一）</w:t>
      </w:r>
      <w:r>
        <w:rPr>
          <w:rFonts w:ascii="Times New Roman" w:eastAsia="Times New Roman"/>
          <w:b/>
          <w:sz w:val="24"/>
        </w:rPr>
        <w:t>DSA</w:t>
      </w:r>
      <w:r>
        <w:rPr>
          <w:rFonts w:ascii="Times New Roman" w:eastAsia="Times New Roman"/>
          <w:b/>
          <w:spacing w:val="1"/>
          <w:sz w:val="24"/>
        </w:rPr>
        <w:t> </w:t>
      </w:r>
      <w:r>
        <w:rPr>
          <w:sz w:val="24"/>
        </w:rPr>
        <w:t>的辐射环境影响分析</w:t>
      </w:r>
    </w:p>
    <w:p>
      <w:pPr>
        <w:pStyle w:val="BodyText"/>
        <w:spacing w:line="364" w:lineRule="auto" w:before="160"/>
        <w:ind w:left="281" w:right="313" w:firstLine="480"/>
        <w:jc w:val="both"/>
      </w:pPr>
      <w:r>
        <w:rPr>
          <w:spacing w:val="-10"/>
        </w:rPr>
        <w:t>本项目涉及 </w:t>
      </w:r>
      <w:r>
        <w:rPr>
          <w:rFonts w:ascii="Times New Roman" w:eastAsia="Times New Roman"/>
        </w:rPr>
        <w:t>1</w:t>
      </w:r>
      <w:r>
        <w:rPr>
          <w:rFonts w:ascii="Times New Roman" w:eastAsia="Times New Roman"/>
          <w:spacing w:val="1"/>
        </w:rPr>
        <w:t> </w:t>
      </w:r>
      <w:r>
        <w:rPr>
          <w:spacing w:val="-29"/>
        </w:rPr>
        <w:t>台 </w:t>
      </w:r>
      <w:r>
        <w:rPr>
          <w:rFonts w:ascii="Times New Roman" w:eastAsia="Times New Roman"/>
        </w:rPr>
        <w:t>DSA</w:t>
      </w:r>
      <w:r>
        <w:rPr/>
        <w:t>，</w:t>
      </w:r>
      <w:r>
        <w:rPr>
          <w:rFonts w:ascii="Times New Roman" w:eastAsia="Times New Roman"/>
        </w:rPr>
        <w:t>DSA</w:t>
      </w:r>
      <w:r>
        <w:rPr>
          <w:rFonts w:ascii="Times New Roman" w:eastAsia="Times New Roman"/>
          <w:spacing w:val="2"/>
        </w:rPr>
        <w:t> </w:t>
      </w:r>
      <w:r>
        <w:rPr>
          <w:spacing w:val="-7"/>
        </w:rPr>
        <w:t>的年工作量最大为 </w:t>
      </w:r>
      <w:r>
        <w:rPr>
          <w:rFonts w:ascii="Times New Roman" w:eastAsia="Times New Roman"/>
        </w:rPr>
        <w:t>1300</w:t>
      </w:r>
      <w:r>
        <w:rPr>
          <w:rFonts w:ascii="Times New Roman" w:eastAsia="Times New Roman"/>
          <w:spacing w:val="3"/>
        </w:rPr>
        <w:t> </w:t>
      </w:r>
      <w:r>
        <w:rPr/>
        <w:t>人次</w:t>
      </w:r>
      <w:r>
        <w:rPr>
          <w:rFonts w:ascii="Times New Roman" w:eastAsia="Times New Roman"/>
        </w:rPr>
        <w:t>/</w:t>
      </w:r>
      <w:r>
        <w:rPr/>
        <w:t>年，</w:t>
      </w:r>
      <w:r>
        <w:rPr>
          <w:rFonts w:ascii="Times New Roman" w:eastAsia="Times New Roman"/>
        </w:rPr>
        <w:t>DSA </w:t>
      </w:r>
      <w:r>
        <w:rPr/>
        <w:t>主要用于透视和拍片。</w:t>
      </w:r>
    </w:p>
    <w:p>
      <w:pPr>
        <w:pStyle w:val="BodyText"/>
        <w:spacing w:line="364" w:lineRule="auto" w:before="1"/>
        <w:ind w:left="281" w:right="313" w:firstLine="480"/>
        <w:jc w:val="both"/>
      </w:pPr>
      <w:r>
        <w:rPr>
          <w:spacing w:val="-4"/>
        </w:rPr>
        <w:t>根据原环境保护部和国家卫生计生委联合发布公告 </w:t>
      </w:r>
      <w:r>
        <w:rPr>
          <w:rFonts w:ascii="Times New Roman" w:hAnsi="Times New Roman" w:eastAsia="Times New Roman"/>
        </w:rPr>
        <w:t>2017 </w:t>
      </w:r>
      <w:r>
        <w:rPr>
          <w:spacing w:val="-20"/>
        </w:rPr>
        <w:t>年第 </w:t>
      </w:r>
      <w:r>
        <w:rPr>
          <w:rFonts w:ascii="Times New Roman" w:hAnsi="Times New Roman" w:eastAsia="Times New Roman"/>
        </w:rPr>
        <w:t>66 </w:t>
      </w:r>
      <w:r>
        <w:rPr>
          <w:spacing w:val="-14"/>
        </w:rPr>
        <w:t>号《射线装置分类</w:t>
      </w:r>
      <w:r>
        <w:rPr>
          <w:spacing w:val="-2"/>
        </w:rPr>
        <w:t>办法》，</w:t>
      </w:r>
      <w:r>
        <w:rPr>
          <w:rFonts w:ascii="Times New Roman" w:hAnsi="Times New Roman" w:eastAsia="Times New Roman"/>
          <w:spacing w:val="-2"/>
        </w:rPr>
        <w:t>DSA</w:t>
      </w:r>
      <w:r>
        <w:rPr>
          <w:rFonts w:ascii="Times New Roman" w:hAnsi="Times New Roman" w:eastAsia="Times New Roman"/>
          <w:spacing w:val="-13"/>
        </w:rPr>
        <w:t> </w:t>
      </w:r>
      <w:r>
        <w:rPr>
          <w:spacing w:val="-2"/>
        </w:rPr>
        <w:t>属于</w:t>
      </w:r>
      <w:r>
        <w:rPr>
          <w:rFonts w:ascii="Times New Roman" w:hAnsi="Times New Roman" w:eastAsia="Times New Roman"/>
          <w:spacing w:val="-2"/>
        </w:rPr>
        <w:t>Ⅱ</w:t>
      </w:r>
      <w:r>
        <w:rPr>
          <w:spacing w:val="-2"/>
        </w:rPr>
        <w:t>类射线装置，工作时不产生放射性废气、废水和固体废物。本机为</w:t>
      </w:r>
      <w:r>
        <w:rPr>
          <w:spacing w:val="-6"/>
        </w:rPr>
        <w:t>数字成像设备，额定管电压 </w:t>
      </w:r>
      <w:r>
        <w:rPr>
          <w:rFonts w:ascii="Times New Roman" w:hAnsi="Times New Roman" w:eastAsia="Times New Roman"/>
          <w:spacing w:val="-1"/>
        </w:rPr>
        <w:t>150kV</w:t>
      </w:r>
      <w:r>
        <w:rPr>
          <w:spacing w:val="-10"/>
        </w:rPr>
        <w:t>，额定管电流 </w:t>
      </w:r>
      <w:r>
        <w:rPr>
          <w:rFonts w:ascii="Times New Roman" w:hAnsi="Times New Roman" w:eastAsia="Times New Roman"/>
          <w:spacing w:val="-1"/>
        </w:rPr>
        <w:t>1000mA</w:t>
      </w:r>
      <w:r>
        <w:rPr>
          <w:spacing w:val="-1"/>
        </w:rPr>
        <w:t>，主射方向由下往上。不使用</w:t>
      </w:r>
      <w:r>
        <w:rPr>
          <w:spacing w:val="-3"/>
        </w:rPr>
        <w:t>显、定影液，其主要危害因素为射线装置工作时产生的 </w:t>
      </w:r>
      <w:r>
        <w:rPr>
          <w:rFonts w:ascii="Times New Roman" w:hAnsi="Times New Roman" w:eastAsia="Times New Roman"/>
        </w:rPr>
        <w:t>X</w:t>
      </w:r>
      <w:r>
        <w:rPr>
          <w:rFonts w:ascii="Times New Roman" w:hAnsi="Times New Roman" w:eastAsia="Times New Roman"/>
          <w:spacing w:val="-1"/>
        </w:rPr>
        <w:t> </w:t>
      </w:r>
      <w:r>
        <w:rPr/>
        <w:t>射线。</w:t>
      </w:r>
    </w:p>
    <w:p>
      <w:pPr>
        <w:pStyle w:val="BodyText"/>
        <w:spacing w:before="3"/>
        <w:ind w:left="761"/>
        <w:jc w:val="both"/>
      </w:pPr>
      <w:r>
        <w:rPr>
          <w:rFonts w:ascii="Times New Roman" w:eastAsia="Times New Roman"/>
        </w:rPr>
        <w:t>DSA</w:t>
      </w:r>
      <w:r>
        <w:rPr>
          <w:rFonts w:ascii="Times New Roman" w:eastAsia="Times New Roman"/>
          <w:spacing w:val="-2"/>
        </w:rPr>
        <w:t> </w:t>
      </w:r>
      <w:r>
        <w:rPr/>
        <w:t>在进行曝光时分为两种情况：</w:t>
      </w:r>
    </w:p>
    <w:p>
      <w:pPr>
        <w:pStyle w:val="BodyText"/>
        <w:spacing w:line="364" w:lineRule="auto" w:before="160"/>
        <w:ind w:left="281" w:right="317" w:firstLine="480"/>
        <w:jc w:val="both"/>
      </w:pPr>
      <w:r>
        <w:rPr>
          <w:spacing w:val="-3"/>
        </w:rPr>
        <w:t>①造影拍片过程：操作人员采取隔室操作的方式，医生通过操作间铅玻璃观察窗机房内病人情况，并通过对讲系统与病人交流。在拍片过程中，医生位于操作间内，经机</w:t>
      </w:r>
      <w:r>
        <w:rPr/>
        <w:t>房各屏蔽体屏蔽后，对机房外（包括机房楼上）的公众和工作人员影响较小。</w:t>
      </w:r>
    </w:p>
    <w:p>
      <w:pPr>
        <w:pStyle w:val="BodyText"/>
        <w:spacing w:before="2"/>
        <w:ind w:left="761"/>
      </w:pPr>
      <w:r>
        <w:rPr/>
        <w:t>②脉冲透视过程</w:t>
      </w:r>
    </w:p>
    <w:p>
      <w:pPr>
        <w:pStyle w:val="BodyText"/>
        <w:spacing w:line="364" w:lineRule="auto" w:before="161"/>
        <w:ind w:left="281" w:right="317" w:firstLine="480"/>
        <w:jc w:val="both"/>
      </w:pPr>
      <w:r>
        <w:rPr>
          <w:spacing w:val="-4"/>
        </w:rPr>
        <w:t>为更清楚的了解病人情况，医生需进入 </w:t>
      </w:r>
      <w:r>
        <w:rPr>
          <w:rFonts w:ascii="Times New Roman" w:eastAsia="Times New Roman"/>
        </w:rPr>
        <w:t>DSA</w:t>
      </w:r>
      <w:r>
        <w:rPr>
          <w:rFonts w:ascii="Times New Roman" w:eastAsia="Times New Roman"/>
          <w:spacing w:val="4"/>
        </w:rPr>
        <w:t> </w:t>
      </w:r>
      <w:r>
        <w:rPr/>
        <w:t>机房进行手术治疗时会有连续曝光，</w:t>
      </w:r>
      <w:r>
        <w:rPr>
          <w:spacing w:val="-117"/>
        </w:rPr>
        <w:t> </w:t>
      </w:r>
      <w:r>
        <w:rPr>
          <w:spacing w:val="-8"/>
        </w:rPr>
        <w:t>并采用连续脉冲透视，该手术操作过程共需 </w:t>
      </w:r>
      <w:r>
        <w:rPr>
          <w:rFonts w:ascii="Times New Roman" w:eastAsia="Times New Roman"/>
        </w:rPr>
        <w:t>1 </w:t>
      </w:r>
      <w:r>
        <w:rPr>
          <w:spacing w:val="-15"/>
        </w:rPr>
        <w:t>名医生 </w:t>
      </w:r>
      <w:r>
        <w:rPr>
          <w:rFonts w:ascii="Times New Roman" w:eastAsia="Times New Roman"/>
        </w:rPr>
        <w:t>1 </w:t>
      </w:r>
      <w:r>
        <w:rPr>
          <w:spacing w:val="-8"/>
        </w:rPr>
        <w:t>名护士，此时第一手术操作位医</w:t>
      </w:r>
      <w:r>
        <w:rPr>
          <w:spacing w:val="-3"/>
        </w:rPr>
        <w:t>生位于铅屏风后身着铅服、戴铅眼镜等在曝光室内对病人进行直接的手术操作，距离主</w:t>
      </w:r>
      <w:r>
        <w:rPr>
          <w:spacing w:val="-2"/>
        </w:rPr>
        <w:t>射线束距离为 </w:t>
      </w:r>
      <w:r>
        <w:rPr>
          <w:rFonts w:ascii="Times New Roman" w:eastAsia="Times New Roman"/>
        </w:rPr>
        <w:t>0.5m</w:t>
      </w:r>
      <w:r>
        <w:rPr/>
        <w:t>；第二手术位的护士位于铅屏风后身着铅服、戴铅眼镜，距离主射</w:t>
      </w:r>
      <w:r>
        <w:rPr>
          <w:spacing w:val="-16"/>
        </w:rPr>
        <w:t>线束为 </w:t>
      </w:r>
      <w:r>
        <w:rPr>
          <w:rFonts w:ascii="Times New Roman" w:eastAsia="Times New Roman"/>
        </w:rPr>
        <w:t>1m</w:t>
      </w:r>
      <w:r>
        <w:rPr/>
        <w:t>。</w:t>
      </w:r>
    </w:p>
    <w:p>
      <w:pPr>
        <w:pStyle w:val="BodyText"/>
        <w:spacing w:line="364" w:lineRule="auto" w:before="3"/>
        <w:ind w:left="281" w:right="318" w:firstLine="480"/>
        <w:jc w:val="both"/>
      </w:pPr>
      <w:r>
        <w:rPr>
          <w:spacing w:val="-4"/>
        </w:rPr>
        <w:t>本环评采用预测方法分析本项目 </w:t>
      </w:r>
      <w:r>
        <w:rPr>
          <w:rFonts w:ascii="Times New Roman" w:eastAsia="Times New Roman"/>
        </w:rPr>
        <w:t>DSA</w:t>
      </w:r>
      <w:r>
        <w:rPr>
          <w:rFonts w:ascii="Times New Roman" w:eastAsia="Times New Roman"/>
          <w:spacing w:val="3"/>
        </w:rPr>
        <w:t> </w:t>
      </w:r>
      <w:r>
        <w:rPr/>
        <w:t>系统在正常运行期间对辐射工作人员及公众的辐射影响。</w:t>
      </w:r>
    </w:p>
    <w:p>
      <w:pPr>
        <w:pStyle w:val="BodyText"/>
        <w:spacing w:line="232" w:lineRule="exact"/>
        <w:ind w:left="281"/>
      </w:pPr>
      <w:r>
        <w:rPr>
          <w:rFonts w:ascii="Times New Roman" w:eastAsia="Times New Roman"/>
        </w:rPr>
        <w:t>1</w:t>
      </w:r>
      <w:r>
        <w:rPr/>
        <w:t>、本项目关注点的辐射环境影响分析</w:t>
      </w:r>
    </w:p>
    <w:p>
      <w:pPr>
        <w:pStyle w:val="BodyText"/>
        <w:spacing w:before="81"/>
        <w:ind w:left="761"/>
      </w:pPr>
      <w:r>
        <w:rPr/>
        <w:t>拍片时，见下表：</w:t>
      </w:r>
    </w:p>
    <w:p>
      <w:pPr>
        <w:spacing w:before="102" w:after="22"/>
        <w:ind w:left="0" w:right="27" w:firstLine="0"/>
        <w:jc w:val="center"/>
        <w:rPr>
          <w:sz w:val="21"/>
        </w:rPr>
      </w:pPr>
      <w:r>
        <w:rPr>
          <w:spacing w:val="-10"/>
          <w:w w:val="95"/>
          <w:sz w:val="21"/>
        </w:rPr>
        <w:t>表 </w:t>
      </w:r>
      <w:r>
        <w:rPr>
          <w:rFonts w:ascii="Times New Roman" w:eastAsia="Times New Roman"/>
          <w:b/>
          <w:w w:val="95"/>
          <w:sz w:val="21"/>
        </w:rPr>
        <w:t>11-1</w:t>
      </w:r>
      <w:r>
        <w:rPr>
          <w:rFonts w:ascii="Times New Roman" w:eastAsia="Times New Roman"/>
          <w:b/>
          <w:spacing w:val="102"/>
          <w:sz w:val="21"/>
        </w:rPr>
        <w:t> </w:t>
      </w:r>
      <w:r>
        <w:rPr>
          <w:spacing w:val="-5"/>
          <w:w w:val="95"/>
          <w:sz w:val="21"/>
        </w:rPr>
        <w:t>本项目 </w:t>
      </w:r>
      <w:r>
        <w:rPr>
          <w:rFonts w:ascii="Times New Roman" w:eastAsia="Times New Roman"/>
          <w:b/>
          <w:w w:val="95"/>
          <w:sz w:val="21"/>
        </w:rPr>
        <w:t>DSA</w:t>
      </w:r>
      <w:r>
        <w:rPr>
          <w:rFonts w:ascii="Times New Roman" w:eastAsia="Times New Roman"/>
          <w:b/>
          <w:spacing w:val="32"/>
          <w:w w:val="95"/>
          <w:sz w:val="21"/>
        </w:rPr>
        <w:t> </w:t>
      </w:r>
      <w:r>
        <w:rPr>
          <w:w w:val="95"/>
          <w:sz w:val="21"/>
        </w:rPr>
        <w:t>常用工况及源强取值</w:t>
      </w:r>
    </w:p>
    <w:tbl>
      <w:tblPr>
        <w:tblW w:w="0" w:type="auto"/>
        <w:jc w:val="left"/>
        <w:tblInd w:w="3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85"/>
        <w:gridCol w:w="1755"/>
        <w:gridCol w:w="1680"/>
        <w:gridCol w:w="2160"/>
        <w:gridCol w:w="1944"/>
      </w:tblGrid>
      <w:tr>
        <w:trPr>
          <w:trHeight w:val="467" w:hRule="atLeast"/>
        </w:trPr>
        <w:tc>
          <w:tcPr>
            <w:tcW w:w="1285" w:type="dxa"/>
            <w:tcBorders>
              <w:left w:val="single" w:sz="4" w:space="0" w:color="000000"/>
              <w:right w:val="single" w:sz="4" w:space="0" w:color="000000"/>
            </w:tcBorders>
          </w:tcPr>
          <w:p>
            <w:pPr>
              <w:pStyle w:val="TableParagraph"/>
              <w:spacing w:before="99"/>
              <w:ind w:left="233" w:right="203"/>
              <w:rPr>
                <w:sz w:val="21"/>
              </w:rPr>
            </w:pPr>
            <w:r>
              <w:rPr>
                <w:w w:val="95"/>
                <w:sz w:val="21"/>
              </w:rPr>
              <w:t>工作模式</w:t>
            </w:r>
          </w:p>
        </w:tc>
        <w:tc>
          <w:tcPr>
            <w:tcW w:w="1755" w:type="dxa"/>
            <w:tcBorders>
              <w:left w:val="single" w:sz="4" w:space="0" w:color="000000"/>
              <w:right w:val="single" w:sz="4" w:space="0" w:color="000000"/>
            </w:tcBorders>
          </w:tcPr>
          <w:p>
            <w:pPr>
              <w:pStyle w:val="TableParagraph"/>
              <w:spacing w:before="99"/>
              <w:ind w:left="366" w:right="340"/>
              <w:rPr>
                <w:sz w:val="21"/>
              </w:rPr>
            </w:pPr>
            <w:r>
              <w:rPr>
                <w:w w:val="95"/>
                <w:sz w:val="21"/>
              </w:rPr>
              <w:t>常用管电压</w:t>
            </w:r>
          </w:p>
        </w:tc>
        <w:tc>
          <w:tcPr>
            <w:tcW w:w="1680" w:type="dxa"/>
            <w:tcBorders>
              <w:left w:val="single" w:sz="4" w:space="0" w:color="000000"/>
              <w:right w:val="single" w:sz="4" w:space="0" w:color="000000"/>
            </w:tcBorders>
          </w:tcPr>
          <w:p>
            <w:pPr>
              <w:pStyle w:val="TableParagraph"/>
              <w:spacing w:before="99"/>
              <w:ind w:left="330" w:right="302"/>
              <w:rPr>
                <w:sz w:val="21"/>
              </w:rPr>
            </w:pPr>
            <w:r>
              <w:rPr>
                <w:w w:val="95"/>
                <w:sz w:val="21"/>
              </w:rPr>
              <w:t>常用管电流</w:t>
            </w:r>
          </w:p>
        </w:tc>
        <w:tc>
          <w:tcPr>
            <w:tcW w:w="2160" w:type="dxa"/>
            <w:tcBorders>
              <w:left w:val="single" w:sz="4" w:space="0" w:color="000000"/>
              <w:right w:val="single" w:sz="4" w:space="0" w:color="000000"/>
            </w:tcBorders>
          </w:tcPr>
          <w:p>
            <w:pPr>
              <w:pStyle w:val="TableParagraph"/>
              <w:spacing w:before="110"/>
              <w:ind w:left="827" w:right="800"/>
              <w:rPr>
                <w:rFonts w:ascii="Times New Roman"/>
                <w:b/>
                <w:i/>
                <w:sz w:val="13"/>
              </w:rPr>
            </w:pPr>
            <w:r>
              <w:rPr>
                <w:rFonts w:ascii="Times New Roman"/>
                <w:b/>
                <w:i/>
                <w:w w:val="105"/>
                <w:position w:val="2"/>
                <w:sz w:val="21"/>
              </w:rPr>
              <w:t>v</w:t>
            </w:r>
            <w:r>
              <w:rPr>
                <w:rFonts w:ascii="Times New Roman"/>
                <w:b/>
                <w:i/>
                <w:w w:val="105"/>
                <w:sz w:val="13"/>
              </w:rPr>
              <w:t>r0</w:t>
            </w:r>
          </w:p>
        </w:tc>
        <w:tc>
          <w:tcPr>
            <w:tcW w:w="1944" w:type="dxa"/>
            <w:tcBorders>
              <w:left w:val="single" w:sz="4" w:space="0" w:color="000000"/>
              <w:right w:val="nil"/>
            </w:tcBorders>
          </w:tcPr>
          <w:p>
            <w:pPr>
              <w:pStyle w:val="TableParagraph"/>
              <w:spacing w:before="110"/>
              <w:ind w:left="721" w:right="697"/>
              <w:rPr>
                <w:rFonts w:ascii="Times New Roman"/>
                <w:b/>
                <w:i/>
                <w:sz w:val="13"/>
              </w:rPr>
            </w:pPr>
            <w:r>
              <w:rPr>
                <w:rFonts w:ascii="Times New Roman"/>
                <w:b/>
                <w:i/>
                <w:position w:val="2"/>
                <w:sz w:val="21"/>
              </w:rPr>
              <w:t>H</w:t>
            </w:r>
            <w:r>
              <w:rPr>
                <w:rFonts w:ascii="Times New Roman"/>
                <w:b/>
                <w:i/>
                <w:sz w:val="13"/>
              </w:rPr>
              <w:t>0</w:t>
            </w:r>
          </w:p>
        </w:tc>
      </w:tr>
      <w:tr>
        <w:trPr>
          <w:trHeight w:val="624" w:hRule="atLeast"/>
        </w:trPr>
        <w:tc>
          <w:tcPr>
            <w:tcW w:w="1285" w:type="dxa"/>
            <w:tcBorders>
              <w:left w:val="nil"/>
              <w:bottom w:val="single" w:sz="4" w:space="0" w:color="000000"/>
              <w:right w:val="single" w:sz="4" w:space="0" w:color="000000"/>
            </w:tcBorders>
          </w:tcPr>
          <w:p>
            <w:pPr>
              <w:pStyle w:val="TableParagraph"/>
              <w:spacing w:before="177"/>
              <w:ind w:left="98" w:right="70"/>
              <w:rPr>
                <w:sz w:val="21"/>
              </w:rPr>
            </w:pPr>
            <w:r>
              <w:rPr>
                <w:sz w:val="21"/>
              </w:rPr>
              <w:t>透视</w:t>
            </w:r>
          </w:p>
        </w:tc>
        <w:tc>
          <w:tcPr>
            <w:tcW w:w="1755" w:type="dxa"/>
            <w:tcBorders>
              <w:left w:val="single" w:sz="4" w:space="0" w:color="000000"/>
              <w:bottom w:val="single" w:sz="4" w:space="0" w:color="000000"/>
              <w:right w:val="single" w:sz="4" w:space="0" w:color="000000"/>
            </w:tcBorders>
          </w:tcPr>
          <w:p>
            <w:pPr>
              <w:pStyle w:val="TableParagraph"/>
              <w:spacing w:before="129"/>
              <w:ind w:left="366" w:right="339"/>
              <w:rPr>
                <w:rFonts w:ascii="Times New Roman"/>
                <w:b/>
                <w:sz w:val="32"/>
              </w:rPr>
            </w:pPr>
            <w:r>
              <w:rPr>
                <w:rFonts w:ascii="Times New Roman"/>
                <w:b/>
                <w:sz w:val="32"/>
              </w:rPr>
              <w:t>***</w:t>
            </w:r>
          </w:p>
        </w:tc>
        <w:tc>
          <w:tcPr>
            <w:tcW w:w="1680" w:type="dxa"/>
            <w:tcBorders>
              <w:left w:val="single" w:sz="4" w:space="0" w:color="000000"/>
              <w:bottom w:val="single" w:sz="4" w:space="0" w:color="000000"/>
              <w:right w:val="single" w:sz="4" w:space="0" w:color="000000"/>
            </w:tcBorders>
          </w:tcPr>
          <w:p>
            <w:pPr>
              <w:pStyle w:val="TableParagraph"/>
              <w:spacing w:before="129"/>
              <w:ind w:left="330" w:right="301"/>
              <w:rPr>
                <w:rFonts w:ascii="Times New Roman"/>
                <w:b/>
                <w:sz w:val="32"/>
              </w:rPr>
            </w:pPr>
            <w:r>
              <w:rPr>
                <w:rFonts w:ascii="Times New Roman"/>
                <w:b/>
                <w:sz w:val="32"/>
              </w:rPr>
              <w:t>***</w:t>
            </w:r>
          </w:p>
        </w:tc>
        <w:tc>
          <w:tcPr>
            <w:tcW w:w="2160" w:type="dxa"/>
            <w:tcBorders>
              <w:left w:val="single" w:sz="4" w:space="0" w:color="000000"/>
              <w:bottom w:val="single" w:sz="4" w:space="0" w:color="000000"/>
              <w:right w:val="single" w:sz="4" w:space="0" w:color="000000"/>
            </w:tcBorders>
          </w:tcPr>
          <w:p>
            <w:pPr>
              <w:pStyle w:val="TableParagraph"/>
              <w:spacing w:before="129"/>
              <w:ind w:left="829" w:right="800"/>
              <w:rPr>
                <w:rFonts w:ascii="Times New Roman"/>
                <w:b/>
                <w:sz w:val="32"/>
              </w:rPr>
            </w:pPr>
            <w:r>
              <w:rPr>
                <w:rFonts w:ascii="Times New Roman"/>
                <w:b/>
                <w:sz w:val="32"/>
              </w:rPr>
              <w:t>***</w:t>
            </w:r>
          </w:p>
        </w:tc>
        <w:tc>
          <w:tcPr>
            <w:tcW w:w="1944" w:type="dxa"/>
            <w:tcBorders>
              <w:left w:val="single" w:sz="4" w:space="0" w:color="000000"/>
              <w:bottom w:val="single" w:sz="4" w:space="0" w:color="000000"/>
              <w:right w:val="nil"/>
            </w:tcBorders>
          </w:tcPr>
          <w:p>
            <w:pPr>
              <w:pStyle w:val="TableParagraph"/>
              <w:spacing w:before="129"/>
              <w:ind w:left="721" w:right="697"/>
              <w:rPr>
                <w:rFonts w:ascii="Times New Roman"/>
                <w:b/>
                <w:sz w:val="32"/>
              </w:rPr>
            </w:pPr>
            <w:r>
              <w:rPr>
                <w:rFonts w:ascii="Times New Roman"/>
                <w:b/>
                <w:sz w:val="32"/>
              </w:rPr>
              <w:t>***</w:t>
            </w:r>
          </w:p>
        </w:tc>
      </w:tr>
      <w:tr>
        <w:trPr>
          <w:trHeight w:val="623" w:hRule="atLeast"/>
        </w:trPr>
        <w:tc>
          <w:tcPr>
            <w:tcW w:w="1285" w:type="dxa"/>
            <w:tcBorders>
              <w:top w:val="single" w:sz="4" w:space="0" w:color="000000"/>
              <w:left w:val="nil"/>
              <w:right w:val="single" w:sz="4" w:space="0" w:color="000000"/>
            </w:tcBorders>
          </w:tcPr>
          <w:p>
            <w:pPr>
              <w:pStyle w:val="TableParagraph"/>
              <w:spacing w:before="177"/>
              <w:ind w:left="98" w:right="70"/>
              <w:rPr>
                <w:sz w:val="21"/>
              </w:rPr>
            </w:pPr>
            <w:r>
              <w:rPr>
                <w:sz w:val="21"/>
              </w:rPr>
              <w:t>拍片</w:t>
            </w:r>
          </w:p>
        </w:tc>
        <w:tc>
          <w:tcPr>
            <w:tcW w:w="1755" w:type="dxa"/>
            <w:tcBorders>
              <w:top w:val="single" w:sz="4" w:space="0" w:color="000000"/>
              <w:left w:val="single" w:sz="4" w:space="0" w:color="000000"/>
              <w:right w:val="single" w:sz="4" w:space="0" w:color="000000"/>
            </w:tcBorders>
          </w:tcPr>
          <w:p>
            <w:pPr>
              <w:pStyle w:val="TableParagraph"/>
              <w:spacing w:before="129"/>
              <w:ind w:left="366" w:right="339"/>
              <w:rPr>
                <w:rFonts w:ascii="Times New Roman"/>
                <w:b/>
                <w:sz w:val="32"/>
              </w:rPr>
            </w:pPr>
            <w:r>
              <w:rPr>
                <w:rFonts w:ascii="Times New Roman"/>
                <w:b/>
                <w:sz w:val="32"/>
              </w:rPr>
              <w:t>***</w:t>
            </w:r>
          </w:p>
        </w:tc>
        <w:tc>
          <w:tcPr>
            <w:tcW w:w="1680" w:type="dxa"/>
            <w:tcBorders>
              <w:top w:val="single" w:sz="4" w:space="0" w:color="000000"/>
              <w:left w:val="single" w:sz="4" w:space="0" w:color="000000"/>
              <w:right w:val="single" w:sz="4" w:space="0" w:color="000000"/>
            </w:tcBorders>
          </w:tcPr>
          <w:p>
            <w:pPr>
              <w:pStyle w:val="TableParagraph"/>
              <w:spacing w:before="129"/>
              <w:ind w:left="330" w:right="301"/>
              <w:rPr>
                <w:rFonts w:ascii="Times New Roman"/>
                <w:b/>
                <w:sz w:val="32"/>
              </w:rPr>
            </w:pPr>
            <w:r>
              <w:rPr>
                <w:rFonts w:ascii="Times New Roman"/>
                <w:b/>
                <w:sz w:val="32"/>
              </w:rPr>
              <w:t>***</w:t>
            </w:r>
          </w:p>
        </w:tc>
        <w:tc>
          <w:tcPr>
            <w:tcW w:w="2160" w:type="dxa"/>
            <w:tcBorders>
              <w:top w:val="single" w:sz="4" w:space="0" w:color="000000"/>
              <w:left w:val="single" w:sz="4" w:space="0" w:color="000000"/>
              <w:right w:val="single" w:sz="4" w:space="0" w:color="000000"/>
            </w:tcBorders>
          </w:tcPr>
          <w:p>
            <w:pPr>
              <w:pStyle w:val="TableParagraph"/>
              <w:spacing w:before="129"/>
              <w:ind w:left="829" w:right="800"/>
              <w:rPr>
                <w:rFonts w:ascii="Times New Roman"/>
                <w:b/>
                <w:sz w:val="32"/>
              </w:rPr>
            </w:pPr>
            <w:r>
              <w:rPr>
                <w:rFonts w:ascii="Times New Roman"/>
                <w:b/>
                <w:sz w:val="32"/>
              </w:rPr>
              <w:t>***</w:t>
            </w:r>
          </w:p>
        </w:tc>
        <w:tc>
          <w:tcPr>
            <w:tcW w:w="1944" w:type="dxa"/>
            <w:tcBorders>
              <w:top w:val="single" w:sz="4" w:space="0" w:color="000000"/>
              <w:left w:val="single" w:sz="4" w:space="0" w:color="000000"/>
              <w:right w:val="nil"/>
            </w:tcBorders>
          </w:tcPr>
          <w:p>
            <w:pPr>
              <w:pStyle w:val="TableParagraph"/>
              <w:spacing w:before="129"/>
              <w:ind w:left="721" w:right="697"/>
              <w:rPr>
                <w:rFonts w:ascii="Times New Roman"/>
                <w:b/>
                <w:sz w:val="32"/>
              </w:rPr>
            </w:pPr>
            <w:r>
              <w:rPr>
                <w:rFonts w:ascii="Times New Roman"/>
                <w:b/>
                <w:sz w:val="32"/>
              </w:rPr>
              <w:t>***</w:t>
            </w:r>
          </w:p>
        </w:tc>
      </w:tr>
    </w:tbl>
    <w:p>
      <w:pPr>
        <w:pStyle w:val="BodyText"/>
        <w:spacing w:before="81"/>
        <w:ind w:left="761"/>
      </w:pPr>
      <w:r>
        <w:rPr>
          <w:spacing w:val="-14"/>
        </w:rPr>
        <w:t>本项目 </w:t>
      </w:r>
      <w:r>
        <w:rPr>
          <w:rFonts w:ascii="Times New Roman" w:eastAsia="Times New Roman"/>
        </w:rPr>
        <w:t>DSA</w:t>
      </w:r>
      <w:r>
        <w:rPr>
          <w:rFonts w:ascii="Times New Roman" w:eastAsia="Times New Roman"/>
          <w:spacing w:val="5"/>
        </w:rPr>
        <w:t> </w:t>
      </w:r>
      <w:r>
        <w:rPr/>
        <w:t>投用后，手术过程中机房四周、机房下方的保护目标，均受到漏射线</w:t>
      </w:r>
    </w:p>
    <w:p>
      <w:pPr>
        <w:spacing w:after="0"/>
        <w:sectPr>
          <w:pgSz w:w="11910" w:h="16840"/>
          <w:pgMar w:header="0" w:footer="1383" w:top="1420" w:bottom="1660" w:left="1240" w:right="1040"/>
        </w:sectPr>
      </w:pPr>
    </w:p>
    <w:p>
      <w:pPr>
        <w:pStyle w:val="BodyText"/>
        <w:spacing w:line="364" w:lineRule="auto" w:before="92"/>
        <w:ind w:left="281" w:right="316"/>
        <w:jc w:val="both"/>
      </w:pPr>
      <w:r>
        <w:rPr>
          <w:spacing w:val="-3"/>
        </w:rPr>
        <w:t>和散射射线的影响，机房上方受到主射辐射的影响。机房内的辐射工作人员受到散射和</w:t>
      </w:r>
      <w:r>
        <w:rPr>
          <w:spacing w:val="-2"/>
        </w:rPr>
        <w:t>漏射的影响。根据电离辐射水平随着距离的增加而衰减的规律，距离 </w:t>
      </w:r>
      <w:r>
        <w:rPr>
          <w:rFonts w:ascii="Times New Roman" w:eastAsia="Times New Roman"/>
        </w:rPr>
        <w:t>DSA</w:t>
      </w:r>
      <w:r>
        <w:rPr>
          <w:rFonts w:ascii="Times New Roman" w:eastAsia="Times New Roman"/>
          <w:spacing w:val="3"/>
        </w:rPr>
        <w:t> </w:t>
      </w:r>
      <w:r>
        <w:rPr/>
        <w:t>机房最近关注点可以代表最大可能辐射有效剂量。</w:t>
      </w:r>
    </w:p>
    <w:p>
      <w:pPr>
        <w:pStyle w:val="ListParagraph"/>
        <w:numPr>
          <w:ilvl w:val="0"/>
          <w:numId w:val="11"/>
        </w:numPr>
        <w:tabs>
          <w:tab w:pos="643" w:val="left" w:leader="none"/>
        </w:tabs>
        <w:spacing w:line="240" w:lineRule="auto" w:before="1" w:after="0"/>
        <w:ind w:left="642" w:right="0" w:hanging="362"/>
        <w:jc w:val="left"/>
        <w:rPr>
          <w:sz w:val="24"/>
        </w:rPr>
      </w:pPr>
      <w:r>
        <w:rPr>
          <w:sz w:val="24"/>
        </w:rPr>
        <w:t>主射线束方向保护目标的影响</w:t>
      </w:r>
    </w:p>
    <w:p>
      <w:pPr>
        <w:pStyle w:val="BodyText"/>
        <w:spacing w:before="161"/>
        <w:ind w:left="761"/>
      </w:pPr>
      <w:r>
        <w:rPr>
          <w:sz w:val="21"/>
        </w:rPr>
        <w:t>①</w:t>
      </w:r>
      <w:r>
        <w:rPr/>
        <w:t>计算模式</w:t>
      </w:r>
    </w:p>
    <w:p>
      <w:pPr>
        <w:pStyle w:val="BodyText"/>
        <w:spacing w:before="160"/>
        <w:ind w:left="761"/>
      </w:pPr>
      <w:r>
        <w:rPr/>
        <w:t>主射束的屏蔽防护采用《辐射防护手册》（第一分册）中计算公式如下：</w:t>
      </w:r>
    </w:p>
    <w:p>
      <w:pPr>
        <w:pStyle w:val="BodyText"/>
        <w:tabs>
          <w:tab w:pos="4855" w:val="left" w:leader="none"/>
        </w:tabs>
        <w:spacing w:line="362" w:lineRule="auto" w:before="160"/>
        <w:ind w:left="761" w:right="3851" w:firstLine="720"/>
      </w:pPr>
      <w:r>
        <w:rPr>
          <w:rFonts w:ascii="Times New Roman" w:hAnsi="Times New Roman" w:eastAsia="Times New Roman"/>
          <w:position w:val="2"/>
        </w:rPr>
        <w:t>D</w:t>
      </w:r>
      <w:r>
        <w:rPr>
          <w:rFonts w:ascii="Times New Roman" w:hAnsi="Times New Roman" w:eastAsia="Times New Roman"/>
          <w:sz w:val="15"/>
        </w:rPr>
        <w:t>r</w:t>
      </w:r>
      <w:r>
        <w:rPr>
          <w:rFonts w:ascii="Times New Roman" w:hAnsi="Times New Roman" w:eastAsia="Times New Roman"/>
          <w:spacing w:val="19"/>
          <w:sz w:val="15"/>
        </w:rPr>
        <w:t> </w:t>
      </w:r>
      <w:r>
        <w:rPr>
          <w:rFonts w:ascii="Times New Roman" w:hAnsi="Times New Roman" w:eastAsia="Times New Roman"/>
          <w:position w:val="2"/>
        </w:rPr>
        <w:t>= D</w:t>
      </w:r>
      <w:r>
        <w:rPr>
          <w:rFonts w:ascii="Times New Roman" w:hAnsi="Times New Roman" w:eastAsia="Times New Roman"/>
          <w:sz w:val="15"/>
        </w:rPr>
        <w:t>1</w:t>
      </w:r>
      <w:r>
        <w:rPr>
          <w:rFonts w:ascii="Times New Roman" w:hAnsi="Times New Roman" w:eastAsia="Times New Roman"/>
          <w:position w:val="2"/>
        </w:rPr>
        <w:t>·μ·η·f·T/ r</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ab/>
      </w:r>
      <w:r>
        <w:rPr>
          <w:position w:val="2"/>
          <w:vertAlign w:val="baseline"/>
        </w:rPr>
        <w:t>（</w:t>
      </w:r>
      <w:r>
        <w:rPr>
          <w:spacing w:val="-30"/>
          <w:position w:val="2"/>
          <w:vertAlign w:val="baseline"/>
        </w:rPr>
        <w:t>式 </w:t>
      </w:r>
      <w:r>
        <w:rPr>
          <w:rFonts w:ascii="Times New Roman" w:hAnsi="Times New Roman" w:eastAsia="Times New Roman"/>
          <w:position w:val="2"/>
          <w:vertAlign w:val="baseline"/>
        </w:rPr>
        <w:t>1</w:t>
      </w:r>
      <w:r>
        <w:rPr>
          <w:position w:val="2"/>
          <w:vertAlign w:val="baseline"/>
        </w:rPr>
        <w:t>）</w:t>
      </w:r>
      <w:r>
        <w:rPr>
          <w:spacing w:val="-117"/>
          <w:position w:val="2"/>
          <w:vertAlign w:val="baseline"/>
        </w:rPr>
        <w:t> </w:t>
      </w:r>
      <w:r>
        <w:rPr>
          <w:position w:val="2"/>
          <w:vertAlign w:val="baseline"/>
        </w:rPr>
        <w:t>式中：</w:t>
      </w:r>
      <w:r>
        <w:rPr>
          <w:rFonts w:ascii="Times New Roman" w:hAnsi="Times New Roman" w:eastAsia="Times New Roman"/>
          <w:position w:val="2"/>
          <w:vertAlign w:val="baseline"/>
        </w:rPr>
        <w:t>D</w:t>
      </w:r>
      <w:r>
        <w:rPr>
          <w:rFonts w:ascii="Times New Roman" w:hAnsi="Times New Roman" w:eastAsia="Times New Roman"/>
          <w:sz w:val="15"/>
          <w:vertAlign w:val="baseline"/>
        </w:rPr>
        <w:t>r</w:t>
      </w:r>
      <w:r>
        <w:rPr>
          <w:rFonts w:ascii="Times New Roman" w:hAnsi="Times New Roman" w:eastAsia="Times New Roman"/>
          <w:position w:val="2"/>
          <w:vertAlign w:val="baseline"/>
        </w:rPr>
        <w:t>—</w:t>
      </w:r>
      <w:r>
        <w:rPr>
          <w:position w:val="2"/>
          <w:vertAlign w:val="baseline"/>
        </w:rPr>
        <w:t>预测点处辐射空气吸收剂量，</w:t>
      </w:r>
      <w:r>
        <w:rPr>
          <w:rFonts w:ascii="Times New Roman" w:hAnsi="Times New Roman" w:eastAsia="Times New Roman"/>
          <w:position w:val="2"/>
          <w:vertAlign w:val="baseline"/>
        </w:rPr>
        <w:t>Gy/a</w:t>
      </w:r>
      <w:r>
        <w:rPr>
          <w:position w:val="2"/>
          <w:vertAlign w:val="baseline"/>
        </w:rPr>
        <w:t>；</w:t>
      </w:r>
    </w:p>
    <w:p>
      <w:pPr>
        <w:pStyle w:val="BodyText"/>
        <w:spacing w:before="3"/>
        <w:ind w:left="1481"/>
      </w:pPr>
      <w:r>
        <w:rPr>
          <w:rFonts w:ascii="Times New Roman" w:hAnsi="Times New Roman" w:eastAsia="Times New Roman"/>
          <w:spacing w:val="-1"/>
          <w:position w:val="2"/>
        </w:rPr>
        <w:t>D</w:t>
      </w:r>
      <w:r>
        <w:rPr>
          <w:rFonts w:ascii="Times New Roman" w:hAnsi="Times New Roman" w:eastAsia="Times New Roman"/>
          <w:spacing w:val="-1"/>
          <w:sz w:val="15"/>
        </w:rPr>
        <w:t>1</w:t>
      </w:r>
      <w:r>
        <w:rPr>
          <w:rFonts w:ascii="Times New Roman" w:hAnsi="Times New Roman" w:eastAsia="Times New Roman"/>
          <w:spacing w:val="-1"/>
          <w:position w:val="2"/>
        </w:rPr>
        <w:t>—X </w:t>
      </w:r>
      <w:r>
        <w:rPr>
          <w:spacing w:val="-15"/>
          <w:position w:val="2"/>
        </w:rPr>
        <w:t>射线在 </w:t>
      </w:r>
      <w:r>
        <w:rPr>
          <w:rFonts w:ascii="Times New Roman" w:hAnsi="Times New Roman" w:eastAsia="Times New Roman"/>
          <w:position w:val="2"/>
        </w:rPr>
        <w:t>1m</w:t>
      </w:r>
      <w:r>
        <w:rPr>
          <w:rFonts w:ascii="Times New Roman" w:hAnsi="Times New Roman" w:eastAsia="Times New Roman"/>
          <w:spacing w:val="1"/>
          <w:position w:val="2"/>
        </w:rPr>
        <w:t> </w:t>
      </w:r>
      <w:r>
        <w:rPr>
          <w:position w:val="2"/>
        </w:rPr>
        <w:t>处的辐射空气吸收剂量率，</w:t>
      </w:r>
      <w:r>
        <w:rPr>
          <w:rFonts w:ascii="Times New Roman" w:hAnsi="Times New Roman" w:eastAsia="Times New Roman"/>
          <w:position w:val="2"/>
        </w:rPr>
        <w:t>Gy/min</w:t>
      </w:r>
      <w:r>
        <w:rPr>
          <w:position w:val="2"/>
        </w:rPr>
        <w:t>；</w:t>
      </w:r>
    </w:p>
    <w:p>
      <w:pPr>
        <w:pStyle w:val="BodyText"/>
        <w:spacing w:line="364" w:lineRule="auto" w:before="161"/>
        <w:ind w:left="1481" w:right="957"/>
      </w:pPr>
      <w:r>
        <w:rPr>
          <w:rFonts w:ascii="Times New Roman" w:hAnsi="Times New Roman" w:eastAsia="Times New Roman"/>
          <w:spacing w:val="-1"/>
        </w:rPr>
        <w:t>T—</w:t>
      </w:r>
      <w:r>
        <w:rPr>
          <w:spacing w:val="-21"/>
        </w:rPr>
        <w:t>每台 </w:t>
      </w:r>
      <w:r>
        <w:rPr>
          <w:rFonts w:ascii="Times New Roman" w:hAnsi="Times New Roman" w:eastAsia="Times New Roman"/>
          <w:spacing w:val="-1"/>
        </w:rPr>
        <w:t>DSA</w:t>
      </w:r>
      <w:r>
        <w:rPr>
          <w:rFonts w:ascii="Times New Roman" w:hAnsi="Times New Roman" w:eastAsia="Times New Roman"/>
        </w:rPr>
        <w:t> </w:t>
      </w:r>
      <w:r>
        <w:rPr>
          <w:spacing w:val="-1"/>
        </w:rPr>
        <w:t>每年工作时间，</w:t>
      </w:r>
      <w:r>
        <w:rPr>
          <w:rFonts w:ascii="Times New Roman" w:hAnsi="Times New Roman" w:eastAsia="Times New Roman"/>
          <w:spacing w:val="-1"/>
        </w:rPr>
        <w:t>216.6h</w:t>
      </w:r>
      <w:r>
        <w:rPr>
          <w:spacing w:val="-1"/>
        </w:rPr>
        <w:t>（</w:t>
      </w:r>
      <w:r>
        <w:rPr>
          <w:spacing w:val="-20"/>
        </w:rPr>
        <w:t>透视 </w:t>
      </w:r>
      <w:r>
        <w:rPr>
          <w:rFonts w:ascii="Times New Roman" w:hAnsi="Times New Roman" w:eastAsia="Times New Roman"/>
        </w:rPr>
        <w:t>195h</w:t>
      </w:r>
      <w:r>
        <w:rPr>
          <w:spacing w:val="-15"/>
        </w:rPr>
        <w:t>，拍片 </w:t>
      </w:r>
      <w:r>
        <w:rPr>
          <w:rFonts w:ascii="Times New Roman" w:hAnsi="Times New Roman" w:eastAsia="Times New Roman"/>
        </w:rPr>
        <w:t>21.6h</w:t>
      </w:r>
      <w:r>
        <w:rPr/>
        <w:t>）；</w:t>
      </w:r>
      <w:r>
        <w:rPr>
          <w:spacing w:val="-117"/>
        </w:rPr>
        <w:t> </w:t>
      </w:r>
      <w:r>
        <w:rPr>
          <w:rFonts w:ascii="Times New Roman" w:hAnsi="Times New Roman" w:eastAsia="Times New Roman"/>
          <w:spacing w:val="-1"/>
        </w:rPr>
        <w:t>μ—</w:t>
      </w:r>
      <w:r>
        <w:rPr>
          <w:spacing w:val="-5"/>
        </w:rPr>
        <w:t>利用因子，监测点位的占用因子均取 </w:t>
      </w:r>
      <w:r>
        <w:rPr>
          <w:rFonts w:ascii="Times New Roman" w:hAnsi="Times New Roman" w:eastAsia="Times New Roman"/>
        </w:rPr>
        <w:t>1</w:t>
      </w:r>
      <w:r>
        <w:rPr/>
        <w:t>；</w:t>
      </w:r>
    </w:p>
    <w:p>
      <w:pPr>
        <w:pStyle w:val="BodyText"/>
        <w:spacing w:line="364" w:lineRule="auto" w:before="1"/>
        <w:ind w:left="1481" w:right="3690"/>
      </w:pPr>
      <w:r>
        <w:rPr>
          <w:rFonts w:ascii="Times New Roman" w:hAnsi="Times New Roman" w:eastAsia="Times New Roman"/>
        </w:rPr>
        <w:t>η—</w:t>
      </w:r>
      <w:r>
        <w:rPr/>
        <w:t>对防护区的占用因子（居留因子）；</w:t>
      </w:r>
      <w:r>
        <w:rPr>
          <w:spacing w:val="1"/>
        </w:rPr>
        <w:t> </w:t>
      </w:r>
      <w:r>
        <w:rPr>
          <w:rFonts w:ascii="Times New Roman" w:hAnsi="Times New Roman" w:eastAsia="Times New Roman"/>
          <w:spacing w:val="-1"/>
        </w:rPr>
        <w:t>f—</w:t>
      </w:r>
      <w:r>
        <w:rPr>
          <w:spacing w:val="-9"/>
        </w:rPr>
        <w:t>屏蔽材料对初级 </w:t>
      </w:r>
      <w:r>
        <w:rPr>
          <w:rFonts w:ascii="Times New Roman" w:hAnsi="Times New Roman" w:eastAsia="Times New Roman"/>
          <w:spacing w:val="-1"/>
        </w:rPr>
        <w:t>X </w:t>
      </w:r>
      <w:r>
        <w:rPr>
          <w:spacing w:val="-1"/>
        </w:rPr>
        <w:t>射线束的减弱因子；</w:t>
      </w:r>
      <w:r>
        <w:rPr>
          <w:spacing w:val="-117"/>
        </w:rPr>
        <w:t> </w:t>
      </w:r>
      <w:r>
        <w:rPr>
          <w:rFonts w:ascii="Times New Roman" w:hAnsi="Times New Roman" w:eastAsia="Times New Roman"/>
          <w:spacing w:val="-1"/>
        </w:rPr>
        <w:t>r—</w:t>
      </w:r>
      <w:r>
        <w:rPr>
          <w:spacing w:val="-12"/>
        </w:rPr>
        <w:t>预测点距 </w:t>
      </w:r>
      <w:r>
        <w:rPr>
          <w:rFonts w:ascii="Times New Roman" w:hAnsi="Times New Roman" w:eastAsia="Times New Roman"/>
        </w:rPr>
        <w:t>X</w:t>
      </w:r>
      <w:r>
        <w:rPr>
          <w:rFonts w:ascii="Times New Roman" w:hAnsi="Times New Roman" w:eastAsia="Times New Roman"/>
          <w:spacing w:val="-1"/>
        </w:rPr>
        <w:t> </w:t>
      </w:r>
      <w:r>
        <w:rPr/>
        <w:t>射线源的距离，</w:t>
      </w:r>
      <w:r>
        <w:rPr>
          <w:rFonts w:ascii="Times New Roman" w:hAnsi="Times New Roman" w:eastAsia="Times New Roman"/>
        </w:rPr>
        <w:t>m</w:t>
      </w:r>
      <w:r>
        <w:rPr/>
        <w:t>。</w:t>
      </w:r>
    </w:p>
    <w:p>
      <w:pPr>
        <w:pStyle w:val="BodyText"/>
        <w:spacing w:line="364" w:lineRule="auto" w:before="2"/>
        <w:ind w:left="281" w:right="305" w:firstLine="480"/>
      </w:pPr>
      <w:r>
        <w:rPr>
          <w:spacing w:val="-1"/>
        </w:rPr>
        <w:t>根据《放射诊断放射防护要求》（</w:t>
      </w:r>
      <w:r>
        <w:rPr>
          <w:rFonts w:ascii="Times New Roman" w:eastAsia="Times New Roman"/>
          <w:spacing w:val="-1"/>
        </w:rPr>
        <w:t>GBZ130-2020</w:t>
      </w:r>
      <w:r>
        <w:rPr>
          <w:spacing w:val="-1"/>
        </w:rPr>
        <w:t>）</w:t>
      </w:r>
      <w:r>
        <w:rPr>
          <w:spacing w:val="-20"/>
        </w:rPr>
        <w:t>公式 </w:t>
      </w:r>
      <w:r>
        <w:rPr>
          <w:rFonts w:ascii="Times New Roman" w:eastAsia="Times New Roman"/>
        </w:rPr>
        <w:t>C.1</w:t>
      </w:r>
      <w:r>
        <w:rPr>
          <w:rFonts w:ascii="Times New Roman" w:eastAsia="Times New Roman"/>
          <w:spacing w:val="2"/>
        </w:rPr>
        <w:t> </w:t>
      </w:r>
      <w:r>
        <w:rPr>
          <w:spacing w:val="-10"/>
        </w:rPr>
        <w:t>以及附录表 </w:t>
      </w:r>
      <w:r>
        <w:rPr>
          <w:rFonts w:ascii="Times New Roman" w:eastAsia="Times New Roman"/>
        </w:rPr>
        <w:t>C.2 </w:t>
      </w:r>
      <w:r>
        <w:rPr/>
        <w:t>可知。</w:t>
      </w:r>
      <w:r>
        <w:rPr>
          <w:spacing w:val="-9"/>
        </w:rPr>
        <w:t>屏蔽透射因子 </w:t>
      </w:r>
      <w:r>
        <w:rPr>
          <w:rFonts w:ascii="Times New Roman" w:eastAsia="Times New Roman"/>
        </w:rPr>
        <w:t>B</w:t>
      </w:r>
      <w:r>
        <w:rPr/>
        <w:t>：</w:t>
      </w:r>
    </w:p>
    <w:p>
      <w:pPr>
        <w:spacing w:after="0" w:line="364" w:lineRule="auto"/>
        <w:sectPr>
          <w:pgSz w:w="11910" w:h="16840"/>
          <w:pgMar w:header="0" w:footer="1383" w:top="1420" w:bottom="1660" w:left="1240" w:right="1040"/>
        </w:sectPr>
      </w:pPr>
    </w:p>
    <w:p>
      <w:pPr>
        <w:pStyle w:val="BodyText"/>
      </w:pPr>
    </w:p>
    <w:p>
      <w:pPr>
        <w:pStyle w:val="BodyText"/>
      </w:pPr>
    </w:p>
    <w:p>
      <w:pPr>
        <w:pStyle w:val="BodyText"/>
        <w:spacing w:before="2"/>
        <w:rPr>
          <w:sz w:val="19"/>
        </w:rPr>
      </w:pPr>
    </w:p>
    <w:p>
      <w:pPr>
        <w:pStyle w:val="BodyText"/>
        <w:ind w:left="761"/>
      </w:pPr>
      <w:r>
        <w:rPr/>
        <w:t>式中：</w:t>
      </w:r>
    </w:p>
    <w:p>
      <w:pPr>
        <w:pStyle w:val="BodyText"/>
        <w:spacing w:before="2"/>
        <w:rPr>
          <w:sz w:val="20"/>
        </w:rPr>
      </w:pPr>
      <w:r>
        <w:rPr/>
        <w:br w:type="column"/>
      </w:r>
      <w:r>
        <w:rPr>
          <w:sz w:val="20"/>
        </w:rPr>
      </w:r>
    </w:p>
    <w:p>
      <w:pPr>
        <w:spacing w:before="0"/>
        <w:ind w:left="761" w:right="0" w:firstLine="0"/>
        <w:jc w:val="left"/>
        <w:rPr>
          <w:rFonts w:ascii="Symbol" w:hAnsi="Symbol"/>
          <w:sz w:val="24"/>
        </w:rPr>
      </w:pPr>
      <w:r>
        <w:rPr>
          <w:rFonts w:ascii="Times New Roman" w:hAnsi="Times New Roman"/>
          <w:i/>
          <w:w w:val="95"/>
          <w:sz w:val="24"/>
        </w:rPr>
        <w:t>B</w:t>
      </w:r>
      <w:r>
        <w:rPr>
          <w:rFonts w:ascii="Times New Roman" w:hAnsi="Times New Roman"/>
          <w:i/>
          <w:spacing w:val="8"/>
          <w:w w:val="95"/>
          <w:sz w:val="24"/>
        </w:rPr>
        <w:t> </w:t>
      </w:r>
      <w:r>
        <w:rPr>
          <w:rFonts w:ascii="Symbol" w:hAnsi="Symbol"/>
          <w:w w:val="95"/>
          <w:sz w:val="24"/>
        </w:rPr>
        <w:t></w:t>
      </w:r>
      <w:r>
        <w:rPr>
          <w:rFonts w:ascii="Times New Roman" w:hAnsi="Times New Roman"/>
          <w:spacing w:val="-16"/>
          <w:w w:val="95"/>
          <w:sz w:val="24"/>
        </w:rPr>
        <w:t> </w:t>
      </w:r>
      <w:r>
        <w:rPr>
          <w:rFonts w:ascii="Times New Roman" w:hAnsi="Times New Roman"/>
          <w:w w:val="95"/>
          <w:sz w:val="24"/>
        </w:rPr>
        <w:t>[(1</w:t>
      </w:r>
      <w:r>
        <w:rPr>
          <w:rFonts w:ascii="Symbol" w:hAnsi="Symbol"/>
          <w:w w:val="95"/>
          <w:sz w:val="24"/>
        </w:rPr>
        <w:t></w:t>
      </w:r>
    </w:p>
    <w:p>
      <w:pPr>
        <w:spacing w:line="234" w:lineRule="exact" w:before="97"/>
        <w:ind w:left="12" w:right="0" w:firstLine="0"/>
        <w:jc w:val="left"/>
        <w:rPr>
          <w:rFonts w:ascii="Symbol" w:hAnsi="Symbol"/>
          <w:sz w:val="25"/>
        </w:rPr>
      </w:pPr>
      <w:r>
        <w:rPr/>
        <w:br w:type="column"/>
      </w:r>
      <w:r>
        <w:rPr>
          <w:rFonts w:ascii="Symbol" w:hAnsi="Symbol"/>
          <w:sz w:val="25"/>
        </w:rPr>
        <w:t></w:t>
      </w:r>
    </w:p>
    <w:p>
      <w:pPr>
        <w:tabs>
          <w:tab w:pos="723" w:val="left" w:leader="none"/>
        </w:tabs>
        <w:spacing w:line="163" w:lineRule="exact" w:before="0"/>
        <w:ind w:left="214" w:right="0" w:firstLine="0"/>
        <w:jc w:val="left"/>
        <w:rPr>
          <w:rFonts w:ascii="Symbol" w:hAnsi="Symbol"/>
          <w:sz w:val="24"/>
        </w:rPr>
      </w:pPr>
      <w:r>
        <w:rPr/>
        <w:pict>
          <v:line style="position:absolute;mso-position-horizontal-relative:page;mso-position-vertical-relative:paragraph;z-index:-20141056" from="238.561996pt,5.410433pt" to="248.249996pt,5.410433pt" stroked="true" strokeweight=".5pt" strokecolor="#000000">
            <v:stroke dashstyle="solid"/>
            <w10:wrap type="none"/>
          </v:line>
        </w:pict>
      </w:r>
      <w:r>
        <w:rPr/>
        <w:pict>
          <v:shape style="position:absolute;margin-left:257.788818pt;margin-top:-3.918864pt;width:12.05pt;height:8.550pt;mso-position-horizontal-relative:page;mso-position-vertical-relative:paragraph;z-index:-20139520" type="#_x0000_t202" filled="false" stroked="false">
            <v:textbox inset="0,0,0,0">
              <w:txbxContent>
                <w:p>
                  <w:pPr>
                    <w:spacing w:line="170" w:lineRule="exact" w:before="0"/>
                    <w:ind w:left="0" w:right="0" w:firstLine="0"/>
                    <w:jc w:val="left"/>
                    <w:rPr>
                      <w:rFonts w:ascii="Times New Roman" w:hAnsi="Times New Roman"/>
                      <w:i/>
                      <w:sz w:val="14"/>
                    </w:rPr>
                  </w:pPr>
                  <w:r>
                    <w:rPr>
                      <w:rFonts w:ascii="Symbol" w:hAnsi="Symbol"/>
                      <w:spacing w:val="-10"/>
                      <w:sz w:val="14"/>
                    </w:rPr>
                    <w:t></w:t>
                  </w:r>
                  <w:r>
                    <w:rPr>
                      <w:rFonts w:ascii="Times New Roman" w:hAnsi="Times New Roman"/>
                      <w:i/>
                      <w:spacing w:val="-10"/>
                      <w:sz w:val="14"/>
                    </w:rPr>
                    <w:t>X</w:t>
                  </w:r>
                </w:p>
              </w:txbxContent>
            </v:textbox>
            <w10:wrap type="none"/>
          </v:shape>
        </w:pict>
      </w:r>
      <w:r>
        <w:rPr>
          <w:rFonts w:ascii="Times New Roman" w:hAnsi="Times New Roman"/>
          <w:sz w:val="24"/>
        </w:rPr>
        <w:t>)</w:t>
      </w:r>
      <w:r>
        <w:rPr>
          <w:rFonts w:ascii="Times New Roman" w:hAnsi="Times New Roman"/>
          <w:i/>
          <w:sz w:val="24"/>
        </w:rPr>
        <w:t>e</w:t>
        <w:tab/>
      </w:r>
      <w:r>
        <w:rPr>
          <w:rFonts w:ascii="Symbol" w:hAnsi="Symbol"/>
          <w:spacing w:val="-7"/>
          <w:sz w:val="24"/>
        </w:rPr>
        <w:t></w:t>
      </w:r>
    </w:p>
    <w:p>
      <w:pPr>
        <w:pStyle w:val="Heading3"/>
        <w:spacing w:line="248" w:lineRule="exact"/>
        <w:ind w:left="-7"/>
      </w:pPr>
      <w:r>
        <w:rPr>
          <w:w w:val="95"/>
        </w:rPr>
        <w:t></w:t>
      </w:r>
    </w:p>
    <w:p>
      <w:pPr>
        <w:spacing w:line="124" w:lineRule="auto" w:before="118"/>
        <w:ind w:left="8" w:right="0" w:firstLine="0"/>
        <w:jc w:val="left"/>
        <w:rPr>
          <w:rFonts w:ascii="Times New Roman" w:hAnsi="Times New Roman"/>
          <w:sz w:val="14"/>
        </w:rPr>
      </w:pPr>
      <w:r>
        <w:rPr/>
        <w:br w:type="column"/>
      </w:r>
      <w:r>
        <w:rPr>
          <w:rFonts w:ascii="Symbol" w:hAnsi="Symbol"/>
          <w:w w:val="95"/>
          <w:position w:val="-14"/>
          <w:sz w:val="25"/>
        </w:rPr>
        <w:t></w:t>
      </w:r>
      <w:r>
        <w:rPr>
          <w:rFonts w:ascii="Times New Roman" w:hAnsi="Times New Roman"/>
          <w:spacing w:val="2"/>
          <w:w w:val="95"/>
          <w:position w:val="-14"/>
          <w:sz w:val="25"/>
        </w:rPr>
        <w:t> </w:t>
      </w:r>
      <w:r>
        <w:rPr>
          <w:rFonts w:ascii="Symbol" w:hAnsi="Symbol"/>
          <w:w w:val="95"/>
          <w:position w:val="-8"/>
          <w:sz w:val="14"/>
        </w:rPr>
        <w:t></w:t>
      </w:r>
      <w:r>
        <w:rPr>
          <w:rFonts w:ascii="Times New Roman" w:hAnsi="Times New Roman"/>
          <w:spacing w:val="-11"/>
          <w:w w:val="95"/>
          <w:position w:val="-8"/>
          <w:sz w:val="14"/>
        </w:rPr>
        <w:t> </w:t>
      </w:r>
      <w:r>
        <w:rPr>
          <w:rFonts w:ascii="Times New Roman" w:hAnsi="Times New Roman"/>
          <w:w w:val="95"/>
          <w:sz w:val="14"/>
          <w:u w:val="single"/>
        </w:rPr>
        <w:t>1</w:t>
      </w:r>
    </w:p>
    <w:p>
      <w:pPr>
        <w:pStyle w:val="BodyText"/>
        <w:tabs>
          <w:tab w:pos="2316" w:val="left" w:leader="dot"/>
        </w:tabs>
        <w:spacing w:line="196" w:lineRule="exact"/>
        <w:ind w:left="210"/>
      </w:pPr>
      <w:r>
        <w:rPr/>
        <w:pict>
          <v:line style="position:absolute;mso-position-horizontal-relative:page;mso-position-vertical-relative:paragraph;z-index:-20140544" from="283.093994pt,6.626766pt" to="292.780994pt,6.626766pt" stroked="true" strokeweight=".5pt" strokecolor="#000000">
            <v:stroke dashstyle="solid"/>
            <w10:wrap type="none"/>
          </v:line>
        </w:pict>
      </w:r>
      <w:r>
        <w:rPr>
          <w:rFonts w:ascii="Times New Roman" w:hAnsi="Times New Roman" w:eastAsia="Times New Roman"/>
          <w:spacing w:val="7"/>
        </w:rPr>
        <w:t>] </w:t>
      </w:r>
      <w:r>
        <w:rPr>
          <w:rFonts w:ascii="Symbol" w:hAnsi="Symbol" w:eastAsia="Symbol"/>
          <w:vertAlign w:val="superscript"/>
        </w:rPr>
        <w:t></w:t>
      </w:r>
      <w:r>
        <w:rPr>
          <w:rFonts w:ascii="Times New Roman" w:hAnsi="Times New Roman" w:eastAsia="Times New Roman"/>
          <w:position w:val="10"/>
          <w:vertAlign w:val="baseline"/>
        </w:rPr>
        <w:tab/>
      </w:r>
      <w:r>
        <w:rPr>
          <w:rFonts w:ascii="Times New Roman" w:hAnsi="Times New Roman" w:eastAsia="Times New Roman"/>
          <w:vertAlign w:val="baseline"/>
        </w:rPr>
        <w:t>(</w:t>
      </w:r>
      <w:r>
        <w:rPr>
          <w:vertAlign w:val="baseline"/>
        </w:rPr>
        <w:t>式</w:t>
      </w:r>
      <w:r>
        <w:rPr>
          <w:rFonts w:ascii="Times New Roman" w:hAnsi="Times New Roman" w:eastAsia="Times New Roman"/>
          <w:vertAlign w:val="baseline"/>
        </w:rPr>
        <w:t>2</w:t>
      </w:r>
      <w:r>
        <w:rPr>
          <w:vertAlign w:val="baseline"/>
        </w:rPr>
        <w:t>）</w:t>
      </w:r>
    </w:p>
    <w:p>
      <w:pPr>
        <w:pStyle w:val="Heading3"/>
      </w:pPr>
      <w:r>
        <w:rPr>
          <w:w w:val="95"/>
        </w:rPr>
        <w:t></w:t>
      </w:r>
    </w:p>
    <w:p>
      <w:pPr>
        <w:spacing w:after="0"/>
        <w:sectPr>
          <w:type w:val="continuous"/>
          <w:pgSz w:w="11910" w:h="16840"/>
          <w:pgMar w:top="1580" w:bottom="280" w:left="1240" w:right="1040"/>
          <w:cols w:num="4" w:equalWidth="0">
            <w:col w:w="1522" w:space="415"/>
            <w:col w:w="1545" w:space="40"/>
            <w:col w:w="855" w:space="39"/>
            <w:col w:w="5214"/>
          </w:cols>
        </w:sectPr>
      </w:pPr>
    </w:p>
    <w:p>
      <w:pPr>
        <w:pStyle w:val="BodyText"/>
        <w:spacing w:before="81"/>
        <w:ind w:left="761"/>
      </w:pPr>
      <w:r>
        <w:rPr/>
        <w:pict>
          <v:shape style="position:absolute;margin-left:70.410004pt;margin-top:72.000023pt;width:462.55pt;height:686.5pt;mso-position-horizontal-relative:page;mso-position-vertical-relative:page;z-index:-20140032" coordorigin="1408,1440" coordsize="9251,13730" path="m1408,1445l10659,1445m1408,15170l10659,15170m1413,1440l1413,15165m10654,1440l10654,15165e" filled="false" stroked="true" strokeweight=".48pt" strokecolor="#000000">
            <v:path arrowok="t"/>
            <v:stroke dashstyle="solid"/>
            <w10:wrap type="none"/>
          </v:shape>
        </w:pict>
      </w:r>
      <w:r>
        <w:rPr>
          <w:rFonts w:ascii="Times New Roman" w:hAnsi="Times New Roman" w:eastAsia="Times New Roman"/>
        </w:rPr>
        <w:t>B—</w:t>
      </w:r>
      <w:r>
        <w:rPr/>
        <w:t>给定铅厚度的屏蔽透射因子；</w:t>
      </w:r>
    </w:p>
    <w:p>
      <w:pPr>
        <w:pStyle w:val="BodyText"/>
        <w:spacing w:line="364" w:lineRule="auto" w:before="161"/>
        <w:ind w:left="761" w:right="3044"/>
        <w:jc w:val="both"/>
      </w:pPr>
      <w:r>
        <w:rPr>
          <w:rFonts w:ascii="Times New Roman" w:hAnsi="Times New Roman" w:eastAsia="Times New Roman"/>
        </w:rPr>
        <w:t>β—</w:t>
      </w:r>
      <w:r>
        <w:rPr/>
        <w:t>铅对不同管电压</w:t>
      </w:r>
      <w:r>
        <w:rPr>
          <w:rFonts w:ascii="Times New Roman" w:hAnsi="Times New Roman" w:eastAsia="Times New Roman"/>
        </w:rPr>
        <w:t>X</w:t>
      </w:r>
      <w:r>
        <w:rPr/>
        <w:t>射线辐射衰减的有关的拟合参数；</w:t>
      </w:r>
      <w:r>
        <w:rPr>
          <w:spacing w:val="-118"/>
        </w:rPr>
        <w:t> </w:t>
      </w:r>
      <w:r>
        <w:rPr>
          <w:rFonts w:ascii="Times New Roman" w:hAnsi="Times New Roman" w:eastAsia="Times New Roman"/>
          <w:spacing w:val="-1"/>
        </w:rPr>
        <w:t>α—</w:t>
      </w:r>
      <w:r>
        <w:rPr>
          <w:spacing w:val="-1"/>
        </w:rPr>
        <w:t>铅对不同管电压</w:t>
      </w:r>
      <w:r>
        <w:rPr>
          <w:rFonts w:ascii="Times New Roman" w:hAnsi="Times New Roman" w:eastAsia="Times New Roman"/>
        </w:rPr>
        <w:t>X</w:t>
      </w:r>
      <w:r>
        <w:rPr/>
        <w:t>射线辐射衰减的有关的拟合参数；</w:t>
      </w:r>
      <w:r>
        <w:rPr>
          <w:spacing w:val="-118"/>
        </w:rPr>
        <w:t> </w:t>
      </w:r>
      <w:r>
        <w:rPr>
          <w:rFonts w:ascii="Times New Roman" w:hAnsi="Times New Roman" w:eastAsia="Times New Roman"/>
        </w:rPr>
        <w:t>γ—</w:t>
      </w:r>
      <w:r>
        <w:rPr/>
        <w:t>铅对不同管电压</w:t>
      </w:r>
      <w:r>
        <w:rPr>
          <w:rFonts w:ascii="Times New Roman" w:hAnsi="Times New Roman" w:eastAsia="Times New Roman"/>
        </w:rPr>
        <w:t>X</w:t>
      </w:r>
      <w:r>
        <w:rPr/>
        <w:t>射线辐射衰减的有关的拟合参数；</w:t>
      </w:r>
      <w:r>
        <w:rPr>
          <w:spacing w:val="-118"/>
        </w:rPr>
        <w:t> </w:t>
      </w:r>
      <w:r>
        <w:rPr>
          <w:rFonts w:ascii="Times New Roman" w:hAnsi="Times New Roman" w:eastAsia="Times New Roman"/>
        </w:rPr>
        <w:t>X—</w:t>
      </w:r>
      <w:r>
        <w:rPr/>
        <w:t>铅厚度。</w:t>
      </w:r>
    </w:p>
    <w:p>
      <w:pPr>
        <w:pStyle w:val="BodyText"/>
        <w:spacing w:line="364" w:lineRule="auto" w:before="2"/>
        <w:ind w:left="281" w:right="318" w:firstLine="480"/>
      </w:pPr>
      <w:r>
        <w:rPr>
          <w:spacing w:val="-3"/>
        </w:rPr>
        <w:t>散射线的透射因子将根据实际情况，采用常用工况下散射线拟合参数进行计算；泄</w:t>
      </w:r>
      <w:r>
        <w:rPr/>
        <w:t>漏射线因和主射线能量一样，故采用常用工况下主射线拟合参数计算其透射因子。</w:t>
      </w:r>
    </w:p>
    <w:p>
      <w:pPr>
        <w:tabs>
          <w:tab w:pos="911" w:val="left" w:leader="none"/>
        </w:tabs>
        <w:spacing w:line="211" w:lineRule="exact" w:before="0" w:after="22"/>
        <w:ind w:left="0" w:right="27" w:firstLine="0"/>
        <w:jc w:val="center"/>
        <w:rPr>
          <w:sz w:val="21"/>
        </w:rPr>
      </w:pPr>
      <w:r>
        <w:rPr>
          <w:sz w:val="21"/>
        </w:rPr>
        <w:t>表</w:t>
      </w:r>
      <w:r>
        <w:rPr>
          <w:spacing w:val="-1"/>
          <w:sz w:val="21"/>
        </w:rPr>
        <w:t> </w:t>
      </w:r>
      <w:r>
        <w:rPr>
          <w:rFonts w:ascii="Times New Roman" w:eastAsia="Times New Roman"/>
          <w:b/>
          <w:sz w:val="21"/>
        </w:rPr>
        <w:t>11-2</w:t>
        <w:tab/>
      </w:r>
      <w:r>
        <w:rPr>
          <w:w w:val="95"/>
          <w:sz w:val="21"/>
        </w:rPr>
        <w:t>屏蔽材料对</w:t>
      </w:r>
      <w:r>
        <w:rPr>
          <w:spacing w:val="-7"/>
          <w:w w:val="95"/>
          <w:sz w:val="21"/>
        </w:rPr>
        <w:t> </w:t>
      </w:r>
      <w:r>
        <w:rPr>
          <w:rFonts w:ascii="Times New Roman" w:eastAsia="Times New Roman"/>
          <w:b/>
          <w:w w:val="95"/>
          <w:sz w:val="21"/>
        </w:rPr>
        <w:t>X</w:t>
      </w:r>
      <w:r>
        <w:rPr>
          <w:rFonts w:ascii="Times New Roman" w:eastAsia="Times New Roman"/>
          <w:b/>
          <w:spacing w:val="135"/>
          <w:sz w:val="21"/>
        </w:rPr>
        <w:t> </w:t>
      </w:r>
      <w:r>
        <w:rPr>
          <w:w w:val="95"/>
          <w:sz w:val="21"/>
        </w:rPr>
        <w:t>射线的辐射衰减拟合参数</w:t>
      </w:r>
    </w:p>
    <w:p>
      <w:pPr>
        <w:pStyle w:val="BodyText"/>
        <w:spacing w:line="30" w:lineRule="exact"/>
        <w:ind w:left="358"/>
        <w:rPr>
          <w:sz w:val="3"/>
        </w:rPr>
      </w:pPr>
      <w:r>
        <w:rPr>
          <w:position w:val="0"/>
          <w:sz w:val="3"/>
        </w:rPr>
        <w:pict>
          <v:group style="width:442pt;height:1.45pt;mso-position-horizontal-relative:char;mso-position-vertical-relative:line" coordorigin="0,0" coordsize="8840,29">
            <v:line style="position:absolute" from="0,14" to="8840,14" stroked="true" strokeweight="1.44pt" strokecolor="#000000">
              <v:stroke dashstyle="solid"/>
            </v:line>
          </v:group>
        </w:pict>
      </w:r>
      <w:r>
        <w:rPr>
          <w:position w:val="0"/>
          <w:sz w:val="3"/>
        </w:rPr>
      </w:r>
    </w:p>
    <w:p>
      <w:pPr>
        <w:spacing w:before="30" w:after="31"/>
        <w:ind w:left="0" w:right="34" w:firstLine="0"/>
        <w:jc w:val="center"/>
        <w:rPr>
          <w:sz w:val="21"/>
        </w:rPr>
      </w:pPr>
      <w:r>
        <w:rPr>
          <w:w w:val="95"/>
          <w:sz w:val="21"/>
        </w:rPr>
        <w:t>管电压</w:t>
      </w:r>
      <w:r>
        <w:rPr>
          <w:rFonts w:ascii="Times New Roman" w:eastAsia="Times New Roman"/>
          <w:b/>
          <w:w w:val="95"/>
          <w:sz w:val="21"/>
        </w:rPr>
        <w:t>90kV</w:t>
      </w:r>
      <w:r>
        <w:rPr>
          <w:w w:val="95"/>
          <w:sz w:val="21"/>
        </w:rPr>
        <w:t>（透视）</w:t>
      </w:r>
    </w:p>
    <w:tbl>
      <w:tblPr>
        <w:tblW w:w="0" w:type="auto"/>
        <w:jc w:val="left"/>
        <w:tblInd w:w="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6"/>
        <w:gridCol w:w="2265"/>
        <w:gridCol w:w="2287"/>
        <w:gridCol w:w="2012"/>
      </w:tblGrid>
      <w:tr>
        <w:trPr>
          <w:trHeight w:val="329" w:hRule="atLeast"/>
        </w:trPr>
        <w:tc>
          <w:tcPr>
            <w:tcW w:w="2276" w:type="dxa"/>
            <w:tcBorders>
              <w:left w:val="nil"/>
              <w:bottom w:val="single" w:sz="4" w:space="0" w:color="000000"/>
              <w:right w:val="single" w:sz="4" w:space="0" w:color="000000"/>
            </w:tcBorders>
          </w:tcPr>
          <w:p>
            <w:pPr>
              <w:pStyle w:val="TableParagraph"/>
              <w:spacing w:before="28"/>
              <w:ind w:left="879" w:right="847"/>
              <w:rPr>
                <w:sz w:val="21"/>
              </w:rPr>
            </w:pPr>
            <w:r>
              <w:rPr>
                <w:sz w:val="21"/>
              </w:rPr>
              <w:t>材料</w:t>
            </w:r>
          </w:p>
        </w:tc>
        <w:tc>
          <w:tcPr>
            <w:tcW w:w="2265" w:type="dxa"/>
            <w:tcBorders>
              <w:left w:val="single" w:sz="4" w:space="0" w:color="000000"/>
              <w:bottom w:val="single" w:sz="4" w:space="0" w:color="000000"/>
              <w:right w:val="single" w:sz="4" w:space="0" w:color="000000"/>
            </w:tcBorders>
          </w:tcPr>
          <w:p>
            <w:pPr>
              <w:pStyle w:val="TableParagraph"/>
              <w:spacing w:before="42"/>
              <w:ind w:left="26"/>
              <w:rPr>
                <w:rFonts w:ascii="Times New Roman" w:hAnsi="Times New Roman"/>
                <w:sz w:val="21"/>
              </w:rPr>
            </w:pPr>
            <w:r>
              <w:rPr>
                <w:rFonts w:ascii="Times New Roman" w:hAnsi="Times New Roman"/>
                <w:w w:val="99"/>
                <w:sz w:val="21"/>
              </w:rPr>
              <w:t>α</w:t>
            </w:r>
          </w:p>
        </w:tc>
        <w:tc>
          <w:tcPr>
            <w:tcW w:w="2287" w:type="dxa"/>
            <w:tcBorders>
              <w:left w:val="single" w:sz="4" w:space="0" w:color="000000"/>
              <w:bottom w:val="single" w:sz="4" w:space="0" w:color="000000"/>
              <w:right w:val="single" w:sz="4" w:space="0" w:color="000000"/>
            </w:tcBorders>
          </w:tcPr>
          <w:p>
            <w:pPr>
              <w:pStyle w:val="TableParagraph"/>
              <w:spacing w:before="42"/>
              <w:ind w:left="26"/>
              <w:rPr>
                <w:rFonts w:ascii="Times New Roman" w:hAnsi="Times New Roman"/>
                <w:sz w:val="21"/>
              </w:rPr>
            </w:pPr>
            <w:r>
              <w:rPr>
                <w:rFonts w:ascii="Times New Roman" w:hAnsi="Times New Roman"/>
                <w:w w:val="99"/>
                <w:sz w:val="21"/>
              </w:rPr>
              <w:t>β</w:t>
            </w:r>
          </w:p>
        </w:tc>
        <w:tc>
          <w:tcPr>
            <w:tcW w:w="2012" w:type="dxa"/>
            <w:tcBorders>
              <w:left w:val="single" w:sz="4" w:space="0" w:color="000000"/>
              <w:bottom w:val="single" w:sz="4" w:space="0" w:color="000000"/>
              <w:right w:val="nil"/>
            </w:tcBorders>
          </w:tcPr>
          <w:p>
            <w:pPr>
              <w:pStyle w:val="TableParagraph"/>
              <w:spacing w:before="42"/>
              <w:ind w:left="23"/>
              <w:rPr>
                <w:rFonts w:ascii="Times New Roman" w:hAnsi="Times New Roman"/>
                <w:sz w:val="21"/>
              </w:rPr>
            </w:pPr>
            <w:r>
              <w:rPr>
                <w:rFonts w:ascii="Times New Roman" w:hAnsi="Times New Roman"/>
                <w:w w:val="99"/>
                <w:sz w:val="21"/>
              </w:rPr>
              <w:t>γ</w:t>
            </w:r>
          </w:p>
        </w:tc>
      </w:tr>
      <w:tr>
        <w:trPr>
          <w:trHeight w:val="309" w:hRule="atLeast"/>
        </w:trPr>
        <w:tc>
          <w:tcPr>
            <w:tcW w:w="2276" w:type="dxa"/>
            <w:tcBorders>
              <w:top w:val="single" w:sz="4" w:space="0" w:color="000000"/>
              <w:left w:val="nil"/>
              <w:right w:val="single" w:sz="4" w:space="0" w:color="000000"/>
            </w:tcBorders>
          </w:tcPr>
          <w:p>
            <w:pPr>
              <w:pStyle w:val="TableParagraph"/>
              <w:spacing w:before="20"/>
              <w:ind w:left="30"/>
              <w:rPr>
                <w:sz w:val="21"/>
              </w:rPr>
            </w:pPr>
            <w:r>
              <w:rPr>
                <w:w w:val="99"/>
                <w:sz w:val="21"/>
              </w:rPr>
              <w:t>铅</w:t>
            </w:r>
          </w:p>
        </w:tc>
        <w:tc>
          <w:tcPr>
            <w:tcW w:w="2265" w:type="dxa"/>
            <w:tcBorders>
              <w:top w:val="single" w:sz="4" w:space="0" w:color="000000"/>
              <w:left w:val="single" w:sz="4" w:space="0" w:color="000000"/>
              <w:right w:val="single" w:sz="4" w:space="0" w:color="000000"/>
            </w:tcBorders>
          </w:tcPr>
          <w:p>
            <w:pPr>
              <w:pStyle w:val="TableParagraph"/>
              <w:spacing w:before="34"/>
              <w:ind w:left="885" w:right="857"/>
              <w:rPr>
                <w:rFonts w:ascii="Times New Roman"/>
                <w:sz w:val="21"/>
              </w:rPr>
            </w:pPr>
            <w:r>
              <w:rPr>
                <w:rFonts w:ascii="Times New Roman"/>
                <w:sz w:val="21"/>
              </w:rPr>
              <w:t>3.067</w:t>
            </w:r>
          </w:p>
        </w:tc>
        <w:tc>
          <w:tcPr>
            <w:tcW w:w="2287" w:type="dxa"/>
            <w:tcBorders>
              <w:top w:val="single" w:sz="4" w:space="0" w:color="000000"/>
              <w:left w:val="single" w:sz="4" w:space="0" w:color="000000"/>
              <w:right w:val="single" w:sz="4" w:space="0" w:color="000000"/>
            </w:tcBorders>
          </w:tcPr>
          <w:p>
            <w:pPr>
              <w:pStyle w:val="TableParagraph"/>
              <w:spacing w:before="34"/>
              <w:ind w:left="896" w:right="867"/>
              <w:rPr>
                <w:rFonts w:ascii="Times New Roman"/>
                <w:sz w:val="21"/>
              </w:rPr>
            </w:pPr>
            <w:r>
              <w:rPr>
                <w:rFonts w:ascii="Times New Roman"/>
                <w:sz w:val="21"/>
              </w:rPr>
              <w:t>18.83</w:t>
            </w:r>
          </w:p>
        </w:tc>
        <w:tc>
          <w:tcPr>
            <w:tcW w:w="2012" w:type="dxa"/>
            <w:tcBorders>
              <w:top w:val="single" w:sz="4" w:space="0" w:color="000000"/>
              <w:left w:val="single" w:sz="4" w:space="0" w:color="000000"/>
              <w:right w:val="nil"/>
            </w:tcBorders>
          </w:tcPr>
          <w:p>
            <w:pPr>
              <w:pStyle w:val="TableParagraph"/>
              <w:spacing w:before="34"/>
              <w:ind w:left="706" w:right="683"/>
              <w:rPr>
                <w:rFonts w:ascii="Times New Roman"/>
                <w:sz w:val="21"/>
              </w:rPr>
            </w:pPr>
            <w:r>
              <w:rPr>
                <w:rFonts w:ascii="Times New Roman"/>
                <w:sz w:val="21"/>
              </w:rPr>
              <w:t>0.7726</w:t>
            </w:r>
          </w:p>
        </w:tc>
      </w:tr>
    </w:tbl>
    <w:p>
      <w:pPr>
        <w:spacing w:after="0"/>
        <w:rPr>
          <w:rFonts w:ascii="Times New Roman"/>
          <w:sz w:val="21"/>
        </w:rPr>
        <w:sectPr>
          <w:type w:val="continuous"/>
          <w:pgSz w:w="11910" w:h="16840"/>
          <w:pgMar w:top="1580" w:bottom="280" w:left="1240" w:right="1040"/>
        </w:sectPr>
      </w:pPr>
    </w:p>
    <w:p>
      <w:pPr>
        <w:spacing w:before="62" w:after="23"/>
        <w:ind w:left="259" w:right="190" w:firstLine="0"/>
        <w:jc w:val="center"/>
        <w:rPr>
          <w:sz w:val="21"/>
        </w:rPr>
      </w:pPr>
      <w:r>
        <w:rPr/>
        <w:pict>
          <v:group style="position:absolute;margin-left:70.410004pt;margin-top:72.000023pt;width:462.55pt;height:686.75pt;mso-position-horizontal-relative:page;mso-position-vertical-relative:page;z-index:-20138496" coordorigin="1408,1440" coordsize="9251,13735">
            <v:line style="position:absolute" from="1613,1464" to="10453,1464" stroked="true" strokeweight="1.44pt" strokecolor="#000000">
              <v:stroke dashstyle="solid"/>
            </v:line>
            <v:shape style="position:absolute;left:1408;top:1440;width:9251;height:13730" coordorigin="1408,1440" coordsize="9251,13730" path="m1408,1445l10659,1445m1408,15170l10659,15170m1413,1440l1413,15165m10654,1440l10654,15165e" filled="false" stroked="true" strokeweight=".48pt" strokecolor="#000000">
              <v:path arrowok="t"/>
              <v:stroke dashstyle="solid"/>
            </v:shape>
            <w10:wrap type="none"/>
          </v:group>
        </w:pict>
      </w:r>
      <w:r>
        <w:rPr>
          <w:spacing w:val="13"/>
          <w:w w:val="95"/>
          <w:sz w:val="21"/>
        </w:rPr>
        <w:t>管电压 </w:t>
      </w:r>
      <w:r>
        <w:rPr>
          <w:rFonts w:ascii="Times New Roman" w:eastAsia="Times New Roman"/>
          <w:b/>
          <w:w w:val="95"/>
          <w:sz w:val="21"/>
        </w:rPr>
        <w:t>100kV</w:t>
      </w:r>
      <w:r>
        <w:rPr>
          <w:w w:val="95"/>
          <w:sz w:val="21"/>
        </w:rPr>
        <w:t>（拍片）</w:t>
      </w:r>
    </w:p>
    <w:tbl>
      <w:tblPr>
        <w:tblW w:w="0" w:type="auto"/>
        <w:jc w:val="left"/>
        <w:tblInd w:w="3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76"/>
        <w:gridCol w:w="1095"/>
        <w:gridCol w:w="1170"/>
        <w:gridCol w:w="1154"/>
        <w:gridCol w:w="1133"/>
        <w:gridCol w:w="1056"/>
        <w:gridCol w:w="956"/>
      </w:tblGrid>
      <w:tr>
        <w:trPr>
          <w:trHeight w:val="311" w:hRule="atLeast"/>
        </w:trPr>
        <w:tc>
          <w:tcPr>
            <w:tcW w:w="2276" w:type="dxa"/>
            <w:vMerge w:val="restart"/>
            <w:tcBorders>
              <w:left w:val="nil"/>
              <w:bottom w:val="single" w:sz="4" w:space="0" w:color="000000"/>
              <w:right w:val="single" w:sz="4" w:space="0" w:color="000000"/>
            </w:tcBorders>
          </w:tcPr>
          <w:p>
            <w:pPr>
              <w:pStyle w:val="TableParagraph"/>
              <w:spacing w:before="12"/>
              <w:jc w:val="left"/>
              <w:rPr>
                <w:sz w:val="14"/>
              </w:rPr>
            </w:pPr>
          </w:p>
          <w:p>
            <w:pPr>
              <w:pStyle w:val="TableParagraph"/>
              <w:ind w:left="879" w:right="847"/>
              <w:rPr>
                <w:sz w:val="21"/>
              </w:rPr>
            </w:pPr>
            <w:r>
              <w:rPr>
                <w:sz w:val="21"/>
              </w:rPr>
              <w:t>材料</w:t>
            </w:r>
          </w:p>
        </w:tc>
        <w:tc>
          <w:tcPr>
            <w:tcW w:w="2265" w:type="dxa"/>
            <w:gridSpan w:val="2"/>
            <w:tcBorders>
              <w:left w:val="single" w:sz="4" w:space="0" w:color="000000"/>
              <w:right w:val="single" w:sz="4" w:space="0" w:color="000000"/>
            </w:tcBorders>
          </w:tcPr>
          <w:p>
            <w:pPr>
              <w:pStyle w:val="TableParagraph"/>
              <w:spacing w:before="35"/>
              <w:ind w:left="26"/>
              <w:rPr>
                <w:rFonts w:ascii="Times New Roman" w:hAnsi="Times New Roman"/>
                <w:sz w:val="21"/>
              </w:rPr>
            </w:pPr>
            <w:r>
              <w:rPr>
                <w:rFonts w:ascii="Times New Roman" w:hAnsi="Times New Roman"/>
                <w:w w:val="99"/>
                <w:sz w:val="21"/>
              </w:rPr>
              <w:t>α</w:t>
            </w:r>
          </w:p>
        </w:tc>
        <w:tc>
          <w:tcPr>
            <w:tcW w:w="2287" w:type="dxa"/>
            <w:gridSpan w:val="2"/>
            <w:tcBorders>
              <w:left w:val="single" w:sz="4" w:space="0" w:color="000000"/>
              <w:right w:val="single" w:sz="4" w:space="0" w:color="000000"/>
            </w:tcBorders>
          </w:tcPr>
          <w:p>
            <w:pPr>
              <w:pStyle w:val="TableParagraph"/>
              <w:spacing w:before="35"/>
              <w:ind w:left="26"/>
              <w:rPr>
                <w:rFonts w:ascii="Times New Roman" w:hAnsi="Times New Roman"/>
                <w:sz w:val="21"/>
              </w:rPr>
            </w:pPr>
            <w:r>
              <w:rPr>
                <w:rFonts w:ascii="Times New Roman" w:hAnsi="Times New Roman"/>
                <w:w w:val="99"/>
                <w:sz w:val="21"/>
              </w:rPr>
              <w:t>β</w:t>
            </w:r>
          </w:p>
        </w:tc>
        <w:tc>
          <w:tcPr>
            <w:tcW w:w="2012" w:type="dxa"/>
            <w:gridSpan w:val="2"/>
            <w:tcBorders>
              <w:left w:val="single" w:sz="4" w:space="0" w:color="000000"/>
              <w:right w:val="nil"/>
            </w:tcBorders>
          </w:tcPr>
          <w:p>
            <w:pPr>
              <w:pStyle w:val="TableParagraph"/>
              <w:spacing w:before="35"/>
              <w:ind w:left="23"/>
              <w:rPr>
                <w:rFonts w:ascii="Times New Roman" w:hAnsi="Times New Roman"/>
                <w:sz w:val="21"/>
              </w:rPr>
            </w:pPr>
            <w:r>
              <w:rPr>
                <w:rFonts w:ascii="Times New Roman" w:hAnsi="Times New Roman"/>
                <w:w w:val="99"/>
                <w:sz w:val="21"/>
              </w:rPr>
              <w:t>γ</w:t>
            </w:r>
          </w:p>
        </w:tc>
      </w:tr>
      <w:tr>
        <w:trPr>
          <w:trHeight w:val="312" w:hRule="atLeast"/>
        </w:trPr>
        <w:tc>
          <w:tcPr>
            <w:tcW w:w="2276" w:type="dxa"/>
            <w:vMerge/>
            <w:tcBorders>
              <w:top w:val="nil"/>
              <w:left w:val="nil"/>
              <w:bottom w:val="single" w:sz="4" w:space="0" w:color="000000"/>
              <w:right w:val="single" w:sz="4" w:space="0" w:color="000000"/>
            </w:tcBorders>
          </w:tcPr>
          <w:p>
            <w:pPr>
              <w:rPr>
                <w:sz w:val="2"/>
                <w:szCs w:val="2"/>
              </w:rPr>
            </w:pPr>
          </w:p>
        </w:tc>
        <w:tc>
          <w:tcPr>
            <w:tcW w:w="1095" w:type="dxa"/>
            <w:tcBorders>
              <w:left w:val="single" w:sz="4" w:space="0" w:color="000000"/>
              <w:bottom w:val="single" w:sz="4" w:space="0" w:color="000000"/>
              <w:right w:val="single" w:sz="4" w:space="0" w:color="000000"/>
            </w:tcBorders>
          </w:tcPr>
          <w:p>
            <w:pPr>
              <w:pStyle w:val="TableParagraph"/>
              <w:spacing w:before="20"/>
              <w:ind w:left="128" w:right="102"/>
              <w:rPr>
                <w:sz w:val="21"/>
              </w:rPr>
            </w:pPr>
            <w:r>
              <w:rPr>
                <w:sz w:val="21"/>
              </w:rPr>
              <w:t>主束</w:t>
            </w:r>
          </w:p>
        </w:tc>
        <w:tc>
          <w:tcPr>
            <w:tcW w:w="1170" w:type="dxa"/>
            <w:tcBorders>
              <w:left w:val="single" w:sz="4" w:space="0" w:color="000000"/>
              <w:bottom w:val="single" w:sz="4" w:space="0" w:color="000000"/>
              <w:right w:val="single" w:sz="4" w:space="0" w:color="000000"/>
            </w:tcBorders>
          </w:tcPr>
          <w:p>
            <w:pPr>
              <w:pStyle w:val="TableParagraph"/>
              <w:spacing w:before="20"/>
              <w:ind w:left="334" w:right="308"/>
              <w:rPr>
                <w:sz w:val="21"/>
              </w:rPr>
            </w:pPr>
            <w:r>
              <w:rPr>
                <w:sz w:val="21"/>
              </w:rPr>
              <w:t>散射</w:t>
            </w:r>
          </w:p>
        </w:tc>
        <w:tc>
          <w:tcPr>
            <w:tcW w:w="1154" w:type="dxa"/>
            <w:tcBorders>
              <w:left w:val="single" w:sz="4" w:space="0" w:color="000000"/>
              <w:bottom w:val="single" w:sz="4" w:space="0" w:color="000000"/>
              <w:right w:val="single" w:sz="4" w:space="0" w:color="000000"/>
            </w:tcBorders>
          </w:tcPr>
          <w:p>
            <w:pPr>
              <w:pStyle w:val="TableParagraph"/>
              <w:spacing w:before="20"/>
              <w:ind w:left="327" w:right="301"/>
              <w:rPr>
                <w:sz w:val="21"/>
              </w:rPr>
            </w:pPr>
            <w:r>
              <w:rPr>
                <w:sz w:val="21"/>
              </w:rPr>
              <w:t>主束</w:t>
            </w:r>
          </w:p>
        </w:tc>
        <w:tc>
          <w:tcPr>
            <w:tcW w:w="1133" w:type="dxa"/>
            <w:tcBorders>
              <w:left w:val="single" w:sz="4" w:space="0" w:color="000000"/>
              <w:bottom w:val="single" w:sz="4" w:space="0" w:color="000000"/>
              <w:right w:val="single" w:sz="4" w:space="0" w:color="000000"/>
            </w:tcBorders>
          </w:tcPr>
          <w:p>
            <w:pPr>
              <w:pStyle w:val="TableParagraph"/>
              <w:spacing w:before="20"/>
              <w:ind w:left="364"/>
              <w:jc w:val="left"/>
              <w:rPr>
                <w:sz w:val="21"/>
              </w:rPr>
            </w:pPr>
            <w:r>
              <w:rPr>
                <w:sz w:val="21"/>
              </w:rPr>
              <w:t>散射</w:t>
            </w:r>
          </w:p>
        </w:tc>
        <w:tc>
          <w:tcPr>
            <w:tcW w:w="1056" w:type="dxa"/>
            <w:tcBorders>
              <w:left w:val="single" w:sz="4" w:space="0" w:color="000000"/>
              <w:bottom w:val="single" w:sz="4" w:space="0" w:color="000000"/>
              <w:right w:val="single" w:sz="4" w:space="0" w:color="000000"/>
            </w:tcBorders>
          </w:tcPr>
          <w:p>
            <w:pPr>
              <w:pStyle w:val="TableParagraph"/>
              <w:spacing w:before="20"/>
              <w:ind w:left="227" w:right="199"/>
              <w:rPr>
                <w:sz w:val="21"/>
              </w:rPr>
            </w:pPr>
            <w:r>
              <w:rPr>
                <w:sz w:val="21"/>
              </w:rPr>
              <w:t>主束</w:t>
            </w:r>
          </w:p>
        </w:tc>
        <w:tc>
          <w:tcPr>
            <w:tcW w:w="956" w:type="dxa"/>
            <w:tcBorders>
              <w:left w:val="single" w:sz="4" w:space="0" w:color="000000"/>
              <w:bottom w:val="single" w:sz="4" w:space="0" w:color="000000"/>
              <w:right w:val="nil"/>
            </w:tcBorders>
          </w:tcPr>
          <w:p>
            <w:pPr>
              <w:pStyle w:val="TableParagraph"/>
              <w:spacing w:before="20"/>
              <w:ind w:left="177" w:right="155"/>
              <w:rPr>
                <w:sz w:val="21"/>
              </w:rPr>
            </w:pPr>
            <w:r>
              <w:rPr>
                <w:sz w:val="21"/>
              </w:rPr>
              <w:t>散射</w:t>
            </w:r>
          </w:p>
        </w:tc>
      </w:tr>
      <w:tr>
        <w:trPr>
          <w:trHeight w:val="338" w:hRule="atLeast"/>
        </w:trPr>
        <w:tc>
          <w:tcPr>
            <w:tcW w:w="2276" w:type="dxa"/>
            <w:tcBorders>
              <w:top w:val="single" w:sz="4" w:space="0" w:color="000000"/>
              <w:left w:val="nil"/>
              <w:right w:val="single" w:sz="4" w:space="0" w:color="000000"/>
            </w:tcBorders>
          </w:tcPr>
          <w:p>
            <w:pPr>
              <w:pStyle w:val="TableParagraph"/>
              <w:spacing w:before="34"/>
              <w:ind w:left="30"/>
              <w:rPr>
                <w:sz w:val="21"/>
              </w:rPr>
            </w:pPr>
            <w:r>
              <w:rPr>
                <w:w w:val="99"/>
                <w:sz w:val="21"/>
              </w:rPr>
              <w:t>铅</w:t>
            </w:r>
          </w:p>
        </w:tc>
        <w:tc>
          <w:tcPr>
            <w:tcW w:w="1095" w:type="dxa"/>
            <w:tcBorders>
              <w:top w:val="single" w:sz="4" w:space="0" w:color="000000"/>
              <w:left w:val="single" w:sz="4" w:space="0" w:color="000000"/>
              <w:right w:val="single" w:sz="4" w:space="0" w:color="000000"/>
            </w:tcBorders>
          </w:tcPr>
          <w:p>
            <w:pPr>
              <w:pStyle w:val="TableParagraph"/>
              <w:spacing w:before="48"/>
              <w:ind w:left="128" w:right="99"/>
              <w:rPr>
                <w:rFonts w:ascii="Times New Roman"/>
                <w:sz w:val="21"/>
              </w:rPr>
            </w:pPr>
            <w:r>
              <w:rPr>
                <w:rFonts w:ascii="Times New Roman"/>
                <w:sz w:val="21"/>
              </w:rPr>
              <w:t>2.500</w:t>
            </w:r>
          </w:p>
        </w:tc>
        <w:tc>
          <w:tcPr>
            <w:tcW w:w="1170" w:type="dxa"/>
            <w:tcBorders>
              <w:top w:val="single" w:sz="4" w:space="0" w:color="000000"/>
              <w:left w:val="single" w:sz="4" w:space="0" w:color="000000"/>
              <w:right w:val="single" w:sz="4" w:space="0" w:color="000000"/>
            </w:tcBorders>
          </w:tcPr>
          <w:p>
            <w:pPr>
              <w:pStyle w:val="TableParagraph"/>
              <w:spacing w:before="48"/>
              <w:ind w:left="338" w:right="308"/>
              <w:rPr>
                <w:rFonts w:ascii="Times New Roman"/>
                <w:sz w:val="21"/>
              </w:rPr>
            </w:pPr>
            <w:r>
              <w:rPr>
                <w:rFonts w:ascii="Times New Roman"/>
                <w:sz w:val="21"/>
              </w:rPr>
              <w:t>2.507</w:t>
            </w:r>
          </w:p>
        </w:tc>
        <w:tc>
          <w:tcPr>
            <w:tcW w:w="1154" w:type="dxa"/>
            <w:tcBorders>
              <w:top w:val="single" w:sz="4" w:space="0" w:color="000000"/>
              <w:left w:val="single" w:sz="4" w:space="0" w:color="000000"/>
              <w:right w:val="single" w:sz="4" w:space="0" w:color="000000"/>
            </w:tcBorders>
          </w:tcPr>
          <w:p>
            <w:pPr>
              <w:pStyle w:val="TableParagraph"/>
              <w:spacing w:before="48"/>
              <w:ind w:left="330" w:right="301"/>
              <w:rPr>
                <w:rFonts w:ascii="Times New Roman"/>
                <w:sz w:val="21"/>
              </w:rPr>
            </w:pPr>
            <w:r>
              <w:rPr>
                <w:rFonts w:ascii="Times New Roman"/>
                <w:sz w:val="21"/>
              </w:rPr>
              <w:t>15.28</w:t>
            </w:r>
          </w:p>
        </w:tc>
        <w:tc>
          <w:tcPr>
            <w:tcW w:w="1133" w:type="dxa"/>
            <w:tcBorders>
              <w:top w:val="single" w:sz="4" w:space="0" w:color="000000"/>
              <w:left w:val="single" w:sz="4" w:space="0" w:color="000000"/>
              <w:right w:val="single" w:sz="4" w:space="0" w:color="000000"/>
            </w:tcBorders>
          </w:tcPr>
          <w:p>
            <w:pPr>
              <w:pStyle w:val="TableParagraph"/>
              <w:spacing w:before="48"/>
              <w:ind w:left="338"/>
              <w:jc w:val="left"/>
              <w:rPr>
                <w:rFonts w:ascii="Times New Roman"/>
                <w:sz w:val="21"/>
              </w:rPr>
            </w:pPr>
            <w:r>
              <w:rPr>
                <w:rFonts w:ascii="Times New Roman"/>
                <w:sz w:val="21"/>
              </w:rPr>
              <w:t>15.33</w:t>
            </w:r>
          </w:p>
        </w:tc>
        <w:tc>
          <w:tcPr>
            <w:tcW w:w="1056" w:type="dxa"/>
            <w:tcBorders>
              <w:top w:val="single" w:sz="4" w:space="0" w:color="000000"/>
              <w:left w:val="single" w:sz="4" w:space="0" w:color="000000"/>
              <w:right w:val="single" w:sz="4" w:space="0" w:color="000000"/>
            </w:tcBorders>
          </w:tcPr>
          <w:p>
            <w:pPr>
              <w:pStyle w:val="TableParagraph"/>
              <w:spacing w:before="48"/>
              <w:ind w:left="228" w:right="199"/>
              <w:rPr>
                <w:rFonts w:ascii="Times New Roman"/>
                <w:sz w:val="21"/>
              </w:rPr>
            </w:pPr>
            <w:r>
              <w:rPr>
                <w:rFonts w:ascii="Times New Roman"/>
                <w:sz w:val="21"/>
              </w:rPr>
              <w:t>0.7557</w:t>
            </w:r>
          </w:p>
        </w:tc>
        <w:tc>
          <w:tcPr>
            <w:tcW w:w="956" w:type="dxa"/>
            <w:tcBorders>
              <w:top w:val="single" w:sz="4" w:space="0" w:color="000000"/>
              <w:left w:val="single" w:sz="4" w:space="0" w:color="000000"/>
              <w:right w:val="nil"/>
            </w:tcBorders>
          </w:tcPr>
          <w:p>
            <w:pPr>
              <w:pStyle w:val="TableParagraph"/>
              <w:spacing w:before="48"/>
              <w:ind w:left="178" w:right="155"/>
              <w:rPr>
                <w:rFonts w:ascii="Times New Roman"/>
                <w:sz w:val="21"/>
              </w:rPr>
            </w:pPr>
            <w:r>
              <w:rPr>
                <w:rFonts w:ascii="Times New Roman"/>
                <w:sz w:val="21"/>
              </w:rPr>
              <w:t>0.9124</w:t>
            </w:r>
          </w:p>
        </w:tc>
      </w:tr>
    </w:tbl>
    <w:p>
      <w:pPr>
        <w:pStyle w:val="BodyText"/>
        <w:spacing w:before="82"/>
        <w:ind w:left="761"/>
      </w:pPr>
      <w:r>
        <w:rPr>
          <w:spacing w:val="-1"/>
        </w:rPr>
        <w:t>根据计算，</w:t>
      </w:r>
      <w:r>
        <w:rPr>
          <w:rFonts w:ascii="Times New Roman" w:eastAsia="Times New Roman"/>
        </w:rPr>
        <w:t>DSA</w:t>
      </w:r>
      <w:r>
        <w:rPr/>
        <w:t>机房不同防护措施对应的屏蔽透射因子见表</w:t>
      </w:r>
      <w:r>
        <w:rPr>
          <w:rFonts w:ascii="Times New Roman" w:eastAsia="Times New Roman"/>
        </w:rPr>
        <w:t>11-3</w:t>
      </w:r>
      <w:r>
        <w:rPr/>
        <w:t>。</w:t>
      </w:r>
    </w:p>
    <w:p>
      <w:pPr>
        <w:spacing w:before="99" w:after="24"/>
        <w:ind w:left="0" w:right="22" w:firstLine="0"/>
        <w:jc w:val="center"/>
        <w:rPr>
          <w:sz w:val="21"/>
        </w:rPr>
      </w:pPr>
      <w:r>
        <w:rPr>
          <w:sz w:val="21"/>
        </w:rPr>
        <w:t>表 </w:t>
      </w:r>
      <w:r>
        <w:rPr>
          <w:rFonts w:ascii="Times New Roman" w:eastAsia="Times New Roman"/>
          <w:b/>
          <w:sz w:val="21"/>
        </w:rPr>
        <w:t>11-3</w:t>
      </w:r>
      <w:r>
        <w:rPr>
          <w:rFonts w:ascii="Times New Roman" w:eastAsia="Times New Roman"/>
          <w:b/>
          <w:spacing w:val="1"/>
          <w:sz w:val="21"/>
        </w:rPr>
        <w:t> </w:t>
      </w:r>
      <w:r>
        <w:rPr>
          <w:rFonts w:ascii="Times New Roman" w:eastAsia="Times New Roman"/>
          <w:b/>
          <w:sz w:val="21"/>
        </w:rPr>
        <w:t>DSA</w:t>
      </w:r>
      <w:r>
        <w:rPr>
          <w:rFonts w:ascii="Times New Roman" w:eastAsia="Times New Roman"/>
          <w:b/>
          <w:spacing w:val="2"/>
          <w:sz w:val="21"/>
        </w:rPr>
        <w:t> </w:t>
      </w:r>
      <w:r>
        <w:rPr>
          <w:sz w:val="21"/>
        </w:rPr>
        <w:t>机房设计屏蔽参数及防护措施铅当量一览表</w:t>
      </w:r>
    </w:p>
    <w:tbl>
      <w:tblPr>
        <w:tblW w:w="0" w:type="auto"/>
        <w:jc w:val="left"/>
        <w:tblInd w:w="4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72"/>
        <w:gridCol w:w="2939"/>
        <w:gridCol w:w="1126"/>
        <w:gridCol w:w="1215"/>
        <w:gridCol w:w="1136"/>
        <w:gridCol w:w="1090"/>
      </w:tblGrid>
      <w:tr>
        <w:trPr>
          <w:trHeight w:val="302" w:hRule="atLeast"/>
        </w:trPr>
        <w:tc>
          <w:tcPr>
            <w:tcW w:w="1172" w:type="dxa"/>
            <w:vMerge w:val="restart"/>
            <w:tcBorders>
              <w:left w:val="nil"/>
              <w:right w:val="single" w:sz="4" w:space="0" w:color="000000"/>
            </w:tcBorders>
          </w:tcPr>
          <w:p>
            <w:pPr>
              <w:pStyle w:val="TableParagraph"/>
              <w:spacing w:before="3"/>
              <w:jc w:val="left"/>
              <w:rPr>
                <w:sz w:val="14"/>
              </w:rPr>
            </w:pPr>
          </w:p>
          <w:p>
            <w:pPr>
              <w:pStyle w:val="TableParagraph"/>
              <w:ind w:left="180"/>
              <w:jc w:val="left"/>
              <w:rPr>
                <w:sz w:val="21"/>
              </w:rPr>
            </w:pPr>
            <w:r>
              <w:rPr>
                <w:w w:val="95"/>
                <w:sz w:val="21"/>
              </w:rPr>
              <w:t>屏蔽方位</w:t>
            </w:r>
          </w:p>
        </w:tc>
        <w:tc>
          <w:tcPr>
            <w:tcW w:w="2939" w:type="dxa"/>
            <w:vMerge w:val="restart"/>
            <w:tcBorders>
              <w:left w:val="single" w:sz="4" w:space="0" w:color="000000"/>
              <w:right w:val="single" w:sz="4" w:space="0" w:color="000000"/>
            </w:tcBorders>
          </w:tcPr>
          <w:p>
            <w:pPr>
              <w:pStyle w:val="TableParagraph"/>
              <w:spacing w:before="3"/>
              <w:jc w:val="left"/>
              <w:rPr>
                <w:sz w:val="14"/>
              </w:rPr>
            </w:pPr>
          </w:p>
          <w:p>
            <w:pPr>
              <w:pStyle w:val="TableParagraph"/>
              <w:ind w:left="743"/>
              <w:jc w:val="left"/>
              <w:rPr>
                <w:sz w:val="21"/>
              </w:rPr>
            </w:pPr>
            <w:r>
              <w:rPr>
                <w:w w:val="95"/>
                <w:sz w:val="21"/>
              </w:rPr>
              <w:t>屏蔽材料与厚度</w:t>
            </w:r>
          </w:p>
        </w:tc>
        <w:tc>
          <w:tcPr>
            <w:tcW w:w="1126" w:type="dxa"/>
            <w:vMerge w:val="restart"/>
            <w:tcBorders>
              <w:left w:val="single" w:sz="4" w:space="0" w:color="000000"/>
              <w:right w:val="single" w:sz="4" w:space="0" w:color="000000"/>
            </w:tcBorders>
          </w:tcPr>
          <w:p>
            <w:pPr>
              <w:pStyle w:val="TableParagraph"/>
              <w:spacing w:before="26"/>
              <w:ind w:left="153" w:right="124"/>
              <w:rPr>
                <w:sz w:val="21"/>
              </w:rPr>
            </w:pPr>
            <w:r>
              <w:rPr>
                <w:w w:val="95"/>
                <w:sz w:val="21"/>
              </w:rPr>
              <w:t>等效铅当</w:t>
            </w:r>
          </w:p>
          <w:p>
            <w:pPr>
              <w:pStyle w:val="TableParagraph"/>
              <w:spacing w:before="43"/>
              <w:ind w:left="29"/>
              <w:rPr>
                <w:sz w:val="21"/>
              </w:rPr>
            </w:pPr>
            <w:r>
              <w:rPr>
                <w:w w:val="99"/>
                <w:sz w:val="21"/>
              </w:rPr>
              <w:t>量</w:t>
            </w:r>
          </w:p>
        </w:tc>
        <w:tc>
          <w:tcPr>
            <w:tcW w:w="1215" w:type="dxa"/>
            <w:vMerge w:val="restart"/>
            <w:tcBorders>
              <w:left w:val="single" w:sz="4" w:space="0" w:color="000000"/>
              <w:right w:val="single" w:sz="4" w:space="0" w:color="000000"/>
            </w:tcBorders>
          </w:tcPr>
          <w:p>
            <w:pPr>
              <w:pStyle w:val="TableParagraph"/>
              <w:spacing w:before="26"/>
              <w:ind w:left="196"/>
              <w:jc w:val="left"/>
              <w:rPr>
                <w:sz w:val="21"/>
              </w:rPr>
            </w:pPr>
            <w:r>
              <w:rPr>
                <w:w w:val="95"/>
                <w:sz w:val="21"/>
              </w:rPr>
              <w:t>屏蔽透射</w:t>
            </w:r>
          </w:p>
          <w:p>
            <w:pPr>
              <w:pStyle w:val="TableParagraph"/>
              <w:spacing w:before="43"/>
              <w:ind w:left="127"/>
              <w:jc w:val="left"/>
              <w:rPr>
                <w:rFonts w:ascii="Times New Roman" w:eastAsia="Times New Roman"/>
                <w:b/>
                <w:sz w:val="21"/>
              </w:rPr>
            </w:pPr>
            <w:r>
              <w:rPr>
                <w:sz w:val="21"/>
              </w:rPr>
              <w:t>因子</w:t>
            </w:r>
            <w:r>
              <w:rPr>
                <w:rFonts w:ascii="Times New Roman" w:eastAsia="Times New Roman"/>
                <w:b/>
                <w:sz w:val="21"/>
              </w:rPr>
              <w:t>(</w:t>
            </w:r>
            <w:r>
              <w:rPr>
                <w:sz w:val="21"/>
              </w:rPr>
              <w:t>透视</w:t>
            </w:r>
            <w:r>
              <w:rPr>
                <w:rFonts w:ascii="Times New Roman" w:eastAsia="Times New Roman"/>
                <w:b/>
                <w:sz w:val="21"/>
              </w:rPr>
              <w:t>)</w:t>
            </w:r>
          </w:p>
        </w:tc>
        <w:tc>
          <w:tcPr>
            <w:tcW w:w="2226" w:type="dxa"/>
            <w:gridSpan w:val="2"/>
            <w:tcBorders>
              <w:left w:val="single" w:sz="4" w:space="0" w:color="000000"/>
              <w:bottom w:val="single" w:sz="4" w:space="0" w:color="000000"/>
              <w:right w:val="nil"/>
            </w:tcBorders>
          </w:tcPr>
          <w:p>
            <w:pPr>
              <w:pStyle w:val="TableParagraph"/>
              <w:spacing w:line="261" w:lineRule="exact" w:before="21"/>
              <w:ind w:left="121" w:right="-15"/>
              <w:jc w:val="left"/>
              <w:rPr>
                <w:sz w:val="21"/>
              </w:rPr>
            </w:pPr>
            <w:r>
              <w:rPr>
                <w:w w:val="95"/>
                <w:sz w:val="21"/>
              </w:rPr>
              <w:t>屏蔽透射因子（拍片）</w:t>
            </w:r>
          </w:p>
        </w:tc>
      </w:tr>
      <w:tr>
        <w:trPr>
          <w:trHeight w:val="301" w:hRule="atLeast"/>
        </w:trPr>
        <w:tc>
          <w:tcPr>
            <w:tcW w:w="1172" w:type="dxa"/>
            <w:vMerge/>
            <w:tcBorders>
              <w:top w:val="nil"/>
              <w:left w:val="nil"/>
              <w:right w:val="single" w:sz="4" w:space="0" w:color="000000"/>
            </w:tcBorders>
          </w:tcPr>
          <w:p>
            <w:pPr>
              <w:rPr>
                <w:sz w:val="2"/>
                <w:szCs w:val="2"/>
              </w:rPr>
            </w:pPr>
          </w:p>
        </w:tc>
        <w:tc>
          <w:tcPr>
            <w:tcW w:w="2939" w:type="dxa"/>
            <w:vMerge/>
            <w:tcBorders>
              <w:top w:val="nil"/>
              <w:left w:val="single" w:sz="4" w:space="0" w:color="000000"/>
              <w:right w:val="single" w:sz="4" w:space="0" w:color="000000"/>
            </w:tcBorders>
          </w:tcPr>
          <w:p>
            <w:pPr>
              <w:rPr>
                <w:sz w:val="2"/>
                <w:szCs w:val="2"/>
              </w:rPr>
            </w:pPr>
          </w:p>
        </w:tc>
        <w:tc>
          <w:tcPr>
            <w:tcW w:w="1126" w:type="dxa"/>
            <w:vMerge/>
            <w:tcBorders>
              <w:top w:val="nil"/>
              <w:left w:val="single" w:sz="4" w:space="0" w:color="000000"/>
              <w:right w:val="single" w:sz="4" w:space="0" w:color="000000"/>
            </w:tcBorders>
          </w:tcPr>
          <w:p>
            <w:pPr>
              <w:rPr>
                <w:sz w:val="2"/>
                <w:szCs w:val="2"/>
              </w:rPr>
            </w:pPr>
          </w:p>
        </w:tc>
        <w:tc>
          <w:tcPr>
            <w:tcW w:w="1215" w:type="dxa"/>
            <w:vMerge/>
            <w:tcBorders>
              <w:top w:val="nil"/>
              <w:left w:val="single" w:sz="4" w:space="0" w:color="000000"/>
              <w:right w:val="single" w:sz="4" w:space="0" w:color="000000"/>
            </w:tcBorders>
          </w:tcPr>
          <w:p>
            <w:pPr>
              <w:rPr>
                <w:sz w:val="2"/>
                <w:szCs w:val="2"/>
              </w:rPr>
            </w:pPr>
          </w:p>
        </w:tc>
        <w:tc>
          <w:tcPr>
            <w:tcW w:w="1136" w:type="dxa"/>
            <w:tcBorders>
              <w:top w:val="single" w:sz="4" w:space="0" w:color="000000"/>
              <w:left w:val="single" w:sz="4" w:space="0" w:color="000000"/>
              <w:right w:val="single" w:sz="4" w:space="0" w:color="000000"/>
            </w:tcBorders>
          </w:tcPr>
          <w:p>
            <w:pPr>
              <w:pStyle w:val="TableParagraph"/>
              <w:spacing w:before="11"/>
              <w:ind w:left="366"/>
              <w:jc w:val="left"/>
              <w:rPr>
                <w:sz w:val="21"/>
              </w:rPr>
            </w:pPr>
            <w:r>
              <w:rPr>
                <w:sz w:val="21"/>
              </w:rPr>
              <w:t>主束</w:t>
            </w:r>
          </w:p>
        </w:tc>
        <w:tc>
          <w:tcPr>
            <w:tcW w:w="1090" w:type="dxa"/>
            <w:tcBorders>
              <w:top w:val="single" w:sz="4" w:space="0" w:color="000000"/>
              <w:left w:val="single" w:sz="4" w:space="0" w:color="000000"/>
              <w:right w:val="nil"/>
            </w:tcBorders>
          </w:tcPr>
          <w:p>
            <w:pPr>
              <w:pStyle w:val="TableParagraph"/>
              <w:spacing w:before="11"/>
              <w:ind w:left="127" w:right="104"/>
              <w:rPr>
                <w:sz w:val="21"/>
              </w:rPr>
            </w:pPr>
            <w:r>
              <w:rPr>
                <w:sz w:val="21"/>
              </w:rPr>
              <w:t>散射</w:t>
            </w:r>
          </w:p>
        </w:tc>
      </w:tr>
      <w:tr>
        <w:trPr>
          <w:trHeight w:val="624" w:hRule="atLeast"/>
        </w:trPr>
        <w:tc>
          <w:tcPr>
            <w:tcW w:w="1172" w:type="dxa"/>
            <w:tcBorders>
              <w:left w:val="nil"/>
              <w:bottom w:val="single" w:sz="4" w:space="0" w:color="000000"/>
              <w:right w:val="single" w:sz="4" w:space="0" w:color="000000"/>
            </w:tcBorders>
          </w:tcPr>
          <w:p>
            <w:pPr>
              <w:pStyle w:val="TableParagraph"/>
              <w:spacing w:before="178"/>
              <w:ind w:left="122" w:right="91"/>
              <w:rPr>
                <w:sz w:val="21"/>
              </w:rPr>
            </w:pPr>
            <w:r>
              <w:rPr>
                <w:sz w:val="21"/>
              </w:rPr>
              <w:t>四周墙体</w:t>
            </w:r>
          </w:p>
        </w:tc>
        <w:tc>
          <w:tcPr>
            <w:tcW w:w="2939" w:type="dxa"/>
            <w:tcBorders>
              <w:left w:val="single" w:sz="4" w:space="0" w:color="000000"/>
              <w:bottom w:val="single" w:sz="4" w:space="0" w:color="000000"/>
              <w:right w:val="single" w:sz="4" w:space="0" w:color="000000"/>
            </w:tcBorders>
          </w:tcPr>
          <w:p>
            <w:pPr>
              <w:pStyle w:val="TableParagraph"/>
              <w:spacing w:before="22"/>
              <w:ind w:left="77" w:right="48"/>
              <w:rPr>
                <w:sz w:val="21"/>
              </w:rPr>
            </w:pPr>
            <w:r>
              <w:rPr>
                <w:rFonts w:ascii="Times New Roman" w:eastAsia="Times New Roman"/>
                <w:sz w:val="21"/>
              </w:rPr>
              <w:t>240mm</w:t>
            </w:r>
            <w:r>
              <w:rPr>
                <w:sz w:val="21"/>
              </w:rPr>
              <w:t>厚实心砖墙</w:t>
            </w:r>
            <w:r>
              <w:rPr>
                <w:rFonts w:ascii="Times New Roman" w:eastAsia="Times New Roman"/>
                <w:sz w:val="21"/>
              </w:rPr>
              <w:t>+20mm</w:t>
            </w:r>
            <w:r>
              <w:rPr>
                <w:sz w:val="21"/>
              </w:rPr>
              <w:t>厚</w:t>
            </w:r>
          </w:p>
          <w:p>
            <w:pPr>
              <w:pStyle w:val="TableParagraph"/>
              <w:spacing w:before="43"/>
              <w:ind w:left="74" w:right="48"/>
              <w:rPr>
                <w:sz w:val="21"/>
              </w:rPr>
            </w:pPr>
            <w:r>
              <w:rPr>
                <w:sz w:val="21"/>
              </w:rPr>
              <w:t>射线防护复合微晶石板</w:t>
            </w:r>
          </w:p>
        </w:tc>
        <w:tc>
          <w:tcPr>
            <w:tcW w:w="1126" w:type="dxa"/>
            <w:tcBorders>
              <w:left w:val="single" w:sz="4" w:space="0" w:color="000000"/>
              <w:bottom w:val="single" w:sz="4" w:space="0" w:color="000000"/>
              <w:right w:val="single" w:sz="4" w:space="0" w:color="000000"/>
            </w:tcBorders>
          </w:tcPr>
          <w:p>
            <w:pPr>
              <w:pStyle w:val="TableParagraph"/>
              <w:spacing w:before="192"/>
              <w:ind w:left="146" w:right="118"/>
              <w:rPr>
                <w:rFonts w:ascii="Times New Roman"/>
                <w:sz w:val="21"/>
              </w:rPr>
            </w:pPr>
            <w:r>
              <w:rPr>
                <w:rFonts w:ascii="Times New Roman"/>
                <w:sz w:val="21"/>
              </w:rPr>
              <w:t>4.9mmPb</w:t>
            </w:r>
          </w:p>
        </w:tc>
        <w:tc>
          <w:tcPr>
            <w:tcW w:w="1215" w:type="dxa"/>
            <w:tcBorders>
              <w:left w:val="single" w:sz="4" w:space="0" w:color="000000"/>
              <w:bottom w:val="single" w:sz="4" w:space="0" w:color="000000"/>
              <w:right w:val="single" w:sz="4" w:space="0" w:color="000000"/>
            </w:tcBorders>
          </w:tcPr>
          <w:p>
            <w:pPr>
              <w:pStyle w:val="TableParagraph"/>
              <w:spacing w:before="192"/>
              <w:ind w:left="211"/>
              <w:jc w:val="left"/>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136" w:type="dxa"/>
            <w:tcBorders>
              <w:left w:val="single" w:sz="4" w:space="0" w:color="000000"/>
              <w:bottom w:val="single" w:sz="4" w:space="0" w:color="000000"/>
              <w:right w:val="single" w:sz="4" w:space="0" w:color="000000"/>
            </w:tcBorders>
          </w:tcPr>
          <w:p>
            <w:pPr>
              <w:pStyle w:val="TableParagraph"/>
              <w:spacing w:before="192"/>
              <w:ind w:right="141"/>
              <w:jc w:val="right"/>
              <w:rPr>
                <w:rFonts w:ascii="Times New Roman" w:hAnsi="Times New Roman"/>
                <w:sz w:val="21"/>
              </w:rPr>
            </w:pPr>
            <w:r>
              <w:rPr>
                <w:rFonts w:ascii="Times New Roman" w:hAnsi="Times New Roman"/>
                <w:sz w:val="21"/>
              </w:rPr>
              <w:t>3.57×10</w:t>
            </w:r>
            <w:r>
              <w:rPr>
                <w:rFonts w:ascii="Times New Roman" w:hAnsi="Times New Roman"/>
                <w:sz w:val="21"/>
                <w:vertAlign w:val="superscript"/>
              </w:rPr>
              <w:t>-7</w:t>
            </w:r>
          </w:p>
        </w:tc>
        <w:tc>
          <w:tcPr>
            <w:tcW w:w="1090" w:type="dxa"/>
            <w:tcBorders>
              <w:left w:val="single" w:sz="4" w:space="0" w:color="000000"/>
              <w:bottom w:val="single" w:sz="4" w:space="0" w:color="000000"/>
              <w:right w:val="nil"/>
            </w:tcBorders>
          </w:tcPr>
          <w:p>
            <w:pPr>
              <w:pStyle w:val="TableParagraph"/>
              <w:spacing w:before="192"/>
              <w:ind w:left="128" w:right="104"/>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r>
      <w:tr>
        <w:trPr>
          <w:trHeight w:val="624" w:hRule="atLeast"/>
        </w:trPr>
        <w:tc>
          <w:tcPr>
            <w:tcW w:w="1172" w:type="dxa"/>
            <w:tcBorders>
              <w:top w:val="single" w:sz="4" w:space="0" w:color="000000"/>
              <w:left w:val="nil"/>
              <w:bottom w:val="single" w:sz="4" w:space="0" w:color="000000"/>
              <w:right w:val="single" w:sz="4" w:space="0" w:color="000000"/>
            </w:tcBorders>
          </w:tcPr>
          <w:p>
            <w:pPr>
              <w:pStyle w:val="TableParagraph"/>
              <w:spacing w:before="178"/>
              <w:ind w:left="122" w:right="93"/>
              <w:rPr>
                <w:sz w:val="21"/>
              </w:rPr>
            </w:pPr>
            <w:r>
              <w:rPr>
                <w:sz w:val="21"/>
              </w:rPr>
              <w:t>顶部</w:t>
            </w:r>
          </w:p>
        </w:tc>
        <w:tc>
          <w:tcPr>
            <w:tcW w:w="2939" w:type="dxa"/>
            <w:tcBorders>
              <w:top w:val="single" w:sz="4" w:space="0" w:color="000000"/>
              <w:left w:val="single" w:sz="4" w:space="0" w:color="000000"/>
              <w:bottom w:val="single" w:sz="4" w:space="0" w:color="000000"/>
              <w:right w:val="single" w:sz="4" w:space="0" w:color="000000"/>
            </w:tcBorders>
          </w:tcPr>
          <w:p>
            <w:pPr>
              <w:pStyle w:val="TableParagraph"/>
              <w:spacing w:before="22"/>
              <w:ind w:left="77" w:right="48"/>
              <w:rPr>
                <w:sz w:val="21"/>
              </w:rPr>
            </w:pPr>
            <w:r>
              <w:rPr>
                <w:rFonts w:ascii="Times New Roman" w:eastAsia="Times New Roman"/>
                <w:sz w:val="21"/>
              </w:rPr>
              <w:t>150mm</w:t>
            </w:r>
            <w:r>
              <w:rPr>
                <w:sz w:val="21"/>
              </w:rPr>
              <w:t>厚混凝土</w:t>
            </w:r>
            <w:r>
              <w:rPr>
                <w:rFonts w:ascii="Times New Roman" w:eastAsia="Times New Roman"/>
                <w:sz w:val="21"/>
              </w:rPr>
              <w:t>+20mm</w:t>
            </w:r>
            <w:r>
              <w:rPr>
                <w:sz w:val="21"/>
              </w:rPr>
              <w:t>厚射</w:t>
            </w:r>
          </w:p>
          <w:p>
            <w:pPr>
              <w:pStyle w:val="TableParagraph"/>
              <w:spacing w:before="42"/>
              <w:ind w:left="72" w:right="48"/>
              <w:rPr>
                <w:sz w:val="21"/>
              </w:rPr>
            </w:pPr>
            <w:r>
              <w:rPr>
                <w:sz w:val="21"/>
              </w:rPr>
              <w:t>线防护复合微晶石板</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191"/>
              <w:ind w:left="146" w:right="118"/>
              <w:rPr>
                <w:rFonts w:ascii="Times New Roman"/>
                <w:sz w:val="21"/>
              </w:rPr>
            </w:pPr>
            <w:r>
              <w:rPr>
                <w:rFonts w:ascii="Times New Roman"/>
                <w:sz w:val="21"/>
              </w:rPr>
              <w:t>4.5mmPb</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91"/>
              <w:ind w:left="211"/>
              <w:jc w:val="left"/>
              <w:rPr>
                <w:rFonts w:ascii="Times New Roman" w:hAnsi="Times New Roman"/>
                <w:sz w:val="21"/>
              </w:rPr>
            </w:pPr>
            <w:r>
              <w:rPr>
                <w:rFonts w:ascii="Times New Roman" w:hAnsi="Times New Roman"/>
                <w:sz w:val="21"/>
              </w:rPr>
              <w:t>7.96×10</w:t>
            </w:r>
            <w:r>
              <w:rPr>
                <w:rFonts w:ascii="Times New Roman" w:hAnsi="Times New Roman"/>
                <w:sz w:val="21"/>
                <w:vertAlign w:val="superscript"/>
              </w:rPr>
              <w:t>-8</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91"/>
              <w:ind w:right="194"/>
              <w:jc w:val="right"/>
              <w:rPr>
                <w:rFonts w:ascii="Times New Roman" w:hAnsi="Times New Roman"/>
                <w:sz w:val="21"/>
              </w:rPr>
            </w:pPr>
            <w:r>
              <w:rPr>
                <w:rFonts w:ascii="Times New Roman" w:hAnsi="Times New Roman"/>
                <w:sz w:val="21"/>
              </w:rPr>
              <w:t>9.7×10</w:t>
            </w:r>
            <w:r>
              <w:rPr>
                <w:rFonts w:ascii="Times New Roman" w:hAnsi="Times New Roman"/>
                <w:sz w:val="21"/>
                <w:vertAlign w:val="superscript"/>
              </w:rPr>
              <w:t>-7</w:t>
            </w:r>
          </w:p>
        </w:tc>
        <w:tc>
          <w:tcPr>
            <w:tcW w:w="1090" w:type="dxa"/>
            <w:tcBorders>
              <w:top w:val="single" w:sz="4" w:space="0" w:color="000000"/>
              <w:left w:val="single" w:sz="4" w:space="0" w:color="000000"/>
              <w:bottom w:val="single" w:sz="4" w:space="0" w:color="000000"/>
              <w:right w:val="nil"/>
            </w:tcBorders>
          </w:tcPr>
          <w:p>
            <w:pPr>
              <w:pStyle w:val="TableParagraph"/>
              <w:spacing w:before="191"/>
              <w:ind w:left="128" w:right="104"/>
              <w:rPr>
                <w:rFonts w:ascii="Times New Roman" w:hAnsi="Times New Roman"/>
                <w:sz w:val="21"/>
              </w:rPr>
            </w:pPr>
            <w:r>
              <w:rPr>
                <w:rFonts w:ascii="Times New Roman" w:hAnsi="Times New Roman"/>
                <w:sz w:val="21"/>
              </w:rPr>
              <w:t>1.47×10</w:t>
            </w:r>
            <w:r>
              <w:rPr>
                <w:rFonts w:ascii="Times New Roman" w:hAnsi="Times New Roman"/>
                <w:sz w:val="21"/>
                <w:vertAlign w:val="superscript"/>
              </w:rPr>
              <w:t>-6</w:t>
            </w:r>
          </w:p>
        </w:tc>
      </w:tr>
      <w:tr>
        <w:trPr>
          <w:trHeight w:val="624" w:hRule="atLeast"/>
        </w:trPr>
        <w:tc>
          <w:tcPr>
            <w:tcW w:w="1172" w:type="dxa"/>
            <w:tcBorders>
              <w:top w:val="single" w:sz="4" w:space="0" w:color="000000"/>
              <w:left w:val="nil"/>
              <w:bottom w:val="single" w:sz="4" w:space="0" w:color="000000"/>
              <w:right w:val="single" w:sz="4" w:space="0" w:color="000000"/>
            </w:tcBorders>
          </w:tcPr>
          <w:p>
            <w:pPr>
              <w:pStyle w:val="TableParagraph"/>
              <w:spacing w:before="177"/>
              <w:ind w:left="122" w:right="93"/>
              <w:rPr>
                <w:sz w:val="21"/>
              </w:rPr>
            </w:pPr>
            <w:r>
              <w:rPr>
                <w:sz w:val="21"/>
              </w:rPr>
              <w:t>地面</w:t>
            </w:r>
          </w:p>
        </w:tc>
        <w:tc>
          <w:tcPr>
            <w:tcW w:w="2939" w:type="dxa"/>
            <w:tcBorders>
              <w:top w:val="single" w:sz="4" w:space="0" w:color="000000"/>
              <w:left w:val="single" w:sz="4" w:space="0" w:color="000000"/>
              <w:bottom w:val="single" w:sz="4" w:space="0" w:color="000000"/>
              <w:right w:val="single" w:sz="4" w:space="0" w:color="000000"/>
            </w:tcBorders>
          </w:tcPr>
          <w:p>
            <w:pPr>
              <w:pStyle w:val="TableParagraph"/>
              <w:spacing w:before="21"/>
              <w:ind w:left="79" w:right="48"/>
              <w:rPr>
                <w:sz w:val="21"/>
              </w:rPr>
            </w:pPr>
            <w:r>
              <w:rPr>
                <w:rFonts w:ascii="Times New Roman" w:eastAsia="Times New Roman"/>
                <w:spacing w:val="-1"/>
                <w:sz w:val="21"/>
              </w:rPr>
              <w:t>150mm</w:t>
            </w:r>
            <w:r>
              <w:rPr>
                <w:sz w:val="21"/>
              </w:rPr>
              <w:t>厚混凝土</w:t>
            </w:r>
            <w:r>
              <w:rPr>
                <w:rFonts w:ascii="Times New Roman" w:eastAsia="Times New Roman"/>
                <w:sz w:val="21"/>
              </w:rPr>
              <w:t>+30mm</w:t>
            </w:r>
            <w:r>
              <w:rPr>
                <w:sz w:val="21"/>
              </w:rPr>
              <w:t>厚、密</w:t>
            </w:r>
          </w:p>
          <w:p>
            <w:pPr>
              <w:pStyle w:val="TableParagraph"/>
              <w:spacing w:before="43"/>
              <w:ind w:left="74" w:right="48"/>
              <w:rPr>
                <w:sz w:val="21"/>
              </w:rPr>
            </w:pPr>
            <w:r>
              <w:rPr>
                <w:sz w:val="21"/>
              </w:rPr>
              <w:t>度为</w:t>
            </w:r>
            <w:r>
              <w:rPr>
                <w:rFonts w:ascii="Times New Roman" w:eastAsia="Times New Roman"/>
                <w:sz w:val="21"/>
              </w:rPr>
              <w:t>3.2g/cm</w:t>
            </w:r>
            <w:r>
              <w:rPr>
                <w:rFonts w:ascii="Times New Roman" w:eastAsia="Times New Roman"/>
                <w:sz w:val="21"/>
                <w:vertAlign w:val="superscript"/>
              </w:rPr>
              <w:t>3</w:t>
            </w:r>
            <w:r>
              <w:rPr>
                <w:sz w:val="21"/>
                <w:vertAlign w:val="baseline"/>
              </w:rPr>
              <w:t>硫酸钡砂浆</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191"/>
              <w:ind w:left="146" w:right="118"/>
              <w:rPr>
                <w:rFonts w:ascii="Times New Roman"/>
                <w:sz w:val="21"/>
              </w:rPr>
            </w:pPr>
            <w:r>
              <w:rPr>
                <w:rFonts w:ascii="Times New Roman"/>
                <w:sz w:val="21"/>
              </w:rPr>
              <w:t>3.6mmPb</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191"/>
              <w:ind w:left="211"/>
              <w:jc w:val="left"/>
              <w:rPr>
                <w:rFonts w:ascii="Times New Roman" w:hAnsi="Times New Roman"/>
                <w:sz w:val="13"/>
              </w:rPr>
            </w:pPr>
            <w:r>
              <w:rPr>
                <w:rFonts w:ascii="Times New Roman" w:hAnsi="Times New Roman"/>
                <w:sz w:val="21"/>
              </w:rPr>
              <w:t>1.26×10</w:t>
            </w:r>
            <w:r>
              <w:rPr>
                <w:rFonts w:ascii="Times New Roman" w:hAnsi="Times New Roman"/>
                <w:position w:val="7"/>
                <w:sz w:val="13"/>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91"/>
              <w:ind w:right="141"/>
              <w:jc w:val="right"/>
              <w:rPr>
                <w:rFonts w:ascii="Times New Roman" w:hAnsi="Times New Roman"/>
                <w:sz w:val="13"/>
              </w:rPr>
            </w:pPr>
            <w:r>
              <w:rPr>
                <w:rFonts w:ascii="Times New Roman" w:hAnsi="Times New Roman"/>
                <w:sz w:val="21"/>
              </w:rPr>
              <w:t>9.21×10</w:t>
            </w:r>
            <w:r>
              <w:rPr>
                <w:rFonts w:ascii="Times New Roman" w:hAnsi="Times New Roman"/>
                <w:position w:val="7"/>
                <w:sz w:val="13"/>
              </w:rPr>
              <w:t>-6</w:t>
            </w:r>
          </w:p>
        </w:tc>
        <w:tc>
          <w:tcPr>
            <w:tcW w:w="1090" w:type="dxa"/>
            <w:tcBorders>
              <w:top w:val="single" w:sz="4" w:space="0" w:color="000000"/>
              <w:left w:val="single" w:sz="4" w:space="0" w:color="000000"/>
              <w:bottom w:val="single" w:sz="4" w:space="0" w:color="000000"/>
              <w:right w:val="nil"/>
            </w:tcBorders>
          </w:tcPr>
          <w:p>
            <w:pPr>
              <w:pStyle w:val="TableParagraph"/>
              <w:spacing w:before="191"/>
              <w:ind w:left="128" w:right="104"/>
              <w:rPr>
                <w:rFonts w:ascii="Times New Roman" w:hAnsi="Times New Roman"/>
                <w:sz w:val="13"/>
              </w:rPr>
            </w:pPr>
            <w:r>
              <w:rPr>
                <w:rFonts w:ascii="Times New Roman" w:hAnsi="Times New Roman"/>
                <w:sz w:val="21"/>
              </w:rPr>
              <w:t>1.4×10</w:t>
            </w:r>
            <w:r>
              <w:rPr>
                <w:rFonts w:ascii="Times New Roman" w:hAnsi="Times New Roman"/>
                <w:position w:val="7"/>
                <w:sz w:val="13"/>
              </w:rPr>
              <w:t>-5</w:t>
            </w:r>
          </w:p>
        </w:tc>
      </w:tr>
      <w:tr>
        <w:trPr>
          <w:trHeight w:val="311" w:hRule="atLeast"/>
        </w:trPr>
        <w:tc>
          <w:tcPr>
            <w:tcW w:w="1172" w:type="dxa"/>
            <w:tcBorders>
              <w:top w:val="single" w:sz="4" w:space="0" w:color="000000"/>
              <w:left w:val="nil"/>
              <w:bottom w:val="single" w:sz="4" w:space="0" w:color="000000"/>
              <w:right w:val="single" w:sz="4" w:space="0" w:color="000000"/>
            </w:tcBorders>
          </w:tcPr>
          <w:p>
            <w:pPr>
              <w:pStyle w:val="TableParagraph"/>
              <w:spacing w:before="21"/>
              <w:ind w:left="122" w:right="89"/>
              <w:rPr>
                <w:sz w:val="21"/>
              </w:rPr>
            </w:pPr>
            <w:r>
              <w:rPr>
                <w:sz w:val="21"/>
              </w:rPr>
              <w:t>防护门</w:t>
            </w:r>
          </w:p>
        </w:tc>
        <w:tc>
          <w:tcPr>
            <w:tcW w:w="2939" w:type="dxa"/>
            <w:tcBorders>
              <w:top w:val="single" w:sz="4" w:space="0" w:color="000000"/>
              <w:left w:val="single" w:sz="4" w:space="0" w:color="000000"/>
              <w:bottom w:val="single" w:sz="4" w:space="0" w:color="000000"/>
              <w:right w:val="single" w:sz="4" w:space="0" w:color="000000"/>
            </w:tcBorders>
          </w:tcPr>
          <w:p>
            <w:pPr>
              <w:pStyle w:val="TableParagraph"/>
              <w:spacing w:before="21"/>
              <w:ind w:left="74" w:right="48"/>
              <w:rPr>
                <w:sz w:val="21"/>
              </w:rPr>
            </w:pPr>
            <w:r>
              <w:rPr>
                <w:rFonts w:ascii="Times New Roman" w:eastAsia="Times New Roman"/>
                <w:sz w:val="21"/>
              </w:rPr>
              <w:t>4mm</w:t>
            </w:r>
            <w:r>
              <w:rPr>
                <w:sz w:val="21"/>
              </w:rPr>
              <w:t>铅当量铅门</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35"/>
              <w:ind w:left="144" w:right="118"/>
              <w:rPr>
                <w:rFonts w:ascii="Times New Roman"/>
                <w:sz w:val="21"/>
              </w:rPr>
            </w:pPr>
            <w:r>
              <w:rPr>
                <w:rFonts w:ascii="Times New Roman"/>
                <w:sz w:val="21"/>
              </w:rPr>
              <w:t>4mmPb</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35"/>
              <w:ind w:left="211"/>
              <w:jc w:val="left"/>
              <w:rPr>
                <w:rFonts w:ascii="Times New Roman" w:hAnsi="Times New Roman"/>
                <w:sz w:val="13"/>
              </w:rPr>
            </w:pPr>
            <w:r>
              <w:rPr>
                <w:rFonts w:ascii="Times New Roman" w:hAnsi="Times New Roman"/>
                <w:sz w:val="21"/>
              </w:rPr>
              <w:t>3.69×10</w:t>
            </w:r>
            <w:r>
              <w:rPr>
                <w:rFonts w:ascii="Times New Roman" w:hAnsi="Times New Roman"/>
                <w:position w:val="7"/>
                <w:sz w:val="13"/>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5"/>
              <w:ind w:right="141"/>
              <w:jc w:val="right"/>
              <w:rPr>
                <w:rFonts w:ascii="Times New Roman" w:hAnsi="Times New Roman"/>
                <w:sz w:val="13"/>
              </w:rPr>
            </w:pPr>
            <w:r>
              <w:rPr>
                <w:rFonts w:ascii="Times New Roman" w:hAnsi="Times New Roman"/>
                <w:sz w:val="21"/>
              </w:rPr>
              <w:t>3.39×10</w:t>
            </w:r>
            <w:r>
              <w:rPr>
                <w:rFonts w:ascii="Times New Roman" w:hAnsi="Times New Roman"/>
                <w:position w:val="7"/>
                <w:sz w:val="13"/>
              </w:rPr>
              <w:t>-6</w:t>
            </w:r>
          </w:p>
        </w:tc>
        <w:tc>
          <w:tcPr>
            <w:tcW w:w="1090" w:type="dxa"/>
            <w:tcBorders>
              <w:top w:val="single" w:sz="4" w:space="0" w:color="000000"/>
              <w:left w:val="single" w:sz="4" w:space="0" w:color="000000"/>
              <w:bottom w:val="single" w:sz="4" w:space="0" w:color="000000"/>
              <w:right w:val="nil"/>
            </w:tcBorders>
          </w:tcPr>
          <w:p>
            <w:pPr>
              <w:pStyle w:val="TableParagraph"/>
              <w:spacing w:before="35"/>
              <w:ind w:left="128" w:right="104"/>
              <w:rPr>
                <w:rFonts w:ascii="Times New Roman" w:hAnsi="Times New Roman"/>
                <w:sz w:val="13"/>
              </w:rPr>
            </w:pPr>
            <w:r>
              <w:rPr>
                <w:rFonts w:ascii="Times New Roman" w:hAnsi="Times New Roman"/>
                <w:sz w:val="21"/>
              </w:rPr>
              <w:t>5.14×10</w:t>
            </w:r>
            <w:r>
              <w:rPr>
                <w:rFonts w:ascii="Times New Roman" w:hAnsi="Times New Roman"/>
                <w:position w:val="7"/>
                <w:sz w:val="13"/>
              </w:rPr>
              <w:t>-6</w:t>
            </w:r>
          </w:p>
        </w:tc>
      </w:tr>
      <w:tr>
        <w:trPr>
          <w:trHeight w:val="312" w:hRule="atLeast"/>
        </w:trPr>
        <w:tc>
          <w:tcPr>
            <w:tcW w:w="1172" w:type="dxa"/>
            <w:tcBorders>
              <w:top w:val="single" w:sz="4" w:space="0" w:color="000000"/>
              <w:left w:val="nil"/>
              <w:bottom w:val="single" w:sz="4" w:space="0" w:color="000000"/>
              <w:right w:val="single" w:sz="4" w:space="0" w:color="000000"/>
            </w:tcBorders>
          </w:tcPr>
          <w:p>
            <w:pPr>
              <w:pStyle w:val="TableParagraph"/>
              <w:spacing w:before="20"/>
              <w:ind w:left="122" w:right="89"/>
              <w:rPr>
                <w:sz w:val="21"/>
              </w:rPr>
            </w:pPr>
            <w:r>
              <w:rPr>
                <w:sz w:val="21"/>
              </w:rPr>
              <w:t>防护窗</w:t>
            </w:r>
          </w:p>
        </w:tc>
        <w:tc>
          <w:tcPr>
            <w:tcW w:w="2939" w:type="dxa"/>
            <w:tcBorders>
              <w:top w:val="single" w:sz="4" w:space="0" w:color="000000"/>
              <w:left w:val="single" w:sz="4" w:space="0" w:color="000000"/>
              <w:bottom w:val="single" w:sz="4" w:space="0" w:color="000000"/>
              <w:right w:val="single" w:sz="4" w:space="0" w:color="000000"/>
            </w:tcBorders>
          </w:tcPr>
          <w:p>
            <w:pPr>
              <w:pStyle w:val="TableParagraph"/>
              <w:spacing w:before="20"/>
              <w:ind w:left="74" w:right="48"/>
              <w:rPr>
                <w:sz w:val="21"/>
              </w:rPr>
            </w:pPr>
            <w:r>
              <w:rPr>
                <w:rFonts w:ascii="Times New Roman" w:eastAsia="Times New Roman"/>
                <w:sz w:val="21"/>
              </w:rPr>
              <w:t>4mm</w:t>
            </w:r>
            <w:r>
              <w:rPr>
                <w:sz w:val="21"/>
              </w:rPr>
              <w:t>铅当量的铅玻璃</w:t>
            </w:r>
          </w:p>
        </w:tc>
        <w:tc>
          <w:tcPr>
            <w:tcW w:w="1126" w:type="dxa"/>
            <w:tcBorders>
              <w:top w:val="single" w:sz="4" w:space="0" w:color="000000"/>
              <w:left w:val="single" w:sz="4" w:space="0" w:color="000000"/>
              <w:bottom w:val="single" w:sz="4" w:space="0" w:color="000000"/>
              <w:right w:val="single" w:sz="4" w:space="0" w:color="000000"/>
            </w:tcBorders>
          </w:tcPr>
          <w:p>
            <w:pPr>
              <w:pStyle w:val="TableParagraph"/>
              <w:spacing w:before="34"/>
              <w:ind w:left="144" w:right="118"/>
              <w:rPr>
                <w:rFonts w:ascii="Times New Roman"/>
                <w:sz w:val="21"/>
              </w:rPr>
            </w:pPr>
            <w:r>
              <w:rPr>
                <w:rFonts w:ascii="Times New Roman"/>
                <w:sz w:val="21"/>
              </w:rPr>
              <w:t>4mmPb</w:t>
            </w:r>
          </w:p>
        </w:tc>
        <w:tc>
          <w:tcPr>
            <w:tcW w:w="1215" w:type="dxa"/>
            <w:tcBorders>
              <w:top w:val="single" w:sz="4" w:space="0" w:color="000000"/>
              <w:left w:val="single" w:sz="4" w:space="0" w:color="000000"/>
              <w:bottom w:val="single" w:sz="4" w:space="0" w:color="000000"/>
              <w:right w:val="single" w:sz="4" w:space="0" w:color="000000"/>
            </w:tcBorders>
          </w:tcPr>
          <w:p>
            <w:pPr>
              <w:pStyle w:val="TableParagraph"/>
              <w:spacing w:before="37"/>
              <w:ind w:left="211"/>
              <w:jc w:val="left"/>
              <w:rPr>
                <w:rFonts w:ascii="Times New Roman" w:hAnsi="Times New Roman"/>
                <w:sz w:val="21"/>
              </w:rPr>
            </w:pPr>
            <w:r>
              <w:rPr>
                <w:rFonts w:ascii="Times New Roman" w:hAnsi="Times New Roman"/>
                <w:sz w:val="21"/>
              </w:rPr>
              <w:t>3.69×10</w:t>
            </w:r>
            <w:r>
              <w:rPr>
                <w:rFonts w:ascii="Times New Roman" w:hAnsi="Times New Roman"/>
                <w:sz w:val="21"/>
                <w:vertAlign w:val="superscript"/>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7"/>
              <w:ind w:right="141"/>
              <w:jc w:val="right"/>
              <w:rPr>
                <w:rFonts w:ascii="Times New Roman" w:hAnsi="Times New Roman"/>
                <w:sz w:val="21"/>
              </w:rPr>
            </w:pPr>
            <w:r>
              <w:rPr>
                <w:rFonts w:ascii="Times New Roman" w:hAnsi="Times New Roman"/>
                <w:sz w:val="21"/>
              </w:rPr>
              <w:t>3.39×10</w:t>
            </w:r>
            <w:r>
              <w:rPr>
                <w:rFonts w:ascii="Times New Roman" w:hAnsi="Times New Roman"/>
                <w:sz w:val="21"/>
                <w:vertAlign w:val="superscript"/>
              </w:rPr>
              <w:t>-6</w:t>
            </w:r>
          </w:p>
        </w:tc>
        <w:tc>
          <w:tcPr>
            <w:tcW w:w="1090" w:type="dxa"/>
            <w:tcBorders>
              <w:top w:val="single" w:sz="4" w:space="0" w:color="000000"/>
              <w:left w:val="single" w:sz="4" w:space="0" w:color="000000"/>
              <w:bottom w:val="single" w:sz="4" w:space="0" w:color="000000"/>
              <w:right w:val="nil"/>
            </w:tcBorders>
          </w:tcPr>
          <w:p>
            <w:pPr>
              <w:pStyle w:val="TableParagraph"/>
              <w:spacing w:before="37"/>
              <w:ind w:left="128" w:right="104"/>
              <w:rPr>
                <w:rFonts w:ascii="Times New Roman" w:hAnsi="Times New Roman"/>
                <w:sz w:val="21"/>
              </w:rPr>
            </w:pPr>
            <w:r>
              <w:rPr>
                <w:rFonts w:ascii="Times New Roman" w:hAnsi="Times New Roman"/>
                <w:sz w:val="21"/>
              </w:rPr>
              <w:t>5.14×10</w:t>
            </w:r>
            <w:r>
              <w:rPr>
                <w:rFonts w:ascii="Times New Roman" w:hAnsi="Times New Roman"/>
                <w:sz w:val="21"/>
                <w:vertAlign w:val="superscript"/>
              </w:rPr>
              <w:t>-6</w:t>
            </w:r>
          </w:p>
        </w:tc>
      </w:tr>
      <w:tr>
        <w:trPr>
          <w:trHeight w:val="623" w:hRule="atLeast"/>
        </w:trPr>
        <w:tc>
          <w:tcPr>
            <w:tcW w:w="1172" w:type="dxa"/>
            <w:tcBorders>
              <w:top w:val="single" w:sz="4" w:space="0" w:color="000000"/>
              <w:left w:val="nil"/>
              <w:right w:val="single" w:sz="4" w:space="0" w:color="000000"/>
            </w:tcBorders>
          </w:tcPr>
          <w:p>
            <w:pPr>
              <w:pStyle w:val="TableParagraph"/>
              <w:spacing w:before="20"/>
              <w:ind w:left="122" w:right="-15"/>
              <w:rPr>
                <w:sz w:val="21"/>
              </w:rPr>
            </w:pPr>
            <w:r>
              <w:rPr>
                <w:sz w:val="21"/>
              </w:rPr>
              <w:t>手术医生、</w:t>
            </w:r>
          </w:p>
          <w:p>
            <w:pPr>
              <w:pStyle w:val="TableParagraph"/>
              <w:spacing w:before="43"/>
              <w:ind w:left="122" w:right="89"/>
              <w:rPr>
                <w:sz w:val="21"/>
              </w:rPr>
            </w:pPr>
            <w:r>
              <w:rPr>
                <w:sz w:val="21"/>
              </w:rPr>
              <w:t>护士位</w:t>
            </w:r>
          </w:p>
        </w:tc>
        <w:tc>
          <w:tcPr>
            <w:tcW w:w="2939" w:type="dxa"/>
            <w:tcBorders>
              <w:top w:val="single" w:sz="4" w:space="0" w:color="000000"/>
              <w:left w:val="single" w:sz="4" w:space="0" w:color="000000"/>
              <w:right w:val="single" w:sz="4" w:space="0" w:color="000000"/>
            </w:tcBorders>
          </w:tcPr>
          <w:p>
            <w:pPr>
              <w:pStyle w:val="TableParagraph"/>
              <w:spacing w:before="176"/>
              <w:ind w:left="79" w:right="48"/>
              <w:rPr>
                <w:sz w:val="21"/>
              </w:rPr>
            </w:pPr>
            <w:r>
              <w:rPr>
                <w:rFonts w:ascii="Times New Roman" w:eastAsia="Times New Roman"/>
                <w:sz w:val="21"/>
              </w:rPr>
              <w:t>0.5mmPb</w:t>
            </w:r>
            <w:r>
              <w:rPr>
                <w:sz w:val="21"/>
              </w:rPr>
              <w:t>铅衣</w:t>
            </w:r>
            <w:r>
              <w:rPr>
                <w:rFonts w:ascii="Times New Roman" w:eastAsia="Times New Roman"/>
                <w:sz w:val="21"/>
              </w:rPr>
              <w:t>+0.5mmPb</w:t>
            </w:r>
            <w:r>
              <w:rPr>
                <w:sz w:val="21"/>
              </w:rPr>
              <w:t>铅帘</w:t>
            </w:r>
          </w:p>
        </w:tc>
        <w:tc>
          <w:tcPr>
            <w:tcW w:w="1126" w:type="dxa"/>
            <w:tcBorders>
              <w:top w:val="single" w:sz="4" w:space="0" w:color="000000"/>
              <w:left w:val="single" w:sz="4" w:space="0" w:color="000000"/>
              <w:right w:val="single" w:sz="4" w:space="0" w:color="000000"/>
            </w:tcBorders>
          </w:tcPr>
          <w:p>
            <w:pPr>
              <w:pStyle w:val="TableParagraph"/>
              <w:spacing w:before="190"/>
              <w:ind w:left="144" w:right="118"/>
              <w:rPr>
                <w:rFonts w:ascii="Times New Roman"/>
                <w:sz w:val="21"/>
              </w:rPr>
            </w:pPr>
            <w:r>
              <w:rPr>
                <w:rFonts w:ascii="Times New Roman"/>
                <w:sz w:val="21"/>
              </w:rPr>
              <w:t>1mmPb</w:t>
            </w:r>
          </w:p>
        </w:tc>
        <w:tc>
          <w:tcPr>
            <w:tcW w:w="1215" w:type="dxa"/>
            <w:tcBorders>
              <w:top w:val="single" w:sz="4" w:space="0" w:color="000000"/>
              <w:left w:val="single" w:sz="4" w:space="0" w:color="000000"/>
              <w:right w:val="single" w:sz="4" w:space="0" w:color="000000"/>
            </w:tcBorders>
          </w:tcPr>
          <w:p>
            <w:pPr>
              <w:pStyle w:val="TableParagraph"/>
              <w:spacing w:before="190"/>
              <w:ind w:left="211"/>
              <w:jc w:val="left"/>
              <w:rPr>
                <w:rFonts w:ascii="Times New Roman" w:hAnsi="Times New Roman"/>
                <w:sz w:val="13"/>
              </w:rPr>
            </w:pPr>
            <w:r>
              <w:rPr>
                <w:rFonts w:ascii="Times New Roman" w:hAnsi="Times New Roman"/>
                <w:sz w:val="21"/>
              </w:rPr>
              <w:t>4.08×10</w:t>
            </w:r>
            <w:r>
              <w:rPr>
                <w:rFonts w:ascii="Times New Roman" w:hAnsi="Times New Roman"/>
                <w:position w:val="7"/>
                <w:sz w:val="13"/>
              </w:rPr>
              <w:t>-3</w:t>
            </w:r>
          </w:p>
        </w:tc>
        <w:tc>
          <w:tcPr>
            <w:tcW w:w="1136" w:type="dxa"/>
            <w:tcBorders>
              <w:top w:val="single" w:sz="4" w:space="0" w:color="000000"/>
              <w:left w:val="single" w:sz="4" w:space="0" w:color="000000"/>
              <w:right w:val="single" w:sz="4" w:space="0" w:color="000000"/>
            </w:tcBorders>
          </w:tcPr>
          <w:p>
            <w:pPr>
              <w:pStyle w:val="TableParagraph"/>
              <w:spacing w:before="192"/>
              <w:ind w:right="141"/>
              <w:jc w:val="right"/>
              <w:rPr>
                <w:rFonts w:ascii="Times New Roman" w:hAnsi="Times New Roman"/>
                <w:sz w:val="21"/>
              </w:rPr>
            </w:pPr>
            <w:r>
              <w:rPr>
                <w:rFonts w:ascii="Times New Roman" w:hAnsi="Times New Roman"/>
                <w:sz w:val="21"/>
              </w:rPr>
              <w:t>7.36×10</w:t>
            </w:r>
            <w:r>
              <w:rPr>
                <w:rFonts w:ascii="Times New Roman" w:hAnsi="Times New Roman"/>
                <w:sz w:val="21"/>
                <w:vertAlign w:val="superscript"/>
              </w:rPr>
              <w:t>-3</w:t>
            </w:r>
          </w:p>
        </w:tc>
        <w:tc>
          <w:tcPr>
            <w:tcW w:w="1090" w:type="dxa"/>
            <w:tcBorders>
              <w:top w:val="single" w:sz="4" w:space="0" w:color="000000"/>
              <w:left w:val="single" w:sz="4" w:space="0" w:color="000000"/>
              <w:right w:val="nil"/>
            </w:tcBorders>
          </w:tcPr>
          <w:p>
            <w:pPr>
              <w:pStyle w:val="TableParagraph"/>
              <w:spacing w:before="192"/>
              <w:ind w:left="128" w:right="104"/>
              <w:rPr>
                <w:rFonts w:ascii="Times New Roman" w:hAnsi="Times New Roman"/>
                <w:sz w:val="21"/>
              </w:rPr>
            </w:pPr>
            <w:r>
              <w:rPr>
                <w:rFonts w:ascii="Times New Roman" w:hAnsi="Times New Roman"/>
                <w:sz w:val="21"/>
              </w:rPr>
              <w:t>1.05×10</w:t>
            </w:r>
            <w:r>
              <w:rPr>
                <w:rFonts w:ascii="Times New Roman" w:hAnsi="Times New Roman"/>
                <w:sz w:val="21"/>
                <w:vertAlign w:val="superscript"/>
              </w:rPr>
              <w:t>-2</w:t>
            </w:r>
          </w:p>
        </w:tc>
      </w:tr>
    </w:tbl>
    <w:p>
      <w:pPr>
        <w:pStyle w:val="BodyText"/>
        <w:spacing w:before="81"/>
        <w:ind w:left="761"/>
      </w:pPr>
      <w:r>
        <w:rPr/>
        <w:t>②预测结果分析</w:t>
      </w:r>
    </w:p>
    <w:p>
      <w:pPr>
        <w:pStyle w:val="BodyText"/>
        <w:spacing w:line="364" w:lineRule="auto" w:before="160"/>
        <w:ind w:left="281" w:right="318" w:firstLine="480"/>
      </w:pPr>
      <w:r>
        <w:rPr>
          <w:spacing w:val="-21"/>
        </w:rPr>
        <w:t>根据 </w:t>
      </w:r>
      <w:r>
        <w:rPr>
          <w:rFonts w:ascii="Times New Roman" w:eastAsia="Times New Roman"/>
          <w:spacing w:val="-1"/>
        </w:rPr>
        <w:t>NCRP147</w:t>
      </w:r>
      <w:r>
        <w:rPr>
          <w:rFonts w:ascii="Times New Roman" w:eastAsia="Times New Roman"/>
          <w:spacing w:val="1"/>
        </w:rPr>
        <w:t> </w:t>
      </w:r>
      <w:r>
        <w:rPr>
          <w:spacing w:val="-3"/>
        </w:rPr>
        <w:t>报告，患者和接收器对初始线束的减弱倍数最大为 </w:t>
      </w:r>
      <w:r>
        <w:rPr>
          <w:rFonts w:ascii="Times New Roman" w:eastAsia="Times New Roman"/>
        </w:rPr>
        <w:t>10</w:t>
      </w:r>
      <w:r>
        <w:rPr>
          <w:rFonts w:ascii="Times New Roman" w:eastAsia="Times New Roman"/>
          <w:spacing w:val="1"/>
        </w:rPr>
        <w:t> </w:t>
      </w:r>
      <w:r>
        <w:rPr/>
        <w:t>倍，因此主</w:t>
      </w:r>
      <w:r>
        <w:rPr>
          <w:spacing w:val="-7"/>
        </w:rPr>
        <w:t>射方向照射量率取主射束的 </w:t>
      </w:r>
      <w:r>
        <w:rPr>
          <w:rFonts w:ascii="Times New Roman" w:eastAsia="Times New Roman"/>
          <w:spacing w:val="-2"/>
        </w:rPr>
        <w:t>10%</w:t>
      </w:r>
      <w:r>
        <w:rPr>
          <w:spacing w:val="-2"/>
        </w:rPr>
        <w:t>。将相关参数带入（</w:t>
      </w:r>
      <w:r>
        <w:rPr>
          <w:spacing w:val="-31"/>
        </w:rPr>
        <w:t>式 </w:t>
      </w:r>
      <w:r>
        <w:rPr>
          <w:rFonts w:ascii="Times New Roman" w:eastAsia="Times New Roman"/>
          <w:spacing w:val="-2"/>
        </w:rPr>
        <w:t>1</w:t>
      </w:r>
      <w:r>
        <w:rPr>
          <w:spacing w:val="-2"/>
        </w:rPr>
        <w:t>）中，进行各关注点年有效剂</w:t>
      </w:r>
      <w:r>
        <w:rPr>
          <w:spacing w:val="-5"/>
        </w:rPr>
        <w:t>量预测，预测点年剂量估算结果见表 </w:t>
      </w:r>
      <w:r>
        <w:rPr>
          <w:rFonts w:ascii="Times New Roman" w:eastAsia="Times New Roman"/>
        </w:rPr>
        <w:t>11-4</w:t>
      </w:r>
      <w:r>
        <w:rPr/>
        <w:t>：</w:t>
      </w:r>
    </w:p>
    <w:p>
      <w:pPr>
        <w:tabs>
          <w:tab w:pos="847" w:val="left" w:leader="none"/>
        </w:tabs>
        <w:spacing w:line="212" w:lineRule="exact" w:before="0" w:after="22"/>
        <w:ind w:left="0" w:right="24" w:firstLine="0"/>
        <w:jc w:val="center"/>
        <w:rPr>
          <w:sz w:val="21"/>
        </w:rPr>
      </w:pPr>
      <w:r>
        <w:rPr>
          <w:w w:val="95"/>
          <w:sz w:val="21"/>
        </w:rPr>
        <w:t>表</w:t>
      </w:r>
      <w:r>
        <w:rPr>
          <w:spacing w:val="-42"/>
          <w:w w:val="95"/>
          <w:sz w:val="21"/>
        </w:rPr>
        <w:t> </w:t>
      </w:r>
      <w:r>
        <w:rPr>
          <w:rFonts w:ascii="Times New Roman" w:eastAsia="Times New Roman"/>
          <w:b/>
          <w:w w:val="95"/>
          <w:sz w:val="21"/>
        </w:rPr>
        <w:t>11-4</w:t>
        <w:tab/>
      </w:r>
      <w:r>
        <w:rPr>
          <w:rFonts w:ascii="Times New Roman" w:eastAsia="Times New Roman"/>
          <w:b/>
          <w:sz w:val="21"/>
        </w:rPr>
        <w:t>DSA</w:t>
      </w:r>
      <w:r>
        <w:rPr>
          <w:rFonts w:ascii="Times New Roman" w:eastAsia="Times New Roman"/>
          <w:b/>
          <w:spacing w:val="4"/>
          <w:sz w:val="21"/>
        </w:rPr>
        <w:t> </w:t>
      </w:r>
      <w:r>
        <w:rPr>
          <w:sz w:val="21"/>
        </w:rPr>
        <w:t>主射方向预测点年有效剂量估算</w:t>
      </w:r>
    </w:p>
    <w:tbl>
      <w:tblPr>
        <w:tblW w:w="0" w:type="auto"/>
        <w:jc w:val="left"/>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7"/>
        <w:gridCol w:w="487"/>
        <w:gridCol w:w="874"/>
        <w:gridCol w:w="1603"/>
        <w:gridCol w:w="1103"/>
        <w:gridCol w:w="782"/>
        <w:gridCol w:w="863"/>
        <w:gridCol w:w="1298"/>
        <w:gridCol w:w="1193"/>
      </w:tblGrid>
      <w:tr>
        <w:trPr>
          <w:trHeight w:val="936" w:hRule="atLeast"/>
        </w:trPr>
        <w:tc>
          <w:tcPr>
            <w:tcW w:w="1304" w:type="dxa"/>
            <w:gridSpan w:val="2"/>
            <w:tcBorders>
              <w:left w:val="nil"/>
              <w:bottom w:val="single" w:sz="6" w:space="0" w:color="000000"/>
              <w:right w:val="single" w:sz="6" w:space="0" w:color="000000"/>
            </w:tcBorders>
          </w:tcPr>
          <w:p>
            <w:pPr>
              <w:pStyle w:val="TableParagraph"/>
              <w:spacing w:before="12"/>
              <w:jc w:val="left"/>
              <w:rPr>
                <w:sz w:val="25"/>
              </w:rPr>
            </w:pPr>
          </w:p>
          <w:p>
            <w:pPr>
              <w:pStyle w:val="TableParagraph"/>
              <w:ind w:left="351"/>
              <w:jc w:val="left"/>
              <w:rPr>
                <w:sz w:val="21"/>
              </w:rPr>
            </w:pPr>
            <w:r>
              <w:rPr>
                <w:w w:val="95"/>
                <w:sz w:val="21"/>
              </w:rPr>
              <w:t>预测点</w:t>
            </w:r>
          </w:p>
        </w:tc>
        <w:tc>
          <w:tcPr>
            <w:tcW w:w="874" w:type="dxa"/>
            <w:tcBorders>
              <w:left w:val="single" w:sz="6" w:space="0" w:color="000000"/>
              <w:bottom w:val="single" w:sz="6" w:space="0" w:color="000000"/>
              <w:right w:val="single" w:sz="6" w:space="0" w:color="000000"/>
            </w:tcBorders>
          </w:tcPr>
          <w:p>
            <w:pPr>
              <w:pStyle w:val="TableParagraph"/>
              <w:spacing w:line="278" w:lineRule="auto" w:before="20"/>
              <w:ind w:left="129" w:right="96"/>
              <w:jc w:val="left"/>
              <w:rPr>
                <w:sz w:val="21"/>
              </w:rPr>
            </w:pPr>
            <w:r>
              <w:rPr>
                <w:spacing w:val="-1"/>
                <w:sz w:val="21"/>
              </w:rPr>
              <w:t>与源直</w:t>
            </w:r>
            <w:r>
              <w:rPr>
                <w:w w:val="95"/>
                <w:sz w:val="21"/>
              </w:rPr>
              <w:t>线距离</w:t>
            </w:r>
          </w:p>
          <w:p>
            <w:pPr>
              <w:pStyle w:val="TableParagraph"/>
              <w:spacing w:before="20"/>
              <w:ind w:left="189"/>
              <w:jc w:val="left"/>
              <w:rPr>
                <w:sz w:val="18"/>
              </w:rPr>
            </w:pPr>
            <w:r>
              <w:rPr>
                <w:sz w:val="18"/>
              </w:rPr>
              <w:t>（</w:t>
            </w:r>
            <w:r>
              <w:rPr>
                <w:rFonts w:ascii="Times New Roman" w:eastAsia="Times New Roman"/>
                <w:b/>
                <w:sz w:val="18"/>
              </w:rPr>
              <w:t>m</w:t>
            </w:r>
            <w:r>
              <w:rPr>
                <w:sz w:val="18"/>
              </w:rPr>
              <w:t>）</w:t>
            </w:r>
          </w:p>
        </w:tc>
        <w:tc>
          <w:tcPr>
            <w:tcW w:w="1603" w:type="dxa"/>
            <w:tcBorders>
              <w:left w:val="single" w:sz="6" w:space="0" w:color="000000"/>
              <w:bottom w:val="single" w:sz="6" w:space="0" w:color="000000"/>
              <w:right w:val="single" w:sz="6" w:space="0" w:color="000000"/>
            </w:tcBorders>
          </w:tcPr>
          <w:p>
            <w:pPr>
              <w:pStyle w:val="TableParagraph"/>
              <w:spacing w:line="278" w:lineRule="auto" w:before="20"/>
              <w:ind w:left="177" w:right="146"/>
              <w:rPr>
                <w:sz w:val="21"/>
              </w:rPr>
            </w:pPr>
            <w:r>
              <w:rPr>
                <w:spacing w:val="-1"/>
                <w:sz w:val="21"/>
              </w:rPr>
              <w:t>屏蔽材料与厚度及等效铅当</w:t>
            </w:r>
          </w:p>
          <w:p>
            <w:pPr>
              <w:pStyle w:val="TableParagraph"/>
              <w:spacing w:before="2"/>
              <w:ind w:left="176" w:right="146"/>
              <w:rPr>
                <w:sz w:val="18"/>
              </w:rPr>
            </w:pPr>
            <w:r>
              <w:rPr>
                <w:sz w:val="21"/>
              </w:rPr>
              <w:t>量</w:t>
            </w:r>
            <w:r>
              <w:rPr>
                <w:sz w:val="18"/>
              </w:rPr>
              <w:t>（</w:t>
            </w:r>
            <w:r>
              <w:rPr>
                <w:rFonts w:ascii="Times New Roman" w:eastAsia="Times New Roman"/>
                <w:b/>
                <w:sz w:val="18"/>
              </w:rPr>
              <w:t>mm</w:t>
            </w:r>
            <w:r>
              <w:rPr>
                <w:sz w:val="18"/>
              </w:rPr>
              <w:t>）</w:t>
            </w:r>
          </w:p>
        </w:tc>
        <w:tc>
          <w:tcPr>
            <w:tcW w:w="1103" w:type="dxa"/>
            <w:tcBorders>
              <w:left w:val="single" w:sz="6" w:space="0" w:color="000000"/>
              <w:bottom w:val="single" w:sz="6" w:space="0" w:color="000000"/>
              <w:right w:val="single" w:sz="6" w:space="0" w:color="000000"/>
            </w:tcBorders>
          </w:tcPr>
          <w:p>
            <w:pPr>
              <w:pStyle w:val="TableParagraph"/>
              <w:spacing w:line="280" w:lineRule="auto" w:before="176"/>
              <w:ind w:left="119" w:right="85" w:firstLine="19"/>
              <w:jc w:val="left"/>
              <w:rPr>
                <w:sz w:val="18"/>
              </w:rPr>
            </w:pPr>
            <w:r>
              <w:rPr>
                <w:sz w:val="21"/>
              </w:rPr>
              <w:t>屏蔽透射</w:t>
            </w:r>
            <w:r>
              <w:rPr>
                <w:spacing w:val="-1"/>
                <w:sz w:val="21"/>
              </w:rPr>
              <w:t>因子（</w:t>
            </w:r>
            <w:r>
              <w:rPr>
                <w:rFonts w:ascii="Times New Roman" w:eastAsia="Times New Roman"/>
                <w:b/>
                <w:spacing w:val="-1"/>
                <w:sz w:val="21"/>
              </w:rPr>
              <w:t>f</w:t>
            </w:r>
            <w:r>
              <w:rPr>
                <w:spacing w:val="-1"/>
                <w:sz w:val="18"/>
              </w:rPr>
              <w:t>）</w:t>
            </w:r>
          </w:p>
        </w:tc>
        <w:tc>
          <w:tcPr>
            <w:tcW w:w="782" w:type="dxa"/>
            <w:tcBorders>
              <w:left w:val="single" w:sz="6" w:space="0" w:color="000000"/>
              <w:bottom w:val="single" w:sz="6" w:space="0" w:color="000000"/>
              <w:right w:val="single" w:sz="6" w:space="0" w:color="000000"/>
            </w:tcBorders>
          </w:tcPr>
          <w:p>
            <w:pPr>
              <w:pStyle w:val="TableParagraph"/>
              <w:spacing w:line="278" w:lineRule="auto" w:before="20"/>
              <w:ind w:left="187" w:right="156"/>
              <w:jc w:val="left"/>
              <w:rPr>
                <w:sz w:val="21"/>
              </w:rPr>
            </w:pPr>
            <w:r>
              <w:rPr>
                <w:spacing w:val="-2"/>
                <w:sz w:val="21"/>
              </w:rPr>
              <w:t>利用</w:t>
            </w:r>
            <w:r>
              <w:rPr>
                <w:w w:val="95"/>
                <w:sz w:val="21"/>
              </w:rPr>
              <w:t>因子</w:t>
            </w:r>
          </w:p>
          <w:p>
            <w:pPr>
              <w:pStyle w:val="TableParagraph"/>
              <w:spacing w:before="20"/>
              <w:ind w:left="166"/>
              <w:jc w:val="left"/>
              <w:rPr>
                <w:sz w:val="18"/>
              </w:rPr>
            </w:pPr>
            <w:r>
              <w:rPr>
                <w:sz w:val="18"/>
              </w:rPr>
              <w:t>（</w:t>
            </w:r>
            <w:r>
              <w:rPr>
                <w:rFonts w:ascii="Times New Roman" w:hAnsi="Times New Roman" w:eastAsia="Times New Roman"/>
                <w:b/>
                <w:sz w:val="18"/>
              </w:rPr>
              <w:t>μ</w:t>
            </w:r>
            <w:r>
              <w:rPr>
                <w:sz w:val="18"/>
              </w:rPr>
              <w:t>）</w:t>
            </w:r>
          </w:p>
        </w:tc>
        <w:tc>
          <w:tcPr>
            <w:tcW w:w="863" w:type="dxa"/>
            <w:tcBorders>
              <w:left w:val="single" w:sz="6" w:space="0" w:color="000000"/>
              <w:bottom w:val="single" w:sz="6" w:space="0" w:color="000000"/>
              <w:right w:val="single" w:sz="6" w:space="0" w:color="000000"/>
            </w:tcBorders>
          </w:tcPr>
          <w:p>
            <w:pPr>
              <w:pStyle w:val="TableParagraph"/>
              <w:spacing w:line="278" w:lineRule="auto" w:before="20"/>
              <w:ind w:left="226" w:right="199"/>
              <w:jc w:val="left"/>
              <w:rPr>
                <w:sz w:val="21"/>
              </w:rPr>
            </w:pPr>
            <w:r>
              <w:rPr>
                <w:spacing w:val="-2"/>
                <w:sz w:val="21"/>
              </w:rPr>
              <w:t>占用</w:t>
            </w:r>
            <w:r>
              <w:rPr>
                <w:w w:val="95"/>
                <w:sz w:val="21"/>
              </w:rPr>
              <w:t>因子</w:t>
            </w:r>
          </w:p>
          <w:p>
            <w:pPr>
              <w:pStyle w:val="TableParagraph"/>
              <w:spacing w:line="269" w:lineRule="exact"/>
              <w:ind w:left="169"/>
              <w:jc w:val="left"/>
              <w:rPr>
                <w:sz w:val="21"/>
              </w:rPr>
            </w:pPr>
            <w:r>
              <w:rPr>
                <w:sz w:val="21"/>
              </w:rPr>
              <w:t>（</w:t>
            </w:r>
            <w:r>
              <w:rPr>
                <w:rFonts w:ascii="Times New Roman" w:hAnsi="Times New Roman" w:eastAsia="Times New Roman"/>
                <w:b/>
                <w:sz w:val="21"/>
              </w:rPr>
              <w:t>η</w:t>
            </w:r>
            <w:r>
              <w:rPr>
                <w:sz w:val="21"/>
              </w:rPr>
              <w:t>）</w:t>
            </w:r>
          </w:p>
        </w:tc>
        <w:tc>
          <w:tcPr>
            <w:tcW w:w="1298" w:type="dxa"/>
            <w:tcBorders>
              <w:left w:val="single" w:sz="6" w:space="0" w:color="000000"/>
              <w:bottom w:val="single" w:sz="6" w:space="0" w:color="000000"/>
              <w:right w:val="single" w:sz="6" w:space="0" w:color="000000"/>
            </w:tcBorders>
          </w:tcPr>
          <w:p>
            <w:pPr>
              <w:pStyle w:val="TableParagraph"/>
              <w:spacing w:line="278" w:lineRule="auto" w:before="20"/>
              <w:ind w:left="131" w:right="97"/>
              <w:rPr>
                <w:sz w:val="21"/>
              </w:rPr>
            </w:pPr>
            <w:r>
              <w:rPr>
                <w:spacing w:val="-1"/>
                <w:sz w:val="21"/>
              </w:rPr>
              <w:t>预测点年有</w:t>
            </w:r>
            <w:r>
              <w:rPr>
                <w:sz w:val="21"/>
              </w:rPr>
              <w:t>效剂量</w:t>
            </w:r>
          </w:p>
          <w:p>
            <w:pPr>
              <w:pStyle w:val="TableParagraph"/>
              <w:spacing w:before="20"/>
              <w:ind w:left="126" w:right="97"/>
              <w:rPr>
                <w:sz w:val="18"/>
              </w:rPr>
            </w:pPr>
            <w:r>
              <w:rPr>
                <w:sz w:val="18"/>
              </w:rPr>
              <w:t>（</w:t>
            </w:r>
            <w:r>
              <w:rPr>
                <w:rFonts w:ascii="Times New Roman" w:eastAsia="Times New Roman"/>
                <w:b/>
                <w:sz w:val="18"/>
              </w:rPr>
              <w:t>mGy/a</w:t>
            </w:r>
            <w:r>
              <w:rPr>
                <w:sz w:val="18"/>
              </w:rPr>
              <w:t>）</w:t>
            </w:r>
          </w:p>
        </w:tc>
        <w:tc>
          <w:tcPr>
            <w:tcW w:w="1193" w:type="dxa"/>
            <w:tcBorders>
              <w:left w:val="single" w:sz="6" w:space="0" w:color="000000"/>
              <w:bottom w:val="single" w:sz="6" w:space="0" w:color="000000"/>
              <w:right w:val="nil"/>
            </w:tcBorders>
          </w:tcPr>
          <w:p>
            <w:pPr>
              <w:pStyle w:val="TableParagraph"/>
              <w:spacing w:before="176"/>
              <w:ind w:left="163"/>
              <w:jc w:val="left"/>
              <w:rPr>
                <w:sz w:val="21"/>
              </w:rPr>
            </w:pPr>
            <w:r>
              <w:rPr>
                <w:spacing w:val="-17"/>
                <w:w w:val="95"/>
                <w:sz w:val="21"/>
              </w:rPr>
              <w:t>总有效剂量</w:t>
            </w:r>
          </w:p>
          <w:p>
            <w:pPr>
              <w:pStyle w:val="TableParagraph"/>
              <w:spacing w:before="43"/>
              <w:ind w:left="189"/>
              <w:jc w:val="left"/>
              <w:rPr>
                <w:sz w:val="21"/>
              </w:rPr>
            </w:pPr>
            <w:r>
              <w:rPr>
                <w:spacing w:val="-5"/>
                <w:sz w:val="21"/>
              </w:rPr>
              <w:t>（</w:t>
            </w:r>
            <w:r>
              <w:rPr>
                <w:rFonts w:ascii="Times New Roman" w:eastAsia="Times New Roman"/>
                <w:b/>
                <w:spacing w:val="-5"/>
                <w:sz w:val="21"/>
              </w:rPr>
              <w:t>mSv/a</w:t>
            </w:r>
            <w:r>
              <w:rPr>
                <w:spacing w:val="-5"/>
                <w:sz w:val="21"/>
              </w:rPr>
              <w:t>）</w:t>
            </w:r>
          </w:p>
        </w:tc>
      </w:tr>
      <w:tr>
        <w:trPr>
          <w:trHeight w:val="821" w:hRule="atLeast"/>
        </w:trPr>
        <w:tc>
          <w:tcPr>
            <w:tcW w:w="817" w:type="dxa"/>
            <w:vMerge w:val="restart"/>
            <w:tcBorders>
              <w:top w:val="single" w:sz="6" w:space="0" w:color="000000"/>
              <w:left w:val="nil"/>
              <w:right w:val="single" w:sz="4" w:space="0" w:color="000000"/>
            </w:tcBorders>
          </w:tcPr>
          <w:p>
            <w:pPr>
              <w:pStyle w:val="TableParagraph"/>
              <w:spacing w:line="278" w:lineRule="auto" w:before="178"/>
              <w:ind w:left="212" w:right="100" w:hanging="77"/>
              <w:jc w:val="left"/>
              <w:rPr>
                <w:sz w:val="21"/>
              </w:rPr>
            </w:pPr>
            <w:r>
              <w:rPr>
                <w:rFonts w:ascii="Times New Roman" w:eastAsia="Times New Roman"/>
                <w:spacing w:val="-2"/>
                <w:sz w:val="21"/>
              </w:rPr>
              <w:t>2</w:t>
            </w:r>
            <w:r>
              <w:rPr>
                <w:rFonts w:ascii="Times New Roman" w:eastAsia="Times New Roman"/>
                <w:spacing w:val="-11"/>
                <w:sz w:val="21"/>
              </w:rPr>
              <w:t> </w:t>
            </w:r>
            <w:r>
              <w:rPr>
                <w:spacing w:val="-2"/>
                <w:sz w:val="21"/>
              </w:rPr>
              <w:t>楼更</w:t>
            </w:r>
            <w:r>
              <w:rPr>
                <w:sz w:val="21"/>
              </w:rPr>
              <w:t>衣室</w:t>
            </w:r>
          </w:p>
          <w:p>
            <w:pPr>
              <w:pStyle w:val="TableParagraph"/>
              <w:spacing w:line="278" w:lineRule="auto"/>
              <w:ind w:left="123" w:right="57" w:firstLine="88"/>
              <w:jc w:val="left"/>
              <w:rPr>
                <w:sz w:val="21"/>
              </w:rPr>
            </w:pPr>
            <w:r>
              <w:rPr>
                <w:sz w:val="21"/>
              </w:rPr>
              <w:t>（正</w:t>
            </w:r>
            <w:r>
              <w:rPr>
                <w:spacing w:val="-2"/>
                <w:sz w:val="21"/>
              </w:rPr>
              <w:t>上方</w:t>
            </w:r>
            <w:r>
              <w:rPr>
                <w:spacing w:val="-1"/>
                <w:sz w:val="21"/>
              </w:rPr>
              <w:t>）</w:t>
            </w:r>
          </w:p>
        </w:tc>
        <w:tc>
          <w:tcPr>
            <w:tcW w:w="487" w:type="dxa"/>
            <w:tcBorders>
              <w:top w:val="single" w:sz="6" w:space="0" w:color="000000"/>
              <w:left w:val="single" w:sz="4" w:space="0" w:color="000000"/>
              <w:bottom w:val="single" w:sz="4" w:space="0" w:color="000000"/>
              <w:right w:val="single" w:sz="6" w:space="0" w:color="000000"/>
            </w:tcBorders>
          </w:tcPr>
          <w:p>
            <w:pPr>
              <w:pStyle w:val="TableParagraph"/>
              <w:spacing w:line="278" w:lineRule="auto" w:before="123"/>
              <w:ind w:left="146" w:right="117"/>
              <w:jc w:val="left"/>
              <w:rPr>
                <w:sz w:val="21"/>
              </w:rPr>
            </w:pPr>
            <w:r>
              <w:rPr>
                <w:sz w:val="21"/>
              </w:rPr>
              <w:t>透视</w:t>
            </w:r>
          </w:p>
        </w:tc>
        <w:tc>
          <w:tcPr>
            <w:tcW w:w="874" w:type="dxa"/>
            <w:vMerge w:val="restart"/>
            <w:tcBorders>
              <w:top w:val="single" w:sz="6" w:space="0" w:color="000000"/>
              <w:left w:val="single" w:sz="6" w:space="0" w:color="000000"/>
              <w:right w:val="single" w:sz="6" w:space="0" w:color="000000"/>
            </w:tcBorders>
          </w:tcPr>
          <w:p>
            <w:pPr>
              <w:pStyle w:val="TableParagraph"/>
              <w:jc w:val="left"/>
              <w:rPr>
                <w:sz w:val="22"/>
              </w:rPr>
            </w:pPr>
          </w:p>
          <w:p>
            <w:pPr>
              <w:pStyle w:val="TableParagraph"/>
              <w:spacing w:before="6"/>
              <w:jc w:val="left"/>
              <w:rPr>
                <w:sz w:val="29"/>
              </w:rPr>
            </w:pPr>
          </w:p>
          <w:p>
            <w:pPr>
              <w:pStyle w:val="TableParagraph"/>
              <w:ind w:left="311"/>
              <w:jc w:val="left"/>
              <w:rPr>
                <w:rFonts w:ascii="Times New Roman"/>
                <w:sz w:val="21"/>
              </w:rPr>
            </w:pPr>
            <w:r>
              <w:rPr>
                <w:rFonts w:ascii="Times New Roman"/>
                <w:sz w:val="21"/>
              </w:rPr>
              <w:t>3.5</w:t>
            </w:r>
          </w:p>
        </w:tc>
        <w:tc>
          <w:tcPr>
            <w:tcW w:w="1603" w:type="dxa"/>
            <w:vMerge w:val="restart"/>
            <w:tcBorders>
              <w:top w:val="single" w:sz="6" w:space="0" w:color="000000"/>
              <w:left w:val="single" w:sz="6" w:space="0" w:color="000000"/>
              <w:right w:val="single" w:sz="6" w:space="0" w:color="000000"/>
            </w:tcBorders>
          </w:tcPr>
          <w:p>
            <w:pPr>
              <w:pStyle w:val="TableParagraph"/>
              <w:spacing w:line="278" w:lineRule="auto" w:before="22"/>
              <w:ind w:left="138" w:right="110" w:firstLine="7"/>
              <w:jc w:val="both"/>
              <w:rPr>
                <w:sz w:val="21"/>
              </w:rPr>
            </w:pPr>
            <w:r>
              <w:rPr>
                <w:rFonts w:ascii="Times New Roman" w:eastAsia="Times New Roman"/>
                <w:sz w:val="21"/>
              </w:rPr>
              <w:t>150mm</w:t>
            </w:r>
            <w:r>
              <w:rPr>
                <w:rFonts w:ascii="Times New Roman" w:eastAsia="Times New Roman"/>
                <w:spacing w:val="-3"/>
                <w:sz w:val="21"/>
              </w:rPr>
              <w:t> </w:t>
            </w:r>
            <w:r>
              <w:rPr>
                <w:sz w:val="21"/>
              </w:rPr>
              <w:t>厚混凝土</w:t>
            </w:r>
            <w:r>
              <w:rPr>
                <w:rFonts w:ascii="Times New Roman" w:eastAsia="Times New Roman"/>
                <w:sz w:val="21"/>
              </w:rPr>
              <w:t>+20mm</w:t>
            </w:r>
            <w:r>
              <w:rPr>
                <w:rFonts w:ascii="Times New Roman" w:eastAsia="Times New Roman"/>
                <w:spacing w:val="-13"/>
                <w:sz w:val="21"/>
              </w:rPr>
              <w:t> </w:t>
            </w:r>
            <w:r>
              <w:rPr>
                <w:sz w:val="21"/>
              </w:rPr>
              <w:t>厚射线防护复合微晶石板（折合</w:t>
            </w:r>
          </w:p>
          <w:p>
            <w:pPr>
              <w:pStyle w:val="TableParagraph"/>
              <w:spacing w:line="269" w:lineRule="exact"/>
              <w:ind w:left="114" w:right="-15"/>
              <w:jc w:val="left"/>
              <w:rPr>
                <w:sz w:val="21"/>
              </w:rPr>
            </w:pPr>
            <w:r>
              <w:rPr>
                <w:rFonts w:ascii="Times New Roman" w:eastAsia="Times New Roman"/>
                <w:sz w:val="21"/>
              </w:rPr>
              <w:t>4.5mm</w:t>
            </w:r>
            <w:r>
              <w:rPr>
                <w:rFonts w:ascii="Times New Roman" w:eastAsia="Times New Roman"/>
                <w:spacing w:val="-3"/>
                <w:sz w:val="21"/>
              </w:rPr>
              <w:t> </w:t>
            </w:r>
            <w:r>
              <w:rPr>
                <w:sz w:val="21"/>
              </w:rPr>
              <w:t>铅当量）</w:t>
            </w:r>
          </w:p>
        </w:tc>
        <w:tc>
          <w:tcPr>
            <w:tcW w:w="1103"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22"/>
              </w:rPr>
            </w:pPr>
          </w:p>
          <w:p>
            <w:pPr>
              <w:pStyle w:val="TableParagraph"/>
              <w:spacing w:before="1"/>
              <w:ind w:left="131" w:right="103"/>
              <w:rPr>
                <w:rFonts w:ascii="Times New Roman" w:hAnsi="Times New Roman"/>
                <w:sz w:val="21"/>
              </w:rPr>
            </w:pPr>
            <w:r>
              <w:rPr>
                <w:rFonts w:ascii="Times New Roman" w:hAnsi="Times New Roman"/>
                <w:sz w:val="21"/>
              </w:rPr>
              <w:t>7.96×10</w:t>
            </w:r>
            <w:r>
              <w:rPr>
                <w:rFonts w:ascii="Times New Roman" w:hAnsi="Times New Roman"/>
                <w:sz w:val="21"/>
                <w:vertAlign w:val="superscript"/>
              </w:rPr>
              <w:t>-8</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22"/>
              </w:rPr>
            </w:pPr>
          </w:p>
          <w:p>
            <w:pPr>
              <w:pStyle w:val="TableParagraph"/>
              <w:spacing w:before="1"/>
              <w:ind w:left="25"/>
              <w:rPr>
                <w:rFonts w:ascii="Times New Roman"/>
                <w:sz w:val="21"/>
              </w:rPr>
            </w:pPr>
            <w:r>
              <w:rPr>
                <w:rFonts w:ascii="Times New Roman"/>
                <w:w w:val="99"/>
                <w:sz w:val="21"/>
              </w:rPr>
              <w:t>1</w:t>
            </w:r>
          </w:p>
        </w:tc>
        <w:tc>
          <w:tcPr>
            <w:tcW w:w="863"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sz w:val="22"/>
              </w:rPr>
            </w:pPr>
          </w:p>
          <w:p>
            <w:pPr>
              <w:pStyle w:val="TableParagraph"/>
              <w:spacing w:before="1"/>
              <w:ind w:left="26"/>
              <w:rPr>
                <w:rFonts w:ascii="Times New Roman"/>
                <w:sz w:val="21"/>
              </w:rPr>
            </w:pPr>
            <w:r>
              <w:rPr>
                <w:rFonts w:ascii="Times New Roman"/>
                <w:w w:val="99"/>
                <w:sz w:val="21"/>
              </w:rPr>
              <w:t>1</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jc w:val="left"/>
              <w:rPr>
                <w:sz w:val="23"/>
              </w:rPr>
            </w:pPr>
          </w:p>
          <w:p>
            <w:pPr>
              <w:pStyle w:val="TableParagraph"/>
              <w:ind w:left="127" w:right="97"/>
              <w:rPr>
                <w:rFonts w:ascii="Times New Roman" w:hAnsi="Times New Roman"/>
                <w:sz w:val="21"/>
              </w:rPr>
            </w:pPr>
            <w:r>
              <w:rPr>
                <w:rFonts w:ascii="Times New Roman" w:hAnsi="Times New Roman"/>
                <w:sz w:val="21"/>
              </w:rPr>
              <w:t>1.19×10</w:t>
            </w:r>
            <w:r>
              <w:rPr>
                <w:rFonts w:ascii="Times New Roman" w:hAnsi="Times New Roman"/>
                <w:sz w:val="21"/>
                <w:vertAlign w:val="superscript"/>
              </w:rPr>
              <w:t>-3</w:t>
            </w:r>
          </w:p>
        </w:tc>
        <w:tc>
          <w:tcPr>
            <w:tcW w:w="1193" w:type="dxa"/>
            <w:vMerge w:val="restart"/>
            <w:tcBorders>
              <w:top w:val="single" w:sz="6" w:space="0" w:color="000000"/>
              <w:left w:val="single" w:sz="6" w:space="0" w:color="000000"/>
              <w:right w:val="nil"/>
            </w:tcBorders>
          </w:tcPr>
          <w:p>
            <w:pPr>
              <w:pStyle w:val="TableParagraph"/>
              <w:jc w:val="left"/>
              <w:rPr>
                <w:sz w:val="24"/>
              </w:rPr>
            </w:pPr>
          </w:p>
          <w:p>
            <w:pPr>
              <w:pStyle w:val="TableParagraph"/>
              <w:spacing w:before="6"/>
              <w:jc w:val="left"/>
              <w:rPr>
                <w:sz w:val="27"/>
              </w:rPr>
            </w:pPr>
          </w:p>
          <w:p>
            <w:pPr>
              <w:pStyle w:val="TableParagraph"/>
              <w:ind w:left="199"/>
              <w:jc w:val="left"/>
              <w:rPr>
                <w:rFonts w:ascii="Times New Roman" w:hAnsi="Times New Roman"/>
                <w:sz w:val="21"/>
              </w:rPr>
            </w:pPr>
            <w:r>
              <w:rPr>
                <w:rFonts w:ascii="Times New Roman" w:hAnsi="Times New Roman"/>
                <w:sz w:val="21"/>
              </w:rPr>
              <w:t>4.19×10</w:t>
            </w:r>
            <w:r>
              <w:rPr>
                <w:rFonts w:ascii="Times New Roman" w:hAnsi="Times New Roman"/>
                <w:sz w:val="21"/>
                <w:vertAlign w:val="superscript"/>
              </w:rPr>
              <w:t>-2</w:t>
            </w:r>
          </w:p>
        </w:tc>
      </w:tr>
      <w:tr>
        <w:trPr>
          <w:trHeight w:val="708" w:hRule="atLeast"/>
        </w:trPr>
        <w:tc>
          <w:tcPr>
            <w:tcW w:w="817" w:type="dxa"/>
            <w:vMerge/>
            <w:tcBorders>
              <w:top w:val="nil"/>
              <w:left w:val="nil"/>
              <w:right w:val="single" w:sz="4" w:space="0" w:color="000000"/>
            </w:tcBorders>
          </w:tcPr>
          <w:p>
            <w:pPr>
              <w:rPr>
                <w:sz w:val="2"/>
                <w:szCs w:val="2"/>
              </w:rPr>
            </w:pPr>
          </w:p>
        </w:tc>
        <w:tc>
          <w:tcPr>
            <w:tcW w:w="487" w:type="dxa"/>
            <w:tcBorders>
              <w:top w:val="single" w:sz="4" w:space="0" w:color="000000"/>
              <w:left w:val="single" w:sz="4" w:space="0" w:color="000000"/>
              <w:right w:val="single" w:sz="6" w:space="0" w:color="000000"/>
            </w:tcBorders>
          </w:tcPr>
          <w:p>
            <w:pPr>
              <w:pStyle w:val="TableParagraph"/>
              <w:spacing w:line="278" w:lineRule="auto" w:before="58"/>
              <w:ind w:left="146" w:right="117"/>
              <w:jc w:val="left"/>
              <w:rPr>
                <w:sz w:val="21"/>
              </w:rPr>
            </w:pPr>
            <w:r>
              <w:rPr>
                <w:sz w:val="21"/>
              </w:rPr>
              <w:t>拍片</w:t>
            </w:r>
          </w:p>
        </w:tc>
        <w:tc>
          <w:tcPr>
            <w:tcW w:w="874" w:type="dxa"/>
            <w:vMerge/>
            <w:tcBorders>
              <w:top w:val="nil"/>
              <w:left w:val="single" w:sz="6" w:space="0" w:color="000000"/>
              <w:right w:val="single" w:sz="6" w:space="0" w:color="000000"/>
            </w:tcBorders>
          </w:tcPr>
          <w:p>
            <w:pPr>
              <w:rPr>
                <w:sz w:val="2"/>
                <w:szCs w:val="2"/>
              </w:rPr>
            </w:pPr>
          </w:p>
        </w:tc>
        <w:tc>
          <w:tcPr>
            <w:tcW w:w="1603" w:type="dxa"/>
            <w:vMerge/>
            <w:tcBorders>
              <w:top w:val="nil"/>
              <w:left w:val="single" w:sz="6" w:space="0" w:color="000000"/>
              <w:right w:val="single" w:sz="6" w:space="0" w:color="000000"/>
            </w:tcBorders>
          </w:tcPr>
          <w:p>
            <w:pPr>
              <w:rPr>
                <w:sz w:val="2"/>
                <w:szCs w:val="2"/>
              </w:rPr>
            </w:pPr>
          </w:p>
        </w:tc>
        <w:tc>
          <w:tcPr>
            <w:tcW w:w="1103" w:type="dxa"/>
            <w:tcBorders>
              <w:top w:val="single" w:sz="6" w:space="0" w:color="000000"/>
              <w:left w:val="single" w:sz="6" w:space="0" w:color="000000"/>
              <w:right w:val="single" w:sz="6" w:space="0" w:color="000000"/>
            </w:tcBorders>
          </w:tcPr>
          <w:p>
            <w:pPr>
              <w:pStyle w:val="TableParagraph"/>
              <w:jc w:val="left"/>
              <w:rPr>
                <w:sz w:val="18"/>
              </w:rPr>
            </w:pPr>
          </w:p>
          <w:p>
            <w:pPr>
              <w:pStyle w:val="TableParagraph"/>
              <w:ind w:left="131" w:right="103"/>
              <w:rPr>
                <w:rFonts w:ascii="Times New Roman" w:hAnsi="Times New Roman"/>
                <w:sz w:val="21"/>
              </w:rPr>
            </w:pPr>
            <w:r>
              <w:rPr>
                <w:rFonts w:ascii="Times New Roman" w:hAnsi="Times New Roman"/>
                <w:sz w:val="21"/>
              </w:rPr>
              <w:t>1.47×10</w:t>
            </w:r>
            <w:r>
              <w:rPr>
                <w:rFonts w:ascii="Times New Roman" w:hAnsi="Times New Roman"/>
                <w:sz w:val="21"/>
                <w:vertAlign w:val="superscript"/>
              </w:rPr>
              <w:t>-6</w:t>
            </w:r>
          </w:p>
        </w:tc>
        <w:tc>
          <w:tcPr>
            <w:tcW w:w="782" w:type="dxa"/>
            <w:tcBorders>
              <w:top w:val="single" w:sz="6" w:space="0" w:color="000000"/>
              <w:left w:val="single" w:sz="6" w:space="0" w:color="000000"/>
              <w:right w:val="single" w:sz="6" w:space="0" w:color="000000"/>
            </w:tcBorders>
          </w:tcPr>
          <w:p>
            <w:pPr>
              <w:pStyle w:val="TableParagraph"/>
              <w:spacing w:before="10"/>
              <w:jc w:val="left"/>
              <w:rPr>
                <w:sz w:val="17"/>
              </w:rPr>
            </w:pPr>
          </w:p>
          <w:p>
            <w:pPr>
              <w:pStyle w:val="TableParagraph"/>
              <w:ind w:left="25"/>
              <w:rPr>
                <w:rFonts w:ascii="Times New Roman"/>
                <w:sz w:val="21"/>
              </w:rPr>
            </w:pPr>
            <w:r>
              <w:rPr>
                <w:rFonts w:ascii="Times New Roman"/>
                <w:w w:val="99"/>
                <w:sz w:val="21"/>
              </w:rPr>
              <w:t>1</w:t>
            </w:r>
          </w:p>
        </w:tc>
        <w:tc>
          <w:tcPr>
            <w:tcW w:w="863" w:type="dxa"/>
            <w:tcBorders>
              <w:top w:val="single" w:sz="6" w:space="0" w:color="000000"/>
              <w:left w:val="single" w:sz="6" w:space="0" w:color="000000"/>
              <w:right w:val="single" w:sz="6" w:space="0" w:color="000000"/>
            </w:tcBorders>
          </w:tcPr>
          <w:p>
            <w:pPr>
              <w:pStyle w:val="TableParagraph"/>
              <w:spacing w:before="10"/>
              <w:jc w:val="left"/>
              <w:rPr>
                <w:sz w:val="17"/>
              </w:rPr>
            </w:pPr>
          </w:p>
          <w:p>
            <w:pPr>
              <w:pStyle w:val="TableParagraph"/>
              <w:ind w:left="26"/>
              <w:rPr>
                <w:rFonts w:ascii="Times New Roman"/>
                <w:sz w:val="21"/>
              </w:rPr>
            </w:pPr>
            <w:r>
              <w:rPr>
                <w:rFonts w:ascii="Times New Roman"/>
                <w:w w:val="99"/>
                <w:sz w:val="21"/>
              </w:rPr>
              <w:t>1</w:t>
            </w:r>
          </w:p>
        </w:tc>
        <w:tc>
          <w:tcPr>
            <w:tcW w:w="1298" w:type="dxa"/>
            <w:tcBorders>
              <w:top w:val="single" w:sz="6" w:space="0" w:color="000000"/>
              <w:left w:val="single" w:sz="6" w:space="0" w:color="000000"/>
              <w:right w:val="single" w:sz="6" w:space="0" w:color="000000"/>
            </w:tcBorders>
          </w:tcPr>
          <w:p>
            <w:pPr>
              <w:pStyle w:val="TableParagraph"/>
              <w:jc w:val="left"/>
              <w:rPr>
                <w:sz w:val="18"/>
              </w:rPr>
            </w:pPr>
          </w:p>
          <w:p>
            <w:pPr>
              <w:pStyle w:val="TableParagraph"/>
              <w:ind w:left="127" w:right="97"/>
              <w:rPr>
                <w:rFonts w:ascii="Times New Roman" w:hAnsi="Times New Roman"/>
                <w:sz w:val="21"/>
              </w:rPr>
            </w:pPr>
            <w:r>
              <w:rPr>
                <w:rFonts w:ascii="Times New Roman" w:hAnsi="Times New Roman"/>
                <w:sz w:val="21"/>
              </w:rPr>
              <w:t>4.07×10</w:t>
            </w:r>
            <w:r>
              <w:rPr>
                <w:rFonts w:ascii="Times New Roman" w:hAnsi="Times New Roman"/>
                <w:sz w:val="21"/>
                <w:vertAlign w:val="superscript"/>
              </w:rPr>
              <w:t>-2</w:t>
            </w:r>
          </w:p>
        </w:tc>
        <w:tc>
          <w:tcPr>
            <w:tcW w:w="1193" w:type="dxa"/>
            <w:vMerge/>
            <w:tcBorders>
              <w:top w:val="nil"/>
              <w:left w:val="single" w:sz="6" w:space="0" w:color="000000"/>
              <w:right w:val="nil"/>
            </w:tcBorders>
          </w:tcPr>
          <w:p>
            <w:pPr>
              <w:rPr>
                <w:sz w:val="2"/>
                <w:szCs w:val="2"/>
              </w:rPr>
            </w:pPr>
          </w:p>
        </w:tc>
      </w:tr>
    </w:tbl>
    <w:p>
      <w:pPr>
        <w:pStyle w:val="BodyText"/>
        <w:spacing w:before="83"/>
        <w:ind w:left="761"/>
      </w:pPr>
      <w:r>
        <w:rPr>
          <w:spacing w:val="-15"/>
        </w:rPr>
        <w:t>根据表 </w:t>
      </w:r>
      <w:r>
        <w:rPr>
          <w:rFonts w:ascii="Times New Roman" w:eastAsia="Times New Roman"/>
        </w:rPr>
        <w:t>11-4</w:t>
      </w:r>
      <w:r>
        <w:rPr>
          <w:spacing w:val="-12"/>
        </w:rPr>
        <w:t>，本项目 </w:t>
      </w:r>
      <w:r>
        <w:rPr>
          <w:rFonts w:ascii="Times New Roman" w:eastAsia="Times New Roman"/>
        </w:rPr>
        <w:t>DSA</w:t>
      </w:r>
      <w:r>
        <w:rPr>
          <w:rFonts w:ascii="Times New Roman" w:eastAsia="Times New Roman"/>
          <w:spacing w:val="-1"/>
        </w:rPr>
        <w:t> </w:t>
      </w:r>
      <w:r>
        <w:rPr/>
        <w:t>主射方向（正上方更衣室）公众所受年有效剂量最大为</w:t>
      </w:r>
    </w:p>
    <w:p>
      <w:pPr>
        <w:pStyle w:val="BodyText"/>
        <w:spacing w:before="160"/>
        <w:ind w:left="281"/>
      </w:pPr>
      <w:r>
        <w:rPr>
          <w:rFonts w:ascii="Times New Roman" w:hAnsi="Times New Roman" w:eastAsia="Times New Roman"/>
          <w:spacing w:val="-1"/>
        </w:rPr>
        <w:t>4.19×10</w:t>
      </w:r>
      <w:r>
        <w:rPr>
          <w:rFonts w:ascii="Times New Roman" w:hAnsi="Times New Roman" w:eastAsia="Times New Roman"/>
          <w:spacing w:val="-1"/>
          <w:vertAlign w:val="superscript"/>
        </w:rPr>
        <w:t>-2</w:t>
      </w:r>
      <w:r>
        <w:rPr>
          <w:rFonts w:ascii="Times New Roman" w:hAnsi="Times New Roman" w:eastAsia="Times New Roman"/>
          <w:spacing w:val="-1"/>
          <w:vertAlign w:val="baseline"/>
        </w:rPr>
        <w:t>mSv/a</w:t>
      </w:r>
      <w:r>
        <w:rPr>
          <w:spacing w:val="-4"/>
          <w:vertAlign w:val="baseline"/>
        </w:rPr>
        <w:t>，满足本项目要求的公众照射年有效剂量 </w:t>
      </w:r>
      <w:r>
        <w:rPr>
          <w:rFonts w:ascii="Times New Roman" w:hAnsi="Times New Roman" w:eastAsia="Times New Roman"/>
          <w:vertAlign w:val="baseline"/>
        </w:rPr>
        <w:t>0.1mSv/a</w:t>
      </w:r>
      <w:r>
        <w:rPr>
          <w:rFonts w:ascii="Times New Roman" w:hAnsi="Times New Roman" w:eastAsia="Times New Roman"/>
          <w:spacing w:val="3"/>
          <w:vertAlign w:val="baseline"/>
        </w:rPr>
        <w:t> </w:t>
      </w:r>
      <w:r>
        <w:rPr>
          <w:vertAlign w:val="baseline"/>
        </w:rPr>
        <w:t>的标准要求。</w:t>
      </w:r>
    </w:p>
    <w:p>
      <w:pPr>
        <w:pStyle w:val="ListParagraph"/>
        <w:numPr>
          <w:ilvl w:val="0"/>
          <w:numId w:val="11"/>
        </w:numPr>
        <w:tabs>
          <w:tab w:pos="643" w:val="left" w:leader="none"/>
        </w:tabs>
        <w:spacing w:line="240" w:lineRule="auto" w:before="161" w:after="0"/>
        <w:ind w:left="642" w:right="0" w:hanging="362"/>
        <w:jc w:val="left"/>
        <w:rPr>
          <w:sz w:val="24"/>
        </w:rPr>
      </w:pPr>
      <w:r>
        <w:rPr>
          <w:sz w:val="24"/>
        </w:rPr>
        <w:t>病人体表散射辐射剂量估算</w:t>
      </w:r>
    </w:p>
    <w:p>
      <w:pPr>
        <w:tabs>
          <w:tab w:pos="7363" w:val="left" w:leader="dot"/>
        </w:tabs>
        <w:spacing w:line="96" w:lineRule="auto" w:before="238"/>
        <w:ind w:left="2146" w:right="0" w:firstLine="0"/>
        <w:jc w:val="left"/>
        <w:rPr>
          <w:sz w:val="24"/>
        </w:rPr>
      </w:pPr>
      <w:r>
        <w:rPr>
          <w:rFonts w:ascii="Times New Roman" w:hAnsi="Times New Roman" w:eastAsia="Times New Roman"/>
          <w:i/>
          <w:w w:val="95"/>
          <w:position w:val="-14"/>
          <w:sz w:val="24"/>
        </w:rPr>
        <w:t>H</w:t>
      </w:r>
      <w:r>
        <w:rPr>
          <w:rFonts w:ascii="Times New Roman" w:hAnsi="Times New Roman" w:eastAsia="Times New Roman"/>
          <w:i/>
          <w:spacing w:val="114"/>
          <w:position w:val="-14"/>
          <w:sz w:val="24"/>
        </w:rPr>
        <w:t> </w:t>
      </w:r>
      <w:r>
        <w:rPr>
          <w:rFonts w:ascii="Symbol" w:hAnsi="Symbol" w:eastAsia="Symbol"/>
          <w:w w:val="95"/>
          <w:position w:val="-14"/>
          <w:sz w:val="24"/>
        </w:rPr>
        <w:t></w:t>
      </w:r>
      <w:r>
        <w:rPr>
          <w:rFonts w:ascii="Times New Roman" w:hAnsi="Times New Roman" w:eastAsia="Times New Roman"/>
          <w:spacing w:val="33"/>
          <w:w w:val="95"/>
          <w:position w:val="-14"/>
          <w:sz w:val="24"/>
        </w:rPr>
        <w:t> </w:t>
      </w:r>
      <w:r>
        <w:rPr>
          <w:rFonts w:ascii="Times New Roman" w:hAnsi="Times New Roman" w:eastAsia="Times New Roman"/>
          <w:i/>
          <w:w w:val="95"/>
          <w:sz w:val="24"/>
        </w:rPr>
        <w:t>H</w:t>
      </w:r>
      <w:r>
        <w:rPr>
          <w:rFonts w:ascii="Times New Roman" w:hAnsi="Times New Roman" w:eastAsia="Times New Roman"/>
          <w:i/>
          <w:spacing w:val="-36"/>
          <w:w w:val="95"/>
          <w:sz w:val="24"/>
        </w:rPr>
        <w:t> </w:t>
      </w:r>
      <w:r>
        <w:rPr>
          <w:rFonts w:ascii="Times New Roman" w:hAnsi="Times New Roman" w:eastAsia="Times New Roman"/>
          <w:w w:val="95"/>
          <w:position w:val="-5"/>
          <w:sz w:val="14"/>
        </w:rPr>
        <w:t>0</w:t>
      </w:r>
      <w:r>
        <w:rPr>
          <w:rFonts w:ascii="Times New Roman" w:hAnsi="Times New Roman" w:eastAsia="Times New Roman"/>
          <w:spacing w:val="23"/>
          <w:w w:val="95"/>
          <w:position w:val="-5"/>
          <w:sz w:val="14"/>
        </w:rPr>
        <w:t> </w:t>
      </w:r>
      <w:r>
        <w:rPr>
          <w:rFonts w:ascii="Symbol" w:hAnsi="Symbol" w:eastAsia="Symbol"/>
          <w:w w:val="95"/>
          <w:sz w:val="24"/>
        </w:rPr>
        <w:t></w:t>
      </w:r>
      <w:r>
        <w:rPr>
          <w:rFonts w:ascii="Symbol" w:hAnsi="Symbol" w:eastAsia="Symbol"/>
          <w:w w:val="95"/>
          <w:sz w:val="25"/>
        </w:rPr>
        <w:t></w:t>
      </w:r>
      <w:r>
        <w:rPr>
          <w:rFonts w:ascii="Symbol" w:hAnsi="Symbol" w:eastAsia="Symbol"/>
          <w:w w:val="95"/>
          <w:sz w:val="24"/>
        </w:rPr>
        <w:t></w:t>
      </w:r>
      <w:r>
        <w:rPr>
          <w:rFonts w:ascii="Times New Roman" w:hAnsi="Times New Roman" w:eastAsia="Times New Roman"/>
          <w:spacing w:val="-16"/>
          <w:w w:val="95"/>
          <w:sz w:val="24"/>
        </w:rPr>
        <w:t> </w:t>
      </w:r>
      <w:r>
        <w:rPr>
          <w:rFonts w:ascii="Times New Roman" w:hAnsi="Times New Roman" w:eastAsia="Times New Roman"/>
          <w:i/>
          <w:w w:val="95"/>
          <w:sz w:val="24"/>
        </w:rPr>
        <w:t>B</w:t>
      </w:r>
      <w:r>
        <w:rPr>
          <w:rFonts w:ascii="Times New Roman" w:hAnsi="Times New Roman" w:eastAsia="Times New Roman"/>
          <w:i/>
          <w:spacing w:val="-21"/>
          <w:w w:val="95"/>
          <w:sz w:val="24"/>
        </w:rPr>
        <w:t> </w:t>
      </w:r>
      <w:r>
        <w:rPr>
          <w:rFonts w:ascii="Symbol" w:hAnsi="Symbol" w:eastAsia="Symbol"/>
          <w:w w:val="95"/>
          <w:sz w:val="24"/>
        </w:rPr>
        <w:t></w:t>
      </w:r>
      <w:r>
        <w:rPr>
          <w:rFonts w:ascii="Times New Roman" w:hAnsi="Times New Roman" w:eastAsia="Times New Roman"/>
          <w:spacing w:val="-15"/>
          <w:w w:val="95"/>
          <w:sz w:val="24"/>
        </w:rPr>
        <w:t> (</w:t>
      </w:r>
      <w:r>
        <w:rPr>
          <w:rFonts w:ascii="Times New Roman" w:hAnsi="Times New Roman" w:eastAsia="Times New Roman"/>
          <w:i/>
          <w:w w:val="95"/>
          <w:sz w:val="24"/>
        </w:rPr>
        <w:t>s</w:t>
      </w:r>
      <w:r>
        <w:rPr>
          <w:rFonts w:ascii="Times New Roman" w:hAnsi="Times New Roman" w:eastAsia="Times New Roman"/>
          <w:i/>
          <w:spacing w:val="-12"/>
          <w:w w:val="95"/>
          <w:sz w:val="24"/>
        </w:rPr>
        <w:t> </w:t>
      </w:r>
      <w:r>
        <w:rPr>
          <w:rFonts w:ascii="Times New Roman" w:hAnsi="Times New Roman" w:eastAsia="Times New Roman"/>
          <w:spacing w:val="-6"/>
          <w:w w:val="95"/>
          <w:sz w:val="24"/>
        </w:rPr>
        <w:t>/ </w:t>
      </w:r>
      <w:r>
        <w:rPr>
          <w:rFonts w:ascii="Times New Roman" w:hAnsi="Times New Roman" w:eastAsia="Times New Roman"/>
          <w:w w:val="95"/>
          <w:sz w:val="24"/>
        </w:rPr>
        <w:t>400)</w:t>
        <w:tab/>
      </w:r>
      <w:r>
        <w:rPr>
          <w:position w:val="-14"/>
          <w:sz w:val="24"/>
        </w:rPr>
        <w:t>（式</w:t>
      </w:r>
      <w:r>
        <w:rPr>
          <w:rFonts w:ascii="Times New Roman" w:hAnsi="Times New Roman" w:eastAsia="Times New Roman"/>
          <w:position w:val="-14"/>
          <w:sz w:val="24"/>
        </w:rPr>
        <w:t>2</w:t>
      </w:r>
      <w:r>
        <w:rPr>
          <w:position w:val="-14"/>
          <w:sz w:val="24"/>
        </w:rPr>
        <w:t>）</w:t>
      </w:r>
    </w:p>
    <w:p>
      <w:pPr>
        <w:pStyle w:val="BodyText"/>
        <w:spacing w:line="20" w:lineRule="exact"/>
        <w:ind w:left="2668"/>
        <w:rPr>
          <w:sz w:val="2"/>
        </w:rPr>
      </w:pPr>
      <w:r>
        <w:rPr>
          <w:sz w:val="2"/>
        </w:rPr>
        <w:pict>
          <v:group style="width:88.35pt;height:.5pt;mso-position-horizontal-relative:char;mso-position-vertical-relative:line" coordorigin="0,0" coordsize="1767,10">
            <v:line style="position:absolute" from="0,5" to="1766,5" stroked="true" strokeweight=".5pt" strokecolor="#000000">
              <v:stroke dashstyle="solid"/>
            </v:line>
          </v:group>
        </w:pict>
      </w:r>
      <w:r>
        <w:rPr>
          <w:sz w:val="2"/>
        </w:rPr>
      </w:r>
    </w:p>
    <w:p>
      <w:pPr>
        <w:tabs>
          <w:tab w:pos="3137" w:val="left" w:leader="none"/>
        </w:tabs>
        <w:spacing w:line="224" w:lineRule="exact" w:before="0"/>
        <w:ind w:left="2343" w:right="0" w:firstLine="0"/>
        <w:jc w:val="left"/>
        <w:rPr>
          <w:rFonts w:ascii="Times New Roman" w:hAnsi="Times New Roman"/>
          <w:sz w:val="24"/>
        </w:rPr>
      </w:pPr>
      <w:r>
        <w:rPr/>
        <w:pict>
          <v:shape style="position:absolute;margin-left:229.770004pt;margin-top:8.439971pt;width:3.5pt;height:7.7pt;mso-position-horizontal-relative:page;mso-position-vertical-relative:paragraph;z-index:-20137984"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rPr>
                    <w:t>0</w:t>
                  </w:r>
                </w:p>
              </w:txbxContent>
            </v:textbox>
            <w10:wrap type="none"/>
          </v:shape>
        </w:pict>
      </w:r>
      <w:r>
        <w:rPr/>
        <w:pict>
          <v:shape style="position:absolute;margin-left:256.156006pt;margin-top:.076971pt;width:3.5pt;height:7.7pt;mso-position-horizontal-relative:page;mso-position-vertical-relative:paragraph;z-index:15749632" type="#_x0000_t202" filled="false" stroked="false">
            <v:textbox inset="0,0,0,0">
              <w:txbxContent>
                <w:p>
                  <w:pPr>
                    <w:spacing w:line="154" w:lineRule="exact" w:before="0"/>
                    <w:ind w:left="0" w:right="0" w:firstLine="0"/>
                    <w:jc w:val="left"/>
                    <w:rPr>
                      <w:rFonts w:ascii="Times New Roman"/>
                      <w:sz w:val="14"/>
                    </w:rPr>
                  </w:pPr>
                  <w:r>
                    <w:rPr>
                      <w:rFonts w:ascii="Times New Roman"/>
                      <w:w w:val="99"/>
                      <w:sz w:val="14"/>
                    </w:rPr>
                    <w:t>2</w:t>
                  </w:r>
                </w:p>
              </w:txbxContent>
            </v:textbox>
            <w10:wrap type="none"/>
          </v:shape>
        </w:pict>
      </w:r>
      <w:r>
        <w:rPr>
          <w:rFonts w:ascii="Times New Roman" w:hAnsi="Times New Roman"/>
          <w:i/>
          <w:sz w:val="24"/>
          <w:vertAlign w:val="superscript"/>
        </w:rPr>
        <w:t>s</w:t>
      </w:r>
      <w:r>
        <w:rPr>
          <w:rFonts w:ascii="Times New Roman" w:hAnsi="Times New Roman"/>
          <w:i/>
          <w:sz w:val="24"/>
          <w:vertAlign w:val="baseline"/>
        </w:rPr>
        <w:tab/>
      </w:r>
      <w:r>
        <w:rPr>
          <w:rFonts w:ascii="Times New Roman" w:hAnsi="Times New Roman"/>
          <w:w w:val="95"/>
          <w:sz w:val="24"/>
          <w:vertAlign w:val="baseline"/>
        </w:rPr>
        <w:t>(</w:t>
      </w:r>
      <w:r>
        <w:rPr>
          <w:rFonts w:ascii="Times New Roman" w:hAnsi="Times New Roman"/>
          <w:i/>
          <w:w w:val="95"/>
          <w:sz w:val="24"/>
          <w:vertAlign w:val="baseline"/>
        </w:rPr>
        <w:t>d</w:t>
      </w:r>
      <w:r>
        <w:rPr>
          <w:rFonts w:ascii="Times New Roman" w:hAnsi="Times New Roman"/>
          <w:i/>
          <w:spacing w:val="33"/>
          <w:w w:val="95"/>
          <w:sz w:val="24"/>
          <w:vertAlign w:val="baseline"/>
        </w:rPr>
        <w:t> </w:t>
      </w:r>
      <w:r>
        <w:rPr>
          <w:rFonts w:ascii="Symbol" w:hAnsi="Symbol"/>
          <w:w w:val="95"/>
          <w:sz w:val="24"/>
          <w:vertAlign w:val="baseline"/>
        </w:rPr>
        <w:t></w:t>
      </w:r>
      <w:r>
        <w:rPr>
          <w:rFonts w:ascii="Times New Roman" w:hAnsi="Times New Roman"/>
          <w:spacing w:val="-25"/>
          <w:w w:val="95"/>
          <w:sz w:val="24"/>
          <w:vertAlign w:val="baseline"/>
        </w:rPr>
        <w:t> </w:t>
      </w:r>
      <w:r>
        <w:rPr>
          <w:rFonts w:ascii="Times New Roman" w:hAnsi="Times New Roman"/>
          <w:i/>
          <w:w w:val="95"/>
          <w:sz w:val="24"/>
          <w:vertAlign w:val="baseline"/>
        </w:rPr>
        <w:t>d</w:t>
      </w:r>
      <w:r>
        <w:rPr>
          <w:rFonts w:ascii="Times New Roman" w:hAnsi="Times New Roman"/>
          <w:i/>
          <w:spacing w:val="54"/>
          <w:w w:val="95"/>
          <w:sz w:val="24"/>
          <w:vertAlign w:val="baseline"/>
        </w:rPr>
        <w:t> </w:t>
      </w:r>
      <w:r>
        <w:rPr>
          <w:rFonts w:ascii="Times New Roman" w:hAnsi="Times New Roman"/>
          <w:w w:val="95"/>
          <w:sz w:val="24"/>
          <w:vertAlign w:val="baseline"/>
        </w:rPr>
        <w:t>)</w:t>
      </w:r>
    </w:p>
    <w:p>
      <w:pPr>
        <w:spacing w:line="99" w:lineRule="exact" w:before="0"/>
        <w:ind w:left="0" w:right="2160" w:firstLine="0"/>
        <w:jc w:val="center"/>
        <w:rPr>
          <w:rFonts w:ascii="Times New Roman"/>
          <w:i/>
          <w:sz w:val="14"/>
        </w:rPr>
      </w:pPr>
      <w:r>
        <w:rPr>
          <w:rFonts w:ascii="Times New Roman"/>
          <w:i/>
          <w:w w:val="99"/>
          <w:sz w:val="14"/>
        </w:rPr>
        <w:t>s</w:t>
      </w:r>
    </w:p>
    <w:p>
      <w:pPr>
        <w:pStyle w:val="BodyText"/>
        <w:spacing w:before="7"/>
        <w:rPr>
          <w:rFonts w:ascii="Times New Roman"/>
          <w:i/>
          <w:sz w:val="14"/>
        </w:rPr>
      </w:pPr>
    </w:p>
    <w:p>
      <w:pPr>
        <w:spacing w:before="68"/>
        <w:ind w:left="281" w:right="0" w:firstLine="0"/>
        <w:jc w:val="left"/>
        <w:rPr>
          <w:sz w:val="23"/>
        </w:rPr>
      </w:pPr>
      <w:r>
        <w:rPr>
          <w:sz w:val="23"/>
        </w:rPr>
        <w:t>式中：</w:t>
      </w:r>
    </w:p>
    <w:p>
      <w:pPr>
        <w:spacing w:after="0"/>
        <w:jc w:val="left"/>
        <w:rPr>
          <w:sz w:val="23"/>
        </w:rPr>
        <w:sectPr>
          <w:pgSz w:w="11910" w:h="16840"/>
          <w:pgMar w:header="0" w:footer="1383" w:top="1420" w:bottom="1660" w:left="1240" w:right="1040"/>
        </w:sectPr>
      </w:pPr>
    </w:p>
    <w:p>
      <w:pPr>
        <w:pStyle w:val="BodyText"/>
        <w:spacing w:line="364" w:lineRule="auto" w:before="91"/>
        <w:ind w:left="701" w:right="4712"/>
      </w:pPr>
      <w:r>
        <w:rPr/>
        <w:pict>
          <v:shape style="position:absolute;margin-left:70.410004pt;margin-top:72.000023pt;width:462.55pt;height:686.5pt;mso-position-horizontal-relative:page;mso-position-vertical-relative:page;z-index:-20136960" coordorigin="1408,1440" coordsize="9251,13730" path="m1408,1445l10659,1445m1408,15170l10659,15170m1413,1440l1413,15165m10654,1440l10654,15165e" filled="false" stroked="true" strokeweight=".48pt" strokecolor="#000000">
            <v:path arrowok="t"/>
            <v:stroke dashstyle="solid"/>
            <w10:wrap type="none"/>
          </v:shape>
        </w:pict>
      </w:r>
      <w:r>
        <w:rPr>
          <w:rFonts w:ascii="Times New Roman" w:hAnsi="Times New Roman" w:eastAsia="Times New Roman"/>
          <w:i/>
          <w:spacing w:val="-1"/>
          <w:position w:val="2"/>
        </w:rPr>
        <w:t>H</w:t>
      </w:r>
      <w:r>
        <w:rPr>
          <w:rFonts w:ascii="Times New Roman" w:hAnsi="Times New Roman" w:eastAsia="Times New Roman"/>
          <w:i/>
          <w:spacing w:val="-1"/>
          <w:sz w:val="15"/>
        </w:rPr>
        <w:t>s</w:t>
      </w:r>
      <w:r>
        <w:rPr>
          <w:rFonts w:ascii="Times New Roman" w:hAnsi="Times New Roman" w:eastAsia="Times New Roman"/>
          <w:spacing w:val="-1"/>
          <w:position w:val="2"/>
        </w:rPr>
        <w:t>——</w:t>
      </w:r>
      <w:r>
        <w:rPr>
          <w:position w:val="2"/>
        </w:rPr>
        <w:t>预测点处的散射剂量率，</w:t>
      </w:r>
      <w:r>
        <w:rPr>
          <w:rFonts w:ascii="Times New Roman" w:hAnsi="Times New Roman" w:eastAsia="Times New Roman"/>
          <w:position w:val="2"/>
        </w:rPr>
        <w:t>μGy/h</w:t>
      </w:r>
      <w:r>
        <w:rPr>
          <w:position w:val="2"/>
        </w:rPr>
        <w:t>；</w:t>
      </w:r>
      <w:r>
        <w:rPr>
          <w:spacing w:val="-117"/>
          <w:position w:val="2"/>
        </w:rPr>
        <w:t> </w:t>
      </w:r>
      <w:r>
        <w:rPr>
          <w:rFonts w:ascii="Times New Roman" w:hAnsi="Times New Roman" w:eastAsia="Times New Roman"/>
          <w:i/>
          <w:spacing w:val="-1"/>
          <w:position w:val="2"/>
        </w:rPr>
        <w:t>H</w:t>
      </w:r>
      <w:r>
        <w:rPr>
          <w:rFonts w:ascii="Times New Roman" w:hAnsi="Times New Roman" w:eastAsia="Times New Roman"/>
          <w:i/>
          <w:spacing w:val="-1"/>
          <w:sz w:val="15"/>
        </w:rPr>
        <w:t>0</w:t>
      </w:r>
      <w:r>
        <w:rPr>
          <w:rFonts w:ascii="Times New Roman" w:hAnsi="Times New Roman" w:eastAsia="Times New Roman"/>
          <w:spacing w:val="-1"/>
          <w:position w:val="2"/>
        </w:rPr>
        <w:t>——</w:t>
      </w:r>
      <w:r>
        <w:rPr>
          <w:spacing w:val="-20"/>
          <w:position w:val="2"/>
        </w:rPr>
        <w:t>距靶 </w:t>
      </w:r>
      <w:r>
        <w:rPr>
          <w:rFonts w:ascii="Times New Roman" w:hAnsi="Times New Roman" w:eastAsia="Times New Roman"/>
          <w:position w:val="2"/>
        </w:rPr>
        <w:t>1m </w:t>
      </w:r>
      <w:r>
        <w:rPr>
          <w:position w:val="2"/>
        </w:rPr>
        <w:t>处的剂量率，</w:t>
      </w:r>
      <w:r>
        <w:rPr>
          <w:rFonts w:ascii="Times New Roman" w:hAnsi="Times New Roman" w:eastAsia="Times New Roman"/>
          <w:position w:val="2"/>
        </w:rPr>
        <w:t>μGy/h</w:t>
      </w:r>
      <w:r>
        <w:rPr>
          <w:position w:val="2"/>
        </w:rPr>
        <w:t>；</w:t>
      </w:r>
    </w:p>
    <w:p>
      <w:pPr>
        <w:pStyle w:val="BodyText"/>
        <w:spacing w:line="364" w:lineRule="auto" w:before="2"/>
        <w:ind w:left="701" w:right="318"/>
      </w:pPr>
      <w:r>
        <w:rPr>
          <w:rFonts w:ascii="Times New Roman" w:hAnsi="Times New Roman" w:eastAsia="Times New Roman"/>
          <w:i/>
          <w:spacing w:val="-2"/>
        </w:rPr>
        <w:t>a</w:t>
      </w:r>
      <w:r>
        <w:rPr>
          <w:rFonts w:ascii="Times New Roman" w:hAnsi="Times New Roman" w:eastAsia="Times New Roman"/>
          <w:spacing w:val="-2"/>
        </w:rPr>
        <w:t>——</w:t>
      </w:r>
      <w:r>
        <w:rPr>
          <w:spacing w:val="-17"/>
        </w:rPr>
        <w:t>患者对 </w:t>
      </w:r>
      <w:r>
        <w:rPr>
          <w:rFonts w:ascii="Times New Roman" w:hAnsi="Times New Roman" w:eastAsia="Times New Roman"/>
          <w:spacing w:val="-2"/>
        </w:rPr>
        <w:t>X</w:t>
      </w:r>
      <w:r>
        <w:rPr>
          <w:rFonts w:ascii="Times New Roman" w:hAnsi="Times New Roman" w:eastAsia="Times New Roman"/>
          <w:spacing w:val="-1"/>
        </w:rPr>
        <w:t> </w:t>
      </w:r>
      <w:r>
        <w:rPr>
          <w:spacing w:val="-2"/>
        </w:rPr>
        <w:t>射线的散射比；根据《辐射防护手册》</w:t>
      </w:r>
      <w:r>
        <w:rPr>
          <w:spacing w:val="-1"/>
        </w:rPr>
        <w:t>（第一分册）</w:t>
      </w:r>
      <w:r>
        <w:rPr>
          <w:spacing w:val="-31"/>
        </w:rPr>
        <w:t>表 </w:t>
      </w:r>
      <w:r>
        <w:rPr>
          <w:rFonts w:ascii="Times New Roman" w:hAnsi="Times New Roman" w:eastAsia="Times New Roman"/>
          <w:spacing w:val="-1"/>
        </w:rPr>
        <w:t>10.1</w:t>
      </w:r>
      <w:r>
        <w:rPr>
          <w:rFonts w:ascii="Times New Roman" w:hAnsi="Times New Roman" w:eastAsia="Times New Roman"/>
        </w:rPr>
        <w:t> </w:t>
      </w:r>
      <w:r>
        <w:rPr>
          <w:spacing w:val="-1"/>
        </w:rPr>
        <w:t>查表取</w:t>
      </w:r>
      <w:r>
        <w:rPr/>
        <w:t>得，</w:t>
      </w:r>
      <w:r>
        <w:rPr>
          <w:rFonts w:ascii="Times New Roman" w:hAnsi="Times New Roman" w:eastAsia="Times New Roman"/>
        </w:rPr>
        <w:t>1.3×10</w:t>
      </w:r>
      <w:r>
        <w:rPr>
          <w:rFonts w:ascii="Times New Roman" w:hAnsi="Times New Roman" w:eastAsia="Times New Roman"/>
          <w:position w:val="8"/>
          <w:sz w:val="15"/>
        </w:rPr>
        <w:t>-3</w:t>
      </w:r>
      <w:r>
        <w:rPr/>
        <w:t>；</w:t>
      </w:r>
    </w:p>
    <w:p>
      <w:pPr>
        <w:pStyle w:val="BodyText"/>
        <w:spacing w:line="364" w:lineRule="auto" w:before="1"/>
        <w:ind w:left="701" w:right="4837"/>
      </w:pPr>
      <w:r>
        <w:rPr>
          <w:rFonts w:ascii="Times New Roman" w:hAnsi="Times New Roman" w:eastAsia="Times New Roman"/>
          <w:i/>
          <w:spacing w:val="-1"/>
        </w:rPr>
        <w:t>s</w:t>
      </w:r>
      <w:r>
        <w:rPr>
          <w:rFonts w:ascii="Times New Roman" w:hAnsi="Times New Roman" w:eastAsia="Times New Roman"/>
          <w:spacing w:val="-1"/>
        </w:rPr>
        <w:t>——</w:t>
      </w:r>
      <w:r>
        <w:rPr/>
        <w:t>散射面积，</w:t>
      </w:r>
      <w:r>
        <w:rPr>
          <w:rFonts w:ascii="Times New Roman" w:hAnsi="Times New Roman" w:eastAsia="Times New Roman"/>
        </w:rPr>
        <w:t>cm</w:t>
      </w:r>
      <w:r>
        <w:rPr>
          <w:rFonts w:ascii="Times New Roman" w:hAnsi="Times New Roman" w:eastAsia="Times New Roman"/>
          <w:position w:val="8"/>
          <w:sz w:val="15"/>
        </w:rPr>
        <w:t>2</w:t>
      </w:r>
      <w:r>
        <w:rPr/>
        <w:t>，取 </w:t>
      </w:r>
      <w:r>
        <w:rPr>
          <w:rFonts w:ascii="Times New Roman" w:hAnsi="Times New Roman" w:eastAsia="Times New Roman"/>
        </w:rPr>
        <w:t>100cm</w:t>
      </w:r>
      <w:r>
        <w:rPr>
          <w:rFonts w:ascii="Times New Roman" w:hAnsi="Times New Roman" w:eastAsia="Times New Roman"/>
          <w:position w:val="8"/>
          <w:sz w:val="15"/>
        </w:rPr>
        <w:t>2</w:t>
      </w:r>
      <w:r>
        <w:rPr/>
        <w:t>；</w:t>
      </w:r>
      <w:r>
        <w:rPr>
          <w:spacing w:val="1"/>
        </w:rPr>
        <w:t> </w:t>
      </w:r>
      <w:r>
        <w:rPr>
          <w:rFonts w:ascii="Times New Roman" w:hAnsi="Times New Roman" w:eastAsia="Times New Roman"/>
          <w:i/>
          <w:spacing w:val="-1"/>
          <w:position w:val="2"/>
        </w:rPr>
        <w:t>d</w:t>
      </w:r>
      <w:r>
        <w:rPr>
          <w:rFonts w:ascii="Times New Roman" w:hAnsi="Times New Roman" w:eastAsia="Times New Roman"/>
          <w:i/>
          <w:spacing w:val="-1"/>
          <w:sz w:val="15"/>
        </w:rPr>
        <w:t>0</w:t>
      </w:r>
      <w:r>
        <w:rPr>
          <w:rFonts w:ascii="Times New Roman" w:hAnsi="Times New Roman" w:eastAsia="Times New Roman"/>
          <w:spacing w:val="-1"/>
          <w:position w:val="2"/>
        </w:rPr>
        <w:t>——</w:t>
      </w:r>
      <w:r>
        <w:rPr>
          <w:spacing w:val="-1"/>
          <w:position w:val="2"/>
        </w:rPr>
        <w:t>源与病人的距离，</w:t>
      </w:r>
      <w:r>
        <w:rPr>
          <w:rFonts w:ascii="Times New Roman" w:hAnsi="Times New Roman" w:eastAsia="Times New Roman"/>
          <w:spacing w:val="-1"/>
          <w:position w:val="2"/>
        </w:rPr>
        <w:t>m</w:t>
      </w:r>
      <w:r>
        <w:rPr>
          <w:spacing w:val="-21"/>
          <w:position w:val="2"/>
        </w:rPr>
        <w:t>，取 </w:t>
      </w:r>
      <w:r>
        <w:rPr>
          <w:rFonts w:ascii="Times New Roman" w:hAnsi="Times New Roman" w:eastAsia="Times New Roman"/>
          <w:spacing w:val="-1"/>
          <w:position w:val="2"/>
        </w:rPr>
        <w:t>1m</w:t>
      </w:r>
      <w:r>
        <w:rPr>
          <w:spacing w:val="-1"/>
          <w:position w:val="2"/>
        </w:rPr>
        <w:t>；</w:t>
      </w:r>
      <w:r>
        <w:rPr>
          <w:spacing w:val="-117"/>
          <w:position w:val="2"/>
        </w:rPr>
        <w:t> </w:t>
      </w:r>
      <w:r>
        <w:rPr>
          <w:rFonts w:ascii="Times New Roman" w:hAnsi="Times New Roman" w:eastAsia="Times New Roman"/>
          <w:i/>
          <w:position w:val="2"/>
        </w:rPr>
        <w:t>d</w:t>
      </w:r>
      <w:r>
        <w:rPr>
          <w:rFonts w:ascii="Times New Roman" w:hAnsi="Times New Roman" w:eastAsia="Times New Roman"/>
          <w:i/>
          <w:sz w:val="15"/>
        </w:rPr>
        <w:t>s</w:t>
      </w:r>
      <w:r>
        <w:rPr>
          <w:rFonts w:ascii="Times New Roman" w:hAnsi="Times New Roman" w:eastAsia="Times New Roman"/>
          <w:position w:val="2"/>
        </w:rPr>
        <w:t>——</w:t>
      </w:r>
      <w:r>
        <w:rPr>
          <w:position w:val="2"/>
        </w:rPr>
        <w:t>病人与预测点的距离，</w:t>
      </w:r>
      <w:r>
        <w:rPr>
          <w:rFonts w:ascii="Times New Roman" w:hAnsi="Times New Roman" w:eastAsia="Times New Roman"/>
          <w:position w:val="2"/>
        </w:rPr>
        <w:t>m</w:t>
      </w:r>
      <w:r>
        <w:rPr>
          <w:position w:val="2"/>
        </w:rPr>
        <w:t>；</w:t>
      </w:r>
      <w:r>
        <w:rPr>
          <w:spacing w:val="1"/>
          <w:position w:val="2"/>
        </w:rPr>
        <w:t> </w:t>
      </w:r>
      <w:r>
        <w:rPr>
          <w:rFonts w:ascii="Times New Roman" w:hAnsi="Times New Roman" w:eastAsia="Times New Roman"/>
          <w:i/>
        </w:rPr>
        <w:t>B</w:t>
      </w:r>
      <w:r>
        <w:rPr>
          <w:rFonts w:ascii="Times New Roman" w:hAnsi="Times New Roman" w:eastAsia="Times New Roman"/>
        </w:rPr>
        <w:t>——</w:t>
      </w:r>
      <w:r>
        <w:rPr/>
        <w:t>减弱因子；</w:t>
      </w:r>
    </w:p>
    <w:p>
      <w:pPr>
        <w:pStyle w:val="BodyText"/>
        <w:spacing w:line="233" w:lineRule="exact"/>
        <w:ind w:right="3341"/>
        <w:jc w:val="center"/>
      </w:pPr>
      <w:r>
        <w:rPr>
          <w:spacing w:val="-1"/>
        </w:rPr>
        <w:t>各预测点散射辐射剂量率计算参数及结果见下表</w:t>
      </w:r>
      <w:r>
        <w:rPr>
          <w:rFonts w:ascii="Times New Roman" w:eastAsia="Times New Roman"/>
        </w:rPr>
        <w:t>11-5</w:t>
      </w:r>
      <w:r>
        <w:rPr/>
        <w:t>。</w:t>
      </w:r>
    </w:p>
    <w:p>
      <w:pPr>
        <w:spacing w:before="99"/>
        <w:ind w:left="0" w:right="20" w:firstLine="0"/>
        <w:jc w:val="center"/>
        <w:rPr>
          <w:sz w:val="21"/>
        </w:rPr>
      </w:pPr>
      <w:r>
        <w:rPr>
          <w:spacing w:val="25"/>
          <w:w w:val="95"/>
          <w:sz w:val="21"/>
        </w:rPr>
        <w:t>表 </w:t>
      </w:r>
      <w:r>
        <w:rPr>
          <w:rFonts w:ascii="Times New Roman" w:eastAsia="Times New Roman"/>
          <w:b/>
          <w:w w:val="95"/>
          <w:sz w:val="21"/>
        </w:rPr>
        <w:t>11-5</w:t>
      </w:r>
      <w:r>
        <w:rPr>
          <w:rFonts w:ascii="Times New Roman" w:eastAsia="Times New Roman"/>
          <w:b/>
          <w:spacing w:val="91"/>
          <w:sz w:val="21"/>
        </w:rPr>
        <w:t> </w:t>
      </w:r>
      <w:r>
        <w:rPr>
          <w:w w:val="95"/>
          <w:sz w:val="21"/>
        </w:rPr>
        <w:t>散射辐射各预测点散射辐射剂量率计算参数及结果</w:t>
      </w:r>
    </w:p>
    <w:p>
      <w:pPr>
        <w:pStyle w:val="BodyText"/>
        <w:spacing w:before="11" w:after="1"/>
        <w:rPr>
          <w:sz w:val="7"/>
        </w:rPr>
      </w:pPr>
    </w:p>
    <w:tbl>
      <w:tblPr>
        <w:tblW w:w="0" w:type="auto"/>
        <w:jc w:val="left"/>
        <w:tblInd w:w="3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6"/>
        <w:gridCol w:w="1209"/>
        <w:gridCol w:w="1078"/>
        <w:gridCol w:w="1595"/>
        <w:gridCol w:w="723"/>
        <w:gridCol w:w="1214"/>
        <w:gridCol w:w="1227"/>
        <w:gridCol w:w="1198"/>
      </w:tblGrid>
      <w:tr>
        <w:trPr>
          <w:trHeight w:val="1248" w:hRule="atLeast"/>
        </w:trPr>
        <w:tc>
          <w:tcPr>
            <w:tcW w:w="1795" w:type="dxa"/>
            <w:gridSpan w:val="2"/>
            <w:tcBorders>
              <w:left w:val="nil"/>
              <w:right w:val="single" w:sz="4" w:space="0" w:color="000000"/>
            </w:tcBorders>
          </w:tcPr>
          <w:p>
            <w:pPr>
              <w:pStyle w:val="TableParagraph"/>
              <w:jc w:val="left"/>
              <w:rPr>
                <w:sz w:val="20"/>
              </w:rPr>
            </w:pPr>
          </w:p>
          <w:p>
            <w:pPr>
              <w:pStyle w:val="TableParagraph"/>
              <w:spacing w:before="1"/>
              <w:jc w:val="left"/>
              <w:rPr>
                <w:sz w:val="18"/>
              </w:rPr>
            </w:pPr>
          </w:p>
          <w:p>
            <w:pPr>
              <w:pStyle w:val="TableParagraph"/>
              <w:ind w:left="280"/>
              <w:jc w:val="left"/>
              <w:rPr>
                <w:sz w:val="21"/>
              </w:rPr>
            </w:pPr>
            <w:r>
              <w:rPr>
                <w:w w:val="95"/>
                <w:sz w:val="21"/>
              </w:rPr>
              <w:t>关注点位描述</w:t>
            </w:r>
          </w:p>
        </w:tc>
        <w:tc>
          <w:tcPr>
            <w:tcW w:w="1078" w:type="dxa"/>
            <w:tcBorders>
              <w:left w:val="single" w:sz="4" w:space="0" w:color="000000"/>
              <w:right w:val="single" w:sz="4" w:space="0" w:color="000000"/>
            </w:tcBorders>
          </w:tcPr>
          <w:p>
            <w:pPr>
              <w:pStyle w:val="TableParagraph"/>
              <w:spacing w:line="278" w:lineRule="auto" w:before="20"/>
              <w:ind w:left="129" w:right="94"/>
              <w:jc w:val="both"/>
              <w:rPr>
                <w:sz w:val="21"/>
              </w:rPr>
            </w:pPr>
            <w:r>
              <w:rPr>
                <w:spacing w:val="-1"/>
                <w:sz w:val="21"/>
              </w:rPr>
              <w:t>病人</w:t>
            </w:r>
            <w:r>
              <w:rPr>
                <w:sz w:val="21"/>
              </w:rPr>
              <w:t>（散</w:t>
            </w:r>
            <w:r>
              <w:rPr>
                <w:spacing w:val="-1"/>
                <w:sz w:val="21"/>
              </w:rPr>
              <w:t>射点</w:t>
            </w:r>
            <w:r>
              <w:rPr>
                <w:sz w:val="21"/>
              </w:rPr>
              <w:t>）到</w:t>
            </w:r>
            <w:r>
              <w:rPr>
                <w:w w:val="95"/>
                <w:sz w:val="21"/>
              </w:rPr>
              <w:t>关注点距</w:t>
            </w:r>
          </w:p>
          <w:p>
            <w:pPr>
              <w:pStyle w:val="TableParagraph"/>
              <w:spacing w:line="269" w:lineRule="exact"/>
              <w:ind w:left="146"/>
              <w:jc w:val="left"/>
              <w:rPr>
                <w:sz w:val="21"/>
              </w:rPr>
            </w:pPr>
            <w:r>
              <w:rPr>
                <w:w w:val="95"/>
                <w:sz w:val="21"/>
              </w:rPr>
              <w:t>离（</w:t>
            </w:r>
            <w:r>
              <w:rPr>
                <w:rFonts w:ascii="Times New Roman" w:eastAsia="Times New Roman"/>
                <w:b/>
                <w:w w:val="95"/>
                <w:sz w:val="21"/>
              </w:rPr>
              <w:t>m</w:t>
            </w:r>
            <w:r>
              <w:rPr>
                <w:w w:val="95"/>
                <w:sz w:val="21"/>
              </w:rPr>
              <w:t>）</w:t>
            </w:r>
          </w:p>
        </w:tc>
        <w:tc>
          <w:tcPr>
            <w:tcW w:w="1595" w:type="dxa"/>
            <w:tcBorders>
              <w:left w:val="single" w:sz="4" w:space="0" w:color="000000"/>
              <w:right w:val="single" w:sz="4" w:space="0" w:color="000000"/>
            </w:tcBorders>
          </w:tcPr>
          <w:p>
            <w:pPr>
              <w:pStyle w:val="TableParagraph"/>
              <w:spacing w:before="12"/>
              <w:jc w:val="left"/>
              <w:rPr>
                <w:sz w:val="25"/>
              </w:rPr>
            </w:pPr>
          </w:p>
          <w:p>
            <w:pPr>
              <w:pStyle w:val="TableParagraph"/>
              <w:spacing w:line="278" w:lineRule="auto"/>
              <w:ind w:left="702" w:right="143" w:hanging="526"/>
              <w:jc w:val="left"/>
              <w:rPr>
                <w:sz w:val="21"/>
              </w:rPr>
            </w:pPr>
            <w:r>
              <w:rPr>
                <w:spacing w:val="-1"/>
                <w:sz w:val="21"/>
              </w:rPr>
              <w:t>屏蔽材料及厚</w:t>
            </w:r>
            <w:r>
              <w:rPr>
                <w:sz w:val="21"/>
              </w:rPr>
              <w:t>度</w:t>
            </w:r>
          </w:p>
        </w:tc>
        <w:tc>
          <w:tcPr>
            <w:tcW w:w="723" w:type="dxa"/>
            <w:tcBorders>
              <w:left w:val="single" w:sz="4" w:space="0" w:color="000000"/>
              <w:right w:val="single" w:sz="4" w:space="0" w:color="000000"/>
            </w:tcBorders>
          </w:tcPr>
          <w:p>
            <w:pPr>
              <w:pStyle w:val="TableParagraph"/>
              <w:spacing w:before="12"/>
              <w:jc w:val="left"/>
              <w:rPr>
                <w:sz w:val="25"/>
              </w:rPr>
            </w:pPr>
          </w:p>
          <w:p>
            <w:pPr>
              <w:pStyle w:val="TableParagraph"/>
              <w:spacing w:line="278" w:lineRule="auto"/>
              <w:ind w:left="161" w:right="129"/>
              <w:jc w:val="left"/>
              <w:rPr>
                <w:sz w:val="21"/>
              </w:rPr>
            </w:pPr>
            <w:r>
              <w:rPr>
                <w:spacing w:val="-2"/>
                <w:sz w:val="21"/>
              </w:rPr>
              <w:t>照射类型</w:t>
            </w:r>
          </w:p>
        </w:tc>
        <w:tc>
          <w:tcPr>
            <w:tcW w:w="1214" w:type="dxa"/>
            <w:tcBorders>
              <w:left w:val="single" w:sz="4" w:space="0" w:color="000000"/>
              <w:right w:val="single" w:sz="4" w:space="0" w:color="000000"/>
            </w:tcBorders>
          </w:tcPr>
          <w:p>
            <w:pPr>
              <w:pStyle w:val="TableParagraph"/>
              <w:jc w:val="left"/>
              <w:rPr>
                <w:sz w:val="20"/>
              </w:rPr>
            </w:pPr>
          </w:p>
          <w:p>
            <w:pPr>
              <w:pStyle w:val="TableParagraph"/>
              <w:spacing w:before="1"/>
              <w:jc w:val="left"/>
              <w:rPr>
                <w:sz w:val="18"/>
              </w:rPr>
            </w:pPr>
          </w:p>
          <w:p>
            <w:pPr>
              <w:pStyle w:val="TableParagraph"/>
              <w:ind w:right="163"/>
              <w:jc w:val="right"/>
              <w:rPr>
                <w:sz w:val="21"/>
              </w:rPr>
            </w:pPr>
            <w:r>
              <w:rPr>
                <w:w w:val="95"/>
                <w:sz w:val="21"/>
              </w:rPr>
              <w:t>减弱因子</w:t>
            </w:r>
          </w:p>
        </w:tc>
        <w:tc>
          <w:tcPr>
            <w:tcW w:w="1227" w:type="dxa"/>
            <w:tcBorders>
              <w:left w:val="single" w:sz="4" w:space="0" w:color="000000"/>
              <w:right w:val="single" w:sz="4" w:space="0" w:color="000000"/>
            </w:tcBorders>
          </w:tcPr>
          <w:p>
            <w:pPr>
              <w:pStyle w:val="TableParagraph"/>
              <w:spacing w:line="285" w:lineRule="auto" w:before="176"/>
              <w:ind w:left="201" w:right="170"/>
              <w:rPr>
                <w:rFonts w:ascii="Times New Roman" w:hAnsi="Times New Roman" w:eastAsia="Times New Roman"/>
                <w:b/>
                <w:sz w:val="21"/>
              </w:rPr>
            </w:pPr>
            <w:r>
              <w:rPr>
                <w:spacing w:val="-1"/>
                <w:sz w:val="21"/>
              </w:rPr>
              <w:t>散射辐射</w:t>
            </w:r>
            <w:r>
              <w:rPr>
                <w:sz w:val="21"/>
              </w:rPr>
              <w:t>剂量率</w:t>
            </w:r>
            <w:r>
              <w:rPr>
                <w:rFonts w:ascii="Times New Roman" w:hAnsi="Times New Roman" w:eastAsia="Times New Roman"/>
                <w:b/>
                <w:sz w:val="21"/>
              </w:rPr>
              <w:t>(μGy/h)</w:t>
            </w:r>
          </w:p>
        </w:tc>
        <w:tc>
          <w:tcPr>
            <w:tcW w:w="1198" w:type="dxa"/>
            <w:tcBorders>
              <w:left w:val="single" w:sz="4" w:space="0" w:color="000000"/>
              <w:right w:val="nil"/>
            </w:tcBorders>
          </w:tcPr>
          <w:p>
            <w:pPr>
              <w:pStyle w:val="TableParagraph"/>
              <w:spacing w:line="285" w:lineRule="auto" w:before="176"/>
              <w:ind w:left="189" w:right="159"/>
              <w:rPr>
                <w:rFonts w:ascii="Times New Roman" w:eastAsia="Times New Roman"/>
                <w:b/>
                <w:sz w:val="21"/>
              </w:rPr>
            </w:pPr>
            <w:r>
              <w:rPr>
                <w:spacing w:val="-1"/>
                <w:sz w:val="21"/>
              </w:rPr>
              <w:t>年散射辐</w:t>
            </w:r>
            <w:r>
              <w:rPr>
                <w:sz w:val="21"/>
              </w:rPr>
              <w:t>射剂量</w:t>
            </w:r>
            <w:r>
              <w:rPr>
                <w:rFonts w:ascii="Times New Roman" w:eastAsia="Times New Roman"/>
                <w:b/>
                <w:sz w:val="21"/>
              </w:rPr>
              <w:t>(mGy/a)</w:t>
            </w:r>
          </w:p>
        </w:tc>
      </w:tr>
      <w:tr>
        <w:trPr>
          <w:trHeight w:val="624" w:hRule="atLeast"/>
        </w:trPr>
        <w:tc>
          <w:tcPr>
            <w:tcW w:w="586" w:type="dxa"/>
            <w:vMerge w:val="restart"/>
            <w:tcBorders>
              <w:left w:val="nil"/>
              <w:bottom w:val="single" w:sz="4" w:space="0" w:color="000000"/>
              <w:right w:val="single" w:sz="4" w:space="0" w:color="000000"/>
            </w:tcBorders>
          </w:tcPr>
          <w:p>
            <w:pPr>
              <w:pStyle w:val="TableParagraph"/>
              <w:spacing w:before="3"/>
              <w:jc w:val="left"/>
              <w:rPr>
                <w:sz w:val="14"/>
              </w:rPr>
            </w:pPr>
          </w:p>
          <w:p>
            <w:pPr>
              <w:pStyle w:val="TableParagraph"/>
              <w:spacing w:line="278" w:lineRule="auto"/>
              <w:ind w:left="201" w:right="168"/>
              <w:jc w:val="both"/>
              <w:rPr>
                <w:sz w:val="21"/>
              </w:rPr>
            </w:pPr>
            <w:r>
              <w:rPr>
                <w:sz w:val="21"/>
              </w:rPr>
              <w:t>机房内</w:t>
            </w:r>
          </w:p>
        </w:tc>
        <w:tc>
          <w:tcPr>
            <w:tcW w:w="1209" w:type="dxa"/>
            <w:tcBorders>
              <w:left w:val="single" w:sz="4" w:space="0" w:color="000000"/>
              <w:bottom w:val="single" w:sz="4" w:space="0" w:color="000000"/>
              <w:right w:val="single" w:sz="4" w:space="0" w:color="000000"/>
            </w:tcBorders>
          </w:tcPr>
          <w:p>
            <w:pPr>
              <w:pStyle w:val="TableParagraph"/>
              <w:spacing w:before="21"/>
              <w:ind w:left="162" w:right="137"/>
              <w:rPr>
                <w:sz w:val="21"/>
              </w:rPr>
            </w:pPr>
            <w:r>
              <w:rPr>
                <w:sz w:val="21"/>
              </w:rPr>
              <w:t>机房内医</w:t>
            </w:r>
          </w:p>
          <w:p>
            <w:pPr>
              <w:pStyle w:val="TableParagraph"/>
              <w:spacing w:before="43"/>
              <w:ind w:left="25"/>
              <w:rPr>
                <w:sz w:val="21"/>
              </w:rPr>
            </w:pPr>
            <w:r>
              <w:rPr>
                <w:w w:val="99"/>
                <w:sz w:val="21"/>
              </w:rPr>
              <w:t>生</w:t>
            </w:r>
          </w:p>
        </w:tc>
        <w:tc>
          <w:tcPr>
            <w:tcW w:w="1078" w:type="dxa"/>
            <w:tcBorders>
              <w:left w:val="single" w:sz="4" w:space="0" w:color="000000"/>
              <w:bottom w:val="single" w:sz="4" w:space="0" w:color="000000"/>
              <w:right w:val="single" w:sz="4" w:space="0" w:color="000000"/>
            </w:tcBorders>
          </w:tcPr>
          <w:p>
            <w:pPr>
              <w:pStyle w:val="TableParagraph"/>
              <w:spacing w:before="191"/>
              <w:ind w:left="136" w:right="110"/>
              <w:rPr>
                <w:rFonts w:ascii="Times New Roman"/>
                <w:sz w:val="21"/>
              </w:rPr>
            </w:pPr>
            <w:r>
              <w:rPr>
                <w:rFonts w:ascii="Times New Roman"/>
                <w:sz w:val="21"/>
              </w:rPr>
              <w:t>0.5</w:t>
            </w:r>
          </w:p>
        </w:tc>
        <w:tc>
          <w:tcPr>
            <w:tcW w:w="1595" w:type="dxa"/>
            <w:tcBorders>
              <w:left w:val="single" w:sz="4" w:space="0" w:color="000000"/>
              <w:bottom w:val="single" w:sz="4" w:space="0" w:color="000000"/>
              <w:right w:val="single" w:sz="4" w:space="0" w:color="000000"/>
            </w:tcBorders>
          </w:tcPr>
          <w:p>
            <w:pPr>
              <w:pStyle w:val="TableParagraph"/>
              <w:spacing w:before="21"/>
              <w:ind w:left="167"/>
              <w:jc w:val="left"/>
              <w:rPr>
                <w:sz w:val="21"/>
              </w:rPr>
            </w:pPr>
            <w:r>
              <w:rPr>
                <w:rFonts w:ascii="Times New Roman" w:eastAsia="Times New Roman"/>
                <w:sz w:val="21"/>
              </w:rPr>
              <w:t>0.5mmPb</w:t>
            </w:r>
            <w:r>
              <w:rPr>
                <w:rFonts w:ascii="Times New Roman" w:eastAsia="Times New Roman"/>
                <w:spacing w:val="-3"/>
                <w:sz w:val="21"/>
              </w:rPr>
              <w:t> </w:t>
            </w:r>
            <w:r>
              <w:rPr>
                <w:sz w:val="21"/>
              </w:rPr>
              <w:t>铅衣</w:t>
            </w:r>
          </w:p>
          <w:p>
            <w:pPr>
              <w:pStyle w:val="TableParagraph"/>
              <w:spacing w:before="43"/>
              <w:ind w:left="119"/>
              <w:jc w:val="left"/>
              <w:rPr>
                <w:sz w:val="21"/>
              </w:rPr>
            </w:pPr>
            <w:r>
              <w:rPr>
                <w:rFonts w:ascii="Times New Roman" w:eastAsia="Times New Roman"/>
                <w:w w:val="95"/>
                <w:sz w:val="21"/>
              </w:rPr>
              <w:t>+0.5mmPb</w:t>
            </w:r>
            <w:r>
              <w:rPr>
                <w:rFonts w:ascii="Times New Roman" w:eastAsia="Times New Roman"/>
                <w:spacing w:val="-3"/>
                <w:w w:val="95"/>
                <w:sz w:val="21"/>
              </w:rPr>
              <w:t> </w:t>
            </w:r>
            <w:r>
              <w:rPr>
                <w:w w:val="95"/>
                <w:sz w:val="21"/>
              </w:rPr>
              <w:t>铅帘</w:t>
            </w:r>
          </w:p>
        </w:tc>
        <w:tc>
          <w:tcPr>
            <w:tcW w:w="723" w:type="dxa"/>
            <w:tcBorders>
              <w:left w:val="single" w:sz="4" w:space="0" w:color="000000"/>
              <w:bottom w:val="single" w:sz="4" w:space="0" w:color="000000"/>
              <w:right w:val="single" w:sz="4" w:space="0" w:color="000000"/>
            </w:tcBorders>
          </w:tcPr>
          <w:p>
            <w:pPr>
              <w:pStyle w:val="TableParagraph"/>
              <w:spacing w:before="177"/>
              <w:ind w:left="130" w:right="104"/>
              <w:rPr>
                <w:sz w:val="21"/>
              </w:rPr>
            </w:pPr>
            <w:r>
              <w:rPr>
                <w:sz w:val="21"/>
              </w:rPr>
              <w:t>透视</w:t>
            </w:r>
          </w:p>
        </w:tc>
        <w:tc>
          <w:tcPr>
            <w:tcW w:w="1214" w:type="dxa"/>
            <w:tcBorders>
              <w:left w:val="single" w:sz="4" w:space="0" w:color="000000"/>
              <w:bottom w:val="single" w:sz="4" w:space="0" w:color="000000"/>
              <w:right w:val="single" w:sz="4" w:space="0" w:color="000000"/>
            </w:tcBorders>
          </w:tcPr>
          <w:p>
            <w:pPr>
              <w:pStyle w:val="TableParagraph"/>
              <w:spacing w:before="191"/>
              <w:ind w:right="181"/>
              <w:jc w:val="right"/>
              <w:rPr>
                <w:rFonts w:ascii="Times New Roman" w:hAnsi="Times New Roman"/>
                <w:sz w:val="13"/>
              </w:rPr>
            </w:pPr>
            <w:r>
              <w:rPr>
                <w:rFonts w:ascii="Times New Roman" w:hAnsi="Times New Roman"/>
                <w:sz w:val="21"/>
              </w:rPr>
              <w:t>4.08×10</w:t>
            </w:r>
            <w:r>
              <w:rPr>
                <w:rFonts w:ascii="Times New Roman" w:hAnsi="Times New Roman"/>
                <w:position w:val="7"/>
                <w:sz w:val="13"/>
              </w:rPr>
              <w:t>-3</w:t>
            </w:r>
          </w:p>
        </w:tc>
        <w:tc>
          <w:tcPr>
            <w:tcW w:w="1227" w:type="dxa"/>
            <w:tcBorders>
              <w:left w:val="single" w:sz="4" w:space="0" w:color="000000"/>
              <w:bottom w:val="single" w:sz="4" w:space="0" w:color="000000"/>
              <w:right w:val="single" w:sz="4" w:space="0" w:color="000000"/>
            </w:tcBorders>
          </w:tcPr>
          <w:p>
            <w:pPr>
              <w:pStyle w:val="TableParagraph"/>
              <w:spacing w:before="191"/>
              <w:ind w:left="101" w:right="72"/>
              <w:rPr>
                <w:rFonts w:ascii="Times New Roman"/>
                <w:sz w:val="21"/>
              </w:rPr>
            </w:pPr>
            <w:r>
              <w:rPr>
                <w:rFonts w:ascii="Times New Roman"/>
                <w:sz w:val="21"/>
              </w:rPr>
              <w:t>59.2</w:t>
            </w:r>
          </w:p>
        </w:tc>
        <w:tc>
          <w:tcPr>
            <w:tcW w:w="1198" w:type="dxa"/>
            <w:tcBorders>
              <w:left w:val="single" w:sz="4" w:space="0" w:color="000000"/>
              <w:bottom w:val="single" w:sz="4" w:space="0" w:color="000000"/>
              <w:right w:val="nil"/>
            </w:tcBorders>
          </w:tcPr>
          <w:p>
            <w:pPr>
              <w:pStyle w:val="TableParagraph"/>
              <w:spacing w:before="191"/>
              <w:ind w:left="182" w:right="159"/>
              <w:rPr>
                <w:rFonts w:ascii="Times New Roman"/>
                <w:sz w:val="21"/>
              </w:rPr>
            </w:pPr>
            <w:r>
              <w:rPr>
                <w:rFonts w:ascii="Times New Roman"/>
                <w:sz w:val="21"/>
              </w:rPr>
              <w:t>11.5</w:t>
            </w:r>
          </w:p>
        </w:tc>
      </w:tr>
      <w:tr>
        <w:trPr>
          <w:trHeight w:val="623" w:hRule="atLeast"/>
        </w:trPr>
        <w:tc>
          <w:tcPr>
            <w:tcW w:w="586" w:type="dxa"/>
            <w:vMerge/>
            <w:tcBorders>
              <w:top w:val="nil"/>
              <w:left w:val="nil"/>
              <w:bottom w:val="single" w:sz="4" w:space="0" w:color="000000"/>
              <w:right w:val="single" w:sz="4" w:space="0" w:color="000000"/>
            </w:tcBorders>
          </w:tcPr>
          <w:p>
            <w:pPr>
              <w:rPr>
                <w:sz w:val="2"/>
                <w:szCs w:val="2"/>
              </w:rPr>
            </w:pPr>
          </w:p>
        </w:tc>
        <w:tc>
          <w:tcPr>
            <w:tcW w:w="1209" w:type="dxa"/>
            <w:tcBorders>
              <w:top w:val="single" w:sz="4" w:space="0" w:color="000000"/>
              <w:left w:val="single" w:sz="4" w:space="0" w:color="000000"/>
              <w:bottom w:val="single" w:sz="4" w:space="0" w:color="000000"/>
              <w:right w:val="single" w:sz="4" w:space="0" w:color="000000"/>
            </w:tcBorders>
          </w:tcPr>
          <w:p>
            <w:pPr>
              <w:pStyle w:val="TableParagraph"/>
              <w:spacing w:before="20"/>
              <w:ind w:left="162" w:right="137"/>
              <w:rPr>
                <w:sz w:val="21"/>
              </w:rPr>
            </w:pPr>
            <w:r>
              <w:rPr>
                <w:sz w:val="21"/>
              </w:rPr>
              <w:t>机房内的</w:t>
            </w:r>
          </w:p>
          <w:p>
            <w:pPr>
              <w:pStyle w:val="TableParagraph"/>
              <w:spacing w:before="43"/>
              <w:ind w:left="162" w:right="139"/>
              <w:rPr>
                <w:sz w:val="21"/>
              </w:rPr>
            </w:pPr>
            <w:r>
              <w:rPr>
                <w:sz w:val="21"/>
              </w:rPr>
              <w:t>护士</w:t>
            </w:r>
          </w:p>
        </w:tc>
        <w:tc>
          <w:tcPr>
            <w:tcW w:w="1078" w:type="dxa"/>
            <w:tcBorders>
              <w:top w:val="single" w:sz="4" w:space="0" w:color="000000"/>
              <w:left w:val="single" w:sz="4" w:space="0" w:color="000000"/>
              <w:bottom w:val="single" w:sz="4" w:space="0" w:color="000000"/>
              <w:right w:val="single" w:sz="4" w:space="0" w:color="000000"/>
            </w:tcBorders>
          </w:tcPr>
          <w:p>
            <w:pPr>
              <w:pStyle w:val="TableParagraph"/>
              <w:spacing w:before="190"/>
              <w:ind w:left="136" w:right="107"/>
              <w:rPr>
                <w:rFonts w:ascii="Times New Roman"/>
                <w:sz w:val="21"/>
              </w:rPr>
            </w:pPr>
            <w:r>
              <w:rPr>
                <w:rFonts w:ascii="Times New Roman"/>
                <w:sz w:val="21"/>
              </w:rPr>
              <w:t>1.0</w:t>
            </w:r>
          </w:p>
        </w:tc>
        <w:tc>
          <w:tcPr>
            <w:tcW w:w="1595" w:type="dxa"/>
            <w:tcBorders>
              <w:top w:val="single" w:sz="4" w:space="0" w:color="000000"/>
              <w:left w:val="single" w:sz="4" w:space="0" w:color="000000"/>
              <w:bottom w:val="single" w:sz="4" w:space="0" w:color="000000"/>
              <w:right w:val="single" w:sz="4" w:space="0" w:color="000000"/>
            </w:tcBorders>
          </w:tcPr>
          <w:p>
            <w:pPr>
              <w:pStyle w:val="TableParagraph"/>
              <w:spacing w:before="20"/>
              <w:ind w:left="167"/>
              <w:jc w:val="left"/>
              <w:rPr>
                <w:sz w:val="21"/>
              </w:rPr>
            </w:pPr>
            <w:r>
              <w:rPr>
                <w:rFonts w:ascii="Times New Roman" w:eastAsia="Times New Roman"/>
                <w:sz w:val="21"/>
              </w:rPr>
              <w:t>0.5mmPb</w:t>
            </w:r>
            <w:r>
              <w:rPr>
                <w:rFonts w:ascii="Times New Roman" w:eastAsia="Times New Roman"/>
                <w:spacing w:val="-3"/>
                <w:sz w:val="21"/>
              </w:rPr>
              <w:t> </w:t>
            </w:r>
            <w:r>
              <w:rPr>
                <w:sz w:val="21"/>
              </w:rPr>
              <w:t>铅衣</w:t>
            </w:r>
          </w:p>
          <w:p>
            <w:pPr>
              <w:pStyle w:val="TableParagraph"/>
              <w:spacing w:before="43"/>
              <w:ind w:left="119"/>
              <w:jc w:val="left"/>
              <w:rPr>
                <w:sz w:val="21"/>
              </w:rPr>
            </w:pPr>
            <w:r>
              <w:rPr>
                <w:rFonts w:ascii="Times New Roman" w:eastAsia="Times New Roman"/>
                <w:w w:val="95"/>
                <w:sz w:val="21"/>
              </w:rPr>
              <w:t>+0.5mmPb</w:t>
            </w:r>
            <w:r>
              <w:rPr>
                <w:rFonts w:ascii="Times New Roman" w:eastAsia="Times New Roman"/>
                <w:spacing w:val="-3"/>
                <w:w w:val="95"/>
                <w:sz w:val="21"/>
              </w:rPr>
              <w:t> </w:t>
            </w:r>
            <w:r>
              <w:rPr>
                <w:w w:val="95"/>
                <w:sz w:val="21"/>
              </w:rPr>
              <w:t>铅帘</w:t>
            </w:r>
          </w:p>
        </w:tc>
        <w:tc>
          <w:tcPr>
            <w:tcW w:w="723" w:type="dxa"/>
            <w:tcBorders>
              <w:top w:val="single" w:sz="4" w:space="0" w:color="000000"/>
              <w:left w:val="single" w:sz="4" w:space="0" w:color="000000"/>
              <w:bottom w:val="single" w:sz="4" w:space="0" w:color="000000"/>
              <w:right w:val="single" w:sz="4" w:space="0" w:color="000000"/>
            </w:tcBorders>
          </w:tcPr>
          <w:p>
            <w:pPr>
              <w:pStyle w:val="TableParagraph"/>
              <w:spacing w:before="177"/>
              <w:ind w:left="130" w:right="104"/>
              <w:rPr>
                <w:sz w:val="21"/>
              </w:rPr>
            </w:pPr>
            <w:r>
              <w:rPr>
                <w:sz w:val="21"/>
              </w:rPr>
              <w:t>透视</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193"/>
              <w:ind w:right="181"/>
              <w:jc w:val="right"/>
              <w:rPr>
                <w:rFonts w:ascii="Times New Roman" w:hAnsi="Times New Roman"/>
                <w:sz w:val="21"/>
              </w:rPr>
            </w:pPr>
            <w:r>
              <w:rPr>
                <w:rFonts w:ascii="Times New Roman" w:hAnsi="Times New Roman"/>
                <w:sz w:val="21"/>
              </w:rPr>
              <w:t>4.08×10</w:t>
            </w:r>
            <w:r>
              <w:rPr>
                <w:rFonts w:ascii="Times New Roman" w:hAnsi="Times New Roman"/>
                <w:sz w:val="21"/>
                <w:vertAlign w:val="superscript"/>
              </w:rPr>
              <w:t>-3</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spacing w:before="193"/>
              <w:ind w:left="101" w:right="72"/>
              <w:rPr>
                <w:rFonts w:ascii="Times New Roman"/>
                <w:sz w:val="21"/>
              </w:rPr>
            </w:pPr>
            <w:r>
              <w:rPr>
                <w:rFonts w:ascii="Times New Roman"/>
                <w:sz w:val="21"/>
              </w:rPr>
              <w:t>14.8</w:t>
            </w:r>
          </w:p>
        </w:tc>
        <w:tc>
          <w:tcPr>
            <w:tcW w:w="1198" w:type="dxa"/>
            <w:tcBorders>
              <w:top w:val="single" w:sz="4" w:space="0" w:color="000000"/>
              <w:left w:val="single" w:sz="4" w:space="0" w:color="000000"/>
              <w:bottom w:val="single" w:sz="4" w:space="0" w:color="000000"/>
              <w:right w:val="nil"/>
            </w:tcBorders>
          </w:tcPr>
          <w:p>
            <w:pPr>
              <w:pStyle w:val="TableParagraph"/>
              <w:spacing w:before="193"/>
              <w:ind w:left="182" w:right="159"/>
              <w:rPr>
                <w:rFonts w:ascii="Times New Roman"/>
                <w:sz w:val="21"/>
              </w:rPr>
            </w:pPr>
            <w:r>
              <w:rPr>
                <w:rFonts w:ascii="Times New Roman"/>
                <w:sz w:val="21"/>
              </w:rPr>
              <w:t>2.89</w:t>
            </w:r>
          </w:p>
        </w:tc>
      </w:tr>
      <w:tr>
        <w:trPr>
          <w:trHeight w:val="457" w:hRule="atLeast"/>
        </w:trPr>
        <w:tc>
          <w:tcPr>
            <w:tcW w:w="586" w:type="dxa"/>
            <w:vMerge w:val="restart"/>
            <w:tcBorders>
              <w:top w:val="single" w:sz="4" w:space="0" w:color="000000"/>
              <w:left w:val="nil"/>
              <w:right w:val="single" w:sz="4"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
              <w:jc w:val="left"/>
              <w:rPr>
                <w:sz w:val="18"/>
              </w:rPr>
            </w:pPr>
          </w:p>
          <w:p>
            <w:pPr>
              <w:pStyle w:val="TableParagraph"/>
              <w:spacing w:line="278" w:lineRule="auto"/>
              <w:ind w:left="201" w:right="168"/>
              <w:jc w:val="both"/>
              <w:rPr>
                <w:sz w:val="21"/>
              </w:rPr>
            </w:pPr>
            <w:r>
              <w:rPr>
                <w:sz w:val="21"/>
              </w:rPr>
              <w:t>医技楼内</w:t>
            </w:r>
          </w:p>
        </w:tc>
        <w:tc>
          <w:tcPr>
            <w:tcW w:w="120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5"/>
              <w:ind w:left="116" w:firstLine="76"/>
              <w:jc w:val="left"/>
              <w:rPr>
                <w:sz w:val="21"/>
              </w:rPr>
            </w:pPr>
            <w:r>
              <w:rPr>
                <w:sz w:val="21"/>
              </w:rPr>
              <w:t>操作间内</w:t>
            </w:r>
          </w:p>
          <w:p>
            <w:pPr>
              <w:pStyle w:val="TableParagraph"/>
              <w:spacing w:line="310" w:lineRule="atLeast" w:before="2"/>
              <w:ind w:left="299" w:right="86" w:hanging="183"/>
              <w:jc w:val="left"/>
              <w:rPr>
                <w:sz w:val="21"/>
              </w:rPr>
            </w:pPr>
            <w:r>
              <w:rPr>
                <w:spacing w:val="-20"/>
                <w:sz w:val="21"/>
              </w:rPr>
              <w:t>的技师</w:t>
            </w:r>
            <w:r>
              <w:rPr>
                <w:spacing w:val="-1"/>
                <w:sz w:val="21"/>
              </w:rPr>
              <w:t>（西</w:t>
            </w:r>
            <w:r>
              <w:rPr>
                <w:sz w:val="21"/>
              </w:rPr>
              <w:t>北侧）</w:t>
            </w:r>
          </w:p>
        </w:tc>
        <w:tc>
          <w:tcPr>
            <w:tcW w:w="107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jc w:val="left"/>
              <w:rPr>
                <w:sz w:val="27"/>
              </w:rPr>
            </w:pPr>
          </w:p>
          <w:p>
            <w:pPr>
              <w:pStyle w:val="TableParagraph"/>
              <w:ind w:left="136" w:right="107"/>
              <w:rPr>
                <w:rFonts w:ascii="Times New Roman"/>
                <w:sz w:val="21"/>
              </w:rPr>
            </w:pPr>
            <w:r>
              <w:rPr>
                <w:rFonts w:ascii="Times New Roman"/>
                <w:sz w:val="21"/>
              </w:rPr>
              <w:t>3.5</w:t>
            </w:r>
          </w:p>
        </w:tc>
        <w:tc>
          <w:tcPr>
            <w:tcW w:w="15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14"/>
              </w:rPr>
            </w:pPr>
          </w:p>
          <w:p>
            <w:pPr>
              <w:pStyle w:val="TableParagraph"/>
              <w:spacing w:line="278" w:lineRule="auto" w:before="1"/>
              <w:ind w:left="385" w:right="220" w:hanging="135"/>
              <w:jc w:val="left"/>
              <w:rPr>
                <w:sz w:val="21"/>
              </w:rPr>
            </w:pPr>
            <w:r>
              <w:rPr>
                <w:rFonts w:ascii="Times New Roman" w:eastAsia="Times New Roman"/>
                <w:spacing w:val="-1"/>
                <w:sz w:val="21"/>
              </w:rPr>
              <w:t>4mm</w:t>
            </w:r>
            <w:r>
              <w:rPr>
                <w:rFonts w:ascii="Times New Roman" w:eastAsia="Times New Roman"/>
                <w:spacing w:val="-12"/>
                <w:sz w:val="21"/>
              </w:rPr>
              <w:t> </w:t>
            </w:r>
            <w:r>
              <w:rPr>
                <w:sz w:val="21"/>
              </w:rPr>
              <w:t>铅当量铅玻璃窗</w:t>
            </w:r>
          </w:p>
        </w:tc>
        <w:tc>
          <w:tcPr>
            <w:tcW w:w="723" w:type="dxa"/>
            <w:tcBorders>
              <w:top w:val="single" w:sz="4" w:space="0" w:color="000000"/>
              <w:left w:val="single" w:sz="4" w:space="0" w:color="000000"/>
              <w:bottom w:val="single" w:sz="4" w:space="0" w:color="000000"/>
              <w:right w:val="single" w:sz="4" w:space="0" w:color="000000"/>
            </w:tcBorders>
          </w:tcPr>
          <w:p>
            <w:pPr>
              <w:pStyle w:val="TableParagraph"/>
              <w:spacing w:before="99"/>
              <w:ind w:left="130" w:right="104"/>
              <w:rPr>
                <w:sz w:val="21"/>
              </w:rPr>
            </w:pPr>
            <w:r>
              <w:rPr>
                <w:sz w:val="21"/>
              </w:rPr>
              <w:t>透视</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113"/>
              <w:ind w:right="181"/>
              <w:jc w:val="right"/>
              <w:rPr>
                <w:rFonts w:ascii="Times New Roman" w:hAnsi="Times New Roman"/>
                <w:sz w:val="21"/>
              </w:rPr>
            </w:pPr>
            <w:r>
              <w:rPr>
                <w:rFonts w:ascii="Times New Roman" w:hAnsi="Times New Roman"/>
                <w:sz w:val="21"/>
              </w:rPr>
              <w:t>3.69×10</w:t>
            </w:r>
            <w:r>
              <w:rPr>
                <w:rFonts w:ascii="Times New Roman" w:hAnsi="Times New Roman"/>
                <w:sz w:val="21"/>
                <w:vertAlign w:val="superscript"/>
              </w:rPr>
              <w:t>-7</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spacing w:before="113"/>
              <w:ind w:left="101" w:right="72"/>
              <w:rPr>
                <w:rFonts w:ascii="Times New Roman" w:hAnsi="Times New Roman"/>
                <w:sz w:val="21"/>
              </w:rPr>
            </w:pPr>
            <w:r>
              <w:rPr>
                <w:rFonts w:ascii="Times New Roman" w:hAnsi="Times New Roman"/>
                <w:sz w:val="21"/>
              </w:rPr>
              <w:t>9.23×10</w:t>
            </w:r>
            <w:r>
              <w:rPr>
                <w:rFonts w:ascii="Times New Roman" w:hAnsi="Times New Roman"/>
                <w:sz w:val="21"/>
                <w:vertAlign w:val="superscript"/>
              </w:rPr>
              <w:t>-5</w:t>
            </w:r>
          </w:p>
        </w:tc>
        <w:tc>
          <w:tcPr>
            <w:tcW w:w="1198" w:type="dxa"/>
            <w:tcBorders>
              <w:top w:val="single" w:sz="4" w:space="0" w:color="000000"/>
              <w:left w:val="single" w:sz="4" w:space="0" w:color="000000"/>
              <w:bottom w:val="single" w:sz="4" w:space="0" w:color="000000"/>
              <w:right w:val="nil"/>
            </w:tcBorders>
          </w:tcPr>
          <w:p>
            <w:pPr>
              <w:pStyle w:val="TableParagraph"/>
              <w:spacing w:before="113"/>
              <w:ind w:left="172" w:right="149"/>
              <w:rPr>
                <w:rFonts w:ascii="Times New Roman" w:hAnsi="Times New Roman"/>
                <w:sz w:val="21"/>
              </w:rPr>
            </w:pPr>
            <w:r>
              <w:rPr>
                <w:rFonts w:ascii="Times New Roman" w:hAnsi="Times New Roman"/>
                <w:sz w:val="21"/>
              </w:rPr>
              <w:t>1.80×10</w:t>
            </w:r>
            <w:r>
              <w:rPr>
                <w:rFonts w:ascii="Times New Roman" w:hAnsi="Times New Roman"/>
                <w:sz w:val="21"/>
                <w:vertAlign w:val="superscript"/>
              </w:rPr>
              <w:t>-5</w:t>
            </w:r>
          </w:p>
        </w:tc>
      </w:tr>
      <w:tr>
        <w:trPr>
          <w:trHeight w:val="448" w:hRule="atLeast"/>
        </w:trPr>
        <w:tc>
          <w:tcPr>
            <w:tcW w:w="586" w:type="dxa"/>
            <w:vMerge/>
            <w:tcBorders>
              <w:top w:val="nil"/>
              <w:left w:val="nil"/>
              <w:right w:val="single" w:sz="4" w:space="0" w:color="000000"/>
            </w:tcBorders>
          </w:tcPr>
          <w:p>
            <w:pPr>
              <w:rPr>
                <w:sz w:val="2"/>
                <w:szCs w:val="2"/>
              </w:rPr>
            </w:pPr>
          </w:p>
        </w:tc>
        <w:tc>
          <w:tcPr>
            <w:tcW w:w="1209" w:type="dxa"/>
            <w:vMerge/>
            <w:tcBorders>
              <w:top w:val="nil"/>
              <w:left w:val="single" w:sz="4" w:space="0" w:color="000000"/>
              <w:bottom w:val="single" w:sz="4" w:space="0" w:color="000000"/>
              <w:right w:val="single" w:sz="4" w:space="0" w:color="000000"/>
            </w:tcBorders>
          </w:tcPr>
          <w:p>
            <w:pPr>
              <w:rPr>
                <w:sz w:val="2"/>
                <w:szCs w:val="2"/>
              </w:rPr>
            </w:pPr>
          </w:p>
        </w:tc>
        <w:tc>
          <w:tcPr>
            <w:tcW w:w="1078" w:type="dxa"/>
            <w:vMerge/>
            <w:tcBorders>
              <w:top w:val="nil"/>
              <w:left w:val="single" w:sz="4" w:space="0" w:color="000000"/>
              <w:bottom w:val="single" w:sz="4" w:space="0" w:color="000000"/>
              <w:right w:val="single" w:sz="4" w:space="0" w:color="000000"/>
            </w:tcBorders>
          </w:tcPr>
          <w:p>
            <w:pPr>
              <w:rPr>
                <w:sz w:val="2"/>
                <w:szCs w:val="2"/>
              </w:rPr>
            </w:pPr>
          </w:p>
        </w:tc>
        <w:tc>
          <w:tcPr>
            <w:tcW w:w="1595" w:type="dxa"/>
            <w:vMerge/>
            <w:tcBorders>
              <w:top w:val="nil"/>
              <w:left w:val="single" w:sz="4" w:space="0" w:color="000000"/>
              <w:bottom w:val="single" w:sz="4" w:space="0" w:color="000000"/>
              <w:right w:val="single" w:sz="4" w:space="0" w:color="000000"/>
            </w:tcBorders>
          </w:tcPr>
          <w:p>
            <w:pPr>
              <w:rPr>
                <w:sz w:val="2"/>
                <w:szCs w:val="2"/>
              </w:rPr>
            </w:pPr>
          </w:p>
        </w:tc>
        <w:tc>
          <w:tcPr>
            <w:tcW w:w="723" w:type="dxa"/>
            <w:tcBorders>
              <w:top w:val="single" w:sz="4" w:space="0" w:color="000000"/>
              <w:left w:val="single" w:sz="4" w:space="0" w:color="000000"/>
              <w:bottom w:val="single" w:sz="4" w:space="0" w:color="000000"/>
              <w:right w:val="single" w:sz="4" w:space="0" w:color="000000"/>
            </w:tcBorders>
          </w:tcPr>
          <w:p>
            <w:pPr>
              <w:pStyle w:val="TableParagraph"/>
              <w:spacing w:before="89"/>
              <w:ind w:left="130" w:right="104"/>
              <w:rPr>
                <w:sz w:val="21"/>
              </w:rPr>
            </w:pPr>
            <w:r>
              <w:rPr>
                <w:sz w:val="21"/>
              </w:rPr>
              <w:t>拍片</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103"/>
              <w:ind w:right="181"/>
              <w:jc w:val="right"/>
              <w:rPr>
                <w:rFonts w:ascii="Times New Roman" w:hAnsi="Times New Roman"/>
                <w:sz w:val="13"/>
              </w:rPr>
            </w:pPr>
            <w:r>
              <w:rPr>
                <w:rFonts w:ascii="Times New Roman" w:hAnsi="Times New Roman"/>
                <w:sz w:val="21"/>
              </w:rPr>
              <w:t>5.14×10</w:t>
            </w:r>
            <w:r>
              <w:rPr>
                <w:rFonts w:ascii="Times New Roman" w:hAnsi="Times New Roman"/>
                <w:position w:val="7"/>
                <w:sz w:val="13"/>
              </w:rPr>
              <w:t>-6</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spacing w:before="103"/>
              <w:ind w:left="101" w:right="72"/>
              <w:rPr>
                <w:rFonts w:ascii="Times New Roman" w:hAnsi="Times New Roman"/>
                <w:sz w:val="13"/>
              </w:rPr>
            </w:pPr>
            <w:r>
              <w:rPr>
                <w:rFonts w:ascii="Times New Roman" w:hAnsi="Times New Roman"/>
                <w:sz w:val="21"/>
              </w:rPr>
              <w:t>2.14×10</w:t>
            </w:r>
            <w:r>
              <w:rPr>
                <w:rFonts w:ascii="Times New Roman" w:hAnsi="Times New Roman"/>
                <w:position w:val="7"/>
                <w:sz w:val="13"/>
              </w:rPr>
              <w:t>-2</w:t>
            </w:r>
          </w:p>
        </w:tc>
        <w:tc>
          <w:tcPr>
            <w:tcW w:w="1198" w:type="dxa"/>
            <w:tcBorders>
              <w:top w:val="single" w:sz="4" w:space="0" w:color="000000"/>
              <w:left w:val="single" w:sz="4" w:space="0" w:color="000000"/>
              <w:bottom w:val="single" w:sz="4" w:space="0" w:color="000000"/>
              <w:right w:val="nil"/>
            </w:tcBorders>
          </w:tcPr>
          <w:p>
            <w:pPr>
              <w:pStyle w:val="TableParagraph"/>
              <w:spacing w:before="103"/>
              <w:ind w:left="172" w:right="149"/>
              <w:rPr>
                <w:rFonts w:ascii="Times New Roman" w:hAnsi="Times New Roman"/>
                <w:sz w:val="13"/>
              </w:rPr>
            </w:pPr>
            <w:r>
              <w:rPr>
                <w:rFonts w:ascii="Times New Roman" w:hAnsi="Times New Roman"/>
                <w:sz w:val="21"/>
              </w:rPr>
              <w:t>4.63×10</w:t>
            </w:r>
            <w:r>
              <w:rPr>
                <w:rFonts w:ascii="Times New Roman" w:hAnsi="Times New Roman"/>
                <w:position w:val="7"/>
                <w:sz w:val="13"/>
              </w:rPr>
              <w:t>-4</w:t>
            </w:r>
          </w:p>
        </w:tc>
      </w:tr>
      <w:tr>
        <w:trPr>
          <w:trHeight w:val="447" w:hRule="atLeast"/>
        </w:trPr>
        <w:tc>
          <w:tcPr>
            <w:tcW w:w="586" w:type="dxa"/>
            <w:vMerge/>
            <w:tcBorders>
              <w:top w:val="nil"/>
              <w:left w:val="nil"/>
              <w:right w:val="single" w:sz="4" w:space="0" w:color="000000"/>
            </w:tcBorders>
          </w:tcPr>
          <w:p>
            <w:pPr>
              <w:rPr>
                <w:sz w:val="2"/>
                <w:szCs w:val="2"/>
              </w:rPr>
            </w:pPr>
          </w:p>
        </w:tc>
        <w:tc>
          <w:tcPr>
            <w:tcW w:w="1209"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12"/>
              <w:ind w:left="116" w:right="86" w:firstLine="52"/>
              <w:jc w:val="both"/>
              <w:rPr>
                <w:sz w:val="21"/>
              </w:rPr>
            </w:pPr>
            <w:r>
              <w:rPr>
                <w:rFonts w:ascii="Times New Roman" w:eastAsia="Times New Roman"/>
                <w:sz w:val="21"/>
              </w:rPr>
              <w:t>DSA</w:t>
            </w:r>
            <w:r>
              <w:rPr>
                <w:rFonts w:ascii="Times New Roman" w:eastAsia="Times New Roman"/>
                <w:spacing w:val="-4"/>
                <w:sz w:val="21"/>
              </w:rPr>
              <w:t> </w:t>
            </w:r>
            <w:r>
              <w:rPr>
                <w:sz w:val="21"/>
              </w:rPr>
              <w:t>配套</w:t>
            </w:r>
            <w:r>
              <w:rPr>
                <w:spacing w:val="-28"/>
                <w:sz w:val="21"/>
              </w:rPr>
              <w:t>房间</w:t>
            </w:r>
            <w:r>
              <w:rPr>
                <w:spacing w:val="-2"/>
                <w:sz w:val="21"/>
              </w:rPr>
              <w:t>（医生</w:t>
            </w:r>
            <w:r>
              <w:rPr>
                <w:spacing w:val="-13"/>
                <w:sz w:val="21"/>
              </w:rPr>
              <w:t>通道、办公休息室、更</w:t>
            </w:r>
            <w:r>
              <w:rPr>
                <w:spacing w:val="-12"/>
                <w:sz w:val="21"/>
              </w:rPr>
              <w:t>衣室）（西</w:t>
            </w:r>
          </w:p>
          <w:p>
            <w:pPr>
              <w:pStyle w:val="TableParagraph"/>
              <w:spacing w:line="259" w:lineRule="exact"/>
              <w:ind w:left="299"/>
              <w:jc w:val="left"/>
              <w:rPr>
                <w:sz w:val="21"/>
              </w:rPr>
            </w:pPr>
            <w:r>
              <w:rPr>
                <w:w w:val="95"/>
                <w:sz w:val="21"/>
              </w:rPr>
              <w:t>南侧）</w:t>
            </w:r>
          </w:p>
        </w:tc>
        <w:tc>
          <w:tcPr>
            <w:tcW w:w="107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spacing w:before="11"/>
              <w:jc w:val="left"/>
              <w:rPr>
                <w:sz w:val="18"/>
              </w:rPr>
            </w:pPr>
          </w:p>
          <w:p>
            <w:pPr>
              <w:pStyle w:val="TableParagraph"/>
              <w:ind w:left="136" w:right="107"/>
              <w:rPr>
                <w:rFonts w:ascii="Times New Roman"/>
                <w:sz w:val="21"/>
              </w:rPr>
            </w:pPr>
            <w:r>
              <w:rPr>
                <w:rFonts w:ascii="Times New Roman"/>
                <w:sz w:val="21"/>
              </w:rPr>
              <w:t>3.5</w:t>
            </w:r>
          </w:p>
        </w:tc>
        <w:tc>
          <w:tcPr>
            <w:tcW w:w="1595"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168"/>
              <w:ind w:left="116" w:right="-15" w:firstLine="28"/>
              <w:jc w:val="both"/>
              <w:rPr>
                <w:sz w:val="21"/>
              </w:rPr>
            </w:pPr>
            <w:r>
              <w:rPr>
                <w:rFonts w:ascii="Times New Roman" w:eastAsia="Times New Roman"/>
                <w:sz w:val="21"/>
              </w:rPr>
              <w:t>240mm</w:t>
            </w:r>
            <w:r>
              <w:rPr>
                <w:rFonts w:ascii="Times New Roman" w:eastAsia="Times New Roman"/>
                <w:spacing w:val="-2"/>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1"/>
                <w:sz w:val="21"/>
              </w:rPr>
              <w:t> </w:t>
            </w:r>
            <w:r>
              <w:rPr>
                <w:spacing w:val="-23"/>
                <w:sz w:val="21"/>
              </w:rPr>
              <w:t>微晶石板</w:t>
            </w:r>
            <w:r>
              <w:rPr>
                <w:sz w:val="21"/>
              </w:rPr>
              <w:t>（折合</w:t>
            </w:r>
            <w:r>
              <w:rPr>
                <w:rFonts w:ascii="Times New Roman" w:eastAsia="Times New Roman"/>
                <w:sz w:val="21"/>
              </w:rPr>
              <w:t>4.9mm</w:t>
            </w:r>
            <w:r>
              <w:rPr>
                <w:rFonts w:ascii="Times New Roman" w:eastAsia="Times New Roman"/>
                <w:spacing w:val="-13"/>
                <w:sz w:val="21"/>
              </w:rPr>
              <w:t> </w:t>
            </w:r>
            <w:r>
              <w:rPr>
                <w:sz w:val="21"/>
              </w:rPr>
              <w:t>铅当量）</w:t>
            </w:r>
          </w:p>
        </w:tc>
        <w:tc>
          <w:tcPr>
            <w:tcW w:w="723" w:type="dxa"/>
            <w:tcBorders>
              <w:top w:val="single" w:sz="4" w:space="0" w:color="000000"/>
              <w:left w:val="single" w:sz="4" w:space="0" w:color="000000"/>
              <w:bottom w:val="single" w:sz="4" w:space="0" w:color="000000"/>
              <w:right w:val="single" w:sz="4" w:space="0" w:color="000000"/>
            </w:tcBorders>
          </w:tcPr>
          <w:p>
            <w:pPr>
              <w:pStyle w:val="TableParagraph"/>
              <w:spacing w:before="88"/>
              <w:ind w:left="130" w:right="104"/>
              <w:rPr>
                <w:sz w:val="21"/>
              </w:rPr>
            </w:pPr>
            <w:r>
              <w:rPr>
                <w:sz w:val="21"/>
              </w:rPr>
              <w:t>透视</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105"/>
              <w:ind w:right="181"/>
              <w:jc w:val="right"/>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spacing w:before="105"/>
              <w:ind w:left="101" w:right="72"/>
              <w:rPr>
                <w:rFonts w:ascii="Times New Roman" w:hAnsi="Times New Roman"/>
                <w:sz w:val="21"/>
              </w:rPr>
            </w:pPr>
            <w:r>
              <w:rPr>
                <w:rFonts w:ascii="Times New Roman" w:hAnsi="Times New Roman"/>
                <w:sz w:val="21"/>
              </w:rPr>
              <w:t>5.85×10</w:t>
            </w:r>
            <w:r>
              <w:rPr>
                <w:rFonts w:ascii="Times New Roman" w:hAnsi="Times New Roman"/>
                <w:sz w:val="21"/>
                <w:vertAlign w:val="superscript"/>
              </w:rPr>
              <w:t>-6</w:t>
            </w:r>
          </w:p>
        </w:tc>
        <w:tc>
          <w:tcPr>
            <w:tcW w:w="1198" w:type="dxa"/>
            <w:tcBorders>
              <w:top w:val="single" w:sz="4" w:space="0" w:color="000000"/>
              <w:left w:val="single" w:sz="4" w:space="0" w:color="000000"/>
              <w:bottom w:val="single" w:sz="4" w:space="0" w:color="000000"/>
              <w:right w:val="nil"/>
            </w:tcBorders>
          </w:tcPr>
          <w:p>
            <w:pPr>
              <w:pStyle w:val="TableParagraph"/>
              <w:spacing w:before="105"/>
              <w:ind w:left="172" w:right="149"/>
              <w:rPr>
                <w:rFonts w:ascii="Times New Roman" w:hAnsi="Times New Roman"/>
                <w:sz w:val="21"/>
              </w:rPr>
            </w:pPr>
            <w:r>
              <w:rPr>
                <w:rFonts w:ascii="Times New Roman" w:hAnsi="Times New Roman"/>
                <w:sz w:val="21"/>
              </w:rPr>
              <w:t>1.14×10</w:t>
            </w:r>
            <w:r>
              <w:rPr>
                <w:rFonts w:ascii="Times New Roman" w:hAnsi="Times New Roman"/>
                <w:sz w:val="21"/>
                <w:vertAlign w:val="superscript"/>
              </w:rPr>
              <w:t>-6</w:t>
            </w:r>
          </w:p>
        </w:tc>
      </w:tr>
      <w:tr>
        <w:trPr>
          <w:trHeight w:val="1373" w:hRule="atLeast"/>
        </w:trPr>
        <w:tc>
          <w:tcPr>
            <w:tcW w:w="586" w:type="dxa"/>
            <w:vMerge/>
            <w:tcBorders>
              <w:top w:val="nil"/>
              <w:left w:val="nil"/>
              <w:right w:val="single" w:sz="4" w:space="0" w:color="000000"/>
            </w:tcBorders>
          </w:tcPr>
          <w:p>
            <w:pPr>
              <w:rPr>
                <w:sz w:val="2"/>
                <w:szCs w:val="2"/>
              </w:rPr>
            </w:pPr>
          </w:p>
        </w:tc>
        <w:tc>
          <w:tcPr>
            <w:tcW w:w="1209" w:type="dxa"/>
            <w:vMerge/>
            <w:tcBorders>
              <w:top w:val="nil"/>
              <w:left w:val="single" w:sz="4" w:space="0" w:color="000000"/>
              <w:bottom w:val="single" w:sz="4" w:space="0" w:color="000000"/>
              <w:right w:val="single" w:sz="4" w:space="0" w:color="000000"/>
            </w:tcBorders>
          </w:tcPr>
          <w:p>
            <w:pPr>
              <w:rPr>
                <w:sz w:val="2"/>
                <w:szCs w:val="2"/>
              </w:rPr>
            </w:pPr>
          </w:p>
        </w:tc>
        <w:tc>
          <w:tcPr>
            <w:tcW w:w="1078" w:type="dxa"/>
            <w:vMerge/>
            <w:tcBorders>
              <w:top w:val="nil"/>
              <w:left w:val="single" w:sz="4" w:space="0" w:color="000000"/>
              <w:bottom w:val="single" w:sz="4" w:space="0" w:color="000000"/>
              <w:right w:val="single" w:sz="4" w:space="0" w:color="000000"/>
            </w:tcBorders>
          </w:tcPr>
          <w:p>
            <w:pPr>
              <w:rPr>
                <w:sz w:val="2"/>
                <w:szCs w:val="2"/>
              </w:rPr>
            </w:pPr>
          </w:p>
        </w:tc>
        <w:tc>
          <w:tcPr>
            <w:tcW w:w="1595" w:type="dxa"/>
            <w:vMerge/>
            <w:tcBorders>
              <w:top w:val="nil"/>
              <w:left w:val="single" w:sz="4" w:space="0" w:color="000000"/>
              <w:bottom w:val="single" w:sz="4" w:space="0" w:color="000000"/>
              <w:right w:val="single" w:sz="4" w:space="0" w:color="000000"/>
            </w:tcBorders>
          </w:tcPr>
          <w:p>
            <w:pPr>
              <w:rPr>
                <w:sz w:val="2"/>
                <w:szCs w:val="2"/>
              </w:rPr>
            </w:pPr>
          </w:p>
        </w:tc>
        <w:tc>
          <w:tcPr>
            <w:tcW w:w="723"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3"/>
              </w:rPr>
            </w:pPr>
          </w:p>
          <w:p>
            <w:pPr>
              <w:pStyle w:val="TableParagraph"/>
              <w:ind w:left="130" w:right="104"/>
              <w:rPr>
                <w:sz w:val="21"/>
              </w:rPr>
            </w:pPr>
            <w:r>
              <w:rPr>
                <w:sz w:val="21"/>
              </w:rPr>
              <w:t>拍片</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4"/>
              <w:jc w:val="left"/>
              <w:rPr>
                <w:sz w:val="20"/>
              </w:rPr>
            </w:pPr>
          </w:p>
          <w:p>
            <w:pPr>
              <w:pStyle w:val="TableParagraph"/>
              <w:ind w:right="181"/>
              <w:jc w:val="right"/>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4"/>
              <w:jc w:val="left"/>
              <w:rPr>
                <w:sz w:val="20"/>
              </w:rPr>
            </w:pPr>
          </w:p>
          <w:p>
            <w:pPr>
              <w:pStyle w:val="TableParagraph"/>
              <w:ind w:left="101" w:right="72"/>
              <w:rPr>
                <w:rFonts w:ascii="Times New Roman" w:hAnsi="Times New Roman"/>
                <w:sz w:val="21"/>
              </w:rPr>
            </w:pPr>
            <w:r>
              <w:rPr>
                <w:rFonts w:ascii="Times New Roman" w:hAnsi="Times New Roman"/>
                <w:sz w:val="21"/>
              </w:rPr>
              <w:t>2.24×10</w:t>
            </w:r>
            <w:r>
              <w:rPr>
                <w:rFonts w:ascii="Times New Roman" w:hAnsi="Times New Roman"/>
                <w:sz w:val="21"/>
                <w:vertAlign w:val="superscript"/>
              </w:rPr>
              <w:t>-3</w:t>
            </w:r>
          </w:p>
        </w:tc>
        <w:tc>
          <w:tcPr>
            <w:tcW w:w="1198" w:type="dxa"/>
            <w:tcBorders>
              <w:top w:val="single" w:sz="4" w:space="0" w:color="000000"/>
              <w:left w:val="single" w:sz="4" w:space="0" w:color="000000"/>
              <w:bottom w:val="single" w:sz="4" w:space="0" w:color="000000"/>
              <w:right w:val="nil"/>
            </w:tcBorders>
          </w:tcPr>
          <w:p>
            <w:pPr>
              <w:pStyle w:val="TableParagraph"/>
              <w:jc w:val="left"/>
              <w:rPr>
                <w:sz w:val="24"/>
              </w:rPr>
            </w:pPr>
          </w:p>
          <w:p>
            <w:pPr>
              <w:pStyle w:val="TableParagraph"/>
              <w:spacing w:before="4"/>
              <w:jc w:val="left"/>
              <w:rPr>
                <w:sz w:val="20"/>
              </w:rPr>
            </w:pPr>
          </w:p>
          <w:p>
            <w:pPr>
              <w:pStyle w:val="TableParagraph"/>
              <w:ind w:left="172" w:right="149"/>
              <w:rPr>
                <w:rFonts w:ascii="Times New Roman" w:hAnsi="Times New Roman"/>
                <w:sz w:val="21"/>
              </w:rPr>
            </w:pPr>
            <w:r>
              <w:rPr>
                <w:rFonts w:ascii="Times New Roman" w:hAnsi="Times New Roman"/>
                <w:sz w:val="21"/>
              </w:rPr>
              <w:t>4.84×10</w:t>
            </w:r>
            <w:r>
              <w:rPr>
                <w:rFonts w:ascii="Times New Roman" w:hAnsi="Times New Roman"/>
                <w:sz w:val="21"/>
                <w:vertAlign w:val="superscript"/>
              </w:rPr>
              <w:t>-5</w:t>
            </w:r>
          </w:p>
        </w:tc>
      </w:tr>
      <w:tr>
        <w:trPr>
          <w:trHeight w:val="447" w:hRule="atLeast"/>
        </w:trPr>
        <w:tc>
          <w:tcPr>
            <w:tcW w:w="586" w:type="dxa"/>
            <w:vMerge/>
            <w:tcBorders>
              <w:top w:val="nil"/>
              <w:left w:val="nil"/>
              <w:right w:val="single" w:sz="4" w:space="0" w:color="000000"/>
            </w:tcBorders>
          </w:tcPr>
          <w:p>
            <w:pPr>
              <w:rPr>
                <w:sz w:val="2"/>
                <w:szCs w:val="2"/>
              </w:rPr>
            </w:pPr>
          </w:p>
        </w:tc>
        <w:tc>
          <w:tcPr>
            <w:tcW w:w="1209"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11"/>
              <w:ind w:left="116" w:right="31" w:hanging="56"/>
              <w:rPr>
                <w:sz w:val="21"/>
              </w:rPr>
            </w:pPr>
            <w:r>
              <w:rPr>
                <w:spacing w:val="-12"/>
                <w:sz w:val="21"/>
              </w:rPr>
              <w:t>设备间、家</w:t>
            </w:r>
            <w:r>
              <w:rPr>
                <w:spacing w:val="-1"/>
                <w:sz w:val="21"/>
              </w:rPr>
              <w:t>属等候区、后处理室、</w:t>
            </w:r>
            <w:r>
              <w:rPr>
                <w:sz w:val="21"/>
              </w:rPr>
              <w:t>其他机房</w:t>
            </w:r>
            <w:r>
              <w:rPr>
                <w:spacing w:val="1"/>
                <w:sz w:val="21"/>
              </w:rPr>
              <w:t> </w:t>
            </w:r>
            <w:r>
              <w:rPr>
                <w:sz w:val="21"/>
              </w:rPr>
              <w:t>及配套用</w:t>
            </w:r>
            <w:r>
              <w:rPr>
                <w:spacing w:val="1"/>
                <w:sz w:val="21"/>
              </w:rPr>
              <w:t> </w:t>
            </w:r>
            <w:r>
              <w:rPr>
                <w:spacing w:val="-27"/>
                <w:sz w:val="21"/>
              </w:rPr>
              <w:t>房等</w:t>
            </w:r>
            <w:r>
              <w:rPr>
                <w:sz w:val="21"/>
              </w:rPr>
              <w:t>（东南</w:t>
            </w:r>
          </w:p>
          <w:p>
            <w:pPr>
              <w:pStyle w:val="TableParagraph"/>
              <w:spacing w:line="260" w:lineRule="exact"/>
              <w:ind w:left="162" w:right="139"/>
              <w:rPr>
                <w:sz w:val="21"/>
              </w:rPr>
            </w:pPr>
            <w:r>
              <w:rPr>
                <w:sz w:val="21"/>
              </w:rPr>
              <w:t>侧）</w:t>
            </w:r>
          </w:p>
        </w:tc>
        <w:tc>
          <w:tcPr>
            <w:tcW w:w="107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31"/>
              </w:rPr>
            </w:pPr>
          </w:p>
          <w:p>
            <w:pPr>
              <w:pStyle w:val="TableParagraph"/>
              <w:ind w:left="136" w:right="107"/>
              <w:rPr>
                <w:rFonts w:ascii="Times New Roman"/>
                <w:sz w:val="21"/>
              </w:rPr>
            </w:pPr>
            <w:r>
              <w:rPr>
                <w:rFonts w:ascii="Times New Roman"/>
                <w:sz w:val="21"/>
              </w:rPr>
              <w:t>3.5</w:t>
            </w:r>
          </w:p>
        </w:tc>
        <w:tc>
          <w:tcPr>
            <w:tcW w:w="159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5"/>
              </w:rPr>
            </w:pPr>
          </w:p>
          <w:p>
            <w:pPr>
              <w:pStyle w:val="TableParagraph"/>
              <w:spacing w:line="278" w:lineRule="auto"/>
              <w:ind w:left="116" w:right="-15" w:firstLine="28"/>
              <w:jc w:val="both"/>
              <w:rPr>
                <w:sz w:val="21"/>
              </w:rPr>
            </w:pPr>
            <w:r>
              <w:rPr>
                <w:rFonts w:ascii="Times New Roman" w:eastAsia="Times New Roman"/>
                <w:sz w:val="21"/>
              </w:rPr>
              <w:t>240mm</w:t>
            </w:r>
            <w:r>
              <w:rPr>
                <w:rFonts w:ascii="Times New Roman" w:eastAsia="Times New Roman"/>
                <w:spacing w:val="-2"/>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1"/>
                <w:sz w:val="21"/>
              </w:rPr>
              <w:t> </w:t>
            </w:r>
            <w:r>
              <w:rPr>
                <w:spacing w:val="-23"/>
                <w:sz w:val="21"/>
              </w:rPr>
              <w:t>微晶石板</w:t>
            </w:r>
            <w:r>
              <w:rPr>
                <w:sz w:val="21"/>
              </w:rPr>
              <w:t>（折合</w:t>
            </w:r>
            <w:r>
              <w:rPr>
                <w:rFonts w:ascii="Times New Roman" w:eastAsia="Times New Roman"/>
                <w:sz w:val="21"/>
              </w:rPr>
              <w:t>4.9mm</w:t>
            </w:r>
            <w:r>
              <w:rPr>
                <w:rFonts w:ascii="Times New Roman" w:eastAsia="Times New Roman"/>
                <w:spacing w:val="-13"/>
                <w:sz w:val="21"/>
              </w:rPr>
              <w:t> </w:t>
            </w:r>
            <w:r>
              <w:rPr>
                <w:sz w:val="21"/>
              </w:rPr>
              <w:t>铅当量）</w:t>
            </w:r>
          </w:p>
        </w:tc>
        <w:tc>
          <w:tcPr>
            <w:tcW w:w="723" w:type="dxa"/>
            <w:tcBorders>
              <w:top w:val="single" w:sz="4" w:space="0" w:color="000000"/>
              <w:left w:val="single" w:sz="4" w:space="0" w:color="000000"/>
              <w:bottom w:val="single" w:sz="4" w:space="0" w:color="000000"/>
              <w:right w:val="single" w:sz="4" w:space="0" w:color="000000"/>
            </w:tcBorders>
          </w:tcPr>
          <w:p>
            <w:pPr>
              <w:pStyle w:val="TableParagraph"/>
              <w:spacing w:before="88"/>
              <w:ind w:left="130" w:right="104"/>
              <w:rPr>
                <w:sz w:val="21"/>
              </w:rPr>
            </w:pPr>
            <w:r>
              <w:rPr>
                <w:sz w:val="21"/>
              </w:rPr>
              <w:t>透视</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104"/>
              <w:ind w:right="181"/>
              <w:jc w:val="right"/>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spacing w:before="104"/>
              <w:ind w:left="101" w:right="72"/>
              <w:rPr>
                <w:rFonts w:ascii="Times New Roman" w:hAnsi="Times New Roman"/>
                <w:sz w:val="21"/>
              </w:rPr>
            </w:pPr>
            <w:r>
              <w:rPr>
                <w:rFonts w:ascii="Times New Roman" w:hAnsi="Times New Roman"/>
                <w:sz w:val="21"/>
              </w:rPr>
              <w:t>5.85×10</w:t>
            </w:r>
            <w:r>
              <w:rPr>
                <w:rFonts w:ascii="Times New Roman" w:hAnsi="Times New Roman"/>
                <w:sz w:val="21"/>
                <w:vertAlign w:val="superscript"/>
              </w:rPr>
              <w:t>-6</w:t>
            </w:r>
          </w:p>
        </w:tc>
        <w:tc>
          <w:tcPr>
            <w:tcW w:w="1198" w:type="dxa"/>
            <w:tcBorders>
              <w:top w:val="single" w:sz="4" w:space="0" w:color="000000"/>
              <w:left w:val="single" w:sz="4" w:space="0" w:color="000000"/>
              <w:bottom w:val="single" w:sz="4" w:space="0" w:color="000000"/>
              <w:right w:val="nil"/>
            </w:tcBorders>
          </w:tcPr>
          <w:p>
            <w:pPr>
              <w:pStyle w:val="TableParagraph"/>
              <w:spacing w:before="104"/>
              <w:ind w:left="172" w:right="149"/>
              <w:rPr>
                <w:rFonts w:ascii="Times New Roman" w:hAnsi="Times New Roman"/>
                <w:sz w:val="21"/>
              </w:rPr>
            </w:pPr>
            <w:r>
              <w:rPr>
                <w:rFonts w:ascii="Times New Roman" w:hAnsi="Times New Roman"/>
                <w:sz w:val="21"/>
              </w:rPr>
              <w:t>1.14×10</w:t>
            </w:r>
            <w:r>
              <w:rPr>
                <w:rFonts w:ascii="Times New Roman" w:hAnsi="Times New Roman"/>
                <w:sz w:val="21"/>
                <w:vertAlign w:val="superscript"/>
              </w:rPr>
              <w:t>-6</w:t>
            </w:r>
          </w:p>
        </w:tc>
      </w:tr>
      <w:tr>
        <w:trPr>
          <w:trHeight w:val="1686" w:hRule="atLeast"/>
        </w:trPr>
        <w:tc>
          <w:tcPr>
            <w:tcW w:w="586" w:type="dxa"/>
            <w:vMerge/>
            <w:tcBorders>
              <w:top w:val="nil"/>
              <w:left w:val="nil"/>
              <w:right w:val="single" w:sz="4" w:space="0" w:color="000000"/>
            </w:tcBorders>
          </w:tcPr>
          <w:p>
            <w:pPr>
              <w:rPr>
                <w:sz w:val="2"/>
                <w:szCs w:val="2"/>
              </w:rPr>
            </w:pPr>
          </w:p>
        </w:tc>
        <w:tc>
          <w:tcPr>
            <w:tcW w:w="1209" w:type="dxa"/>
            <w:vMerge/>
            <w:tcBorders>
              <w:top w:val="nil"/>
              <w:left w:val="single" w:sz="4" w:space="0" w:color="000000"/>
              <w:bottom w:val="single" w:sz="4" w:space="0" w:color="000000"/>
              <w:right w:val="single" w:sz="4" w:space="0" w:color="000000"/>
            </w:tcBorders>
          </w:tcPr>
          <w:p>
            <w:pPr>
              <w:rPr>
                <w:sz w:val="2"/>
                <w:szCs w:val="2"/>
              </w:rPr>
            </w:pPr>
          </w:p>
        </w:tc>
        <w:tc>
          <w:tcPr>
            <w:tcW w:w="1078" w:type="dxa"/>
            <w:vMerge/>
            <w:tcBorders>
              <w:top w:val="nil"/>
              <w:left w:val="single" w:sz="4" w:space="0" w:color="000000"/>
              <w:bottom w:val="single" w:sz="4" w:space="0" w:color="000000"/>
              <w:right w:val="single" w:sz="4" w:space="0" w:color="000000"/>
            </w:tcBorders>
          </w:tcPr>
          <w:p>
            <w:pPr>
              <w:rPr>
                <w:sz w:val="2"/>
                <w:szCs w:val="2"/>
              </w:rPr>
            </w:pPr>
          </w:p>
        </w:tc>
        <w:tc>
          <w:tcPr>
            <w:tcW w:w="1595" w:type="dxa"/>
            <w:vMerge/>
            <w:tcBorders>
              <w:top w:val="nil"/>
              <w:left w:val="single" w:sz="4" w:space="0" w:color="000000"/>
              <w:bottom w:val="single" w:sz="4" w:space="0" w:color="000000"/>
              <w:right w:val="single" w:sz="4" w:space="0" w:color="000000"/>
            </w:tcBorders>
          </w:tcPr>
          <w:p>
            <w:pPr>
              <w:rPr>
                <w:sz w:val="2"/>
                <w:szCs w:val="2"/>
              </w:rPr>
            </w:pPr>
          </w:p>
        </w:tc>
        <w:tc>
          <w:tcPr>
            <w:tcW w:w="723" w:type="dxa"/>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2"/>
              <w:jc w:val="left"/>
              <w:rPr>
                <w:sz w:val="15"/>
              </w:rPr>
            </w:pPr>
          </w:p>
          <w:p>
            <w:pPr>
              <w:pStyle w:val="TableParagraph"/>
              <w:ind w:left="130" w:right="104"/>
              <w:rPr>
                <w:sz w:val="21"/>
              </w:rPr>
            </w:pPr>
            <w:r>
              <w:rPr>
                <w:sz w:val="21"/>
              </w:rPr>
              <w:t>拍片</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6"/>
              <w:jc w:val="left"/>
              <w:rPr>
                <w:sz w:val="32"/>
              </w:rPr>
            </w:pPr>
          </w:p>
          <w:p>
            <w:pPr>
              <w:pStyle w:val="TableParagraph"/>
              <w:ind w:right="181"/>
              <w:jc w:val="right"/>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spacing w:before="6"/>
              <w:jc w:val="left"/>
              <w:rPr>
                <w:sz w:val="32"/>
              </w:rPr>
            </w:pPr>
          </w:p>
          <w:p>
            <w:pPr>
              <w:pStyle w:val="TableParagraph"/>
              <w:ind w:left="101" w:right="72"/>
              <w:rPr>
                <w:rFonts w:ascii="Times New Roman" w:hAnsi="Times New Roman"/>
                <w:sz w:val="21"/>
              </w:rPr>
            </w:pPr>
            <w:r>
              <w:rPr>
                <w:rFonts w:ascii="Times New Roman" w:hAnsi="Times New Roman"/>
                <w:sz w:val="21"/>
              </w:rPr>
              <w:t>2.24×10</w:t>
            </w:r>
            <w:r>
              <w:rPr>
                <w:rFonts w:ascii="Times New Roman" w:hAnsi="Times New Roman"/>
                <w:sz w:val="21"/>
                <w:vertAlign w:val="superscript"/>
              </w:rPr>
              <w:t>-3</w:t>
            </w:r>
          </w:p>
        </w:tc>
        <w:tc>
          <w:tcPr>
            <w:tcW w:w="1198" w:type="dxa"/>
            <w:tcBorders>
              <w:top w:val="single" w:sz="4" w:space="0" w:color="000000"/>
              <w:left w:val="single" w:sz="4" w:space="0" w:color="000000"/>
              <w:bottom w:val="single" w:sz="4" w:space="0" w:color="000000"/>
              <w:right w:val="nil"/>
            </w:tcBorders>
          </w:tcPr>
          <w:p>
            <w:pPr>
              <w:pStyle w:val="TableParagraph"/>
              <w:jc w:val="left"/>
              <w:rPr>
                <w:sz w:val="24"/>
              </w:rPr>
            </w:pPr>
          </w:p>
          <w:p>
            <w:pPr>
              <w:pStyle w:val="TableParagraph"/>
              <w:spacing w:before="6"/>
              <w:jc w:val="left"/>
              <w:rPr>
                <w:sz w:val="32"/>
              </w:rPr>
            </w:pPr>
          </w:p>
          <w:p>
            <w:pPr>
              <w:pStyle w:val="TableParagraph"/>
              <w:ind w:left="172" w:right="149"/>
              <w:rPr>
                <w:rFonts w:ascii="Times New Roman" w:hAnsi="Times New Roman"/>
                <w:sz w:val="21"/>
              </w:rPr>
            </w:pPr>
            <w:r>
              <w:rPr>
                <w:rFonts w:ascii="Times New Roman" w:hAnsi="Times New Roman"/>
                <w:sz w:val="21"/>
              </w:rPr>
              <w:t>4.84×10</w:t>
            </w:r>
            <w:r>
              <w:rPr>
                <w:rFonts w:ascii="Times New Roman" w:hAnsi="Times New Roman"/>
                <w:sz w:val="21"/>
                <w:vertAlign w:val="superscript"/>
              </w:rPr>
              <w:t>-5</w:t>
            </w:r>
          </w:p>
        </w:tc>
      </w:tr>
      <w:tr>
        <w:trPr>
          <w:trHeight w:val="447" w:hRule="atLeast"/>
        </w:trPr>
        <w:tc>
          <w:tcPr>
            <w:tcW w:w="586" w:type="dxa"/>
            <w:vMerge/>
            <w:tcBorders>
              <w:top w:val="nil"/>
              <w:left w:val="nil"/>
              <w:right w:val="single" w:sz="4" w:space="0" w:color="000000"/>
            </w:tcBorders>
          </w:tcPr>
          <w:p>
            <w:pPr>
              <w:rPr>
                <w:sz w:val="2"/>
                <w:szCs w:val="2"/>
              </w:rPr>
            </w:pPr>
          </w:p>
        </w:tc>
        <w:tc>
          <w:tcPr>
            <w:tcW w:w="1209" w:type="dxa"/>
            <w:vMerge w:val="restart"/>
            <w:tcBorders>
              <w:top w:val="single" w:sz="4" w:space="0" w:color="000000"/>
              <w:left w:val="single" w:sz="4" w:space="0" w:color="000000"/>
              <w:right w:val="single" w:sz="4" w:space="0" w:color="000000"/>
            </w:tcBorders>
          </w:tcPr>
          <w:p>
            <w:pPr>
              <w:pStyle w:val="TableParagraph"/>
              <w:spacing w:line="278" w:lineRule="auto" w:before="167"/>
              <w:ind w:left="193" w:right="156" w:hanging="8"/>
              <w:jc w:val="left"/>
              <w:rPr>
                <w:sz w:val="21"/>
              </w:rPr>
            </w:pPr>
            <w:r>
              <w:rPr>
                <w:rFonts w:ascii="Times New Roman" w:eastAsia="Times New Roman"/>
                <w:spacing w:val="-1"/>
                <w:sz w:val="21"/>
              </w:rPr>
              <w:t>-1</w:t>
            </w:r>
            <w:r>
              <w:rPr>
                <w:rFonts w:ascii="Times New Roman" w:eastAsia="Times New Roman"/>
                <w:spacing w:val="-12"/>
                <w:sz w:val="21"/>
              </w:rPr>
              <w:t> </w:t>
            </w:r>
            <w:r>
              <w:rPr>
                <w:spacing w:val="-1"/>
                <w:sz w:val="21"/>
              </w:rPr>
              <w:t>楼预留</w:t>
            </w:r>
            <w:r>
              <w:rPr>
                <w:sz w:val="21"/>
              </w:rPr>
              <w:t>变配电室</w:t>
            </w:r>
          </w:p>
          <w:p>
            <w:pPr>
              <w:pStyle w:val="TableParagraph"/>
              <w:spacing w:line="269" w:lineRule="exact"/>
              <w:ind w:left="116"/>
              <w:jc w:val="left"/>
              <w:rPr>
                <w:sz w:val="21"/>
              </w:rPr>
            </w:pPr>
            <w:r>
              <w:rPr>
                <w:sz w:val="21"/>
              </w:rPr>
              <w:t>（正下方）</w:t>
            </w:r>
          </w:p>
        </w:tc>
        <w:tc>
          <w:tcPr>
            <w:tcW w:w="1078" w:type="dxa"/>
            <w:vMerge w:val="restart"/>
            <w:tcBorders>
              <w:top w:val="single" w:sz="4" w:space="0" w:color="000000"/>
              <w:left w:val="single" w:sz="4" w:space="0" w:color="000000"/>
              <w:right w:val="single" w:sz="4" w:space="0" w:color="000000"/>
            </w:tcBorders>
          </w:tcPr>
          <w:p>
            <w:pPr>
              <w:pStyle w:val="TableParagraph"/>
              <w:jc w:val="left"/>
              <w:rPr>
                <w:sz w:val="22"/>
              </w:rPr>
            </w:pPr>
          </w:p>
          <w:p>
            <w:pPr>
              <w:pStyle w:val="TableParagraph"/>
              <w:spacing w:before="6"/>
              <w:jc w:val="left"/>
              <w:rPr>
                <w:sz w:val="16"/>
              </w:rPr>
            </w:pPr>
          </w:p>
          <w:p>
            <w:pPr>
              <w:pStyle w:val="TableParagraph"/>
              <w:ind w:left="136" w:right="107"/>
              <w:rPr>
                <w:rFonts w:ascii="Times New Roman"/>
                <w:sz w:val="21"/>
              </w:rPr>
            </w:pPr>
            <w:r>
              <w:rPr>
                <w:rFonts w:ascii="Times New Roman"/>
                <w:sz w:val="21"/>
              </w:rPr>
              <w:t>3.5</w:t>
            </w:r>
          </w:p>
        </w:tc>
        <w:tc>
          <w:tcPr>
            <w:tcW w:w="1595" w:type="dxa"/>
            <w:vMerge w:val="restart"/>
            <w:tcBorders>
              <w:top w:val="single" w:sz="4" w:space="0" w:color="000000"/>
              <w:left w:val="single" w:sz="4" w:space="0" w:color="000000"/>
              <w:right w:val="single" w:sz="4" w:space="0" w:color="000000"/>
            </w:tcBorders>
          </w:tcPr>
          <w:p>
            <w:pPr>
              <w:pStyle w:val="TableParagraph"/>
              <w:spacing w:line="278" w:lineRule="auto" w:before="11"/>
              <w:ind w:left="138" w:right="110" w:firstLine="2"/>
              <w:rPr>
                <w:sz w:val="21"/>
              </w:rPr>
            </w:pPr>
            <w:r>
              <w:rPr>
                <w:rFonts w:ascii="Times New Roman" w:eastAsia="Times New Roman"/>
                <w:sz w:val="21"/>
              </w:rPr>
              <w:t>150mm</w:t>
            </w:r>
            <w:r>
              <w:rPr>
                <w:rFonts w:ascii="Times New Roman" w:eastAsia="Times New Roman"/>
                <w:spacing w:val="-3"/>
                <w:sz w:val="21"/>
              </w:rPr>
              <w:t> </w:t>
            </w:r>
            <w:r>
              <w:rPr>
                <w:sz w:val="21"/>
              </w:rPr>
              <w:t>厚混凝</w:t>
            </w:r>
            <w:r>
              <w:rPr>
                <w:spacing w:val="-1"/>
                <w:sz w:val="21"/>
              </w:rPr>
              <w:t>土</w:t>
            </w:r>
            <w:r>
              <w:rPr>
                <w:rFonts w:ascii="Times New Roman" w:eastAsia="Times New Roman"/>
                <w:spacing w:val="-1"/>
                <w:sz w:val="21"/>
              </w:rPr>
              <w:t>+30mm</w:t>
            </w:r>
            <w:r>
              <w:rPr>
                <w:rFonts w:ascii="Times New Roman" w:eastAsia="Times New Roman"/>
                <w:spacing w:val="-10"/>
                <w:sz w:val="21"/>
              </w:rPr>
              <w:t> </w:t>
            </w:r>
            <w:r>
              <w:rPr>
                <w:sz w:val="21"/>
              </w:rPr>
              <w:t>厚、密度为</w:t>
            </w:r>
          </w:p>
          <w:p>
            <w:pPr>
              <w:pStyle w:val="TableParagraph"/>
              <w:spacing w:line="268" w:lineRule="exact"/>
              <w:ind w:left="109" w:right="83"/>
              <w:rPr>
                <w:sz w:val="21"/>
              </w:rPr>
            </w:pPr>
            <w:r>
              <w:rPr>
                <w:rFonts w:ascii="Times New Roman" w:eastAsia="Times New Roman"/>
                <w:sz w:val="21"/>
              </w:rPr>
              <w:t>3.2g/cm3</w:t>
            </w:r>
            <w:r>
              <w:rPr>
                <w:rFonts w:ascii="Times New Roman" w:eastAsia="Times New Roman"/>
                <w:spacing w:val="-3"/>
                <w:sz w:val="21"/>
              </w:rPr>
              <w:t> </w:t>
            </w:r>
            <w:r>
              <w:rPr>
                <w:sz w:val="21"/>
              </w:rPr>
              <w:t>硫酸</w:t>
            </w:r>
          </w:p>
        </w:tc>
        <w:tc>
          <w:tcPr>
            <w:tcW w:w="723" w:type="dxa"/>
            <w:tcBorders>
              <w:top w:val="single" w:sz="4" w:space="0" w:color="000000"/>
              <w:left w:val="single" w:sz="4" w:space="0" w:color="000000"/>
              <w:bottom w:val="single" w:sz="4" w:space="0" w:color="000000"/>
              <w:right w:val="single" w:sz="4" w:space="0" w:color="000000"/>
            </w:tcBorders>
          </w:tcPr>
          <w:p>
            <w:pPr>
              <w:pStyle w:val="TableParagraph"/>
              <w:spacing w:before="88"/>
              <w:ind w:left="130" w:right="104"/>
              <w:rPr>
                <w:sz w:val="21"/>
              </w:rPr>
            </w:pPr>
            <w:r>
              <w:rPr>
                <w:sz w:val="21"/>
              </w:rPr>
              <w:t>透视</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before="104"/>
              <w:ind w:right="181"/>
              <w:jc w:val="right"/>
              <w:rPr>
                <w:rFonts w:ascii="Times New Roman" w:hAnsi="Times New Roman"/>
                <w:sz w:val="21"/>
              </w:rPr>
            </w:pPr>
            <w:r>
              <w:rPr>
                <w:rFonts w:ascii="Times New Roman" w:hAnsi="Times New Roman"/>
                <w:sz w:val="21"/>
              </w:rPr>
              <w:t>1.26×10</w:t>
            </w:r>
            <w:r>
              <w:rPr>
                <w:rFonts w:ascii="Times New Roman" w:hAnsi="Times New Roman"/>
                <w:sz w:val="21"/>
                <w:vertAlign w:val="superscript"/>
              </w:rPr>
              <w:t>-6</w:t>
            </w:r>
          </w:p>
        </w:tc>
        <w:tc>
          <w:tcPr>
            <w:tcW w:w="1227" w:type="dxa"/>
            <w:tcBorders>
              <w:top w:val="single" w:sz="4" w:space="0" w:color="000000"/>
              <w:left w:val="single" w:sz="4" w:space="0" w:color="000000"/>
              <w:bottom w:val="single" w:sz="4" w:space="0" w:color="000000"/>
              <w:right w:val="single" w:sz="4" w:space="0" w:color="000000"/>
            </w:tcBorders>
          </w:tcPr>
          <w:p>
            <w:pPr>
              <w:pStyle w:val="TableParagraph"/>
              <w:spacing w:before="104"/>
              <w:ind w:left="101" w:right="72"/>
              <w:rPr>
                <w:rFonts w:ascii="Times New Roman" w:hAnsi="Times New Roman"/>
                <w:sz w:val="21"/>
              </w:rPr>
            </w:pPr>
            <w:r>
              <w:rPr>
                <w:rFonts w:ascii="Times New Roman" w:hAnsi="Times New Roman"/>
                <w:sz w:val="21"/>
              </w:rPr>
              <w:t>3.15×10</w:t>
            </w:r>
            <w:r>
              <w:rPr>
                <w:rFonts w:ascii="Times New Roman" w:hAnsi="Times New Roman"/>
                <w:sz w:val="21"/>
                <w:vertAlign w:val="superscript"/>
              </w:rPr>
              <w:t>-4</w:t>
            </w:r>
          </w:p>
        </w:tc>
        <w:tc>
          <w:tcPr>
            <w:tcW w:w="1198" w:type="dxa"/>
            <w:tcBorders>
              <w:top w:val="single" w:sz="4" w:space="0" w:color="000000"/>
              <w:left w:val="single" w:sz="4" w:space="0" w:color="000000"/>
              <w:bottom w:val="single" w:sz="4" w:space="0" w:color="000000"/>
              <w:right w:val="nil"/>
            </w:tcBorders>
          </w:tcPr>
          <w:p>
            <w:pPr>
              <w:pStyle w:val="TableParagraph"/>
              <w:spacing w:before="104"/>
              <w:ind w:left="172" w:right="149"/>
              <w:rPr>
                <w:rFonts w:ascii="Times New Roman" w:hAnsi="Times New Roman"/>
                <w:sz w:val="21"/>
              </w:rPr>
            </w:pPr>
            <w:r>
              <w:rPr>
                <w:rFonts w:ascii="Times New Roman" w:hAnsi="Times New Roman"/>
                <w:sz w:val="21"/>
              </w:rPr>
              <w:t>6.15×10</w:t>
            </w:r>
            <w:r>
              <w:rPr>
                <w:rFonts w:ascii="Times New Roman" w:hAnsi="Times New Roman"/>
                <w:sz w:val="21"/>
                <w:vertAlign w:val="superscript"/>
              </w:rPr>
              <w:t>-5</w:t>
            </w:r>
          </w:p>
        </w:tc>
      </w:tr>
      <w:tr>
        <w:trPr>
          <w:trHeight w:val="757" w:hRule="atLeast"/>
        </w:trPr>
        <w:tc>
          <w:tcPr>
            <w:tcW w:w="586" w:type="dxa"/>
            <w:vMerge/>
            <w:tcBorders>
              <w:top w:val="nil"/>
              <w:left w:val="nil"/>
              <w:right w:val="single" w:sz="4" w:space="0" w:color="000000"/>
            </w:tcBorders>
          </w:tcPr>
          <w:p>
            <w:pPr>
              <w:rPr>
                <w:sz w:val="2"/>
                <w:szCs w:val="2"/>
              </w:rPr>
            </w:pPr>
          </w:p>
        </w:tc>
        <w:tc>
          <w:tcPr>
            <w:tcW w:w="1209" w:type="dxa"/>
            <w:vMerge/>
            <w:tcBorders>
              <w:top w:val="nil"/>
              <w:left w:val="single" w:sz="4" w:space="0" w:color="000000"/>
              <w:right w:val="single" w:sz="4" w:space="0" w:color="000000"/>
            </w:tcBorders>
          </w:tcPr>
          <w:p>
            <w:pPr>
              <w:rPr>
                <w:sz w:val="2"/>
                <w:szCs w:val="2"/>
              </w:rPr>
            </w:pPr>
          </w:p>
        </w:tc>
        <w:tc>
          <w:tcPr>
            <w:tcW w:w="1078" w:type="dxa"/>
            <w:vMerge/>
            <w:tcBorders>
              <w:top w:val="nil"/>
              <w:left w:val="single" w:sz="4" w:space="0" w:color="000000"/>
              <w:right w:val="single" w:sz="4" w:space="0" w:color="000000"/>
            </w:tcBorders>
          </w:tcPr>
          <w:p>
            <w:pPr>
              <w:rPr>
                <w:sz w:val="2"/>
                <w:szCs w:val="2"/>
              </w:rPr>
            </w:pPr>
          </w:p>
        </w:tc>
        <w:tc>
          <w:tcPr>
            <w:tcW w:w="1595" w:type="dxa"/>
            <w:vMerge/>
            <w:tcBorders>
              <w:top w:val="nil"/>
              <w:left w:val="single" w:sz="4" w:space="0" w:color="000000"/>
              <w:right w:val="single" w:sz="4" w:space="0" w:color="000000"/>
            </w:tcBorders>
          </w:tcPr>
          <w:p>
            <w:pPr>
              <w:rPr>
                <w:sz w:val="2"/>
                <w:szCs w:val="2"/>
              </w:rPr>
            </w:pPr>
          </w:p>
        </w:tc>
        <w:tc>
          <w:tcPr>
            <w:tcW w:w="723" w:type="dxa"/>
            <w:tcBorders>
              <w:top w:val="single" w:sz="4" w:space="0" w:color="000000"/>
              <w:left w:val="single" w:sz="4" w:space="0" w:color="000000"/>
              <w:right w:val="single" w:sz="4" w:space="0" w:color="000000"/>
            </w:tcBorders>
          </w:tcPr>
          <w:p>
            <w:pPr>
              <w:pStyle w:val="TableParagraph"/>
              <w:spacing w:before="10"/>
              <w:jc w:val="left"/>
              <w:rPr>
                <w:sz w:val="18"/>
              </w:rPr>
            </w:pPr>
          </w:p>
          <w:p>
            <w:pPr>
              <w:pStyle w:val="TableParagraph"/>
              <w:ind w:left="130" w:right="104"/>
              <w:rPr>
                <w:sz w:val="21"/>
              </w:rPr>
            </w:pPr>
            <w:r>
              <w:rPr>
                <w:sz w:val="21"/>
              </w:rPr>
              <w:t>拍片</w:t>
            </w:r>
          </w:p>
        </w:tc>
        <w:tc>
          <w:tcPr>
            <w:tcW w:w="1214" w:type="dxa"/>
            <w:tcBorders>
              <w:top w:val="single" w:sz="4" w:space="0" w:color="000000"/>
              <w:left w:val="single" w:sz="4" w:space="0" w:color="000000"/>
              <w:right w:val="single" w:sz="4" w:space="0" w:color="000000"/>
            </w:tcBorders>
          </w:tcPr>
          <w:p>
            <w:pPr>
              <w:pStyle w:val="TableParagraph"/>
              <w:spacing w:before="11"/>
              <w:jc w:val="left"/>
              <w:rPr>
                <w:sz w:val="19"/>
              </w:rPr>
            </w:pPr>
          </w:p>
          <w:p>
            <w:pPr>
              <w:pStyle w:val="TableParagraph"/>
              <w:ind w:right="233"/>
              <w:jc w:val="right"/>
              <w:rPr>
                <w:rFonts w:ascii="Times New Roman" w:hAnsi="Times New Roman"/>
                <w:sz w:val="21"/>
              </w:rPr>
            </w:pPr>
            <w:r>
              <w:rPr>
                <w:rFonts w:ascii="Times New Roman" w:hAnsi="Times New Roman"/>
                <w:sz w:val="21"/>
              </w:rPr>
              <w:t>1.4×10</w:t>
            </w:r>
            <w:r>
              <w:rPr>
                <w:rFonts w:ascii="Times New Roman" w:hAnsi="Times New Roman"/>
                <w:sz w:val="21"/>
                <w:vertAlign w:val="superscript"/>
              </w:rPr>
              <w:t>-5</w:t>
            </w:r>
          </w:p>
        </w:tc>
        <w:tc>
          <w:tcPr>
            <w:tcW w:w="1227" w:type="dxa"/>
            <w:tcBorders>
              <w:top w:val="single" w:sz="4" w:space="0" w:color="000000"/>
              <w:left w:val="single" w:sz="4" w:space="0" w:color="000000"/>
              <w:right w:val="single" w:sz="4" w:space="0" w:color="000000"/>
            </w:tcBorders>
          </w:tcPr>
          <w:p>
            <w:pPr>
              <w:pStyle w:val="TableParagraph"/>
              <w:spacing w:before="11"/>
              <w:jc w:val="left"/>
              <w:rPr>
                <w:sz w:val="19"/>
              </w:rPr>
            </w:pPr>
          </w:p>
          <w:p>
            <w:pPr>
              <w:pStyle w:val="TableParagraph"/>
              <w:ind w:left="101" w:right="72"/>
              <w:rPr>
                <w:rFonts w:ascii="Times New Roman" w:hAnsi="Times New Roman"/>
                <w:sz w:val="21"/>
              </w:rPr>
            </w:pPr>
            <w:r>
              <w:rPr>
                <w:rFonts w:ascii="Times New Roman" w:hAnsi="Times New Roman"/>
                <w:sz w:val="21"/>
              </w:rPr>
              <w:t>5.84×10</w:t>
            </w:r>
            <w:r>
              <w:rPr>
                <w:rFonts w:ascii="Times New Roman" w:hAnsi="Times New Roman"/>
                <w:sz w:val="21"/>
                <w:vertAlign w:val="superscript"/>
              </w:rPr>
              <w:t>-2</w:t>
            </w:r>
          </w:p>
        </w:tc>
        <w:tc>
          <w:tcPr>
            <w:tcW w:w="1198" w:type="dxa"/>
            <w:tcBorders>
              <w:top w:val="single" w:sz="4" w:space="0" w:color="000000"/>
              <w:left w:val="single" w:sz="4" w:space="0" w:color="000000"/>
              <w:right w:val="nil"/>
            </w:tcBorders>
          </w:tcPr>
          <w:p>
            <w:pPr>
              <w:pStyle w:val="TableParagraph"/>
              <w:spacing w:before="11"/>
              <w:jc w:val="left"/>
              <w:rPr>
                <w:sz w:val="19"/>
              </w:rPr>
            </w:pPr>
          </w:p>
          <w:p>
            <w:pPr>
              <w:pStyle w:val="TableParagraph"/>
              <w:ind w:left="172" w:right="149"/>
              <w:rPr>
                <w:rFonts w:ascii="Times New Roman" w:hAnsi="Times New Roman"/>
                <w:sz w:val="21"/>
              </w:rPr>
            </w:pPr>
            <w:r>
              <w:rPr>
                <w:rFonts w:ascii="Times New Roman" w:hAnsi="Times New Roman"/>
                <w:sz w:val="21"/>
              </w:rPr>
              <w:t>1.26×10</w:t>
            </w:r>
            <w:r>
              <w:rPr>
                <w:rFonts w:ascii="Times New Roman" w:hAnsi="Times New Roman"/>
                <w:sz w:val="21"/>
                <w:vertAlign w:val="superscript"/>
              </w:rPr>
              <w:t>-3</w:t>
            </w:r>
          </w:p>
        </w:tc>
      </w:tr>
    </w:tbl>
    <w:p>
      <w:pPr>
        <w:spacing w:after="0"/>
        <w:rPr>
          <w:rFonts w:ascii="Times New Roman" w:hAnsi="Times New Roman"/>
          <w:sz w:val="21"/>
        </w:rPr>
        <w:sectPr>
          <w:pgSz w:w="11910" w:h="16840"/>
          <w:pgMar w:header="0" w:footer="1383" w:top="1420" w:bottom="1660" w:left="1240" w:right="1040"/>
        </w:sectPr>
      </w:pPr>
    </w:p>
    <w:tbl>
      <w:tblPr>
        <w:tblW w:w="0" w:type="auto"/>
        <w:jc w:val="left"/>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
        <w:gridCol w:w="586"/>
        <w:gridCol w:w="1209"/>
        <w:gridCol w:w="1078"/>
        <w:gridCol w:w="1595"/>
        <w:gridCol w:w="723"/>
        <w:gridCol w:w="1214"/>
        <w:gridCol w:w="1227"/>
        <w:gridCol w:w="1198"/>
        <w:gridCol w:w="206"/>
      </w:tblGrid>
      <w:tr>
        <w:trPr>
          <w:trHeight w:val="601" w:hRule="atLeast"/>
        </w:trPr>
        <w:tc>
          <w:tcPr>
            <w:tcW w:w="205" w:type="dxa"/>
            <w:vMerge w:val="restart"/>
            <w:tcBorders>
              <w:bottom w:val="nil"/>
              <w:right w:val="nil"/>
            </w:tcBorders>
          </w:tcPr>
          <w:p>
            <w:pPr>
              <w:pStyle w:val="TableParagraph"/>
              <w:jc w:val="left"/>
              <w:rPr>
                <w:rFonts w:ascii="Times New Roman"/>
                <w:sz w:val="20"/>
              </w:rPr>
            </w:pPr>
          </w:p>
        </w:tc>
        <w:tc>
          <w:tcPr>
            <w:tcW w:w="586" w:type="dxa"/>
            <w:tcBorders>
              <w:top w:val="single" w:sz="18" w:space="0" w:color="000000"/>
              <w:left w:val="nil"/>
            </w:tcBorders>
          </w:tcPr>
          <w:p>
            <w:pPr>
              <w:pStyle w:val="TableParagraph"/>
              <w:jc w:val="left"/>
              <w:rPr>
                <w:rFonts w:ascii="Times New Roman"/>
                <w:sz w:val="20"/>
              </w:rPr>
            </w:pPr>
          </w:p>
        </w:tc>
        <w:tc>
          <w:tcPr>
            <w:tcW w:w="1209" w:type="dxa"/>
            <w:tcBorders>
              <w:top w:val="single" w:sz="18" w:space="0" w:color="000000"/>
            </w:tcBorders>
          </w:tcPr>
          <w:p>
            <w:pPr>
              <w:pStyle w:val="TableParagraph"/>
              <w:jc w:val="left"/>
              <w:rPr>
                <w:rFonts w:ascii="Times New Roman"/>
                <w:sz w:val="20"/>
              </w:rPr>
            </w:pPr>
          </w:p>
        </w:tc>
        <w:tc>
          <w:tcPr>
            <w:tcW w:w="1078" w:type="dxa"/>
            <w:tcBorders>
              <w:top w:val="single" w:sz="18" w:space="0" w:color="000000"/>
            </w:tcBorders>
          </w:tcPr>
          <w:p>
            <w:pPr>
              <w:pStyle w:val="TableParagraph"/>
              <w:jc w:val="left"/>
              <w:rPr>
                <w:rFonts w:ascii="Times New Roman"/>
                <w:sz w:val="20"/>
              </w:rPr>
            </w:pPr>
          </w:p>
        </w:tc>
        <w:tc>
          <w:tcPr>
            <w:tcW w:w="1595" w:type="dxa"/>
            <w:tcBorders>
              <w:top w:val="single" w:sz="18" w:space="0" w:color="000000"/>
            </w:tcBorders>
          </w:tcPr>
          <w:p>
            <w:pPr>
              <w:pStyle w:val="TableParagraph"/>
              <w:spacing w:line="268" w:lineRule="exact"/>
              <w:ind w:left="167"/>
              <w:jc w:val="left"/>
              <w:rPr>
                <w:sz w:val="21"/>
              </w:rPr>
            </w:pPr>
            <w:r>
              <w:rPr>
                <w:w w:val="95"/>
                <w:sz w:val="21"/>
              </w:rPr>
              <w:t>钡砂浆（折合</w:t>
            </w:r>
          </w:p>
          <w:p>
            <w:pPr>
              <w:pStyle w:val="TableParagraph"/>
              <w:spacing w:before="43"/>
              <w:ind w:left="109" w:right="-15"/>
              <w:jc w:val="left"/>
              <w:rPr>
                <w:sz w:val="21"/>
              </w:rPr>
            </w:pPr>
            <w:r>
              <w:rPr>
                <w:rFonts w:ascii="Times New Roman" w:eastAsia="Times New Roman"/>
                <w:sz w:val="21"/>
              </w:rPr>
              <w:t>3.6mm</w:t>
            </w:r>
            <w:r>
              <w:rPr>
                <w:rFonts w:ascii="Times New Roman" w:eastAsia="Times New Roman"/>
                <w:spacing w:val="-6"/>
                <w:sz w:val="21"/>
              </w:rPr>
              <w:t> </w:t>
            </w:r>
            <w:r>
              <w:rPr>
                <w:sz w:val="21"/>
              </w:rPr>
              <w:t>铅当量）</w:t>
            </w:r>
          </w:p>
        </w:tc>
        <w:tc>
          <w:tcPr>
            <w:tcW w:w="723" w:type="dxa"/>
            <w:tcBorders>
              <w:top w:val="single" w:sz="18" w:space="0" w:color="000000"/>
            </w:tcBorders>
          </w:tcPr>
          <w:p>
            <w:pPr>
              <w:pStyle w:val="TableParagraph"/>
              <w:jc w:val="left"/>
              <w:rPr>
                <w:rFonts w:ascii="Times New Roman"/>
                <w:sz w:val="20"/>
              </w:rPr>
            </w:pPr>
          </w:p>
        </w:tc>
        <w:tc>
          <w:tcPr>
            <w:tcW w:w="1214" w:type="dxa"/>
            <w:tcBorders>
              <w:top w:val="single" w:sz="18" w:space="0" w:color="000000"/>
            </w:tcBorders>
          </w:tcPr>
          <w:p>
            <w:pPr>
              <w:pStyle w:val="TableParagraph"/>
              <w:jc w:val="left"/>
              <w:rPr>
                <w:rFonts w:ascii="Times New Roman"/>
                <w:sz w:val="20"/>
              </w:rPr>
            </w:pPr>
          </w:p>
        </w:tc>
        <w:tc>
          <w:tcPr>
            <w:tcW w:w="1227" w:type="dxa"/>
            <w:tcBorders>
              <w:top w:val="single" w:sz="18" w:space="0" w:color="000000"/>
            </w:tcBorders>
          </w:tcPr>
          <w:p>
            <w:pPr>
              <w:pStyle w:val="TableParagraph"/>
              <w:jc w:val="left"/>
              <w:rPr>
                <w:rFonts w:ascii="Times New Roman"/>
                <w:sz w:val="20"/>
              </w:rPr>
            </w:pPr>
          </w:p>
        </w:tc>
        <w:tc>
          <w:tcPr>
            <w:tcW w:w="1198" w:type="dxa"/>
            <w:tcBorders>
              <w:top w:val="single" w:sz="18" w:space="0" w:color="000000"/>
              <w:right w:val="nil"/>
            </w:tcBorders>
          </w:tcPr>
          <w:p>
            <w:pPr>
              <w:pStyle w:val="TableParagraph"/>
              <w:jc w:val="left"/>
              <w:rPr>
                <w:rFonts w:ascii="Times New Roman"/>
                <w:sz w:val="20"/>
              </w:rPr>
            </w:pPr>
          </w:p>
        </w:tc>
        <w:tc>
          <w:tcPr>
            <w:tcW w:w="206" w:type="dxa"/>
            <w:vMerge w:val="restart"/>
            <w:tcBorders>
              <w:left w:val="nil"/>
              <w:bottom w:val="nil"/>
            </w:tcBorders>
          </w:tcPr>
          <w:p>
            <w:pPr>
              <w:pStyle w:val="TableParagraph"/>
              <w:jc w:val="left"/>
              <w:rPr>
                <w:rFonts w:ascii="Times New Roman"/>
                <w:sz w:val="20"/>
              </w:rPr>
            </w:pPr>
          </w:p>
        </w:tc>
      </w:tr>
      <w:tr>
        <w:trPr>
          <w:trHeight w:val="458" w:hRule="atLeast"/>
        </w:trPr>
        <w:tc>
          <w:tcPr>
            <w:tcW w:w="205" w:type="dxa"/>
            <w:vMerge/>
            <w:tcBorders>
              <w:top w:val="nil"/>
              <w:bottom w:val="nil"/>
              <w:right w:val="nil"/>
            </w:tcBorders>
          </w:tcPr>
          <w:p>
            <w:pPr>
              <w:rPr>
                <w:sz w:val="2"/>
                <w:szCs w:val="2"/>
              </w:rPr>
            </w:pPr>
          </w:p>
        </w:tc>
        <w:tc>
          <w:tcPr>
            <w:tcW w:w="586" w:type="dxa"/>
            <w:vMerge w:val="restart"/>
            <w:tcBorders>
              <w:left w:val="nil"/>
              <w:bottom w:val="single" w:sz="12"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9"/>
              <w:jc w:val="left"/>
              <w:rPr>
                <w:sz w:val="17"/>
              </w:rPr>
            </w:pPr>
          </w:p>
          <w:p>
            <w:pPr>
              <w:pStyle w:val="TableParagraph"/>
              <w:spacing w:line="278" w:lineRule="auto"/>
              <w:ind w:left="191" w:right="178"/>
              <w:jc w:val="both"/>
              <w:rPr>
                <w:sz w:val="21"/>
              </w:rPr>
            </w:pPr>
            <w:r>
              <w:rPr>
                <w:sz w:val="21"/>
              </w:rPr>
              <w:t>医技楼外</w:t>
            </w:r>
          </w:p>
        </w:tc>
        <w:tc>
          <w:tcPr>
            <w:tcW w:w="1209" w:type="dxa"/>
            <w:vMerge w:val="restart"/>
          </w:tcPr>
          <w:p>
            <w:pPr>
              <w:pStyle w:val="TableParagraph"/>
              <w:jc w:val="left"/>
              <w:rPr>
                <w:sz w:val="20"/>
              </w:rPr>
            </w:pPr>
          </w:p>
          <w:p>
            <w:pPr>
              <w:pStyle w:val="TableParagraph"/>
              <w:spacing w:before="1"/>
              <w:jc w:val="left"/>
              <w:rPr>
                <w:sz w:val="18"/>
              </w:rPr>
            </w:pPr>
          </w:p>
          <w:p>
            <w:pPr>
              <w:pStyle w:val="TableParagraph"/>
              <w:ind w:left="183"/>
              <w:jc w:val="left"/>
              <w:rPr>
                <w:sz w:val="21"/>
              </w:rPr>
            </w:pPr>
            <w:r>
              <w:rPr>
                <w:sz w:val="21"/>
              </w:rPr>
              <w:t>医疗中心</w:t>
            </w:r>
          </w:p>
          <w:p>
            <w:pPr>
              <w:pStyle w:val="TableParagraph"/>
              <w:spacing w:before="43"/>
              <w:ind w:left="106"/>
              <w:jc w:val="left"/>
              <w:rPr>
                <w:sz w:val="21"/>
              </w:rPr>
            </w:pPr>
            <w:r>
              <w:rPr>
                <w:sz w:val="21"/>
              </w:rPr>
              <w:t>（西北侧）</w:t>
            </w:r>
          </w:p>
        </w:tc>
        <w:tc>
          <w:tcPr>
            <w:tcW w:w="1078" w:type="dxa"/>
            <w:vMerge w:val="restart"/>
          </w:tcPr>
          <w:p>
            <w:pPr>
              <w:pStyle w:val="TableParagraph"/>
              <w:jc w:val="left"/>
              <w:rPr>
                <w:sz w:val="22"/>
              </w:rPr>
            </w:pPr>
          </w:p>
          <w:p>
            <w:pPr>
              <w:pStyle w:val="TableParagraph"/>
              <w:spacing w:before="4"/>
              <w:jc w:val="left"/>
              <w:rPr>
                <w:sz w:val="29"/>
              </w:rPr>
            </w:pPr>
          </w:p>
          <w:p>
            <w:pPr>
              <w:pStyle w:val="TableParagraph"/>
              <w:spacing w:before="1"/>
              <w:ind w:left="136" w:right="126"/>
              <w:rPr>
                <w:rFonts w:ascii="Times New Roman"/>
                <w:sz w:val="21"/>
              </w:rPr>
            </w:pPr>
            <w:r>
              <w:rPr>
                <w:rFonts w:ascii="Times New Roman"/>
                <w:sz w:val="21"/>
              </w:rPr>
              <w:t>6.5</w:t>
            </w:r>
          </w:p>
        </w:tc>
        <w:tc>
          <w:tcPr>
            <w:tcW w:w="1595" w:type="dxa"/>
            <w:vMerge w:val="restart"/>
          </w:tcPr>
          <w:p>
            <w:pPr>
              <w:pStyle w:val="TableParagraph"/>
              <w:spacing w:line="278" w:lineRule="auto" w:before="20"/>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1"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99"/>
              <w:ind w:left="120" w:right="113"/>
              <w:rPr>
                <w:sz w:val="21"/>
              </w:rPr>
            </w:pPr>
            <w:r>
              <w:rPr>
                <w:sz w:val="21"/>
              </w:rPr>
              <w:t>透视</w:t>
            </w:r>
          </w:p>
        </w:tc>
        <w:tc>
          <w:tcPr>
            <w:tcW w:w="1214" w:type="dxa"/>
          </w:tcPr>
          <w:p>
            <w:pPr>
              <w:pStyle w:val="TableParagraph"/>
              <w:spacing w:before="113"/>
              <w:ind w:right="190"/>
              <w:jc w:val="right"/>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13"/>
              <w:ind w:left="101" w:right="91"/>
              <w:rPr>
                <w:rFonts w:ascii="Times New Roman" w:hAnsi="Times New Roman"/>
                <w:sz w:val="21"/>
              </w:rPr>
            </w:pPr>
            <w:r>
              <w:rPr>
                <w:rFonts w:ascii="Times New Roman" w:hAnsi="Times New Roman"/>
                <w:sz w:val="21"/>
              </w:rPr>
              <w:t>1.70×10</w:t>
            </w:r>
            <w:r>
              <w:rPr>
                <w:rFonts w:ascii="Times New Roman" w:hAnsi="Times New Roman"/>
                <w:sz w:val="21"/>
                <w:vertAlign w:val="superscript"/>
              </w:rPr>
              <w:t>-6</w:t>
            </w:r>
          </w:p>
        </w:tc>
        <w:tc>
          <w:tcPr>
            <w:tcW w:w="1198" w:type="dxa"/>
            <w:tcBorders>
              <w:right w:val="nil"/>
            </w:tcBorders>
          </w:tcPr>
          <w:p>
            <w:pPr>
              <w:pStyle w:val="TableParagraph"/>
              <w:spacing w:before="113"/>
              <w:ind w:left="193"/>
              <w:jc w:val="left"/>
              <w:rPr>
                <w:rFonts w:ascii="Times New Roman" w:hAnsi="Times New Roman"/>
                <w:sz w:val="21"/>
              </w:rPr>
            </w:pPr>
            <w:r>
              <w:rPr>
                <w:rFonts w:ascii="Times New Roman" w:hAnsi="Times New Roman"/>
                <w:sz w:val="21"/>
              </w:rPr>
              <w:t>3.31×10</w:t>
            </w:r>
            <w:r>
              <w:rPr>
                <w:rFonts w:ascii="Times New Roman" w:hAnsi="Times New Roman"/>
                <w:sz w:val="21"/>
                <w:vertAlign w:val="superscript"/>
              </w:rPr>
              <w:t>-7</w:t>
            </w:r>
          </w:p>
        </w:tc>
        <w:tc>
          <w:tcPr>
            <w:tcW w:w="206" w:type="dxa"/>
            <w:vMerge/>
            <w:tcBorders>
              <w:top w:val="nil"/>
              <w:left w:val="nil"/>
              <w:bottom w:val="nil"/>
            </w:tcBorders>
          </w:tcPr>
          <w:p>
            <w:pPr>
              <w:rPr>
                <w:sz w:val="2"/>
                <w:szCs w:val="2"/>
              </w:rPr>
            </w:pPr>
          </w:p>
        </w:tc>
      </w:tr>
      <w:tr>
        <w:trPr>
          <w:trHeight w:val="1061"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40"/>
              <w:ind w:left="120" w:right="113"/>
              <w:rPr>
                <w:sz w:val="21"/>
              </w:rPr>
            </w:pPr>
            <w:r>
              <w:rPr>
                <w:sz w:val="21"/>
              </w:rPr>
              <w:t>拍片</w:t>
            </w:r>
          </w:p>
        </w:tc>
        <w:tc>
          <w:tcPr>
            <w:tcW w:w="1214" w:type="dxa"/>
          </w:tcPr>
          <w:p>
            <w:pPr>
              <w:pStyle w:val="TableParagraph"/>
              <w:jc w:val="left"/>
              <w:rPr>
                <w:sz w:val="32"/>
              </w:rPr>
            </w:pPr>
          </w:p>
          <w:p>
            <w:pPr>
              <w:pStyle w:val="TableParagraph"/>
              <w:ind w:right="190"/>
              <w:jc w:val="right"/>
              <w:rPr>
                <w:rFonts w:ascii="Times New Roman" w:hAnsi="Times New Roman"/>
                <w:sz w:val="13"/>
              </w:rPr>
            </w:pPr>
            <w:r>
              <w:rPr>
                <w:rFonts w:ascii="Times New Roman" w:hAnsi="Times New Roman"/>
                <w:sz w:val="21"/>
              </w:rPr>
              <w:t>5.38×10</w:t>
            </w:r>
            <w:r>
              <w:rPr>
                <w:rFonts w:ascii="Times New Roman" w:hAnsi="Times New Roman"/>
                <w:position w:val="7"/>
                <w:sz w:val="13"/>
              </w:rPr>
              <w:t>-7</w:t>
            </w:r>
          </w:p>
        </w:tc>
        <w:tc>
          <w:tcPr>
            <w:tcW w:w="1227" w:type="dxa"/>
          </w:tcPr>
          <w:p>
            <w:pPr>
              <w:pStyle w:val="TableParagraph"/>
              <w:jc w:val="left"/>
              <w:rPr>
                <w:sz w:val="32"/>
              </w:rPr>
            </w:pPr>
          </w:p>
          <w:p>
            <w:pPr>
              <w:pStyle w:val="TableParagraph"/>
              <w:ind w:left="101" w:right="91"/>
              <w:rPr>
                <w:rFonts w:ascii="Times New Roman" w:hAnsi="Times New Roman"/>
                <w:sz w:val="13"/>
              </w:rPr>
            </w:pPr>
            <w:r>
              <w:rPr>
                <w:rFonts w:ascii="Times New Roman" w:hAnsi="Times New Roman"/>
                <w:sz w:val="21"/>
              </w:rPr>
              <w:t>6.50×10</w:t>
            </w:r>
            <w:r>
              <w:rPr>
                <w:rFonts w:ascii="Times New Roman" w:hAnsi="Times New Roman"/>
                <w:position w:val="7"/>
                <w:sz w:val="13"/>
              </w:rPr>
              <w:t>-4</w:t>
            </w:r>
          </w:p>
        </w:tc>
        <w:tc>
          <w:tcPr>
            <w:tcW w:w="1198" w:type="dxa"/>
            <w:tcBorders>
              <w:right w:val="nil"/>
            </w:tcBorders>
          </w:tcPr>
          <w:p>
            <w:pPr>
              <w:pStyle w:val="TableParagraph"/>
              <w:jc w:val="left"/>
              <w:rPr>
                <w:sz w:val="32"/>
              </w:rPr>
            </w:pPr>
          </w:p>
          <w:p>
            <w:pPr>
              <w:pStyle w:val="TableParagraph"/>
              <w:ind w:left="193"/>
              <w:jc w:val="left"/>
              <w:rPr>
                <w:rFonts w:ascii="Times New Roman" w:hAnsi="Times New Roman"/>
                <w:sz w:val="13"/>
              </w:rPr>
            </w:pPr>
            <w:r>
              <w:rPr>
                <w:rFonts w:ascii="Times New Roman" w:hAnsi="Times New Roman"/>
                <w:sz w:val="21"/>
              </w:rPr>
              <w:t>1.40×10</w:t>
            </w:r>
            <w:r>
              <w:rPr>
                <w:rFonts w:ascii="Times New Roman" w:hAnsi="Times New Roman"/>
                <w:position w:val="7"/>
                <w:sz w:val="13"/>
              </w:rPr>
              <w:t>-5</w:t>
            </w:r>
          </w:p>
        </w:tc>
        <w:tc>
          <w:tcPr>
            <w:tcW w:w="206" w:type="dxa"/>
            <w:vMerge/>
            <w:tcBorders>
              <w:top w:val="nil"/>
              <w:left w:val="nil"/>
              <w:bottom w:val="nil"/>
            </w:tcBorders>
          </w:tcPr>
          <w:p>
            <w:pPr>
              <w:rPr>
                <w:sz w:val="2"/>
                <w:szCs w:val="2"/>
              </w:rPr>
            </w:pPr>
          </w:p>
        </w:tc>
      </w:tr>
      <w:tr>
        <w:trPr>
          <w:trHeight w:val="448"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val="restart"/>
          </w:tcPr>
          <w:p>
            <w:pPr>
              <w:pStyle w:val="TableParagraph"/>
              <w:jc w:val="left"/>
              <w:rPr>
                <w:sz w:val="20"/>
              </w:rPr>
            </w:pPr>
          </w:p>
          <w:p>
            <w:pPr>
              <w:pStyle w:val="TableParagraph"/>
              <w:spacing w:before="3"/>
              <w:jc w:val="left"/>
              <w:rPr>
                <w:sz w:val="17"/>
              </w:rPr>
            </w:pPr>
          </w:p>
          <w:p>
            <w:pPr>
              <w:pStyle w:val="TableParagraph"/>
              <w:spacing w:line="278" w:lineRule="auto" w:before="1"/>
              <w:ind w:left="106" w:right="41" w:firstLine="76"/>
              <w:jc w:val="left"/>
              <w:rPr>
                <w:sz w:val="21"/>
              </w:rPr>
            </w:pPr>
            <w:r>
              <w:rPr>
                <w:sz w:val="21"/>
              </w:rPr>
              <w:t>康复理疗</w:t>
            </w:r>
            <w:r>
              <w:rPr>
                <w:spacing w:val="-1"/>
                <w:sz w:val="21"/>
              </w:rPr>
              <w:t>楼（北侧）</w:t>
            </w:r>
          </w:p>
        </w:tc>
        <w:tc>
          <w:tcPr>
            <w:tcW w:w="1078" w:type="dxa"/>
            <w:vMerge w:val="restart"/>
          </w:tcPr>
          <w:p>
            <w:pPr>
              <w:pStyle w:val="TableParagraph"/>
              <w:jc w:val="left"/>
              <w:rPr>
                <w:sz w:val="22"/>
              </w:rPr>
            </w:pPr>
          </w:p>
          <w:p>
            <w:pPr>
              <w:pStyle w:val="TableParagraph"/>
              <w:spacing w:before="7"/>
              <w:jc w:val="left"/>
              <w:rPr>
                <w:sz w:val="28"/>
              </w:rPr>
            </w:pPr>
          </w:p>
          <w:p>
            <w:pPr>
              <w:pStyle w:val="TableParagraph"/>
              <w:ind w:left="136" w:right="126"/>
              <w:rPr>
                <w:rFonts w:ascii="Times New Roman"/>
                <w:sz w:val="21"/>
              </w:rPr>
            </w:pPr>
            <w:r>
              <w:rPr>
                <w:rFonts w:ascii="Times New Roman"/>
                <w:sz w:val="21"/>
              </w:rPr>
              <w:t>18</w:t>
            </w:r>
          </w:p>
        </w:tc>
        <w:tc>
          <w:tcPr>
            <w:tcW w:w="1595" w:type="dxa"/>
            <w:vMerge w:val="restart"/>
          </w:tcPr>
          <w:p>
            <w:pPr>
              <w:pStyle w:val="TableParagraph"/>
              <w:spacing w:line="278" w:lineRule="auto" w:before="10"/>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2"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89"/>
              <w:ind w:left="120" w:right="113"/>
              <w:rPr>
                <w:sz w:val="21"/>
              </w:rPr>
            </w:pPr>
            <w:r>
              <w:rPr>
                <w:sz w:val="21"/>
              </w:rPr>
              <w:t>透视</w:t>
            </w:r>
          </w:p>
        </w:tc>
        <w:tc>
          <w:tcPr>
            <w:tcW w:w="1214" w:type="dxa"/>
          </w:tcPr>
          <w:p>
            <w:pPr>
              <w:pStyle w:val="TableParagraph"/>
              <w:spacing w:before="103"/>
              <w:ind w:right="190"/>
              <w:jc w:val="right"/>
              <w:rPr>
                <w:rFonts w:ascii="Times New Roman" w:hAnsi="Times New Roman"/>
                <w:sz w:val="13"/>
              </w:rPr>
            </w:pPr>
            <w:r>
              <w:rPr>
                <w:rFonts w:ascii="Times New Roman" w:hAnsi="Times New Roman"/>
                <w:sz w:val="21"/>
              </w:rPr>
              <w:t>2.34×10</w:t>
            </w:r>
            <w:r>
              <w:rPr>
                <w:rFonts w:ascii="Times New Roman" w:hAnsi="Times New Roman"/>
                <w:position w:val="7"/>
                <w:sz w:val="13"/>
              </w:rPr>
              <w:t>-8</w:t>
            </w:r>
          </w:p>
        </w:tc>
        <w:tc>
          <w:tcPr>
            <w:tcW w:w="1227" w:type="dxa"/>
          </w:tcPr>
          <w:p>
            <w:pPr>
              <w:pStyle w:val="TableParagraph"/>
              <w:spacing w:before="103"/>
              <w:ind w:left="101" w:right="91"/>
              <w:rPr>
                <w:rFonts w:ascii="Times New Roman" w:hAnsi="Times New Roman"/>
                <w:sz w:val="13"/>
              </w:rPr>
            </w:pPr>
            <w:r>
              <w:rPr>
                <w:rFonts w:ascii="Times New Roman" w:hAnsi="Times New Roman"/>
                <w:sz w:val="21"/>
              </w:rPr>
              <w:t>2.21×10</w:t>
            </w:r>
            <w:r>
              <w:rPr>
                <w:rFonts w:ascii="Times New Roman" w:hAnsi="Times New Roman"/>
                <w:position w:val="7"/>
                <w:sz w:val="13"/>
              </w:rPr>
              <w:t>-7</w:t>
            </w:r>
          </w:p>
        </w:tc>
        <w:tc>
          <w:tcPr>
            <w:tcW w:w="1198" w:type="dxa"/>
            <w:tcBorders>
              <w:right w:val="nil"/>
            </w:tcBorders>
          </w:tcPr>
          <w:p>
            <w:pPr>
              <w:pStyle w:val="TableParagraph"/>
              <w:spacing w:before="103"/>
              <w:ind w:left="193"/>
              <w:jc w:val="left"/>
              <w:rPr>
                <w:rFonts w:ascii="Times New Roman" w:hAnsi="Times New Roman"/>
                <w:sz w:val="13"/>
              </w:rPr>
            </w:pPr>
            <w:r>
              <w:rPr>
                <w:rFonts w:ascii="Times New Roman" w:hAnsi="Times New Roman"/>
                <w:sz w:val="21"/>
              </w:rPr>
              <w:t>4.32×10</w:t>
            </w:r>
            <w:r>
              <w:rPr>
                <w:rFonts w:ascii="Times New Roman" w:hAnsi="Times New Roman"/>
                <w:position w:val="7"/>
                <w:sz w:val="13"/>
              </w:rPr>
              <w:t>-8</w:t>
            </w:r>
          </w:p>
        </w:tc>
        <w:tc>
          <w:tcPr>
            <w:tcW w:w="206" w:type="dxa"/>
            <w:vMerge/>
            <w:tcBorders>
              <w:top w:val="nil"/>
              <w:left w:val="nil"/>
              <w:bottom w:val="nil"/>
            </w:tcBorders>
          </w:tcPr>
          <w:p>
            <w:pPr>
              <w:rPr>
                <w:sz w:val="2"/>
                <w:szCs w:val="2"/>
              </w:rPr>
            </w:pPr>
          </w:p>
        </w:tc>
      </w:tr>
      <w:tr>
        <w:trPr>
          <w:trHeight w:val="1061"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39"/>
              <w:ind w:left="120" w:right="113"/>
              <w:rPr>
                <w:sz w:val="21"/>
              </w:rPr>
            </w:pPr>
            <w:r>
              <w:rPr>
                <w:sz w:val="21"/>
              </w:rPr>
              <w:t>拍片</w:t>
            </w:r>
          </w:p>
        </w:tc>
        <w:tc>
          <w:tcPr>
            <w:tcW w:w="1214" w:type="dxa"/>
          </w:tcPr>
          <w:p>
            <w:pPr>
              <w:pStyle w:val="TableParagraph"/>
              <w:spacing w:before="12"/>
              <w:jc w:val="left"/>
              <w:rPr>
                <w:sz w:val="31"/>
              </w:rPr>
            </w:pPr>
          </w:p>
          <w:p>
            <w:pPr>
              <w:pStyle w:val="TableParagraph"/>
              <w:ind w:right="190"/>
              <w:jc w:val="right"/>
              <w:rPr>
                <w:rFonts w:ascii="Times New Roman" w:hAnsi="Times New Roman"/>
                <w:sz w:val="13"/>
              </w:rPr>
            </w:pPr>
            <w:r>
              <w:rPr>
                <w:rFonts w:ascii="Times New Roman" w:hAnsi="Times New Roman"/>
                <w:sz w:val="21"/>
              </w:rPr>
              <w:t>5.38×10</w:t>
            </w:r>
            <w:r>
              <w:rPr>
                <w:rFonts w:ascii="Times New Roman" w:hAnsi="Times New Roman"/>
                <w:position w:val="7"/>
                <w:sz w:val="13"/>
              </w:rPr>
              <w:t>-7</w:t>
            </w:r>
          </w:p>
        </w:tc>
        <w:tc>
          <w:tcPr>
            <w:tcW w:w="1227" w:type="dxa"/>
          </w:tcPr>
          <w:p>
            <w:pPr>
              <w:pStyle w:val="TableParagraph"/>
              <w:spacing w:before="12"/>
              <w:jc w:val="left"/>
              <w:rPr>
                <w:sz w:val="31"/>
              </w:rPr>
            </w:pPr>
          </w:p>
          <w:p>
            <w:pPr>
              <w:pStyle w:val="TableParagraph"/>
              <w:ind w:left="101" w:right="91"/>
              <w:rPr>
                <w:rFonts w:ascii="Times New Roman" w:hAnsi="Times New Roman"/>
                <w:sz w:val="13"/>
              </w:rPr>
            </w:pPr>
            <w:r>
              <w:rPr>
                <w:rFonts w:ascii="Times New Roman" w:hAnsi="Times New Roman"/>
                <w:sz w:val="21"/>
              </w:rPr>
              <w:t>8.48×10</w:t>
            </w:r>
            <w:r>
              <w:rPr>
                <w:rFonts w:ascii="Times New Roman" w:hAnsi="Times New Roman"/>
                <w:position w:val="7"/>
                <w:sz w:val="13"/>
              </w:rPr>
              <w:t>-5</w:t>
            </w:r>
          </w:p>
        </w:tc>
        <w:tc>
          <w:tcPr>
            <w:tcW w:w="1198" w:type="dxa"/>
            <w:tcBorders>
              <w:right w:val="nil"/>
            </w:tcBorders>
          </w:tcPr>
          <w:p>
            <w:pPr>
              <w:pStyle w:val="TableParagraph"/>
              <w:spacing w:before="12"/>
              <w:jc w:val="left"/>
              <w:rPr>
                <w:sz w:val="31"/>
              </w:rPr>
            </w:pPr>
          </w:p>
          <w:p>
            <w:pPr>
              <w:pStyle w:val="TableParagraph"/>
              <w:ind w:left="193"/>
              <w:jc w:val="left"/>
              <w:rPr>
                <w:rFonts w:ascii="Times New Roman" w:hAnsi="Times New Roman"/>
                <w:sz w:val="13"/>
              </w:rPr>
            </w:pPr>
            <w:r>
              <w:rPr>
                <w:rFonts w:ascii="Times New Roman" w:hAnsi="Times New Roman"/>
                <w:sz w:val="21"/>
              </w:rPr>
              <w:t>1.83×10</w:t>
            </w:r>
            <w:r>
              <w:rPr>
                <w:rFonts w:ascii="Times New Roman" w:hAnsi="Times New Roman"/>
                <w:position w:val="7"/>
                <w:sz w:val="13"/>
              </w:rPr>
              <w:t>-6</w:t>
            </w:r>
          </w:p>
        </w:tc>
        <w:tc>
          <w:tcPr>
            <w:tcW w:w="206" w:type="dxa"/>
            <w:vMerge/>
            <w:tcBorders>
              <w:top w:val="nil"/>
              <w:left w:val="nil"/>
              <w:bottom w:val="nil"/>
            </w:tcBorders>
          </w:tcPr>
          <w:p>
            <w:pPr>
              <w:rPr>
                <w:sz w:val="2"/>
                <w:szCs w:val="2"/>
              </w:rPr>
            </w:pPr>
          </w:p>
        </w:tc>
      </w:tr>
      <w:tr>
        <w:trPr>
          <w:trHeight w:val="448"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val="restart"/>
          </w:tcPr>
          <w:p>
            <w:pPr>
              <w:pStyle w:val="TableParagraph"/>
              <w:jc w:val="left"/>
              <w:rPr>
                <w:sz w:val="20"/>
              </w:rPr>
            </w:pPr>
          </w:p>
          <w:p>
            <w:pPr>
              <w:pStyle w:val="TableParagraph"/>
              <w:spacing w:before="5"/>
              <w:jc w:val="left"/>
              <w:rPr>
                <w:sz w:val="17"/>
              </w:rPr>
            </w:pPr>
          </w:p>
          <w:p>
            <w:pPr>
              <w:pStyle w:val="TableParagraph"/>
              <w:spacing w:line="278" w:lineRule="auto" w:before="1"/>
              <w:ind w:left="289" w:right="96" w:hanging="183"/>
              <w:jc w:val="left"/>
              <w:rPr>
                <w:sz w:val="21"/>
              </w:rPr>
            </w:pPr>
            <w:r>
              <w:rPr>
                <w:spacing w:val="-20"/>
                <w:sz w:val="21"/>
              </w:rPr>
              <w:t>门诊楼</w:t>
            </w:r>
            <w:r>
              <w:rPr>
                <w:spacing w:val="-1"/>
                <w:sz w:val="21"/>
              </w:rPr>
              <w:t>（东</w:t>
            </w:r>
            <w:r>
              <w:rPr>
                <w:sz w:val="21"/>
              </w:rPr>
              <w:t>北侧）</w:t>
            </w:r>
          </w:p>
        </w:tc>
        <w:tc>
          <w:tcPr>
            <w:tcW w:w="1078" w:type="dxa"/>
            <w:vMerge w:val="restart"/>
          </w:tcPr>
          <w:p>
            <w:pPr>
              <w:pStyle w:val="TableParagraph"/>
              <w:jc w:val="left"/>
              <w:rPr>
                <w:sz w:val="22"/>
              </w:rPr>
            </w:pPr>
          </w:p>
          <w:p>
            <w:pPr>
              <w:pStyle w:val="TableParagraph"/>
              <w:spacing w:before="9"/>
              <w:jc w:val="left"/>
              <w:rPr>
                <w:sz w:val="28"/>
              </w:rPr>
            </w:pPr>
          </w:p>
          <w:p>
            <w:pPr>
              <w:pStyle w:val="TableParagraph"/>
              <w:ind w:left="136" w:right="126"/>
              <w:rPr>
                <w:rFonts w:ascii="Times New Roman"/>
                <w:sz w:val="21"/>
              </w:rPr>
            </w:pPr>
            <w:r>
              <w:rPr>
                <w:rFonts w:ascii="Times New Roman"/>
                <w:sz w:val="21"/>
              </w:rPr>
              <w:t>20</w:t>
            </w:r>
          </w:p>
        </w:tc>
        <w:tc>
          <w:tcPr>
            <w:tcW w:w="1595" w:type="dxa"/>
            <w:vMerge w:val="restart"/>
          </w:tcPr>
          <w:p>
            <w:pPr>
              <w:pStyle w:val="TableParagraph"/>
              <w:spacing w:line="278" w:lineRule="auto" w:before="12"/>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0"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88"/>
              <w:ind w:left="120" w:right="113"/>
              <w:rPr>
                <w:sz w:val="21"/>
              </w:rPr>
            </w:pPr>
            <w:r>
              <w:rPr>
                <w:sz w:val="21"/>
              </w:rPr>
              <w:t>透视</w:t>
            </w:r>
          </w:p>
        </w:tc>
        <w:tc>
          <w:tcPr>
            <w:tcW w:w="1214" w:type="dxa"/>
          </w:tcPr>
          <w:p>
            <w:pPr>
              <w:pStyle w:val="TableParagraph"/>
              <w:spacing w:before="105"/>
              <w:ind w:right="190"/>
              <w:jc w:val="right"/>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05"/>
              <w:ind w:left="101" w:right="91"/>
              <w:rPr>
                <w:rFonts w:ascii="Times New Roman" w:hAnsi="Times New Roman"/>
                <w:sz w:val="21"/>
              </w:rPr>
            </w:pPr>
            <w:r>
              <w:rPr>
                <w:rFonts w:ascii="Times New Roman" w:hAnsi="Times New Roman"/>
                <w:sz w:val="21"/>
              </w:rPr>
              <w:t>1.79×10</w:t>
            </w:r>
            <w:r>
              <w:rPr>
                <w:rFonts w:ascii="Times New Roman" w:hAnsi="Times New Roman"/>
                <w:sz w:val="21"/>
                <w:vertAlign w:val="superscript"/>
              </w:rPr>
              <w:t>-7</w:t>
            </w:r>
          </w:p>
        </w:tc>
        <w:tc>
          <w:tcPr>
            <w:tcW w:w="1198" w:type="dxa"/>
            <w:tcBorders>
              <w:right w:val="nil"/>
            </w:tcBorders>
          </w:tcPr>
          <w:p>
            <w:pPr>
              <w:pStyle w:val="TableParagraph"/>
              <w:spacing w:before="105"/>
              <w:ind w:left="193"/>
              <w:jc w:val="left"/>
              <w:rPr>
                <w:rFonts w:ascii="Times New Roman" w:hAnsi="Times New Roman"/>
                <w:sz w:val="21"/>
              </w:rPr>
            </w:pPr>
            <w:r>
              <w:rPr>
                <w:rFonts w:ascii="Times New Roman" w:hAnsi="Times New Roman"/>
                <w:sz w:val="21"/>
              </w:rPr>
              <w:t>3.50×10</w:t>
            </w:r>
            <w:r>
              <w:rPr>
                <w:rFonts w:ascii="Times New Roman" w:hAnsi="Times New Roman"/>
                <w:sz w:val="21"/>
                <w:vertAlign w:val="superscript"/>
              </w:rPr>
              <w:t>-8</w:t>
            </w:r>
          </w:p>
        </w:tc>
        <w:tc>
          <w:tcPr>
            <w:tcW w:w="206" w:type="dxa"/>
            <w:vMerge/>
            <w:tcBorders>
              <w:top w:val="nil"/>
              <w:left w:val="nil"/>
              <w:bottom w:val="nil"/>
            </w:tcBorders>
          </w:tcPr>
          <w:p>
            <w:pPr>
              <w:rPr>
                <w:sz w:val="2"/>
                <w:szCs w:val="2"/>
              </w:rPr>
            </w:pPr>
          </w:p>
        </w:tc>
      </w:tr>
      <w:tr>
        <w:trPr>
          <w:trHeight w:val="1061"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39"/>
              <w:ind w:left="120" w:right="113"/>
              <w:rPr>
                <w:sz w:val="21"/>
              </w:rPr>
            </w:pPr>
            <w:r>
              <w:rPr>
                <w:sz w:val="21"/>
              </w:rPr>
              <w:t>拍片</w:t>
            </w:r>
          </w:p>
        </w:tc>
        <w:tc>
          <w:tcPr>
            <w:tcW w:w="1214" w:type="dxa"/>
          </w:tcPr>
          <w:p>
            <w:pPr>
              <w:pStyle w:val="TableParagraph"/>
              <w:spacing w:before="1"/>
              <w:jc w:val="left"/>
              <w:rPr>
                <w:sz w:val="32"/>
              </w:rPr>
            </w:pPr>
          </w:p>
          <w:p>
            <w:pPr>
              <w:pStyle w:val="TableParagraph"/>
              <w:spacing w:before="1"/>
              <w:ind w:right="190"/>
              <w:jc w:val="right"/>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Pr>
          <w:p>
            <w:pPr>
              <w:pStyle w:val="TableParagraph"/>
              <w:spacing w:before="1"/>
              <w:jc w:val="left"/>
              <w:rPr>
                <w:sz w:val="32"/>
              </w:rPr>
            </w:pPr>
          </w:p>
          <w:p>
            <w:pPr>
              <w:pStyle w:val="TableParagraph"/>
              <w:spacing w:before="1"/>
              <w:ind w:left="101" w:right="91"/>
              <w:rPr>
                <w:rFonts w:ascii="Times New Roman" w:hAnsi="Times New Roman"/>
                <w:sz w:val="21"/>
              </w:rPr>
            </w:pPr>
            <w:r>
              <w:rPr>
                <w:rFonts w:ascii="Times New Roman" w:hAnsi="Times New Roman"/>
                <w:sz w:val="21"/>
              </w:rPr>
              <w:t>6.87×10</w:t>
            </w:r>
            <w:r>
              <w:rPr>
                <w:rFonts w:ascii="Times New Roman" w:hAnsi="Times New Roman"/>
                <w:sz w:val="21"/>
                <w:vertAlign w:val="superscript"/>
              </w:rPr>
              <w:t>-5</w:t>
            </w:r>
          </w:p>
        </w:tc>
        <w:tc>
          <w:tcPr>
            <w:tcW w:w="1198" w:type="dxa"/>
            <w:tcBorders>
              <w:right w:val="nil"/>
            </w:tcBorders>
          </w:tcPr>
          <w:p>
            <w:pPr>
              <w:pStyle w:val="TableParagraph"/>
              <w:spacing w:before="1"/>
              <w:jc w:val="left"/>
              <w:rPr>
                <w:sz w:val="32"/>
              </w:rPr>
            </w:pPr>
          </w:p>
          <w:p>
            <w:pPr>
              <w:pStyle w:val="TableParagraph"/>
              <w:spacing w:before="1"/>
              <w:ind w:left="193"/>
              <w:jc w:val="left"/>
              <w:rPr>
                <w:rFonts w:ascii="Times New Roman" w:hAnsi="Times New Roman"/>
                <w:sz w:val="21"/>
              </w:rPr>
            </w:pPr>
            <w:r>
              <w:rPr>
                <w:rFonts w:ascii="Times New Roman" w:hAnsi="Times New Roman"/>
                <w:sz w:val="21"/>
              </w:rPr>
              <w:t>1.48×10</w:t>
            </w:r>
            <w:r>
              <w:rPr>
                <w:rFonts w:ascii="Times New Roman" w:hAnsi="Times New Roman"/>
                <w:sz w:val="21"/>
                <w:vertAlign w:val="superscript"/>
              </w:rPr>
              <w:t>-6</w:t>
            </w:r>
          </w:p>
        </w:tc>
        <w:tc>
          <w:tcPr>
            <w:tcW w:w="206" w:type="dxa"/>
            <w:vMerge/>
            <w:tcBorders>
              <w:top w:val="nil"/>
              <w:left w:val="nil"/>
              <w:bottom w:val="nil"/>
            </w:tcBorders>
          </w:tcPr>
          <w:p>
            <w:pPr>
              <w:rPr>
                <w:sz w:val="2"/>
                <w:szCs w:val="2"/>
              </w:rPr>
            </w:pPr>
          </w:p>
        </w:tc>
      </w:tr>
      <w:tr>
        <w:trPr>
          <w:trHeight w:val="447"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val="restart"/>
            <w:tcBorders>
              <w:bottom w:val="single" w:sz="12" w:space="0" w:color="000000"/>
            </w:tcBorders>
          </w:tcPr>
          <w:p>
            <w:pPr>
              <w:pStyle w:val="TableParagraph"/>
              <w:spacing w:before="3"/>
              <w:jc w:val="left"/>
              <w:rPr>
                <w:sz w:val="25"/>
              </w:rPr>
            </w:pPr>
          </w:p>
          <w:p>
            <w:pPr>
              <w:pStyle w:val="TableParagraph"/>
              <w:spacing w:line="278" w:lineRule="auto"/>
              <w:ind w:left="183" w:right="175"/>
              <w:jc w:val="left"/>
              <w:rPr>
                <w:sz w:val="21"/>
              </w:rPr>
            </w:pPr>
            <w:r>
              <w:rPr>
                <w:spacing w:val="-2"/>
                <w:sz w:val="21"/>
              </w:rPr>
              <w:t>疑难病症诊治中心</w:t>
            </w:r>
          </w:p>
          <w:p>
            <w:pPr>
              <w:pStyle w:val="TableParagraph"/>
              <w:spacing w:line="269" w:lineRule="exact"/>
              <w:ind w:left="106"/>
              <w:jc w:val="left"/>
              <w:rPr>
                <w:sz w:val="21"/>
              </w:rPr>
            </w:pPr>
            <w:r>
              <w:rPr>
                <w:sz w:val="21"/>
              </w:rPr>
              <w:t>（西南侧）</w:t>
            </w:r>
          </w:p>
        </w:tc>
        <w:tc>
          <w:tcPr>
            <w:tcW w:w="1078" w:type="dxa"/>
            <w:vMerge w:val="restart"/>
            <w:tcBorders>
              <w:bottom w:val="single" w:sz="12" w:space="0" w:color="000000"/>
            </w:tcBorders>
          </w:tcPr>
          <w:p>
            <w:pPr>
              <w:pStyle w:val="TableParagraph"/>
              <w:jc w:val="left"/>
              <w:rPr>
                <w:sz w:val="22"/>
              </w:rPr>
            </w:pPr>
          </w:p>
          <w:p>
            <w:pPr>
              <w:pStyle w:val="TableParagraph"/>
              <w:spacing w:before="8"/>
              <w:jc w:val="left"/>
              <w:rPr>
                <w:sz w:val="28"/>
              </w:rPr>
            </w:pPr>
          </w:p>
          <w:p>
            <w:pPr>
              <w:pStyle w:val="TableParagraph"/>
              <w:spacing w:before="1"/>
              <w:ind w:left="136" w:right="126"/>
              <w:rPr>
                <w:rFonts w:ascii="Times New Roman"/>
                <w:sz w:val="21"/>
              </w:rPr>
            </w:pPr>
            <w:r>
              <w:rPr>
                <w:rFonts w:ascii="Times New Roman"/>
                <w:sz w:val="21"/>
              </w:rPr>
              <w:t>35</w:t>
            </w:r>
          </w:p>
        </w:tc>
        <w:tc>
          <w:tcPr>
            <w:tcW w:w="1595" w:type="dxa"/>
            <w:vMerge w:val="restart"/>
            <w:tcBorders>
              <w:bottom w:val="single" w:sz="12" w:space="0" w:color="000000"/>
            </w:tcBorders>
          </w:tcPr>
          <w:p>
            <w:pPr>
              <w:pStyle w:val="TableParagraph"/>
              <w:spacing w:line="278" w:lineRule="auto" w:before="11"/>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9"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88"/>
              <w:ind w:left="120" w:right="113"/>
              <w:rPr>
                <w:sz w:val="21"/>
              </w:rPr>
            </w:pPr>
            <w:r>
              <w:rPr>
                <w:sz w:val="21"/>
              </w:rPr>
              <w:t>透视</w:t>
            </w:r>
          </w:p>
        </w:tc>
        <w:tc>
          <w:tcPr>
            <w:tcW w:w="1214" w:type="dxa"/>
          </w:tcPr>
          <w:p>
            <w:pPr>
              <w:pStyle w:val="TableParagraph"/>
              <w:spacing w:before="104"/>
              <w:ind w:right="190"/>
              <w:jc w:val="right"/>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04"/>
              <w:ind w:left="101" w:right="91"/>
              <w:rPr>
                <w:rFonts w:ascii="Times New Roman" w:hAnsi="Times New Roman"/>
                <w:sz w:val="21"/>
              </w:rPr>
            </w:pPr>
            <w:r>
              <w:rPr>
                <w:rFonts w:ascii="Times New Roman" w:hAnsi="Times New Roman"/>
                <w:sz w:val="21"/>
              </w:rPr>
              <w:t>5.85×10</w:t>
            </w:r>
            <w:r>
              <w:rPr>
                <w:rFonts w:ascii="Times New Roman" w:hAnsi="Times New Roman"/>
                <w:sz w:val="21"/>
                <w:vertAlign w:val="superscript"/>
              </w:rPr>
              <w:t>-8</w:t>
            </w:r>
          </w:p>
        </w:tc>
        <w:tc>
          <w:tcPr>
            <w:tcW w:w="1198" w:type="dxa"/>
            <w:tcBorders>
              <w:right w:val="nil"/>
            </w:tcBorders>
          </w:tcPr>
          <w:p>
            <w:pPr>
              <w:pStyle w:val="TableParagraph"/>
              <w:spacing w:before="104"/>
              <w:ind w:left="193"/>
              <w:jc w:val="left"/>
              <w:rPr>
                <w:rFonts w:ascii="Times New Roman" w:hAnsi="Times New Roman"/>
                <w:sz w:val="21"/>
              </w:rPr>
            </w:pPr>
            <w:r>
              <w:rPr>
                <w:rFonts w:ascii="Times New Roman" w:hAnsi="Times New Roman"/>
                <w:sz w:val="21"/>
              </w:rPr>
              <w:t>1.14×10</w:t>
            </w:r>
            <w:r>
              <w:rPr>
                <w:rFonts w:ascii="Times New Roman" w:hAnsi="Times New Roman"/>
                <w:sz w:val="21"/>
                <w:vertAlign w:val="superscript"/>
              </w:rPr>
              <w:t>-8</w:t>
            </w:r>
          </w:p>
        </w:tc>
        <w:tc>
          <w:tcPr>
            <w:tcW w:w="206" w:type="dxa"/>
            <w:vMerge/>
            <w:tcBorders>
              <w:top w:val="nil"/>
              <w:left w:val="nil"/>
              <w:bottom w:val="nil"/>
            </w:tcBorders>
          </w:tcPr>
          <w:p>
            <w:pPr>
              <w:rPr>
                <w:sz w:val="2"/>
                <w:szCs w:val="2"/>
              </w:rPr>
            </w:pPr>
          </w:p>
        </w:tc>
      </w:tr>
      <w:tr>
        <w:trPr>
          <w:trHeight w:val="1071"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bottom w:val="single" w:sz="12" w:space="0" w:color="000000"/>
            </w:tcBorders>
          </w:tcPr>
          <w:p>
            <w:pPr>
              <w:rPr>
                <w:sz w:val="2"/>
                <w:szCs w:val="2"/>
              </w:rPr>
            </w:pPr>
          </w:p>
        </w:tc>
        <w:tc>
          <w:tcPr>
            <w:tcW w:w="1078" w:type="dxa"/>
            <w:vMerge/>
            <w:tcBorders>
              <w:top w:val="nil"/>
              <w:bottom w:val="single" w:sz="12" w:space="0" w:color="000000"/>
            </w:tcBorders>
          </w:tcPr>
          <w:p>
            <w:pPr>
              <w:rPr>
                <w:sz w:val="2"/>
                <w:szCs w:val="2"/>
              </w:rPr>
            </w:pPr>
          </w:p>
        </w:tc>
        <w:tc>
          <w:tcPr>
            <w:tcW w:w="1595" w:type="dxa"/>
            <w:vMerge/>
            <w:tcBorders>
              <w:top w:val="nil"/>
              <w:bottom w:val="single" w:sz="12" w:space="0" w:color="000000"/>
            </w:tcBorders>
          </w:tcPr>
          <w:p>
            <w:pPr>
              <w:rPr>
                <w:sz w:val="2"/>
                <w:szCs w:val="2"/>
              </w:rPr>
            </w:pPr>
          </w:p>
        </w:tc>
        <w:tc>
          <w:tcPr>
            <w:tcW w:w="723" w:type="dxa"/>
            <w:tcBorders>
              <w:bottom w:val="single" w:sz="12" w:space="0" w:color="000000"/>
            </w:tcBorders>
          </w:tcPr>
          <w:p>
            <w:pPr>
              <w:pStyle w:val="TableParagraph"/>
              <w:jc w:val="left"/>
              <w:rPr>
                <w:sz w:val="20"/>
              </w:rPr>
            </w:pPr>
          </w:p>
          <w:p>
            <w:pPr>
              <w:pStyle w:val="TableParagraph"/>
              <w:spacing w:before="139"/>
              <w:ind w:left="120" w:right="113"/>
              <w:rPr>
                <w:sz w:val="21"/>
              </w:rPr>
            </w:pPr>
            <w:r>
              <w:rPr>
                <w:sz w:val="21"/>
              </w:rPr>
              <w:t>拍片</w:t>
            </w:r>
          </w:p>
        </w:tc>
        <w:tc>
          <w:tcPr>
            <w:tcW w:w="1214" w:type="dxa"/>
            <w:tcBorders>
              <w:bottom w:val="single" w:sz="12" w:space="0" w:color="000000"/>
            </w:tcBorders>
          </w:tcPr>
          <w:p>
            <w:pPr>
              <w:pStyle w:val="TableParagraph"/>
              <w:spacing w:before="1"/>
              <w:jc w:val="left"/>
              <w:rPr>
                <w:sz w:val="32"/>
              </w:rPr>
            </w:pPr>
          </w:p>
          <w:p>
            <w:pPr>
              <w:pStyle w:val="TableParagraph"/>
              <w:ind w:right="190"/>
              <w:jc w:val="right"/>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Borders>
              <w:bottom w:val="single" w:sz="12" w:space="0" w:color="000000"/>
            </w:tcBorders>
          </w:tcPr>
          <w:p>
            <w:pPr>
              <w:pStyle w:val="TableParagraph"/>
              <w:spacing w:before="1"/>
              <w:jc w:val="left"/>
              <w:rPr>
                <w:sz w:val="32"/>
              </w:rPr>
            </w:pPr>
          </w:p>
          <w:p>
            <w:pPr>
              <w:pStyle w:val="TableParagraph"/>
              <w:ind w:left="101" w:right="91"/>
              <w:rPr>
                <w:rFonts w:ascii="Times New Roman" w:hAnsi="Times New Roman"/>
                <w:sz w:val="21"/>
              </w:rPr>
            </w:pPr>
            <w:r>
              <w:rPr>
                <w:rFonts w:ascii="Times New Roman" w:hAnsi="Times New Roman"/>
                <w:sz w:val="21"/>
              </w:rPr>
              <w:t>2.24×10</w:t>
            </w:r>
            <w:r>
              <w:rPr>
                <w:rFonts w:ascii="Times New Roman" w:hAnsi="Times New Roman"/>
                <w:sz w:val="21"/>
                <w:vertAlign w:val="superscript"/>
              </w:rPr>
              <w:t>-5</w:t>
            </w:r>
          </w:p>
        </w:tc>
        <w:tc>
          <w:tcPr>
            <w:tcW w:w="1198" w:type="dxa"/>
            <w:tcBorders>
              <w:bottom w:val="single" w:sz="12" w:space="0" w:color="000000"/>
              <w:right w:val="nil"/>
            </w:tcBorders>
          </w:tcPr>
          <w:p>
            <w:pPr>
              <w:pStyle w:val="TableParagraph"/>
              <w:spacing w:before="1"/>
              <w:jc w:val="left"/>
              <w:rPr>
                <w:sz w:val="32"/>
              </w:rPr>
            </w:pPr>
          </w:p>
          <w:p>
            <w:pPr>
              <w:pStyle w:val="TableParagraph"/>
              <w:ind w:left="193"/>
              <w:jc w:val="left"/>
              <w:rPr>
                <w:rFonts w:ascii="Times New Roman" w:hAnsi="Times New Roman"/>
                <w:sz w:val="21"/>
              </w:rPr>
            </w:pPr>
            <w:r>
              <w:rPr>
                <w:rFonts w:ascii="Times New Roman" w:hAnsi="Times New Roman"/>
                <w:sz w:val="21"/>
              </w:rPr>
              <w:t>4.84×10</w:t>
            </w:r>
            <w:r>
              <w:rPr>
                <w:rFonts w:ascii="Times New Roman" w:hAnsi="Times New Roman"/>
                <w:sz w:val="21"/>
                <w:vertAlign w:val="superscript"/>
              </w:rPr>
              <w:t>-7</w:t>
            </w:r>
          </w:p>
        </w:tc>
        <w:tc>
          <w:tcPr>
            <w:tcW w:w="206" w:type="dxa"/>
            <w:vMerge/>
            <w:tcBorders>
              <w:top w:val="nil"/>
              <w:left w:val="nil"/>
              <w:bottom w:val="nil"/>
            </w:tcBorders>
          </w:tcPr>
          <w:p>
            <w:pPr>
              <w:rPr>
                <w:sz w:val="2"/>
                <w:szCs w:val="2"/>
              </w:rPr>
            </w:pPr>
          </w:p>
        </w:tc>
      </w:tr>
      <w:tr>
        <w:trPr>
          <w:trHeight w:val="6771" w:hRule="atLeast"/>
        </w:trPr>
        <w:tc>
          <w:tcPr>
            <w:tcW w:w="9241" w:type="dxa"/>
            <w:gridSpan w:val="10"/>
            <w:tcBorders>
              <w:top w:val="nil"/>
            </w:tcBorders>
          </w:tcPr>
          <w:p>
            <w:pPr>
              <w:pStyle w:val="TableParagraph"/>
              <w:spacing w:before="82"/>
              <w:ind w:left="108"/>
              <w:jc w:val="left"/>
              <w:rPr>
                <w:sz w:val="24"/>
              </w:rPr>
            </w:pPr>
            <w:r>
              <w:rPr>
                <w:rFonts w:ascii="Times New Roman" w:eastAsia="Times New Roman"/>
                <w:b/>
                <w:sz w:val="24"/>
              </w:rPr>
              <w:t>3</w:t>
            </w:r>
            <w:r>
              <w:rPr>
                <w:sz w:val="24"/>
              </w:rPr>
              <w:t>）泄漏辐射剂量估算</w:t>
            </w:r>
          </w:p>
          <w:p>
            <w:pPr>
              <w:pStyle w:val="TableParagraph"/>
              <w:spacing w:line="364" w:lineRule="auto" w:before="160"/>
              <w:ind w:left="108" w:right="96" w:firstLine="480"/>
              <w:jc w:val="left"/>
              <w:rPr>
                <w:sz w:val="24"/>
              </w:rPr>
            </w:pPr>
            <w:r>
              <w:rPr>
                <w:spacing w:val="-6"/>
                <w:sz w:val="24"/>
              </w:rPr>
              <w:t>泄漏辐射剂量率按初级辐射束的 </w:t>
            </w:r>
            <w:r>
              <w:rPr>
                <w:rFonts w:ascii="Times New Roman" w:hAnsi="Times New Roman" w:eastAsia="Times New Roman"/>
                <w:spacing w:val="-2"/>
                <w:sz w:val="24"/>
              </w:rPr>
              <w:t>1‰</w:t>
            </w:r>
            <w:r>
              <w:rPr>
                <w:spacing w:val="-2"/>
                <w:sz w:val="24"/>
              </w:rPr>
              <w:t>计算，利用点源辐射进行计算，各预测点的泄</w:t>
            </w:r>
            <w:r>
              <w:rPr>
                <w:spacing w:val="-1"/>
                <w:sz w:val="24"/>
              </w:rPr>
              <w:t>漏辐射剂量率可用下</w:t>
            </w:r>
            <w:r>
              <w:rPr>
                <w:rFonts w:ascii="Times New Roman" w:hAnsi="Times New Roman" w:eastAsia="Times New Roman"/>
                <w:sz w:val="24"/>
              </w:rPr>
              <w:t>(</w:t>
            </w:r>
            <w:r>
              <w:rPr>
                <w:spacing w:val="-30"/>
                <w:sz w:val="24"/>
              </w:rPr>
              <w:t>式 </w:t>
            </w:r>
            <w:r>
              <w:rPr>
                <w:rFonts w:ascii="Times New Roman" w:hAnsi="Times New Roman" w:eastAsia="Times New Roman"/>
                <w:sz w:val="24"/>
              </w:rPr>
              <w:t>3)</w:t>
            </w:r>
            <w:r>
              <w:rPr>
                <w:sz w:val="24"/>
              </w:rPr>
              <w:t>进行计算。</w:t>
            </w:r>
          </w:p>
          <w:p>
            <w:pPr>
              <w:pStyle w:val="TableParagraph"/>
              <w:spacing w:line="238" w:lineRule="exact" w:before="55"/>
              <w:ind w:left="439" w:right="2918"/>
              <w:rPr>
                <w:rFonts w:ascii="Times New Roman" w:hAnsi="Times New Roman"/>
                <w:i/>
                <w:sz w:val="24"/>
              </w:rPr>
            </w:pPr>
            <w:r>
              <w:rPr>
                <w:rFonts w:ascii="Times New Roman" w:hAnsi="Times New Roman"/>
                <w:i/>
                <w:w w:val="95"/>
                <w:sz w:val="24"/>
              </w:rPr>
              <w:t>H</w:t>
            </w:r>
            <w:r>
              <w:rPr>
                <w:rFonts w:ascii="Times New Roman" w:hAnsi="Times New Roman"/>
                <w:i/>
                <w:spacing w:val="-19"/>
                <w:w w:val="95"/>
                <w:sz w:val="24"/>
              </w:rPr>
              <w:t> </w:t>
            </w:r>
            <w:r>
              <w:rPr>
                <w:rFonts w:ascii="Times New Roman" w:hAnsi="Times New Roman"/>
                <w:w w:val="95"/>
                <w:position w:val="-2"/>
                <w:sz w:val="10"/>
              </w:rPr>
              <w:t>0</w:t>
            </w:r>
            <w:r>
              <w:rPr>
                <w:rFonts w:ascii="Times New Roman" w:hAnsi="Times New Roman"/>
                <w:spacing w:val="4"/>
                <w:w w:val="95"/>
                <w:position w:val="-2"/>
                <w:sz w:val="10"/>
              </w:rPr>
              <w:t> </w:t>
            </w:r>
            <w:r>
              <w:rPr>
                <w:rFonts w:ascii="Symbol" w:hAnsi="Symbol"/>
                <w:w w:val="95"/>
                <w:sz w:val="24"/>
              </w:rPr>
              <w:t></w:t>
            </w:r>
            <w:r>
              <w:rPr>
                <w:rFonts w:ascii="Times New Roman" w:hAnsi="Times New Roman"/>
                <w:spacing w:val="22"/>
                <w:w w:val="95"/>
                <w:sz w:val="24"/>
              </w:rPr>
              <w:t> </w:t>
            </w:r>
            <w:r>
              <w:rPr>
                <w:rFonts w:ascii="Times New Roman" w:hAnsi="Times New Roman"/>
                <w:i/>
                <w:w w:val="95"/>
                <w:sz w:val="24"/>
              </w:rPr>
              <w:t>f</w:t>
            </w:r>
            <w:r>
              <w:rPr>
                <w:rFonts w:ascii="Times New Roman" w:hAnsi="Times New Roman"/>
                <w:i/>
                <w:spacing w:val="31"/>
                <w:w w:val="95"/>
                <w:sz w:val="24"/>
              </w:rPr>
              <w:t> </w:t>
            </w:r>
            <w:r>
              <w:rPr>
                <w:rFonts w:ascii="Symbol" w:hAnsi="Symbol"/>
                <w:w w:val="95"/>
                <w:sz w:val="24"/>
              </w:rPr>
              <w:t></w:t>
            </w:r>
            <w:r>
              <w:rPr>
                <w:rFonts w:ascii="Times New Roman" w:hAnsi="Times New Roman"/>
                <w:spacing w:val="-17"/>
                <w:w w:val="95"/>
                <w:sz w:val="24"/>
              </w:rPr>
              <w:t> </w:t>
            </w:r>
            <w:r>
              <w:rPr>
                <w:rFonts w:ascii="Times New Roman" w:hAnsi="Times New Roman"/>
                <w:i/>
                <w:w w:val="95"/>
                <w:sz w:val="24"/>
              </w:rPr>
              <w:t>B</w:t>
            </w:r>
          </w:p>
          <w:p>
            <w:pPr>
              <w:pStyle w:val="TableParagraph"/>
              <w:tabs>
                <w:tab w:pos="6689" w:val="left" w:leader="dot"/>
              </w:tabs>
              <w:spacing w:line="194" w:lineRule="exact"/>
              <w:ind w:left="2472"/>
              <w:jc w:val="left"/>
              <w:rPr>
                <w:sz w:val="24"/>
              </w:rPr>
            </w:pPr>
            <w:r>
              <w:rPr>
                <w:rFonts w:ascii="Times New Roman" w:hAnsi="Times New Roman" w:eastAsia="Times New Roman"/>
                <w:i/>
                <w:sz w:val="24"/>
              </w:rPr>
              <w:t>H</w:t>
            </w:r>
            <w:r>
              <w:rPr>
                <w:rFonts w:ascii="Times New Roman" w:hAnsi="Times New Roman" w:eastAsia="Times New Roman"/>
                <w:i/>
                <w:spacing w:val="25"/>
                <w:sz w:val="24"/>
              </w:rPr>
              <w:t> </w:t>
            </w:r>
            <w:r>
              <w:rPr>
                <w:rFonts w:ascii="Symbol" w:hAnsi="Symbol" w:eastAsia="Symbol"/>
                <w:sz w:val="24"/>
              </w:rPr>
              <w:t></w:t>
            </w:r>
            <w:r>
              <w:rPr>
                <w:rFonts w:ascii="Times New Roman" w:hAnsi="Times New Roman" w:eastAsia="Times New Roman"/>
                <w:sz w:val="24"/>
              </w:rPr>
              <w:tab/>
            </w:r>
            <w:r>
              <w:rPr>
                <w:sz w:val="24"/>
              </w:rPr>
              <w:t>（式</w:t>
            </w:r>
            <w:r>
              <w:rPr>
                <w:rFonts w:ascii="Times New Roman" w:hAnsi="Times New Roman" w:eastAsia="Times New Roman"/>
                <w:sz w:val="24"/>
              </w:rPr>
              <w:t>3</w:t>
            </w:r>
            <w:r>
              <w:rPr>
                <w:sz w:val="24"/>
              </w:rPr>
              <w:t>）</w:t>
            </w:r>
          </w:p>
          <w:p>
            <w:pPr>
              <w:pStyle w:val="TableParagraph"/>
              <w:spacing w:line="74" w:lineRule="auto" w:before="19"/>
              <w:ind w:left="2969" w:right="5468"/>
              <w:rPr>
                <w:rFonts w:ascii="Times New Roman"/>
                <w:sz w:val="14"/>
              </w:rPr>
            </w:pPr>
            <w:r>
              <w:rPr>
                <w:rFonts w:ascii="Times New Roman"/>
                <w:i/>
                <w:position w:val="-10"/>
                <w:sz w:val="24"/>
              </w:rPr>
              <w:t>R</w:t>
            </w:r>
            <w:r>
              <w:rPr>
                <w:rFonts w:ascii="Times New Roman"/>
                <w:sz w:val="14"/>
              </w:rPr>
              <w:t>2</w:t>
            </w:r>
          </w:p>
          <w:p>
            <w:pPr>
              <w:pStyle w:val="TableParagraph"/>
              <w:spacing w:before="6"/>
              <w:jc w:val="left"/>
              <w:rPr>
                <w:sz w:val="25"/>
              </w:rPr>
            </w:pPr>
          </w:p>
          <w:p>
            <w:pPr>
              <w:pStyle w:val="TableParagraph"/>
              <w:ind w:left="108"/>
              <w:jc w:val="left"/>
              <w:rPr>
                <w:sz w:val="24"/>
              </w:rPr>
            </w:pPr>
            <w:r>
              <w:rPr>
                <w:sz w:val="24"/>
              </w:rPr>
              <w:t>式中：</w:t>
            </w:r>
          </w:p>
          <w:p>
            <w:pPr>
              <w:pStyle w:val="TableParagraph"/>
              <w:spacing w:line="408" w:lineRule="auto" w:before="179"/>
              <w:ind w:left="528" w:right="4812"/>
              <w:jc w:val="left"/>
              <w:rPr>
                <w:sz w:val="21"/>
              </w:rPr>
            </w:pPr>
            <w:r>
              <w:rPr>
                <w:rFonts w:ascii="Times New Roman" w:hAnsi="Times New Roman" w:eastAsia="Times New Roman"/>
                <w:i/>
                <w:w w:val="95"/>
                <w:sz w:val="21"/>
              </w:rPr>
              <w:t>H</w:t>
            </w:r>
            <w:r>
              <w:rPr>
                <w:rFonts w:ascii="Times New Roman" w:hAnsi="Times New Roman" w:eastAsia="Times New Roman"/>
                <w:w w:val="95"/>
                <w:sz w:val="21"/>
              </w:rPr>
              <w:t>—</w:t>
            </w:r>
            <w:r>
              <w:rPr>
                <w:w w:val="95"/>
                <w:sz w:val="21"/>
              </w:rPr>
              <w:t>预测点处的泄漏辐射剂量率，</w:t>
            </w:r>
            <w:r>
              <w:rPr>
                <w:rFonts w:ascii="Times New Roman" w:hAnsi="Times New Roman" w:eastAsia="Times New Roman"/>
                <w:w w:val="95"/>
                <w:sz w:val="21"/>
              </w:rPr>
              <w:t>μGy/h</w:t>
            </w:r>
            <w:r>
              <w:rPr>
                <w:w w:val="95"/>
                <w:sz w:val="21"/>
              </w:rPr>
              <w:t>；</w:t>
            </w:r>
            <w:r>
              <w:rPr>
                <w:spacing w:val="1"/>
                <w:w w:val="95"/>
                <w:sz w:val="21"/>
              </w:rPr>
              <w:t> </w:t>
            </w:r>
            <w:r>
              <w:rPr>
                <w:rFonts w:ascii="Times New Roman" w:hAnsi="Times New Roman" w:eastAsia="Times New Roman"/>
                <w:i/>
                <w:sz w:val="21"/>
              </w:rPr>
              <w:t>f</w:t>
            </w:r>
            <w:r>
              <w:rPr>
                <w:rFonts w:ascii="Times New Roman" w:hAnsi="Times New Roman" w:eastAsia="Times New Roman"/>
                <w:sz w:val="21"/>
              </w:rPr>
              <w:t>—</w:t>
            </w:r>
            <w:r>
              <w:rPr>
                <w:sz w:val="21"/>
              </w:rPr>
              <w:t>泄漏射线比率，</w:t>
            </w:r>
            <w:r>
              <w:rPr>
                <w:rFonts w:ascii="Times New Roman" w:hAnsi="Times New Roman" w:eastAsia="Times New Roman"/>
                <w:sz w:val="21"/>
              </w:rPr>
              <w:t>1</w:t>
            </w:r>
            <w:r>
              <w:rPr>
                <w:rFonts w:ascii="Times New Roman" w:hAnsi="Times New Roman" w:eastAsia="Times New Roman"/>
                <w:sz w:val="24"/>
              </w:rPr>
              <w:t>‰</w:t>
            </w:r>
            <w:r>
              <w:rPr>
                <w:sz w:val="21"/>
              </w:rPr>
              <w:t>；</w:t>
            </w:r>
          </w:p>
          <w:p>
            <w:pPr>
              <w:pStyle w:val="TableParagraph"/>
              <w:spacing w:line="268" w:lineRule="exact"/>
              <w:ind w:left="528"/>
              <w:jc w:val="left"/>
              <w:rPr>
                <w:sz w:val="21"/>
              </w:rPr>
            </w:pPr>
            <w:r>
              <w:rPr>
                <w:rFonts w:ascii="Times New Roman" w:hAnsi="Times New Roman" w:eastAsia="Times New Roman"/>
                <w:i/>
                <w:w w:val="95"/>
                <w:position w:val="2"/>
                <w:sz w:val="21"/>
              </w:rPr>
              <w:t>H</w:t>
            </w:r>
            <w:r>
              <w:rPr>
                <w:rFonts w:ascii="Times New Roman" w:hAnsi="Times New Roman" w:eastAsia="Times New Roman"/>
                <w:i/>
                <w:w w:val="95"/>
                <w:sz w:val="13"/>
              </w:rPr>
              <w:t>0</w:t>
            </w:r>
            <w:r>
              <w:rPr>
                <w:rFonts w:ascii="Times New Roman" w:hAnsi="Times New Roman" w:eastAsia="Times New Roman"/>
                <w:w w:val="95"/>
                <w:position w:val="2"/>
                <w:sz w:val="21"/>
              </w:rPr>
              <w:t>—</w:t>
            </w:r>
            <w:r>
              <w:rPr>
                <w:spacing w:val="2"/>
                <w:w w:val="95"/>
                <w:position w:val="2"/>
                <w:sz w:val="21"/>
              </w:rPr>
              <w:t>距靶点 </w:t>
            </w:r>
            <w:r>
              <w:rPr>
                <w:rFonts w:ascii="Times New Roman" w:hAnsi="Times New Roman" w:eastAsia="Times New Roman"/>
                <w:w w:val="95"/>
                <w:position w:val="2"/>
                <w:sz w:val="21"/>
              </w:rPr>
              <w:t>1m</w:t>
            </w:r>
            <w:r>
              <w:rPr>
                <w:rFonts w:ascii="Times New Roman" w:hAnsi="Times New Roman" w:eastAsia="Times New Roman"/>
                <w:spacing w:val="51"/>
                <w:position w:val="2"/>
                <w:sz w:val="21"/>
              </w:rPr>
              <w:t> </w:t>
            </w:r>
            <w:r>
              <w:rPr>
                <w:w w:val="95"/>
                <w:position w:val="2"/>
                <w:sz w:val="21"/>
              </w:rPr>
              <w:t>处的最大剂量率，</w:t>
            </w:r>
            <w:r>
              <w:rPr>
                <w:rFonts w:ascii="Times New Roman" w:hAnsi="Times New Roman" w:eastAsia="Times New Roman"/>
                <w:w w:val="95"/>
                <w:position w:val="2"/>
                <w:sz w:val="21"/>
              </w:rPr>
              <w:t>μGy/h</w:t>
            </w:r>
            <w:r>
              <w:rPr>
                <w:w w:val="95"/>
                <w:position w:val="2"/>
                <w:sz w:val="21"/>
              </w:rPr>
              <w:t>；</w:t>
            </w:r>
          </w:p>
          <w:p>
            <w:pPr>
              <w:pStyle w:val="TableParagraph"/>
              <w:spacing w:before="10"/>
              <w:jc w:val="left"/>
              <w:rPr>
                <w:sz w:val="15"/>
              </w:rPr>
            </w:pPr>
          </w:p>
          <w:p>
            <w:pPr>
              <w:pStyle w:val="TableParagraph"/>
              <w:spacing w:line="417" w:lineRule="auto"/>
              <w:ind w:left="528" w:right="5892"/>
              <w:jc w:val="left"/>
              <w:rPr>
                <w:sz w:val="21"/>
              </w:rPr>
            </w:pPr>
            <w:r>
              <w:rPr>
                <w:rFonts w:ascii="Times New Roman" w:hAnsi="Times New Roman" w:eastAsia="Times New Roman"/>
                <w:i/>
                <w:spacing w:val="-1"/>
                <w:sz w:val="21"/>
              </w:rPr>
              <w:t>R</w:t>
            </w:r>
            <w:r>
              <w:rPr>
                <w:rFonts w:ascii="Times New Roman" w:hAnsi="Times New Roman" w:eastAsia="Times New Roman"/>
                <w:spacing w:val="-1"/>
                <w:sz w:val="21"/>
              </w:rPr>
              <w:t>—</w:t>
            </w:r>
            <w:r>
              <w:rPr>
                <w:spacing w:val="-1"/>
                <w:sz w:val="21"/>
              </w:rPr>
              <w:t>靶点距关注点的距离，</w:t>
            </w:r>
            <w:r>
              <w:rPr>
                <w:rFonts w:ascii="Times New Roman" w:hAnsi="Times New Roman" w:eastAsia="Times New Roman"/>
                <w:sz w:val="21"/>
              </w:rPr>
              <w:t>m</w:t>
            </w:r>
            <w:r>
              <w:rPr>
                <w:sz w:val="21"/>
              </w:rPr>
              <w:t>；</w:t>
            </w:r>
            <w:r>
              <w:rPr>
                <w:spacing w:val="-102"/>
                <w:sz w:val="21"/>
              </w:rPr>
              <w:t> </w:t>
            </w:r>
            <w:r>
              <w:rPr>
                <w:rFonts w:ascii="Times New Roman" w:hAnsi="Times New Roman" w:eastAsia="Times New Roman"/>
                <w:i/>
                <w:sz w:val="21"/>
              </w:rPr>
              <w:t>B</w:t>
            </w:r>
            <w:r>
              <w:rPr>
                <w:rFonts w:ascii="Times New Roman" w:hAnsi="Times New Roman" w:eastAsia="Times New Roman"/>
                <w:sz w:val="21"/>
              </w:rPr>
              <w:t>——</w:t>
            </w:r>
            <w:r>
              <w:rPr>
                <w:sz w:val="21"/>
              </w:rPr>
              <w:t>减弱因子。</w:t>
            </w:r>
          </w:p>
          <w:p>
            <w:pPr>
              <w:pStyle w:val="TableParagraph"/>
              <w:spacing w:line="289" w:lineRule="exact"/>
              <w:ind w:left="588"/>
              <w:jc w:val="left"/>
              <w:rPr>
                <w:sz w:val="24"/>
              </w:rPr>
            </w:pPr>
            <w:r>
              <w:rPr>
                <w:w w:val="95"/>
                <w:sz w:val="24"/>
              </w:rPr>
              <w:t>各预测点泄漏辐射剂量率计算参数及结果见下表</w:t>
            </w:r>
            <w:r>
              <w:rPr>
                <w:spacing w:val="213"/>
                <w:sz w:val="24"/>
              </w:rPr>
              <w:t> </w:t>
            </w:r>
            <w:r>
              <w:rPr>
                <w:rFonts w:ascii="Times New Roman" w:eastAsia="Times New Roman"/>
                <w:w w:val="95"/>
                <w:sz w:val="24"/>
              </w:rPr>
              <w:t>11-6</w:t>
            </w:r>
            <w:r>
              <w:rPr>
                <w:w w:val="95"/>
                <w:sz w:val="24"/>
              </w:rPr>
              <w:t>。</w:t>
            </w:r>
          </w:p>
          <w:p>
            <w:pPr>
              <w:pStyle w:val="TableParagraph"/>
              <w:spacing w:before="99"/>
              <w:ind w:left="2253"/>
              <w:jc w:val="left"/>
              <w:rPr>
                <w:sz w:val="21"/>
              </w:rPr>
            </w:pPr>
            <w:r>
              <w:rPr>
                <w:spacing w:val="4"/>
                <w:w w:val="95"/>
                <w:sz w:val="21"/>
              </w:rPr>
              <w:t>表 </w:t>
            </w:r>
            <w:r>
              <w:rPr>
                <w:rFonts w:ascii="Times New Roman" w:eastAsia="Times New Roman"/>
                <w:b/>
                <w:w w:val="95"/>
                <w:sz w:val="21"/>
              </w:rPr>
              <w:t>11-6</w:t>
            </w:r>
            <w:r>
              <w:rPr>
                <w:rFonts w:ascii="Times New Roman" w:eastAsia="Times New Roman"/>
                <w:b/>
                <w:spacing w:val="50"/>
                <w:sz w:val="21"/>
              </w:rPr>
              <w:t>  </w:t>
            </w:r>
            <w:r>
              <w:rPr>
                <w:w w:val="95"/>
                <w:sz w:val="21"/>
              </w:rPr>
              <w:t>各预测点的泄漏辐射剂量率计算参数及结果</w:t>
            </w:r>
          </w:p>
        </w:tc>
      </w:tr>
    </w:tbl>
    <w:p>
      <w:pPr>
        <w:rPr>
          <w:sz w:val="2"/>
          <w:szCs w:val="2"/>
        </w:rPr>
      </w:pPr>
      <w:r>
        <w:rPr/>
        <w:pict>
          <v:line style="position:absolute;mso-position-horizontal-relative:page;mso-position-vertical-relative:page;z-index:-20136448" from="216.787994pt,514.800049pt" to="261.662994pt,514.800049pt" stroked="true" strokeweight=".5pt" strokecolor="#000000">
            <v:stroke dashstyle="solid"/>
            <w10:wrap type="none"/>
          </v:line>
        </w:pict>
      </w:r>
      <w:r>
        <w:rPr/>
        <w:pict>
          <v:shape style="position:absolute;margin-left:80.180pt;margin-top:716.100037pt;width:443.7pt;height:34.050pt;mso-position-horizontal-relative:page;mso-position-vertical-relative:page;z-index:15751168"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95"/>
                    <w:gridCol w:w="1078"/>
                    <w:gridCol w:w="1595"/>
                    <w:gridCol w:w="723"/>
                    <w:gridCol w:w="1214"/>
                    <w:gridCol w:w="1227"/>
                    <w:gridCol w:w="1198"/>
                  </w:tblGrid>
                  <w:tr>
                    <w:trPr>
                      <w:trHeight w:val="621" w:hRule="atLeast"/>
                    </w:trPr>
                    <w:tc>
                      <w:tcPr>
                        <w:tcW w:w="1795" w:type="dxa"/>
                        <w:tcBorders>
                          <w:left w:val="nil"/>
                          <w:right w:val="single" w:sz="4" w:space="0" w:color="000000"/>
                        </w:tcBorders>
                      </w:tcPr>
                      <w:p>
                        <w:pPr>
                          <w:pStyle w:val="TableParagraph"/>
                          <w:spacing w:before="178"/>
                          <w:ind w:left="280"/>
                          <w:jc w:val="left"/>
                          <w:rPr>
                            <w:sz w:val="21"/>
                          </w:rPr>
                        </w:pPr>
                        <w:r>
                          <w:rPr>
                            <w:w w:val="95"/>
                            <w:sz w:val="21"/>
                          </w:rPr>
                          <w:t>关注点位描述</w:t>
                        </w:r>
                      </w:p>
                    </w:tc>
                    <w:tc>
                      <w:tcPr>
                        <w:tcW w:w="1078" w:type="dxa"/>
                        <w:tcBorders>
                          <w:left w:val="single" w:sz="4" w:space="0" w:color="000000"/>
                          <w:right w:val="single" w:sz="4" w:space="0" w:color="000000"/>
                        </w:tcBorders>
                      </w:tcPr>
                      <w:p>
                        <w:pPr>
                          <w:pStyle w:val="TableParagraph"/>
                          <w:spacing w:before="22"/>
                          <w:ind w:left="129"/>
                          <w:jc w:val="left"/>
                          <w:rPr>
                            <w:sz w:val="21"/>
                          </w:rPr>
                        </w:pPr>
                        <w:r>
                          <w:rPr>
                            <w:w w:val="95"/>
                            <w:sz w:val="21"/>
                          </w:rPr>
                          <w:t>靶点距关</w:t>
                        </w:r>
                      </w:p>
                      <w:p>
                        <w:pPr>
                          <w:pStyle w:val="TableParagraph"/>
                          <w:spacing w:line="268" w:lineRule="exact" w:before="43"/>
                          <w:ind w:left="129"/>
                          <w:jc w:val="left"/>
                          <w:rPr>
                            <w:sz w:val="21"/>
                          </w:rPr>
                        </w:pPr>
                        <w:r>
                          <w:rPr>
                            <w:w w:val="95"/>
                            <w:sz w:val="21"/>
                          </w:rPr>
                          <w:t>注点的距</w:t>
                        </w:r>
                      </w:p>
                    </w:tc>
                    <w:tc>
                      <w:tcPr>
                        <w:tcW w:w="1595" w:type="dxa"/>
                        <w:tcBorders>
                          <w:left w:val="single" w:sz="4" w:space="0" w:color="000000"/>
                          <w:right w:val="single" w:sz="4" w:space="0" w:color="000000"/>
                        </w:tcBorders>
                      </w:tcPr>
                      <w:p>
                        <w:pPr>
                          <w:pStyle w:val="TableParagraph"/>
                          <w:spacing w:before="22"/>
                          <w:ind w:left="109" w:right="78"/>
                          <w:rPr>
                            <w:sz w:val="21"/>
                          </w:rPr>
                        </w:pPr>
                        <w:r>
                          <w:rPr>
                            <w:w w:val="95"/>
                            <w:sz w:val="21"/>
                          </w:rPr>
                          <w:t>屏蔽材料及厚</w:t>
                        </w:r>
                      </w:p>
                      <w:p>
                        <w:pPr>
                          <w:pStyle w:val="TableParagraph"/>
                          <w:spacing w:line="268" w:lineRule="exact" w:before="43"/>
                          <w:ind w:left="28"/>
                          <w:rPr>
                            <w:sz w:val="21"/>
                          </w:rPr>
                        </w:pPr>
                        <w:r>
                          <w:rPr>
                            <w:w w:val="99"/>
                            <w:sz w:val="21"/>
                          </w:rPr>
                          <w:t>度</w:t>
                        </w:r>
                      </w:p>
                    </w:tc>
                    <w:tc>
                      <w:tcPr>
                        <w:tcW w:w="723" w:type="dxa"/>
                        <w:tcBorders>
                          <w:left w:val="single" w:sz="4" w:space="0" w:color="000000"/>
                          <w:right w:val="single" w:sz="4" w:space="0" w:color="000000"/>
                        </w:tcBorders>
                      </w:tcPr>
                      <w:p>
                        <w:pPr>
                          <w:pStyle w:val="TableParagraph"/>
                          <w:spacing w:before="22"/>
                          <w:ind w:left="160"/>
                          <w:jc w:val="left"/>
                          <w:rPr>
                            <w:sz w:val="21"/>
                          </w:rPr>
                        </w:pPr>
                        <w:r>
                          <w:rPr>
                            <w:w w:val="95"/>
                            <w:sz w:val="21"/>
                          </w:rPr>
                          <w:t>照射</w:t>
                        </w:r>
                      </w:p>
                      <w:p>
                        <w:pPr>
                          <w:pStyle w:val="TableParagraph"/>
                          <w:spacing w:line="268" w:lineRule="exact" w:before="43"/>
                          <w:ind w:left="160"/>
                          <w:jc w:val="left"/>
                          <w:rPr>
                            <w:sz w:val="21"/>
                          </w:rPr>
                        </w:pPr>
                        <w:r>
                          <w:rPr>
                            <w:w w:val="95"/>
                            <w:sz w:val="21"/>
                          </w:rPr>
                          <w:t>类型</w:t>
                        </w:r>
                      </w:p>
                    </w:tc>
                    <w:tc>
                      <w:tcPr>
                        <w:tcW w:w="1214" w:type="dxa"/>
                        <w:tcBorders>
                          <w:left w:val="single" w:sz="4" w:space="0" w:color="000000"/>
                          <w:right w:val="single" w:sz="4" w:space="0" w:color="000000"/>
                        </w:tcBorders>
                      </w:tcPr>
                      <w:p>
                        <w:pPr>
                          <w:pStyle w:val="TableParagraph"/>
                          <w:spacing w:before="178"/>
                          <w:ind w:left="196"/>
                          <w:jc w:val="left"/>
                          <w:rPr>
                            <w:sz w:val="21"/>
                          </w:rPr>
                        </w:pPr>
                        <w:r>
                          <w:rPr>
                            <w:w w:val="95"/>
                            <w:sz w:val="21"/>
                          </w:rPr>
                          <w:t>减弱因子</w:t>
                        </w:r>
                      </w:p>
                    </w:tc>
                    <w:tc>
                      <w:tcPr>
                        <w:tcW w:w="1227" w:type="dxa"/>
                        <w:tcBorders>
                          <w:left w:val="single" w:sz="4" w:space="0" w:color="000000"/>
                          <w:right w:val="single" w:sz="4" w:space="0" w:color="000000"/>
                        </w:tcBorders>
                      </w:tcPr>
                      <w:p>
                        <w:pPr>
                          <w:pStyle w:val="TableParagraph"/>
                          <w:spacing w:before="22"/>
                          <w:ind w:left="101" w:right="73"/>
                          <w:rPr>
                            <w:sz w:val="21"/>
                          </w:rPr>
                        </w:pPr>
                        <w:r>
                          <w:rPr>
                            <w:w w:val="95"/>
                            <w:sz w:val="21"/>
                          </w:rPr>
                          <w:t>漏射辐射</w:t>
                        </w:r>
                      </w:p>
                      <w:p>
                        <w:pPr>
                          <w:pStyle w:val="TableParagraph"/>
                          <w:spacing w:line="268" w:lineRule="exact" w:before="43"/>
                          <w:ind w:left="101" w:right="73"/>
                          <w:rPr>
                            <w:sz w:val="21"/>
                          </w:rPr>
                        </w:pPr>
                        <w:r>
                          <w:rPr>
                            <w:w w:val="95"/>
                            <w:sz w:val="21"/>
                          </w:rPr>
                          <w:t>剂量率</w:t>
                        </w:r>
                      </w:p>
                    </w:tc>
                    <w:tc>
                      <w:tcPr>
                        <w:tcW w:w="1198" w:type="dxa"/>
                        <w:tcBorders>
                          <w:left w:val="single" w:sz="4" w:space="0" w:color="000000"/>
                          <w:right w:val="nil"/>
                        </w:tcBorders>
                      </w:tcPr>
                      <w:p>
                        <w:pPr>
                          <w:pStyle w:val="TableParagraph"/>
                          <w:spacing w:before="22"/>
                          <w:ind w:left="188"/>
                          <w:jc w:val="left"/>
                          <w:rPr>
                            <w:sz w:val="21"/>
                          </w:rPr>
                        </w:pPr>
                        <w:r>
                          <w:rPr>
                            <w:w w:val="95"/>
                            <w:sz w:val="21"/>
                          </w:rPr>
                          <w:t>漏射年辐</w:t>
                        </w:r>
                      </w:p>
                      <w:p>
                        <w:pPr>
                          <w:pStyle w:val="TableParagraph"/>
                          <w:spacing w:line="268" w:lineRule="exact" w:before="43"/>
                          <w:ind w:left="292"/>
                          <w:jc w:val="left"/>
                          <w:rPr>
                            <w:sz w:val="21"/>
                          </w:rPr>
                        </w:pPr>
                        <w:r>
                          <w:rPr>
                            <w:w w:val="95"/>
                            <w:sz w:val="21"/>
                          </w:rPr>
                          <w:t>射剂量</w:t>
                        </w:r>
                      </w:p>
                    </w:tc>
                  </w:tr>
                </w:tbl>
                <w:p>
                  <w:pPr>
                    <w:pStyle w:val="BodyText"/>
                  </w:pPr>
                </w:p>
              </w:txbxContent>
            </v:textbox>
            <w10:wrap type="none"/>
          </v:shape>
        </w:pict>
      </w:r>
    </w:p>
    <w:p>
      <w:pPr>
        <w:spacing w:after="0"/>
        <w:rPr>
          <w:sz w:val="2"/>
          <w:szCs w:val="2"/>
        </w:rPr>
        <w:sectPr>
          <w:pgSz w:w="11910" w:h="16840"/>
          <w:pgMar w:header="0" w:footer="1383" w:top="1420" w:bottom="1580" w:left="1240" w:right="1040"/>
        </w:sectPr>
      </w:pPr>
    </w:p>
    <w:tbl>
      <w:tblPr>
        <w:tblW w:w="0" w:type="auto"/>
        <w:jc w:val="left"/>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
        <w:gridCol w:w="586"/>
        <w:gridCol w:w="1209"/>
        <w:gridCol w:w="1078"/>
        <w:gridCol w:w="1595"/>
        <w:gridCol w:w="723"/>
        <w:gridCol w:w="1214"/>
        <w:gridCol w:w="1227"/>
        <w:gridCol w:w="1198"/>
        <w:gridCol w:w="206"/>
      </w:tblGrid>
      <w:tr>
        <w:trPr>
          <w:trHeight w:val="309" w:hRule="atLeast"/>
        </w:trPr>
        <w:tc>
          <w:tcPr>
            <w:tcW w:w="205" w:type="dxa"/>
            <w:vMerge w:val="restart"/>
            <w:tcBorders>
              <w:right w:val="nil"/>
            </w:tcBorders>
          </w:tcPr>
          <w:p>
            <w:pPr>
              <w:pStyle w:val="TableParagraph"/>
              <w:jc w:val="left"/>
              <w:rPr>
                <w:rFonts w:ascii="Times New Roman"/>
                <w:sz w:val="20"/>
              </w:rPr>
            </w:pPr>
          </w:p>
        </w:tc>
        <w:tc>
          <w:tcPr>
            <w:tcW w:w="1795" w:type="dxa"/>
            <w:gridSpan w:val="2"/>
            <w:tcBorders>
              <w:top w:val="single" w:sz="18" w:space="0" w:color="000000"/>
              <w:left w:val="nil"/>
              <w:bottom w:val="single" w:sz="12" w:space="0" w:color="000000"/>
            </w:tcBorders>
          </w:tcPr>
          <w:p>
            <w:pPr>
              <w:pStyle w:val="TableParagraph"/>
              <w:jc w:val="left"/>
              <w:rPr>
                <w:rFonts w:ascii="Times New Roman"/>
                <w:sz w:val="20"/>
              </w:rPr>
            </w:pPr>
          </w:p>
        </w:tc>
        <w:tc>
          <w:tcPr>
            <w:tcW w:w="1078" w:type="dxa"/>
            <w:tcBorders>
              <w:top w:val="single" w:sz="18" w:space="0" w:color="000000"/>
              <w:bottom w:val="single" w:sz="12" w:space="0" w:color="000000"/>
            </w:tcBorders>
          </w:tcPr>
          <w:p>
            <w:pPr>
              <w:pStyle w:val="TableParagraph"/>
              <w:spacing w:before="18"/>
              <w:ind w:left="136" w:right="127"/>
              <w:rPr>
                <w:sz w:val="21"/>
              </w:rPr>
            </w:pPr>
            <w:r>
              <w:rPr>
                <w:w w:val="95"/>
                <w:sz w:val="21"/>
              </w:rPr>
              <w:t>离（</w:t>
            </w:r>
            <w:r>
              <w:rPr>
                <w:rFonts w:ascii="Times New Roman" w:eastAsia="Times New Roman"/>
                <w:b/>
                <w:w w:val="95"/>
                <w:sz w:val="21"/>
              </w:rPr>
              <w:t>m</w:t>
            </w:r>
            <w:r>
              <w:rPr>
                <w:w w:val="95"/>
                <w:sz w:val="21"/>
              </w:rPr>
              <w:t>）</w:t>
            </w:r>
          </w:p>
        </w:tc>
        <w:tc>
          <w:tcPr>
            <w:tcW w:w="1595" w:type="dxa"/>
            <w:tcBorders>
              <w:top w:val="single" w:sz="18" w:space="0" w:color="000000"/>
              <w:bottom w:val="single" w:sz="12" w:space="0" w:color="000000"/>
            </w:tcBorders>
          </w:tcPr>
          <w:p>
            <w:pPr>
              <w:pStyle w:val="TableParagraph"/>
              <w:jc w:val="left"/>
              <w:rPr>
                <w:rFonts w:ascii="Times New Roman"/>
                <w:sz w:val="20"/>
              </w:rPr>
            </w:pPr>
          </w:p>
        </w:tc>
        <w:tc>
          <w:tcPr>
            <w:tcW w:w="723" w:type="dxa"/>
            <w:tcBorders>
              <w:top w:val="single" w:sz="18" w:space="0" w:color="000000"/>
              <w:bottom w:val="single" w:sz="12" w:space="0" w:color="000000"/>
            </w:tcBorders>
          </w:tcPr>
          <w:p>
            <w:pPr>
              <w:pStyle w:val="TableParagraph"/>
              <w:jc w:val="left"/>
              <w:rPr>
                <w:rFonts w:ascii="Times New Roman"/>
                <w:sz w:val="20"/>
              </w:rPr>
            </w:pPr>
          </w:p>
        </w:tc>
        <w:tc>
          <w:tcPr>
            <w:tcW w:w="1214" w:type="dxa"/>
            <w:tcBorders>
              <w:top w:val="single" w:sz="18" w:space="0" w:color="000000"/>
              <w:bottom w:val="single" w:sz="12" w:space="0" w:color="000000"/>
            </w:tcBorders>
          </w:tcPr>
          <w:p>
            <w:pPr>
              <w:pStyle w:val="TableParagraph"/>
              <w:jc w:val="left"/>
              <w:rPr>
                <w:rFonts w:ascii="Times New Roman"/>
                <w:sz w:val="20"/>
              </w:rPr>
            </w:pPr>
          </w:p>
        </w:tc>
        <w:tc>
          <w:tcPr>
            <w:tcW w:w="1227" w:type="dxa"/>
            <w:tcBorders>
              <w:top w:val="single" w:sz="18" w:space="0" w:color="000000"/>
              <w:bottom w:val="single" w:sz="12" w:space="0" w:color="000000"/>
            </w:tcBorders>
          </w:tcPr>
          <w:p>
            <w:pPr>
              <w:pStyle w:val="TableParagraph"/>
              <w:spacing w:before="18"/>
              <w:ind w:left="101" w:right="92"/>
              <w:rPr>
                <w:sz w:val="21"/>
              </w:rPr>
            </w:pPr>
            <w:r>
              <w:rPr>
                <w:sz w:val="21"/>
              </w:rPr>
              <w:t>（</w:t>
            </w:r>
            <w:r>
              <w:rPr>
                <w:rFonts w:ascii="Times New Roman" w:hAnsi="Times New Roman" w:eastAsia="Times New Roman"/>
                <w:b/>
                <w:sz w:val="21"/>
              </w:rPr>
              <w:t>μGy/h</w:t>
            </w:r>
            <w:r>
              <w:rPr>
                <w:sz w:val="21"/>
              </w:rPr>
              <w:t>）</w:t>
            </w:r>
          </w:p>
        </w:tc>
        <w:tc>
          <w:tcPr>
            <w:tcW w:w="1198" w:type="dxa"/>
            <w:tcBorders>
              <w:top w:val="single" w:sz="18" w:space="0" w:color="000000"/>
              <w:bottom w:val="single" w:sz="12" w:space="0" w:color="000000"/>
              <w:right w:val="nil"/>
            </w:tcBorders>
          </w:tcPr>
          <w:p>
            <w:pPr>
              <w:pStyle w:val="TableParagraph"/>
              <w:spacing w:before="32"/>
              <w:ind w:left="164" w:right="159"/>
              <w:rPr>
                <w:rFonts w:ascii="Times New Roman"/>
                <w:b/>
                <w:sz w:val="21"/>
              </w:rPr>
            </w:pPr>
            <w:r>
              <w:rPr>
                <w:rFonts w:ascii="Times New Roman"/>
                <w:b/>
                <w:sz w:val="21"/>
              </w:rPr>
              <w:t>(mGy/a)</w:t>
            </w:r>
          </w:p>
        </w:tc>
        <w:tc>
          <w:tcPr>
            <w:tcW w:w="206" w:type="dxa"/>
            <w:vMerge w:val="restart"/>
            <w:tcBorders>
              <w:left w:val="nil"/>
            </w:tcBorders>
          </w:tcPr>
          <w:p>
            <w:pPr>
              <w:pStyle w:val="TableParagraph"/>
              <w:jc w:val="left"/>
              <w:rPr>
                <w:rFonts w:ascii="Times New Roman"/>
                <w:sz w:val="20"/>
              </w:rPr>
            </w:pPr>
          </w:p>
        </w:tc>
      </w:tr>
      <w:tr>
        <w:trPr>
          <w:trHeight w:val="624" w:hRule="atLeast"/>
        </w:trPr>
        <w:tc>
          <w:tcPr>
            <w:tcW w:w="205" w:type="dxa"/>
            <w:vMerge/>
            <w:tcBorders>
              <w:top w:val="nil"/>
              <w:right w:val="nil"/>
            </w:tcBorders>
          </w:tcPr>
          <w:p>
            <w:pPr>
              <w:rPr>
                <w:sz w:val="2"/>
                <w:szCs w:val="2"/>
              </w:rPr>
            </w:pPr>
          </w:p>
        </w:tc>
        <w:tc>
          <w:tcPr>
            <w:tcW w:w="586" w:type="dxa"/>
            <w:vMerge w:val="restart"/>
            <w:tcBorders>
              <w:top w:val="single" w:sz="12" w:space="0" w:color="000000"/>
              <w:left w:val="nil"/>
            </w:tcBorders>
          </w:tcPr>
          <w:p>
            <w:pPr>
              <w:pStyle w:val="TableParagraph"/>
              <w:spacing w:before="3"/>
              <w:jc w:val="left"/>
              <w:rPr>
                <w:sz w:val="14"/>
              </w:rPr>
            </w:pPr>
          </w:p>
          <w:p>
            <w:pPr>
              <w:pStyle w:val="TableParagraph"/>
              <w:spacing w:line="278" w:lineRule="auto"/>
              <w:ind w:left="191" w:right="178"/>
              <w:jc w:val="both"/>
              <w:rPr>
                <w:sz w:val="21"/>
              </w:rPr>
            </w:pPr>
            <w:r>
              <w:rPr>
                <w:sz w:val="21"/>
              </w:rPr>
              <w:t>机房内</w:t>
            </w:r>
          </w:p>
        </w:tc>
        <w:tc>
          <w:tcPr>
            <w:tcW w:w="1209" w:type="dxa"/>
            <w:tcBorders>
              <w:top w:val="single" w:sz="12" w:space="0" w:color="000000"/>
            </w:tcBorders>
          </w:tcPr>
          <w:p>
            <w:pPr>
              <w:pStyle w:val="TableParagraph"/>
              <w:spacing w:before="21"/>
              <w:ind w:left="153" w:right="147"/>
              <w:rPr>
                <w:sz w:val="21"/>
              </w:rPr>
            </w:pPr>
            <w:r>
              <w:rPr>
                <w:sz w:val="21"/>
              </w:rPr>
              <w:t>机房内医</w:t>
            </w:r>
          </w:p>
          <w:p>
            <w:pPr>
              <w:pStyle w:val="TableParagraph"/>
              <w:spacing w:before="43"/>
              <w:ind w:left="6"/>
              <w:rPr>
                <w:sz w:val="21"/>
              </w:rPr>
            </w:pPr>
            <w:r>
              <w:rPr>
                <w:w w:val="99"/>
                <w:sz w:val="21"/>
              </w:rPr>
              <w:t>生</w:t>
            </w:r>
          </w:p>
        </w:tc>
        <w:tc>
          <w:tcPr>
            <w:tcW w:w="1078" w:type="dxa"/>
            <w:tcBorders>
              <w:top w:val="single" w:sz="12" w:space="0" w:color="000000"/>
            </w:tcBorders>
          </w:tcPr>
          <w:p>
            <w:pPr>
              <w:pStyle w:val="TableParagraph"/>
              <w:spacing w:before="191"/>
              <w:ind w:left="134" w:right="127"/>
              <w:rPr>
                <w:rFonts w:ascii="Times New Roman"/>
                <w:sz w:val="21"/>
              </w:rPr>
            </w:pPr>
            <w:r>
              <w:rPr>
                <w:rFonts w:ascii="Times New Roman"/>
                <w:sz w:val="21"/>
              </w:rPr>
              <w:t>0.5</w:t>
            </w:r>
          </w:p>
        </w:tc>
        <w:tc>
          <w:tcPr>
            <w:tcW w:w="1595" w:type="dxa"/>
            <w:tcBorders>
              <w:top w:val="single" w:sz="12" w:space="0" w:color="000000"/>
            </w:tcBorders>
          </w:tcPr>
          <w:p>
            <w:pPr>
              <w:pStyle w:val="TableParagraph"/>
              <w:spacing w:before="21"/>
              <w:ind w:left="157"/>
              <w:jc w:val="left"/>
              <w:rPr>
                <w:sz w:val="21"/>
              </w:rPr>
            </w:pPr>
            <w:r>
              <w:rPr>
                <w:rFonts w:ascii="Times New Roman" w:eastAsia="Times New Roman"/>
                <w:sz w:val="21"/>
              </w:rPr>
              <w:t>0.5mmPb</w:t>
            </w:r>
            <w:r>
              <w:rPr>
                <w:rFonts w:ascii="Times New Roman" w:eastAsia="Times New Roman"/>
                <w:spacing w:val="-3"/>
                <w:sz w:val="21"/>
              </w:rPr>
              <w:t> </w:t>
            </w:r>
            <w:r>
              <w:rPr>
                <w:sz w:val="21"/>
              </w:rPr>
              <w:t>铅衣</w:t>
            </w:r>
          </w:p>
          <w:p>
            <w:pPr>
              <w:pStyle w:val="TableParagraph"/>
              <w:spacing w:before="43"/>
              <w:ind w:left="109"/>
              <w:jc w:val="left"/>
              <w:rPr>
                <w:sz w:val="21"/>
              </w:rPr>
            </w:pPr>
            <w:r>
              <w:rPr>
                <w:rFonts w:ascii="Times New Roman" w:eastAsia="Times New Roman"/>
                <w:w w:val="95"/>
                <w:sz w:val="21"/>
              </w:rPr>
              <w:t>+0.5mmPb</w:t>
            </w:r>
            <w:r>
              <w:rPr>
                <w:rFonts w:ascii="Times New Roman" w:eastAsia="Times New Roman"/>
                <w:spacing w:val="-3"/>
                <w:w w:val="95"/>
                <w:sz w:val="21"/>
              </w:rPr>
              <w:t> </w:t>
            </w:r>
            <w:r>
              <w:rPr>
                <w:w w:val="95"/>
                <w:sz w:val="21"/>
              </w:rPr>
              <w:t>铅帘</w:t>
            </w:r>
          </w:p>
        </w:tc>
        <w:tc>
          <w:tcPr>
            <w:tcW w:w="723" w:type="dxa"/>
            <w:tcBorders>
              <w:top w:val="single" w:sz="12" w:space="0" w:color="000000"/>
            </w:tcBorders>
          </w:tcPr>
          <w:p>
            <w:pPr>
              <w:pStyle w:val="TableParagraph"/>
              <w:spacing w:before="177"/>
              <w:ind w:left="120" w:right="113"/>
              <w:rPr>
                <w:sz w:val="21"/>
              </w:rPr>
            </w:pPr>
            <w:r>
              <w:rPr>
                <w:sz w:val="21"/>
              </w:rPr>
              <w:t>透视</w:t>
            </w:r>
          </w:p>
        </w:tc>
        <w:tc>
          <w:tcPr>
            <w:tcW w:w="1214" w:type="dxa"/>
            <w:tcBorders>
              <w:top w:val="single" w:sz="12" w:space="0" w:color="000000"/>
            </w:tcBorders>
          </w:tcPr>
          <w:p>
            <w:pPr>
              <w:pStyle w:val="TableParagraph"/>
              <w:spacing w:before="191"/>
              <w:ind w:left="180" w:right="170"/>
              <w:rPr>
                <w:rFonts w:ascii="Times New Roman" w:hAnsi="Times New Roman"/>
                <w:sz w:val="13"/>
              </w:rPr>
            </w:pPr>
            <w:r>
              <w:rPr>
                <w:rFonts w:ascii="Times New Roman" w:hAnsi="Times New Roman"/>
                <w:sz w:val="21"/>
              </w:rPr>
              <w:t>4.08×10</w:t>
            </w:r>
            <w:r>
              <w:rPr>
                <w:rFonts w:ascii="Times New Roman" w:hAnsi="Times New Roman"/>
                <w:position w:val="7"/>
                <w:sz w:val="13"/>
              </w:rPr>
              <w:t>-3</w:t>
            </w:r>
          </w:p>
        </w:tc>
        <w:tc>
          <w:tcPr>
            <w:tcW w:w="1227" w:type="dxa"/>
            <w:tcBorders>
              <w:top w:val="single" w:sz="12" w:space="0" w:color="000000"/>
            </w:tcBorders>
          </w:tcPr>
          <w:p>
            <w:pPr>
              <w:pStyle w:val="TableParagraph"/>
              <w:spacing w:before="191"/>
              <w:ind w:left="100" w:right="92"/>
              <w:rPr>
                <w:rFonts w:ascii="Times New Roman"/>
                <w:sz w:val="21"/>
              </w:rPr>
            </w:pPr>
            <w:r>
              <w:rPr>
                <w:rFonts w:ascii="Times New Roman"/>
                <w:sz w:val="21"/>
              </w:rPr>
              <w:t>182.16</w:t>
            </w:r>
          </w:p>
        </w:tc>
        <w:tc>
          <w:tcPr>
            <w:tcW w:w="1198" w:type="dxa"/>
            <w:tcBorders>
              <w:top w:val="single" w:sz="12" w:space="0" w:color="000000"/>
              <w:right w:val="nil"/>
            </w:tcBorders>
          </w:tcPr>
          <w:p>
            <w:pPr>
              <w:pStyle w:val="TableParagraph"/>
              <w:spacing w:before="191"/>
              <w:ind w:left="163" w:right="159"/>
              <w:rPr>
                <w:rFonts w:ascii="Times New Roman"/>
                <w:sz w:val="21"/>
              </w:rPr>
            </w:pPr>
            <w:r>
              <w:rPr>
                <w:rFonts w:ascii="Times New Roman"/>
                <w:sz w:val="21"/>
              </w:rPr>
              <w:t>35.5</w:t>
            </w:r>
          </w:p>
        </w:tc>
        <w:tc>
          <w:tcPr>
            <w:tcW w:w="206" w:type="dxa"/>
            <w:vMerge/>
            <w:tcBorders>
              <w:top w:val="nil"/>
              <w:left w:val="nil"/>
            </w:tcBorders>
          </w:tcPr>
          <w:p>
            <w:pPr>
              <w:rPr>
                <w:sz w:val="2"/>
                <w:szCs w:val="2"/>
              </w:rPr>
            </w:pPr>
          </w:p>
        </w:tc>
      </w:tr>
      <w:tr>
        <w:trPr>
          <w:trHeight w:val="624"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tcPr>
          <w:p>
            <w:pPr>
              <w:pStyle w:val="TableParagraph"/>
              <w:spacing w:before="20"/>
              <w:ind w:left="153" w:right="147"/>
              <w:rPr>
                <w:sz w:val="21"/>
              </w:rPr>
            </w:pPr>
            <w:r>
              <w:rPr>
                <w:sz w:val="21"/>
              </w:rPr>
              <w:t>机房内的</w:t>
            </w:r>
          </w:p>
          <w:p>
            <w:pPr>
              <w:pStyle w:val="TableParagraph"/>
              <w:spacing w:before="43"/>
              <w:ind w:left="150" w:right="147"/>
              <w:rPr>
                <w:sz w:val="21"/>
              </w:rPr>
            </w:pPr>
            <w:r>
              <w:rPr>
                <w:sz w:val="21"/>
              </w:rPr>
              <w:t>护士</w:t>
            </w:r>
          </w:p>
        </w:tc>
        <w:tc>
          <w:tcPr>
            <w:tcW w:w="1078" w:type="dxa"/>
          </w:tcPr>
          <w:p>
            <w:pPr>
              <w:pStyle w:val="TableParagraph"/>
              <w:spacing w:before="190"/>
              <w:ind w:left="136" w:right="126"/>
              <w:rPr>
                <w:rFonts w:ascii="Times New Roman"/>
                <w:sz w:val="21"/>
              </w:rPr>
            </w:pPr>
            <w:r>
              <w:rPr>
                <w:rFonts w:ascii="Times New Roman"/>
                <w:sz w:val="21"/>
              </w:rPr>
              <w:t>1.0</w:t>
            </w:r>
          </w:p>
        </w:tc>
        <w:tc>
          <w:tcPr>
            <w:tcW w:w="1595" w:type="dxa"/>
          </w:tcPr>
          <w:p>
            <w:pPr>
              <w:pStyle w:val="TableParagraph"/>
              <w:spacing w:before="20"/>
              <w:ind w:left="157"/>
              <w:jc w:val="left"/>
              <w:rPr>
                <w:sz w:val="21"/>
              </w:rPr>
            </w:pPr>
            <w:r>
              <w:rPr>
                <w:rFonts w:ascii="Times New Roman" w:eastAsia="Times New Roman"/>
                <w:sz w:val="21"/>
              </w:rPr>
              <w:t>0.5mmPb</w:t>
            </w:r>
            <w:r>
              <w:rPr>
                <w:rFonts w:ascii="Times New Roman" w:eastAsia="Times New Roman"/>
                <w:spacing w:val="-3"/>
                <w:sz w:val="21"/>
              </w:rPr>
              <w:t> </w:t>
            </w:r>
            <w:r>
              <w:rPr>
                <w:sz w:val="21"/>
              </w:rPr>
              <w:t>铅衣</w:t>
            </w:r>
          </w:p>
          <w:p>
            <w:pPr>
              <w:pStyle w:val="TableParagraph"/>
              <w:spacing w:before="43"/>
              <w:ind w:left="109"/>
              <w:jc w:val="left"/>
              <w:rPr>
                <w:sz w:val="21"/>
              </w:rPr>
            </w:pPr>
            <w:r>
              <w:rPr>
                <w:rFonts w:ascii="Times New Roman" w:eastAsia="Times New Roman"/>
                <w:w w:val="95"/>
                <w:sz w:val="21"/>
              </w:rPr>
              <w:t>+0.5mmPb</w:t>
            </w:r>
            <w:r>
              <w:rPr>
                <w:rFonts w:ascii="Times New Roman" w:eastAsia="Times New Roman"/>
                <w:spacing w:val="-3"/>
                <w:w w:val="95"/>
                <w:sz w:val="21"/>
              </w:rPr>
              <w:t> </w:t>
            </w:r>
            <w:r>
              <w:rPr>
                <w:w w:val="95"/>
                <w:sz w:val="21"/>
              </w:rPr>
              <w:t>铅帘</w:t>
            </w:r>
          </w:p>
        </w:tc>
        <w:tc>
          <w:tcPr>
            <w:tcW w:w="723" w:type="dxa"/>
          </w:tcPr>
          <w:p>
            <w:pPr>
              <w:pStyle w:val="TableParagraph"/>
              <w:spacing w:before="176"/>
              <w:ind w:left="120" w:right="113"/>
              <w:rPr>
                <w:sz w:val="21"/>
              </w:rPr>
            </w:pPr>
            <w:r>
              <w:rPr>
                <w:sz w:val="21"/>
              </w:rPr>
              <w:t>透视</w:t>
            </w:r>
          </w:p>
        </w:tc>
        <w:tc>
          <w:tcPr>
            <w:tcW w:w="1214" w:type="dxa"/>
          </w:tcPr>
          <w:p>
            <w:pPr>
              <w:pStyle w:val="TableParagraph"/>
              <w:spacing w:before="193"/>
              <w:ind w:left="180" w:right="170"/>
              <w:rPr>
                <w:rFonts w:ascii="Times New Roman" w:hAnsi="Times New Roman"/>
                <w:sz w:val="21"/>
              </w:rPr>
            </w:pPr>
            <w:r>
              <w:rPr>
                <w:rFonts w:ascii="Times New Roman" w:hAnsi="Times New Roman"/>
                <w:sz w:val="21"/>
              </w:rPr>
              <w:t>4.08×10</w:t>
            </w:r>
            <w:r>
              <w:rPr>
                <w:rFonts w:ascii="Times New Roman" w:hAnsi="Times New Roman"/>
                <w:sz w:val="21"/>
                <w:vertAlign w:val="superscript"/>
              </w:rPr>
              <w:t>-3</w:t>
            </w:r>
          </w:p>
        </w:tc>
        <w:tc>
          <w:tcPr>
            <w:tcW w:w="1227" w:type="dxa"/>
          </w:tcPr>
          <w:p>
            <w:pPr>
              <w:pStyle w:val="TableParagraph"/>
              <w:spacing w:before="193"/>
              <w:ind w:left="101" w:right="91"/>
              <w:rPr>
                <w:rFonts w:ascii="Times New Roman"/>
                <w:sz w:val="21"/>
              </w:rPr>
            </w:pPr>
            <w:r>
              <w:rPr>
                <w:rFonts w:ascii="Times New Roman"/>
                <w:sz w:val="21"/>
              </w:rPr>
              <w:t>45.54</w:t>
            </w:r>
          </w:p>
        </w:tc>
        <w:tc>
          <w:tcPr>
            <w:tcW w:w="1198" w:type="dxa"/>
            <w:tcBorders>
              <w:right w:val="nil"/>
            </w:tcBorders>
          </w:tcPr>
          <w:p>
            <w:pPr>
              <w:pStyle w:val="TableParagraph"/>
              <w:spacing w:before="193"/>
              <w:ind w:left="163" w:right="159"/>
              <w:rPr>
                <w:rFonts w:ascii="Times New Roman"/>
                <w:sz w:val="21"/>
              </w:rPr>
            </w:pPr>
            <w:r>
              <w:rPr>
                <w:rFonts w:ascii="Times New Roman"/>
                <w:sz w:val="21"/>
              </w:rPr>
              <w:t>8.2</w:t>
            </w:r>
          </w:p>
        </w:tc>
        <w:tc>
          <w:tcPr>
            <w:tcW w:w="206" w:type="dxa"/>
            <w:vMerge/>
            <w:tcBorders>
              <w:top w:val="nil"/>
              <w:left w:val="nil"/>
            </w:tcBorders>
          </w:tcPr>
          <w:p>
            <w:pPr>
              <w:rPr>
                <w:sz w:val="2"/>
                <w:szCs w:val="2"/>
              </w:rPr>
            </w:pPr>
          </w:p>
        </w:tc>
      </w:tr>
      <w:tr>
        <w:trPr>
          <w:trHeight w:val="467" w:hRule="atLeast"/>
        </w:trPr>
        <w:tc>
          <w:tcPr>
            <w:tcW w:w="205" w:type="dxa"/>
            <w:vMerge/>
            <w:tcBorders>
              <w:top w:val="nil"/>
              <w:right w:val="nil"/>
            </w:tcBorders>
          </w:tcPr>
          <w:p>
            <w:pPr>
              <w:rPr>
                <w:sz w:val="2"/>
                <w:szCs w:val="2"/>
              </w:rPr>
            </w:pPr>
          </w:p>
        </w:tc>
        <w:tc>
          <w:tcPr>
            <w:tcW w:w="586" w:type="dxa"/>
            <w:vMerge w:val="restart"/>
            <w:tcBorders>
              <w:left w:val="nil"/>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5"/>
              <w:jc w:val="left"/>
              <w:rPr>
                <w:sz w:val="22"/>
              </w:rPr>
            </w:pPr>
          </w:p>
          <w:p>
            <w:pPr>
              <w:pStyle w:val="TableParagraph"/>
              <w:spacing w:line="278" w:lineRule="auto"/>
              <w:ind w:left="191" w:right="178"/>
              <w:jc w:val="both"/>
              <w:rPr>
                <w:sz w:val="21"/>
              </w:rPr>
            </w:pPr>
            <w:r>
              <w:rPr>
                <w:sz w:val="21"/>
              </w:rPr>
              <w:t>医技楼内</w:t>
            </w:r>
          </w:p>
        </w:tc>
        <w:tc>
          <w:tcPr>
            <w:tcW w:w="1209" w:type="dxa"/>
            <w:vMerge w:val="restart"/>
          </w:tcPr>
          <w:p>
            <w:pPr>
              <w:pStyle w:val="TableParagraph"/>
              <w:spacing w:before="25"/>
              <w:ind w:left="106" w:firstLine="76"/>
              <w:jc w:val="left"/>
              <w:rPr>
                <w:sz w:val="21"/>
              </w:rPr>
            </w:pPr>
            <w:r>
              <w:rPr>
                <w:sz w:val="21"/>
              </w:rPr>
              <w:t>操作间内</w:t>
            </w:r>
          </w:p>
          <w:p>
            <w:pPr>
              <w:pStyle w:val="TableParagraph"/>
              <w:spacing w:line="310" w:lineRule="atLeast" w:before="2"/>
              <w:ind w:left="289" w:right="96" w:hanging="183"/>
              <w:jc w:val="left"/>
              <w:rPr>
                <w:sz w:val="21"/>
              </w:rPr>
            </w:pPr>
            <w:r>
              <w:rPr>
                <w:spacing w:val="-20"/>
                <w:sz w:val="21"/>
              </w:rPr>
              <w:t>的技师</w:t>
            </w:r>
            <w:r>
              <w:rPr>
                <w:spacing w:val="-1"/>
                <w:sz w:val="21"/>
              </w:rPr>
              <w:t>（西</w:t>
            </w:r>
            <w:r>
              <w:rPr>
                <w:sz w:val="21"/>
              </w:rPr>
              <w:t>北侧）</w:t>
            </w:r>
          </w:p>
        </w:tc>
        <w:tc>
          <w:tcPr>
            <w:tcW w:w="1078" w:type="dxa"/>
            <w:vMerge w:val="restart"/>
          </w:tcPr>
          <w:p>
            <w:pPr>
              <w:pStyle w:val="TableParagraph"/>
              <w:spacing w:before="5"/>
              <w:jc w:val="left"/>
              <w:rPr>
                <w:sz w:val="27"/>
              </w:rPr>
            </w:pPr>
          </w:p>
          <w:p>
            <w:pPr>
              <w:pStyle w:val="TableParagraph"/>
              <w:ind w:left="136" w:right="126"/>
              <w:rPr>
                <w:rFonts w:ascii="Times New Roman"/>
                <w:sz w:val="21"/>
              </w:rPr>
            </w:pPr>
            <w:r>
              <w:rPr>
                <w:rFonts w:ascii="Times New Roman"/>
                <w:sz w:val="21"/>
              </w:rPr>
              <w:t>3.5</w:t>
            </w:r>
          </w:p>
        </w:tc>
        <w:tc>
          <w:tcPr>
            <w:tcW w:w="1595" w:type="dxa"/>
            <w:vMerge w:val="restart"/>
          </w:tcPr>
          <w:p>
            <w:pPr>
              <w:pStyle w:val="TableParagraph"/>
              <w:spacing w:before="1"/>
              <w:jc w:val="left"/>
              <w:rPr>
                <w:sz w:val="14"/>
              </w:rPr>
            </w:pPr>
          </w:p>
          <w:p>
            <w:pPr>
              <w:pStyle w:val="TableParagraph"/>
              <w:spacing w:line="278" w:lineRule="auto" w:before="1"/>
              <w:ind w:left="375" w:right="230" w:hanging="135"/>
              <w:jc w:val="left"/>
              <w:rPr>
                <w:sz w:val="21"/>
              </w:rPr>
            </w:pPr>
            <w:r>
              <w:rPr>
                <w:rFonts w:ascii="Times New Roman" w:eastAsia="Times New Roman"/>
                <w:spacing w:val="-1"/>
                <w:sz w:val="21"/>
              </w:rPr>
              <w:t>4mm</w:t>
            </w:r>
            <w:r>
              <w:rPr>
                <w:rFonts w:ascii="Times New Roman" w:eastAsia="Times New Roman"/>
                <w:spacing w:val="-12"/>
                <w:sz w:val="21"/>
              </w:rPr>
              <w:t> </w:t>
            </w:r>
            <w:r>
              <w:rPr>
                <w:sz w:val="21"/>
              </w:rPr>
              <w:t>铅当量铅玻璃窗</w:t>
            </w:r>
          </w:p>
        </w:tc>
        <w:tc>
          <w:tcPr>
            <w:tcW w:w="723" w:type="dxa"/>
          </w:tcPr>
          <w:p>
            <w:pPr>
              <w:pStyle w:val="TableParagraph"/>
              <w:spacing w:before="99"/>
              <w:ind w:left="120" w:right="113"/>
              <w:rPr>
                <w:sz w:val="21"/>
              </w:rPr>
            </w:pPr>
            <w:r>
              <w:rPr>
                <w:sz w:val="21"/>
              </w:rPr>
              <w:t>透视</w:t>
            </w:r>
          </w:p>
        </w:tc>
        <w:tc>
          <w:tcPr>
            <w:tcW w:w="1214" w:type="dxa"/>
          </w:tcPr>
          <w:p>
            <w:pPr>
              <w:pStyle w:val="TableParagraph"/>
              <w:spacing w:before="113"/>
              <w:ind w:left="180" w:right="170"/>
              <w:rPr>
                <w:rFonts w:ascii="Times New Roman" w:hAnsi="Times New Roman"/>
                <w:sz w:val="21"/>
              </w:rPr>
            </w:pPr>
            <w:r>
              <w:rPr>
                <w:rFonts w:ascii="Times New Roman" w:hAnsi="Times New Roman"/>
                <w:sz w:val="21"/>
              </w:rPr>
              <w:t>3.69×10</w:t>
            </w:r>
            <w:r>
              <w:rPr>
                <w:rFonts w:ascii="Times New Roman" w:hAnsi="Times New Roman"/>
                <w:sz w:val="21"/>
                <w:vertAlign w:val="superscript"/>
              </w:rPr>
              <w:t>-7</w:t>
            </w:r>
          </w:p>
        </w:tc>
        <w:tc>
          <w:tcPr>
            <w:tcW w:w="1227" w:type="dxa"/>
          </w:tcPr>
          <w:p>
            <w:pPr>
              <w:pStyle w:val="TableParagraph"/>
              <w:spacing w:before="113"/>
              <w:ind w:left="101" w:right="91"/>
              <w:rPr>
                <w:rFonts w:ascii="Times New Roman" w:hAnsi="Times New Roman"/>
                <w:sz w:val="21"/>
              </w:rPr>
            </w:pPr>
            <w:r>
              <w:rPr>
                <w:rFonts w:ascii="Times New Roman" w:hAnsi="Times New Roman"/>
                <w:sz w:val="21"/>
              </w:rPr>
              <w:t>2.84×10</w:t>
            </w:r>
            <w:r>
              <w:rPr>
                <w:rFonts w:ascii="Times New Roman" w:hAnsi="Times New Roman"/>
                <w:sz w:val="21"/>
                <w:vertAlign w:val="superscript"/>
              </w:rPr>
              <w:t>-4</w:t>
            </w:r>
          </w:p>
        </w:tc>
        <w:tc>
          <w:tcPr>
            <w:tcW w:w="1198" w:type="dxa"/>
            <w:tcBorders>
              <w:right w:val="nil"/>
            </w:tcBorders>
          </w:tcPr>
          <w:p>
            <w:pPr>
              <w:pStyle w:val="TableParagraph"/>
              <w:spacing w:before="113"/>
              <w:ind w:left="163" w:right="159"/>
              <w:rPr>
                <w:rFonts w:ascii="Times New Roman" w:hAnsi="Times New Roman"/>
                <w:sz w:val="21"/>
              </w:rPr>
            </w:pPr>
            <w:r>
              <w:rPr>
                <w:rFonts w:ascii="Times New Roman" w:hAnsi="Times New Roman"/>
                <w:sz w:val="21"/>
              </w:rPr>
              <w:t>5.54×10</w:t>
            </w:r>
            <w:r>
              <w:rPr>
                <w:rFonts w:ascii="Times New Roman" w:hAnsi="Times New Roman"/>
                <w:sz w:val="21"/>
                <w:vertAlign w:val="superscript"/>
              </w:rPr>
              <w:t>-5</w:t>
            </w:r>
          </w:p>
        </w:tc>
        <w:tc>
          <w:tcPr>
            <w:tcW w:w="206" w:type="dxa"/>
            <w:vMerge/>
            <w:tcBorders>
              <w:top w:val="nil"/>
              <w:left w:val="nil"/>
            </w:tcBorders>
          </w:tcPr>
          <w:p>
            <w:pPr>
              <w:rPr>
                <w:sz w:val="2"/>
                <w:szCs w:val="2"/>
              </w:rPr>
            </w:pPr>
          </w:p>
        </w:tc>
      </w:tr>
      <w:tr>
        <w:trPr>
          <w:trHeight w:val="467"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spacing w:before="99"/>
              <w:ind w:left="120" w:right="113"/>
              <w:rPr>
                <w:sz w:val="21"/>
              </w:rPr>
            </w:pPr>
            <w:r>
              <w:rPr>
                <w:sz w:val="21"/>
              </w:rPr>
              <w:t>拍片</w:t>
            </w:r>
          </w:p>
        </w:tc>
        <w:tc>
          <w:tcPr>
            <w:tcW w:w="1214" w:type="dxa"/>
          </w:tcPr>
          <w:p>
            <w:pPr>
              <w:pStyle w:val="TableParagraph"/>
              <w:spacing w:before="113"/>
              <w:ind w:left="180" w:right="170"/>
              <w:rPr>
                <w:rFonts w:ascii="Times New Roman" w:hAnsi="Times New Roman"/>
                <w:sz w:val="13"/>
              </w:rPr>
            </w:pPr>
            <w:r>
              <w:rPr>
                <w:rFonts w:ascii="Times New Roman" w:hAnsi="Times New Roman"/>
                <w:sz w:val="21"/>
              </w:rPr>
              <w:t>5.14×10</w:t>
            </w:r>
            <w:r>
              <w:rPr>
                <w:rFonts w:ascii="Times New Roman" w:hAnsi="Times New Roman"/>
                <w:position w:val="7"/>
                <w:sz w:val="13"/>
              </w:rPr>
              <w:t>-6</w:t>
            </w:r>
          </w:p>
        </w:tc>
        <w:tc>
          <w:tcPr>
            <w:tcW w:w="1227" w:type="dxa"/>
          </w:tcPr>
          <w:p>
            <w:pPr>
              <w:pStyle w:val="TableParagraph"/>
              <w:spacing w:before="113"/>
              <w:ind w:left="101" w:right="91"/>
              <w:rPr>
                <w:rFonts w:ascii="Times New Roman" w:hAnsi="Times New Roman"/>
                <w:sz w:val="13"/>
              </w:rPr>
            </w:pPr>
            <w:r>
              <w:rPr>
                <w:rFonts w:ascii="Times New Roman" w:hAnsi="Times New Roman"/>
                <w:sz w:val="21"/>
              </w:rPr>
              <w:t>3.96×10</w:t>
            </w:r>
            <w:r>
              <w:rPr>
                <w:rFonts w:ascii="Times New Roman" w:hAnsi="Times New Roman"/>
                <w:position w:val="7"/>
                <w:sz w:val="13"/>
              </w:rPr>
              <w:t>-3</w:t>
            </w:r>
          </w:p>
        </w:tc>
        <w:tc>
          <w:tcPr>
            <w:tcW w:w="1198" w:type="dxa"/>
            <w:tcBorders>
              <w:right w:val="nil"/>
            </w:tcBorders>
          </w:tcPr>
          <w:p>
            <w:pPr>
              <w:pStyle w:val="TableParagraph"/>
              <w:spacing w:before="113"/>
              <w:ind w:left="163" w:right="159"/>
              <w:rPr>
                <w:rFonts w:ascii="Times New Roman" w:hAnsi="Times New Roman"/>
                <w:sz w:val="13"/>
              </w:rPr>
            </w:pPr>
            <w:r>
              <w:rPr>
                <w:rFonts w:ascii="Times New Roman" w:hAnsi="Times New Roman"/>
                <w:sz w:val="21"/>
              </w:rPr>
              <w:t>8.55×10</w:t>
            </w:r>
            <w:r>
              <w:rPr>
                <w:rFonts w:ascii="Times New Roman" w:hAnsi="Times New Roman"/>
                <w:position w:val="7"/>
                <w:sz w:val="13"/>
              </w:rPr>
              <w:t>-5</w:t>
            </w:r>
          </w:p>
        </w:tc>
        <w:tc>
          <w:tcPr>
            <w:tcW w:w="206" w:type="dxa"/>
            <w:vMerge/>
            <w:tcBorders>
              <w:top w:val="nil"/>
              <w:left w:val="nil"/>
            </w:tcBorders>
          </w:tcPr>
          <w:p>
            <w:pPr>
              <w:rPr>
                <w:sz w:val="2"/>
                <w:szCs w:val="2"/>
              </w:rPr>
            </w:pPr>
          </w:p>
        </w:tc>
      </w:tr>
      <w:tr>
        <w:trPr>
          <w:trHeight w:val="467"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val="restart"/>
          </w:tcPr>
          <w:p>
            <w:pPr>
              <w:pStyle w:val="TableParagraph"/>
              <w:spacing w:line="278" w:lineRule="auto" w:before="22"/>
              <w:ind w:left="106" w:right="96" w:firstLine="52"/>
              <w:jc w:val="both"/>
              <w:rPr>
                <w:sz w:val="21"/>
              </w:rPr>
            </w:pPr>
            <w:r>
              <w:rPr>
                <w:rFonts w:ascii="Times New Roman" w:eastAsia="Times New Roman"/>
                <w:sz w:val="21"/>
              </w:rPr>
              <w:t>DSA</w:t>
            </w:r>
            <w:r>
              <w:rPr>
                <w:rFonts w:ascii="Times New Roman" w:eastAsia="Times New Roman"/>
                <w:spacing w:val="-4"/>
                <w:sz w:val="21"/>
              </w:rPr>
              <w:t> </w:t>
            </w:r>
            <w:r>
              <w:rPr>
                <w:sz w:val="21"/>
              </w:rPr>
              <w:t>配套</w:t>
            </w:r>
            <w:r>
              <w:rPr>
                <w:spacing w:val="-28"/>
                <w:sz w:val="21"/>
              </w:rPr>
              <w:t>房间</w:t>
            </w:r>
            <w:r>
              <w:rPr>
                <w:spacing w:val="-2"/>
                <w:sz w:val="21"/>
              </w:rPr>
              <w:t>（医生</w:t>
            </w:r>
            <w:r>
              <w:rPr>
                <w:spacing w:val="-13"/>
                <w:sz w:val="21"/>
              </w:rPr>
              <w:t>通道、办公休息室、更</w:t>
            </w:r>
            <w:r>
              <w:rPr>
                <w:spacing w:val="-12"/>
                <w:sz w:val="21"/>
              </w:rPr>
              <w:t>衣室）（西</w:t>
            </w:r>
          </w:p>
          <w:p>
            <w:pPr>
              <w:pStyle w:val="TableParagraph"/>
              <w:spacing w:line="268" w:lineRule="exact"/>
              <w:ind w:left="289"/>
              <w:jc w:val="left"/>
              <w:rPr>
                <w:sz w:val="21"/>
              </w:rPr>
            </w:pPr>
            <w:r>
              <w:rPr>
                <w:w w:val="95"/>
                <w:sz w:val="21"/>
              </w:rPr>
              <w:t>南侧）</w:t>
            </w:r>
          </w:p>
        </w:tc>
        <w:tc>
          <w:tcPr>
            <w:tcW w:w="1078" w:type="dxa"/>
            <w:vMerge w:val="restart"/>
          </w:tcPr>
          <w:p>
            <w:pPr>
              <w:pStyle w:val="TableParagraph"/>
              <w:jc w:val="left"/>
              <w:rPr>
                <w:sz w:val="22"/>
              </w:rPr>
            </w:pPr>
          </w:p>
          <w:p>
            <w:pPr>
              <w:pStyle w:val="TableParagraph"/>
              <w:jc w:val="left"/>
              <w:rPr>
                <w:sz w:val="22"/>
              </w:rPr>
            </w:pPr>
          </w:p>
          <w:p>
            <w:pPr>
              <w:pStyle w:val="TableParagraph"/>
              <w:spacing w:before="8"/>
              <w:jc w:val="left"/>
              <w:rPr>
                <w:sz w:val="19"/>
              </w:rPr>
            </w:pPr>
          </w:p>
          <w:p>
            <w:pPr>
              <w:pStyle w:val="TableParagraph"/>
              <w:ind w:left="136" w:right="126"/>
              <w:rPr>
                <w:rFonts w:ascii="Times New Roman"/>
                <w:sz w:val="21"/>
              </w:rPr>
            </w:pPr>
            <w:r>
              <w:rPr>
                <w:rFonts w:ascii="Times New Roman"/>
                <w:sz w:val="21"/>
              </w:rPr>
              <w:t>3.5</w:t>
            </w:r>
          </w:p>
        </w:tc>
        <w:tc>
          <w:tcPr>
            <w:tcW w:w="1595" w:type="dxa"/>
            <w:vMerge w:val="restart"/>
          </w:tcPr>
          <w:p>
            <w:pPr>
              <w:pStyle w:val="TableParagraph"/>
              <w:spacing w:line="278" w:lineRule="auto" w:before="178"/>
              <w:ind w:left="107" w:right="-15" w:firstLine="28"/>
              <w:jc w:val="both"/>
              <w:rPr>
                <w:sz w:val="21"/>
              </w:rPr>
            </w:pPr>
            <w:r>
              <w:rPr>
                <w:rFonts w:ascii="Times New Roman" w:eastAsia="Times New Roman"/>
                <w:sz w:val="21"/>
              </w:rPr>
              <w:t>240mm</w:t>
            </w:r>
            <w:r>
              <w:rPr>
                <w:rFonts w:ascii="Times New Roman" w:eastAsia="Times New Roman"/>
                <w:spacing w:val="-2"/>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1"/>
                <w:sz w:val="21"/>
              </w:rPr>
              <w:t> </w:t>
            </w:r>
            <w:r>
              <w:rPr>
                <w:spacing w:val="-23"/>
                <w:sz w:val="21"/>
              </w:rPr>
              <w:t>微晶石板</w:t>
            </w:r>
            <w:r>
              <w:rPr>
                <w:sz w:val="21"/>
              </w:rPr>
              <w:t>（折合</w:t>
            </w:r>
            <w:r>
              <w:rPr>
                <w:rFonts w:ascii="Times New Roman" w:eastAsia="Times New Roman"/>
                <w:sz w:val="21"/>
              </w:rPr>
              <w:t>4.9mm</w:t>
            </w:r>
            <w:r>
              <w:rPr>
                <w:rFonts w:ascii="Times New Roman" w:eastAsia="Times New Roman"/>
                <w:spacing w:val="-6"/>
                <w:sz w:val="21"/>
              </w:rPr>
              <w:t> </w:t>
            </w:r>
            <w:r>
              <w:rPr>
                <w:sz w:val="21"/>
              </w:rPr>
              <w:t>铅当量）</w:t>
            </w:r>
          </w:p>
        </w:tc>
        <w:tc>
          <w:tcPr>
            <w:tcW w:w="723" w:type="dxa"/>
          </w:tcPr>
          <w:p>
            <w:pPr>
              <w:pStyle w:val="TableParagraph"/>
              <w:spacing w:before="99"/>
              <w:ind w:left="120" w:right="113"/>
              <w:rPr>
                <w:sz w:val="21"/>
              </w:rPr>
            </w:pPr>
            <w:r>
              <w:rPr>
                <w:sz w:val="21"/>
              </w:rPr>
              <w:t>透视</w:t>
            </w:r>
          </w:p>
        </w:tc>
        <w:tc>
          <w:tcPr>
            <w:tcW w:w="1214" w:type="dxa"/>
          </w:tcPr>
          <w:p>
            <w:pPr>
              <w:pStyle w:val="TableParagraph"/>
              <w:spacing w:before="115"/>
              <w:ind w:left="180" w:right="170"/>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15"/>
              <w:ind w:left="101" w:right="91"/>
              <w:rPr>
                <w:rFonts w:ascii="Times New Roman" w:hAnsi="Times New Roman"/>
                <w:sz w:val="21"/>
              </w:rPr>
            </w:pPr>
            <w:r>
              <w:rPr>
                <w:rFonts w:ascii="Times New Roman" w:hAnsi="Times New Roman"/>
                <w:sz w:val="21"/>
              </w:rPr>
              <w:t>1.80×10</w:t>
            </w:r>
            <w:r>
              <w:rPr>
                <w:rFonts w:ascii="Times New Roman" w:hAnsi="Times New Roman"/>
                <w:sz w:val="21"/>
                <w:vertAlign w:val="superscript"/>
              </w:rPr>
              <w:t>-5</w:t>
            </w:r>
          </w:p>
        </w:tc>
        <w:tc>
          <w:tcPr>
            <w:tcW w:w="1198" w:type="dxa"/>
            <w:tcBorders>
              <w:right w:val="nil"/>
            </w:tcBorders>
          </w:tcPr>
          <w:p>
            <w:pPr>
              <w:pStyle w:val="TableParagraph"/>
              <w:spacing w:before="115"/>
              <w:ind w:left="163" w:right="159"/>
              <w:rPr>
                <w:rFonts w:ascii="Times New Roman" w:hAnsi="Times New Roman"/>
                <w:sz w:val="21"/>
              </w:rPr>
            </w:pPr>
            <w:r>
              <w:rPr>
                <w:rFonts w:ascii="Times New Roman" w:hAnsi="Times New Roman"/>
                <w:sz w:val="21"/>
              </w:rPr>
              <w:t>3.51×10</w:t>
            </w:r>
            <w:r>
              <w:rPr>
                <w:rFonts w:ascii="Times New Roman" w:hAnsi="Times New Roman"/>
                <w:sz w:val="21"/>
                <w:vertAlign w:val="superscript"/>
              </w:rPr>
              <w:t>-6</w:t>
            </w:r>
          </w:p>
        </w:tc>
        <w:tc>
          <w:tcPr>
            <w:tcW w:w="206" w:type="dxa"/>
            <w:vMerge/>
            <w:tcBorders>
              <w:top w:val="nil"/>
              <w:left w:val="nil"/>
            </w:tcBorders>
          </w:tcPr>
          <w:p>
            <w:pPr>
              <w:rPr>
                <w:sz w:val="2"/>
                <w:szCs w:val="2"/>
              </w:rPr>
            </w:pPr>
          </w:p>
        </w:tc>
      </w:tr>
      <w:tr>
        <w:trPr>
          <w:trHeight w:val="1394"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0"/>
              <w:jc w:val="left"/>
              <w:rPr>
                <w:sz w:val="23"/>
              </w:rPr>
            </w:pPr>
          </w:p>
          <w:p>
            <w:pPr>
              <w:pStyle w:val="TableParagraph"/>
              <w:ind w:left="120" w:right="113"/>
              <w:rPr>
                <w:sz w:val="21"/>
              </w:rPr>
            </w:pPr>
            <w:r>
              <w:rPr>
                <w:sz w:val="21"/>
              </w:rPr>
              <w:t>拍片</w:t>
            </w:r>
          </w:p>
        </w:tc>
        <w:tc>
          <w:tcPr>
            <w:tcW w:w="1214" w:type="dxa"/>
          </w:tcPr>
          <w:p>
            <w:pPr>
              <w:pStyle w:val="TableParagraph"/>
              <w:jc w:val="left"/>
              <w:rPr>
                <w:sz w:val="24"/>
              </w:rPr>
            </w:pPr>
          </w:p>
          <w:p>
            <w:pPr>
              <w:pStyle w:val="TableParagraph"/>
              <w:spacing w:before="1"/>
              <w:jc w:val="left"/>
              <w:rPr>
                <w:sz w:val="21"/>
              </w:rPr>
            </w:pPr>
          </w:p>
          <w:p>
            <w:pPr>
              <w:pStyle w:val="TableParagraph"/>
              <w:ind w:left="180" w:right="170"/>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Pr>
          <w:p>
            <w:pPr>
              <w:pStyle w:val="TableParagraph"/>
              <w:jc w:val="left"/>
              <w:rPr>
                <w:sz w:val="24"/>
              </w:rPr>
            </w:pPr>
          </w:p>
          <w:p>
            <w:pPr>
              <w:pStyle w:val="TableParagraph"/>
              <w:spacing w:before="1"/>
              <w:jc w:val="left"/>
              <w:rPr>
                <w:sz w:val="21"/>
              </w:rPr>
            </w:pPr>
          </w:p>
          <w:p>
            <w:pPr>
              <w:pStyle w:val="TableParagraph"/>
              <w:ind w:left="101" w:right="91"/>
              <w:rPr>
                <w:rFonts w:ascii="Times New Roman" w:hAnsi="Times New Roman"/>
                <w:sz w:val="21"/>
              </w:rPr>
            </w:pPr>
            <w:r>
              <w:rPr>
                <w:rFonts w:ascii="Times New Roman" w:hAnsi="Times New Roman"/>
                <w:sz w:val="21"/>
              </w:rPr>
              <w:t>4.14×10</w:t>
            </w:r>
            <w:r>
              <w:rPr>
                <w:rFonts w:ascii="Times New Roman" w:hAnsi="Times New Roman"/>
                <w:sz w:val="21"/>
                <w:vertAlign w:val="superscript"/>
              </w:rPr>
              <w:t>-4</w:t>
            </w:r>
          </w:p>
        </w:tc>
        <w:tc>
          <w:tcPr>
            <w:tcW w:w="1198" w:type="dxa"/>
            <w:tcBorders>
              <w:right w:val="nil"/>
            </w:tcBorders>
          </w:tcPr>
          <w:p>
            <w:pPr>
              <w:pStyle w:val="TableParagraph"/>
              <w:jc w:val="left"/>
              <w:rPr>
                <w:sz w:val="24"/>
              </w:rPr>
            </w:pPr>
          </w:p>
          <w:p>
            <w:pPr>
              <w:pStyle w:val="TableParagraph"/>
              <w:spacing w:before="1"/>
              <w:jc w:val="left"/>
              <w:rPr>
                <w:sz w:val="21"/>
              </w:rPr>
            </w:pPr>
          </w:p>
          <w:p>
            <w:pPr>
              <w:pStyle w:val="TableParagraph"/>
              <w:ind w:left="163" w:right="159"/>
              <w:rPr>
                <w:rFonts w:ascii="Times New Roman" w:hAnsi="Times New Roman"/>
                <w:sz w:val="21"/>
              </w:rPr>
            </w:pPr>
            <w:r>
              <w:rPr>
                <w:rFonts w:ascii="Times New Roman" w:hAnsi="Times New Roman"/>
                <w:sz w:val="21"/>
              </w:rPr>
              <w:t>8.94×10</w:t>
            </w:r>
            <w:r>
              <w:rPr>
                <w:rFonts w:ascii="Times New Roman" w:hAnsi="Times New Roman"/>
                <w:sz w:val="21"/>
                <w:vertAlign w:val="superscript"/>
              </w:rPr>
              <w:t>-6</w:t>
            </w:r>
          </w:p>
        </w:tc>
        <w:tc>
          <w:tcPr>
            <w:tcW w:w="206" w:type="dxa"/>
            <w:vMerge/>
            <w:tcBorders>
              <w:top w:val="nil"/>
              <w:left w:val="nil"/>
            </w:tcBorders>
          </w:tcPr>
          <w:p>
            <w:pPr>
              <w:rPr>
                <w:sz w:val="2"/>
                <w:szCs w:val="2"/>
              </w:rPr>
            </w:pPr>
          </w:p>
        </w:tc>
      </w:tr>
      <w:tr>
        <w:trPr>
          <w:trHeight w:val="468"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val="restart"/>
          </w:tcPr>
          <w:p>
            <w:pPr>
              <w:pStyle w:val="TableParagraph"/>
              <w:spacing w:line="278" w:lineRule="auto" w:before="21"/>
              <w:ind w:left="106" w:right="41" w:hanging="56"/>
              <w:rPr>
                <w:sz w:val="21"/>
              </w:rPr>
            </w:pPr>
            <w:r>
              <w:rPr>
                <w:spacing w:val="-12"/>
                <w:sz w:val="21"/>
              </w:rPr>
              <w:t>设备间、家</w:t>
            </w:r>
            <w:r>
              <w:rPr>
                <w:spacing w:val="-1"/>
                <w:sz w:val="21"/>
              </w:rPr>
              <w:t>属等候区、后处理室、</w:t>
            </w:r>
            <w:r>
              <w:rPr>
                <w:sz w:val="21"/>
              </w:rPr>
              <w:t>其他机房</w:t>
            </w:r>
            <w:r>
              <w:rPr>
                <w:spacing w:val="1"/>
                <w:sz w:val="21"/>
              </w:rPr>
              <w:t> </w:t>
            </w:r>
            <w:r>
              <w:rPr>
                <w:sz w:val="21"/>
              </w:rPr>
              <w:t>及配套用</w:t>
            </w:r>
            <w:r>
              <w:rPr>
                <w:spacing w:val="1"/>
                <w:sz w:val="21"/>
              </w:rPr>
              <w:t> </w:t>
            </w:r>
            <w:r>
              <w:rPr>
                <w:spacing w:val="-27"/>
                <w:sz w:val="21"/>
              </w:rPr>
              <w:t>房等</w:t>
            </w:r>
            <w:r>
              <w:rPr>
                <w:sz w:val="21"/>
              </w:rPr>
              <w:t>（东南</w:t>
            </w:r>
          </w:p>
          <w:p>
            <w:pPr>
              <w:pStyle w:val="TableParagraph"/>
              <w:spacing w:line="268" w:lineRule="exact"/>
              <w:ind w:left="150" w:right="147"/>
              <w:rPr>
                <w:sz w:val="21"/>
              </w:rPr>
            </w:pPr>
            <w:r>
              <w:rPr>
                <w:sz w:val="21"/>
              </w:rPr>
              <w:t>侧）</w:t>
            </w:r>
          </w:p>
        </w:tc>
        <w:tc>
          <w:tcPr>
            <w:tcW w:w="1078" w:type="dxa"/>
            <w:vMerge w:val="restart"/>
          </w:tcPr>
          <w:p>
            <w:pPr>
              <w:pStyle w:val="TableParagraph"/>
              <w:jc w:val="left"/>
              <w:rPr>
                <w:sz w:val="22"/>
              </w:rPr>
            </w:pPr>
          </w:p>
          <w:p>
            <w:pPr>
              <w:pStyle w:val="TableParagraph"/>
              <w:jc w:val="left"/>
              <w:rPr>
                <w:sz w:val="22"/>
              </w:rPr>
            </w:pPr>
          </w:p>
          <w:p>
            <w:pPr>
              <w:pStyle w:val="TableParagraph"/>
              <w:spacing w:before="10"/>
              <w:jc w:val="left"/>
              <w:rPr>
                <w:sz w:val="31"/>
              </w:rPr>
            </w:pPr>
          </w:p>
          <w:p>
            <w:pPr>
              <w:pStyle w:val="TableParagraph"/>
              <w:ind w:left="136" w:right="126"/>
              <w:rPr>
                <w:rFonts w:ascii="Times New Roman"/>
                <w:sz w:val="21"/>
              </w:rPr>
            </w:pPr>
            <w:r>
              <w:rPr>
                <w:rFonts w:ascii="Times New Roman"/>
                <w:sz w:val="21"/>
              </w:rPr>
              <w:t>3.5</w:t>
            </w:r>
          </w:p>
        </w:tc>
        <w:tc>
          <w:tcPr>
            <w:tcW w:w="1595" w:type="dxa"/>
            <w:vMerge w:val="restart"/>
          </w:tcPr>
          <w:p>
            <w:pPr>
              <w:pStyle w:val="TableParagraph"/>
              <w:jc w:val="left"/>
              <w:rPr>
                <w:sz w:val="26"/>
              </w:rPr>
            </w:pPr>
          </w:p>
          <w:p>
            <w:pPr>
              <w:pStyle w:val="TableParagraph"/>
              <w:spacing w:line="278" w:lineRule="auto"/>
              <w:ind w:left="107" w:right="-15" w:firstLine="28"/>
              <w:jc w:val="both"/>
              <w:rPr>
                <w:sz w:val="21"/>
              </w:rPr>
            </w:pPr>
            <w:r>
              <w:rPr>
                <w:rFonts w:ascii="Times New Roman" w:eastAsia="Times New Roman"/>
                <w:sz w:val="21"/>
              </w:rPr>
              <w:t>240mm</w:t>
            </w:r>
            <w:r>
              <w:rPr>
                <w:rFonts w:ascii="Times New Roman" w:eastAsia="Times New Roman"/>
                <w:spacing w:val="-2"/>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1"/>
                <w:sz w:val="21"/>
              </w:rPr>
              <w:t> </w:t>
            </w:r>
            <w:r>
              <w:rPr>
                <w:spacing w:val="-23"/>
                <w:sz w:val="21"/>
              </w:rPr>
              <w:t>微晶石板</w:t>
            </w:r>
            <w:r>
              <w:rPr>
                <w:sz w:val="21"/>
              </w:rPr>
              <w:t>（折合</w:t>
            </w:r>
            <w:r>
              <w:rPr>
                <w:rFonts w:ascii="Times New Roman" w:eastAsia="Times New Roman"/>
                <w:sz w:val="21"/>
              </w:rPr>
              <w:t>4.9mm</w:t>
            </w:r>
            <w:r>
              <w:rPr>
                <w:rFonts w:ascii="Times New Roman" w:eastAsia="Times New Roman"/>
                <w:spacing w:val="-6"/>
                <w:sz w:val="21"/>
              </w:rPr>
              <w:t> </w:t>
            </w:r>
            <w:r>
              <w:rPr>
                <w:sz w:val="21"/>
              </w:rPr>
              <w:t>铅当量）</w:t>
            </w:r>
          </w:p>
        </w:tc>
        <w:tc>
          <w:tcPr>
            <w:tcW w:w="723" w:type="dxa"/>
          </w:tcPr>
          <w:p>
            <w:pPr>
              <w:pStyle w:val="TableParagraph"/>
              <w:spacing w:before="98"/>
              <w:ind w:left="120" w:right="113"/>
              <w:rPr>
                <w:sz w:val="21"/>
              </w:rPr>
            </w:pPr>
            <w:r>
              <w:rPr>
                <w:sz w:val="21"/>
              </w:rPr>
              <w:t>透视</w:t>
            </w:r>
          </w:p>
        </w:tc>
        <w:tc>
          <w:tcPr>
            <w:tcW w:w="1214" w:type="dxa"/>
          </w:tcPr>
          <w:p>
            <w:pPr>
              <w:pStyle w:val="TableParagraph"/>
              <w:spacing w:before="114"/>
              <w:ind w:left="180" w:right="170"/>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14"/>
              <w:ind w:left="101" w:right="91"/>
              <w:rPr>
                <w:rFonts w:ascii="Times New Roman" w:hAnsi="Times New Roman"/>
                <w:sz w:val="21"/>
              </w:rPr>
            </w:pPr>
            <w:r>
              <w:rPr>
                <w:rFonts w:ascii="Times New Roman" w:hAnsi="Times New Roman"/>
                <w:sz w:val="21"/>
              </w:rPr>
              <w:t>1.80×10</w:t>
            </w:r>
            <w:r>
              <w:rPr>
                <w:rFonts w:ascii="Times New Roman" w:hAnsi="Times New Roman"/>
                <w:sz w:val="21"/>
                <w:vertAlign w:val="superscript"/>
              </w:rPr>
              <w:t>-5</w:t>
            </w:r>
          </w:p>
        </w:tc>
        <w:tc>
          <w:tcPr>
            <w:tcW w:w="1198" w:type="dxa"/>
            <w:tcBorders>
              <w:right w:val="nil"/>
            </w:tcBorders>
          </w:tcPr>
          <w:p>
            <w:pPr>
              <w:pStyle w:val="TableParagraph"/>
              <w:spacing w:before="114"/>
              <w:ind w:left="163" w:right="159"/>
              <w:rPr>
                <w:rFonts w:ascii="Times New Roman" w:hAnsi="Times New Roman"/>
                <w:sz w:val="21"/>
              </w:rPr>
            </w:pPr>
            <w:r>
              <w:rPr>
                <w:rFonts w:ascii="Times New Roman" w:hAnsi="Times New Roman"/>
                <w:sz w:val="21"/>
              </w:rPr>
              <w:t>3.51×10</w:t>
            </w:r>
            <w:r>
              <w:rPr>
                <w:rFonts w:ascii="Times New Roman" w:hAnsi="Times New Roman"/>
                <w:sz w:val="21"/>
                <w:vertAlign w:val="superscript"/>
              </w:rPr>
              <w:t>-6</w:t>
            </w:r>
          </w:p>
        </w:tc>
        <w:tc>
          <w:tcPr>
            <w:tcW w:w="206" w:type="dxa"/>
            <w:vMerge/>
            <w:tcBorders>
              <w:top w:val="nil"/>
              <w:left w:val="nil"/>
            </w:tcBorders>
          </w:tcPr>
          <w:p>
            <w:pPr>
              <w:rPr>
                <w:sz w:val="2"/>
                <w:szCs w:val="2"/>
              </w:rPr>
            </w:pPr>
          </w:p>
        </w:tc>
      </w:tr>
      <w:tr>
        <w:trPr>
          <w:trHeight w:val="1705"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jc w:val="left"/>
              <w:rPr>
                <w:sz w:val="20"/>
              </w:rPr>
            </w:pPr>
          </w:p>
          <w:p>
            <w:pPr>
              <w:pStyle w:val="TableParagraph"/>
              <w:spacing w:before="12"/>
              <w:jc w:val="left"/>
              <w:rPr>
                <w:sz w:val="15"/>
              </w:rPr>
            </w:pPr>
          </w:p>
          <w:p>
            <w:pPr>
              <w:pStyle w:val="TableParagraph"/>
              <w:ind w:left="120" w:right="113"/>
              <w:rPr>
                <w:sz w:val="21"/>
              </w:rPr>
            </w:pPr>
            <w:r>
              <w:rPr>
                <w:sz w:val="21"/>
              </w:rPr>
              <w:t>拍片</w:t>
            </w:r>
          </w:p>
        </w:tc>
        <w:tc>
          <w:tcPr>
            <w:tcW w:w="1214" w:type="dxa"/>
          </w:tcPr>
          <w:p>
            <w:pPr>
              <w:pStyle w:val="TableParagraph"/>
              <w:jc w:val="left"/>
              <w:rPr>
                <w:sz w:val="24"/>
              </w:rPr>
            </w:pPr>
          </w:p>
          <w:p>
            <w:pPr>
              <w:pStyle w:val="TableParagraph"/>
              <w:spacing w:before="3"/>
              <w:jc w:val="left"/>
              <w:rPr>
                <w:sz w:val="33"/>
              </w:rPr>
            </w:pPr>
          </w:p>
          <w:p>
            <w:pPr>
              <w:pStyle w:val="TableParagraph"/>
              <w:ind w:left="180" w:right="170"/>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Pr>
          <w:p>
            <w:pPr>
              <w:pStyle w:val="TableParagraph"/>
              <w:jc w:val="left"/>
              <w:rPr>
                <w:sz w:val="24"/>
              </w:rPr>
            </w:pPr>
          </w:p>
          <w:p>
            <w:pPr>
              <w:pStyle w:val="TableParagraph"/>
              <w:spacing w:before="3"/>
              <w:jc w:val="left"/>
              <w:rPr>
                <w:sz w:val="33"/>
              </w:rPr>
            </w:pPr>
          </w:p>
          <w:p>
            <w:pPr>
              <w:pStyle w:val="TableParagraph"/>
              <w:ind w:left="101" w:right="91"/>
              <w:rPr>
                <w:rFonts w:ascii="Times New Roman" w:hAnsi="Times New Roman"/>
                <w:sz w:val="21"/>
              </w:rPr>
            </w:pPr>
            <w:r>
              <w:rPr>
                <w:rFonts w:ascii="Times New Roman" w:hAnsi="Times New Roman"/>
                <w:sz w:val="21"/>
              </w:rPr>
              <w:t>4.14×10</w:t>
            </w:r>
            <w:r>
              <w:rPr>
                <w:rFonts w:ascii="Times New Roman" w:hAnsi="Times New Roman"/>
                <w:sz w:val="21"/>
                <w:vertAlign w:val="superscript"/>
              </w:rPr>
              <w:t>-4</w:t>
            </w:r>
          </w:p>
        </w:tc>
        <w:tc>
          <w:tcPr>
            <w:tcW w:w="1198" w:type="dxa"/>
            <w:tcBorders>
              <w:right w:val="nil"/>
            </w:tcBorders>
          </w:tcPr>
          <w:p>
            <w:pPr>
              <w:pStyle w:val="TableParagraph"/>
              <w:jc w:val="left"/>
              <w:rPr>
                <w:sz w:val="24"/>
              </w:rPr>
            </w:pPr>
          </w:p>
          <w:p>
            <w:pPr>
              <w:pStyle w:val="TableParagraph"/>
              <w:spacing w:before="3"/>
              <w:jc w:val="left"/>
              <w:rPr>
                <w:sz w:val="33"/>
              </w:rPr>
            </w:pPr>
          </w:p>
          <w:p>
            <w:pPr>
              <w:pStyle w:val="TableParagraph"/>
              <w:ind w:left="163" w:right="159"/>
              <w:rPr>
                <w:rFonts w:ascii="Times New Roman" w:hAnsi="Times New Roman"/>
                <w:sz w:val="21"/>
              </w:rPr>
            </w:pPr>
            <w:r>
              <w:rPr>
                <w:rFonts w:ascii="Times New Roman" w:hAnsi="Times New Roman"/>
                <w:sz w:val="21"/>
              </w:rPr>
              <w:t>8.94×10</w:t>
            </w:r>
            <w:r>
              <w:rPr>
                <w:rFonts w:ascii="Times New Roman" w:hAnsi="Times New Roman"/>
                <w:sz w:val="21"/>
                <w:vertAlign w:val="superscript"/>
              </w:rPr>
              <w:t>-6</w:t>
            </w:r>
          </w:p>
        </w:tc>
        <w:tc>
          <w:tcPr>
            <w:tcW w:w="206" w:type="dxa"/>
            <w:vMerge/>
            <w:tcBorders>
              <w:top w:val="nil"/>
              <w:left w:val="nil"/>
            </w:tcBorders>
          </w:tcPr>
          <w:p>
            <w:pPr>
              <w:rPr>
                <w:sz w:val="2"/>
                <w:szCs w:val="2"/>
              </w:rPr>
            </w:pPr>
          </w:p>
        </w:tc>
      </w:tr>
      <w:tr>
        <w:trPr>
          <w:trHeight w:val="468"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val="restart"/>
          </w:tcPr>
          <w:p>
            <w:pPr>
              <w:pStyle w:val="TableParagraph"/>
              <w:jc w:val="left"/>
              <w:rPr>
                <w:sz w:val="20"/>
              </w:rPr>
            </w:pPr>
          </w:p>
          <w:p>
            <w:pPr>
              <w:pStyle w:val="TableParagraph"/>
              <w:spacing w:before="2"/>
              <w:jc w:val="left"/>
              <w:rPr>
                <w:sz w:val="18"/>
              </w:rPr>
            </w:pPr>
          </w:p>
          <w:p>
            <w:pPr>
              <w:pStyle w:val="TableParagraph"/>
              <w:spacing w:line="278" w:lineRule="auto"/>
              <w:ind w:left="183" w:right="165" w:hanging="8"/>
              <w:jc w:val="left"/>
              <w:rPr>
                <w:sz w:val="21"/>
              </w:rPr>
            </w:pPr>
            <w:r>
              <w:rPr>
                <w:rFonts w:ascii="Times New Roman" w:eastAsia="Times New Roman"/>
                <w:spacing w:val="-1"/>
                <w:sz w:val="21"/>
              </w:rPr>
              <w:t>-1</w:t>
            </w:r>
            <w:r>
              <w:rPr>
                <w:rFonts w:ascii="Times New Roman" w:eastAsia="Times New Roman"/>
                <w:spacing w:val="-12"/>
                <w:sz w:val="21"/>
              </w:rPr>
              <w:t> </w:t>
            </w:r>
            <w:r>
              <w:rPr>
                <w:sz w:val="21"/>
              </w:rPr>
              <w:t>楼预留变配电室</w:t>
            </w:r>
          </w:p>
          <w:p>
            <w:pPr>
              <w:pStyle w:val="TableParagraph"/>
              <w:spacing w:line="269" w:lineRule="exact"/>
              <w:ind w:left="106"/>
              <w:jc w:val="left"/>
              <w:rPr>
                <w:sz w:val="21"/>
              </w:rPr>
            </w:pPr>
            <w:r>
              <w:rPr>
                <w:sz w:val="21"/>
              </w:rPr>
              <w:t>（正下方）</w:t>
            </w:r>
          </w:p>
        </w:tc>
        <w:tc>
          <w:tcPr>
            <w:tcW w:w="1078" w:type="dxa"/>
            <w:vMerge w:val="restart"/>
          </w:tcPr>
          <w:p>
            <w:pPr>
              <w:pStyle w:val="TableParagraph"/>
              <w:jc w:val="left"/>
              <w:rPr>
                <w:sz w:val="22"/>
              </w:rPr>
            </w:pPr>
          </w:p>
          <w:p>
            <w:pPr>
              <w:pStyle w:val="TableParagraph"/>
              <w:jc w:val="left"/>
              <w:rPr>
                <w:sz w:val="22"/>
              </w:rPr>
            </w:pPr>
          </w:p>
          <w:p>
            <w:pPr>
              <w:pStyle w:val="TableParagraph"/>
              <w:spacing w:before="7"/>
              <w:jc w:val="left"/>
              <w:rPr>
                <w:sz w:val="19"/>
              </w:rPr>
            </w:pPr>
          </w:p>
          <w:p>
            <w:pPr>
              <w:pStyle w:val="TableParagraph"/>
              <w:spacing w:before="1"/>
              <w:ind w:left="136" w:right="126"/>
              <w:rPr>
                <w:rFonts w:ascii="Times New Roman"/>
                <w:sz w:val="21"/>
              </w:rPr>
            </w:pPr>
            <w:r>
              <w:rPr>
                <w:rFonts w:ascii="Times New Roman"/>
                <w:sz w:val="21"/>
              </w:rPr>
              <w:t>3.5</w:t>
            </w:r>
          </w:p>
        </w:tc>
        <w:tc>
          <w:tcPr>
            <w:tcW w:w="1595" w:type="dxa"/>
            <w:vMerge w:val="restart"/>
          </w:tcPr>
          <w:p>
            <w:pPr>
              <w:pStyle w:val="TableParagraph"/>
              <w:spacing w:line="278" w:lineRule="auto" w:before="21"/>
              <w:ind w:left="128" w:right="119" w:firstLine="2"/>
              <w:rPr>
                <w:sz w:val="21"/>
              </w:rPr>
            </w:pPr>
            <w:r>
              <w:rPr>
                <w:rFonts w:ascii="Times New Roman" w:eastAsia="Times New Roman"/>
                <w:sz w:val="21"/>
              </w:rPr>
              <w:t>150mm</w:t>
            </w:r>
            <w:r>
              <w:rPr>
                <w:rFonts w:ascii="Times New Roman" w:eastAsia="Times New Roman"/>
                <w:spacing w:val="-3"/>
                <w:sz w:val="21"/>
              </w:rPr>
              <w:t> </w:t>
            </w:r>
            <w:r>
              <w:rPr>
                <w:sz w:val="21"/>
              </w:rPr>
              <w:t>厚混凝</w:t>
            </w:r>
            <w:r>
              <w:rPr>
                <w:spacing w:val="-1"/>
                <w:sz w:val="21"/>
              </w:rPr>
              <w:t>土</w:t>
            </w:r>
            <w:r>
              <w:rPr>
                <w:rFonts w:ascii="Times New Roman" w:eastAsia="Times New Roman"/>
                <w:sz w:val="21"/>
              </w:rPr>
              <w:t>+30mm</w:t>
            </w:r>
            <w:r>
              <w:rPr>
                <w:rFonts w:ascii="Times New Roman" w:eastAsia="Times New Roman"/>
                <w:spacing w:val="-13"/>
                <w:sz w:val="21"/>
              </w:rPr>
              <w:t> </w:t>
            </w:r>
            <w:r>
              <w:rPr>
                <w:sz w:val="21"/>
              </w:rPr>
              <w:t>厚、密度为</w:t>
            </w:r>
            <w:r>
              <w:rPr>
                <w:rFonts w:ascii="Times New Roman" w:eastAsia="Times New Roman"/>
                <w:sz w:val="21"/>
              </w:rPr>
              <w:t>3.2g/cm3</w:t>
            </w:r>
            <w:r>
              <w:rPr>
                <w:rFonts w:ascii="Times New Roman" w:eastAsia="Times New Roman"/>
                <w:spacing w:val="-2"/>
                <w:sz w:val="21"/>
              </w:rPr>
              <w:t> </w:t>
            </w:r>
            <w:r>
              <w:rPr>
                <w:sz w:val="21"/>
              </w:rPr>
              <w:t>硫酸钡砂浆（折合</w:t>
            </w:r>
          </w:p>
          <w:p>
            <w:pPr>
              <w:pStyle w:val="TableParagraph"/>
              <w:spacing w:line="269" w:lineRule="exact"/>
              <w:ind w:left="109" w:right="-15"/>
              <w:rPr>
                <w:sz w:val="21"/>
              </w:rPr>
            </w:pPr>
            <w:r>
              <w:rPr>
                <w:rFonts w:ascii="Times New Roman" w:eastAsia="Times New Roman"/>
                <w:sz w:val="21"/>
              </w:rPr>
              <w:t>3.6mm</w:t>
            </w:r>
            <w:r>
              <w:rPr>
                <w:rFonts w:ascii="Times New Roman" w:eastAsia="Times New Roman"/>
                <w:spacing w:val="-6"/>
                <w:sz w:val="21"/>
              </w:rPr>
              <w:t> </w:t>
            </w:r>
            <w:r>
              <w:rPr>
                <w:sz w:val="21"/>
              </w:rPr>
              <w:t>铅当量）</w:t>
            </w:r>
          </w:p>
        </w:tc>
        <w:tc>
          <w:tcPr>
            <w:tcW w:w="723" w:type="dxa"/>
          </w:tcPr>
          <w:p>
            <w:pPr>
              <w:pStyle w:val="TableParagraph"/>
              <w:spacing w:before="98"/>
              <w:ind w:left="120" w:right="113"/>
              <w:rPr>
                <w:sz w:val="21"/>
              </w:rPr>
            </w:pPr>
            <w:r>
              <w:rPr>
                <w:sz w:val="21"/>
              </w:rPr>
              <w:t>透视</w:t>
            </w:r>
          </w:p>
        </w:tc>
        <w:tc>
          <w:tcPr>
            <w:tcW w:w="1214" w:type="dxa"/>
          </w:tcPr>
          <w:p>
            <w:pPr>
              <w:pStyle w:val="TableParagraph"/>
              <w:spacing w:before="114"/>
              <w:ind w:left="180" w:right="170"/>
              <w:rPr>
                <w:rFonts w:ascii="Times New Roman" w:hAnsi="Times New Roman"/>
                <w:sz w:val="21"/>
              </w:rPr>
            </w:pPr>
            <w:r>
              <w:rPr>
                <w:rFonts w:ascii="Times New Roman" w:hAnsi="Times New Roman"/>
                <w:sz w:val="21"/>
              </w:rPr>
              <w:t>1.26×10</w:t>
            </w:r>
            <w:r>
              <w:rPr>
                <w:rFonts w:ascii="Times New Roman" w:hAnsi="Times New Roman"/>
                <w:sz w:val="21"/>
                <w:vertAlign w:val="superscript"/>
              </w:rPr>
              <w:t>-6</w:t>
            </w:r>
          </w:p>
        </w:tc>
        <w:tc>
          <w:tcPr>
            <w:tcW w:w="1227" w:type="dxa"/>
          </w:tcPr>
          <w:p>
            <w:pPr>
              <w:pStyle w:val="TableParagraph"/>
              <w:spacing w:before="114"/>
              <w:ind w:left="101" w:right="91"/>
              <w:rPr>
                <w:rFonts w:ascii="Times New Roman" w:hAnsi="Times New Roman"/>
                <w:sz w:val="21"/>
              </w:rPr>
            </w:pPr>
            <w:r>
              <w:rPr>
                <w:rFonts w:ascii="Times New Roman" w:hAnsi="Times New Roman"/>
                <w:sz w:val="21"/>
              </w:rPr>
              <w:t>9.70×10</w:t>
            </w:r>
            <w:r>
              <w:rPr>
                <w:rFonts w:ascii="Times New Roman" w:hAnsi="Times New Roman"/>
                <w:sz w:val="21"/>
                <w:vertAlign w:val="superscript"/>
              </w:rPr>
              <w:t>-4</w:t>
            </w:r>
          </w:p>
        </w:tc>
        <w:tc>
          <w:tcPr>
            <w:tcW w:w="1198" w:type="dxa"/>
            <w:tcBorders>
              <w:right w:val="nil"/>
            </w:tcBorders>
          </w:tcPr>
          <w:p>
            <w:pPr>
              <w:pStyle w:val="TableParagraph"/>
              <w:spacing w:before="114"/>
              <w:ind w:left="163" w:right="159"/>
              <w:rPr>
                <w:rFonts w:ascii="Times New Roman" w:hAnsi="Times New Roman"/>
                <w:sz w:val="21"/>
              </w:rPr>
            </w:pPr>
            <w:r>
              <w:rPr>
                <w:rFonts w:ascii="Times New Roman" w:hAnsi="Times New Roman"/>
                <w:sz w:val="21"/>
              </w:rPr>
              <w:t>1.89×10</w:t>
            </w:r>
            <w:r>
              <w:rPr>
                <w:rFonts w:ascii="Times New Roman" w:hAnsi="Times New Roman"/>
                <w:sz w:val="21"/>
                <w:vertAlign w:val="superscript"/>
              </w:rPr>
              <w:t>-4</w:t>
            </w:r>
          </w:p>
        </w:tc>
        <w:tc>
          <w:tcPr>
            <w:tcW w:w="206" w:type="dxa"/>
            <w:vMerge/>
            <w:tcBorders>
              <w:top w:val="nil"/>
              <w:left w:val="nil"/>
            </w:tcBorders>
          </w:tcPr>
          <w:p>
            <w:pPr>
              <w:rPr>
                <w:sz w:val="2"/>
                <w:szCs w:val="2"/>
              </w:rPr>
            </w:pPr>
          </w:p>
        </w:tc>
      </w:tr>
      <w:tr>
        <w:trPr>
          <w:trHeight w:val="1393" w:hRule="atLeast"/>
        </w:trPr>
        <w:tc>
          <w:tcPr>
            <w:tcW w:w="205" w:type="dxa"/>
            <w:vMerge/>
            <w:tcBorders>
              <w:top w:val="nil"/>
              <w:right w:val="nil"/>
            </w:tcBorders>
          </w:tcPr>
          <w:p>
            <w:pPr>
              <w:rPr>
                <w:sz w:val="2"/>
                <w:szCs w:val="2"/>
              </w:rPr>
            </w:pPr>
          </w:p>
        </w:tc>
        <w:tc>
          <w:tcPr>
            <w:tcW w:w="586" w:type="dxa"/>
            <w:vMerge/>
            <w:tcBorders>
              <w:top w:val="nil"/>
              <w:left w:val="nil"/>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2"/>
              <w:jc w:val="left"/>
              <w:rPr>
                <w:sz w:val="23"/>
              </w:rPr>
            </w:pPr>
          </w:p>
          <w:p>
            <w:pPr>
              <w:pStyle w:val="TableParagraph"/>
              <w:ind w:left="120" w:right="113"/>
              <w:rPr>
                <w:sz w:val="21"/>
              </w:rPr>
            </w:pPr>
            <w:r>
              <w:rPr>
                <w:sz w:val="21"/>
              </w:rPr>
              <w:t>拍片</w:t>
            </w:r>
          </w:p>
        </w:tc>
        <w:tc>
          <w:tcPr>
            <w:tcW w:w="1214" w:type="dxa"/>
          </w:tcPr>
          <w:p>
            <w:pPr>
              <w:pStyle w:val="TableParagraph"/>
              <w:jc w:val="left"/>
              <w:rPr>
                <w:sz w:val="24"/>
              </w:rPr>
            </w:pPr>
          </w:p>
          <w:p>
            <w:pPr>
              <w:pStyle w:val="TableParagraph"/>
              <w:jc w:val="left"/>
              <w:rPr>
                <w:sz w:val="21"/>
              </w:rPr>
            </w:pPr>
          </w:p>
          <w:p>
            <w:pPr>
              <w:pStyle w:val="TableParagraph"/>
              <w:ind w:left="178" w:right="170"/>
              <w:rPr>
                <w:rFonts w:ascii="Times New Roman" w:hAnsi="Times New Roman"/>
                <w:sz w:val="21"/>
              </w:rPr>
            </w:pPr>
            <w:r>
              <w:rPr>
                <w:rFonts w:ascii="Times New Roman" w:hAnsi="Times New Roman"/>
                <w:sz w:val="21"/>
              </w:rPr>
              <w:t>1.4×10</w:t>
            </w:r>
            <w:r>
              <w:rPr>
                <w:rFonts w:ascii="Times New Roman" w:hAnsi="Times New Roman"/>
                <w:sz w:val="21"/>
                <w:vertAlign w:val="superscript"/>
              </w:rPr>
              <w:t>-5</w:t>
            </w:r>
          </w:p>
        </w:tc>
        <w:tc>
          <w:tcPr>
            <w:tcW w:w="1227" w:type="dxa"/>
          </w:tcPr>
          <w:p>
            <w:pPr>
              <w:pStyle w:val="TableParagraph"/>
              <w:jc w:val="left"/>
              <w:rPr>
                <w:sz w:val="24"/>
              </w:rPr>
            </w:pPr>
          </w:p>
          <w:p>
            <w:pPr>
              <w:pStyle w:val="TableParagraph"/>
              <w:jc w:val="left"/>
              <w:rPr>
                <w:sz w:val="21"/>
              </w:rPr>
            </w:pPr>
          </w:p>
          <w:p>
            <w:pPr>
              <w:pStyle w:val="TableParagraph"/>
              <w:ind w:left="101" w:right="91"/>
              <w:rPr>
                <w:rFonts w:ascii="Times New Roman" w:hAnsi="Times New Roman"/>
                <w:sz w:val="21"/>
              </w:rPr>
            </w:pPr>
            <w:r>
              <w:rPr>
                <w:rFonts w:ascii="Times New Roman" w:hAnsi="Times New Roman"/>
                <w:sz w:val="21"/>
              </w:rPr>
              <w:t>1.08×10</w:t>
            </w:r>
            <w:r>
              <w:rPr>
                <w:rFonts w:ascii="Times New Roman" w:hAnsi="Times New Roman"/>
                <w:sz w:val="21"/>
                <w:vertAlign w:val="superscript"/>
              </w:rPr>
              <w:t>-2</w:t>
            </w:r>
          </w:p>
        </w:tc>
        <w:tc>
          <w:tcPr>
            <w:tcW w:w="1198" w:type="dxa"/>
            <w:tcBorders>
              <w:right w:val="nil"/>
            </w:tcBorders>
          </w:tcPr>
          <w:p>
            <w:pPr>
              <w:pStyle w:val="TableParagraph"/>
              <w:jc w:val="left"/>
              <w:rPr>
                <w:sz w:val="24"/>
              </w:rPr>
            </w:pPr>
          </w:p>
          <w:p>
            <w:pPr>
              <w:pStyle w:val="TableParagraph"/>
              <w:jc w:val="left"/>
              <w:rPr>
                <w:sz w:val="21"/>
              </w:rPr>
            </w:pPr>
          </w:p>
          <w:p>
            <w:pPr>
              <w:pStyle w:val="TableParagraph"/>
              <w:ind w:left="163" w:right="159"/>
              <w:rPr>
                <w:rFonts w:ascii="Times New Roman" w:hAnsi="Times New Roman"/>
                <w:sz w:val="21"/>
              </w:rPr>
            </w:pPr>
            <w:r>
              <w:rPr>
                <w:rFonts w:ascii="Times New Roman" w:hAnsi="Times New Roman"/>
                <w:sz w:val="21"/>
              </w:rPr>
              <w:t>2.33×10</w:t>
            </w:r>
            <w:r>
              <w:rPr>
                <w:rFonts w:ascii="Times New Roman" w:hAnsi="Times New Roman"/>
                <w:sz w:val="21"/>
                <w:vertAlign w:val="superscript"/>
              </w:rPr>
              <w:t>-4</w:t>
            </w:r>
          </w:p>
        </w:tc>
        <w:tc>
          <w:tcPr>
            <w:tcW w:w="206" w:type="dxa"/>
            <w:vMerge/>
            <w:tcBorders>
              <w:top w:val="nil"/>
              <w:left w:val="nil"/>
            </w:tcBorders>
          </w:tcPr>
          <w:p>
            <w:pPr>
              <w:rPr>
                <w:sz w:val="2"/>
                <w:szCs w:val="2"/>
              </w:rPr>
            </w:pPr>
          </w:p>
        </w:tc>
      </w:tr>
      <w:tr>
        <w:trPr>
          <w:trHeight w:val="458" w:hRule="atLeast"/>
        </w:trPr>
        <w:tc>
          <w:tcPr>
            <w:tcW w:w="205" w:type="dxa"/>
            <w:vMerge/>
            <w:tcBorders>
              <w:top w:val="nil"/>
              <w:right w:val="nil"/>
            </w:tcBorders>
          </w:tcPr>
          <w:p>
            <w:pPr>
              <w:rPr>
                <w:sz w:val="2"/>
                <w:szCs w:val="2"/>
              </w:rPr>
            </w:pPr>
          </w:p>
        </w:tc>
        <w:tc>
          <w:tcPr>
            <w:tcW w:w="586" w:type="dxa"/>
            <w:vMerge w:val="restart"/>
            <w:tcBorders>
              <w:left w:val="nil"/>
              <w:bottom w:val="single" w:sz="12"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3"/>
              <w:jc w:val="left"/>
              <w:rPr>
                <w:sz w:val="16"/>
              </w:rPr>
            </w:pPr>
          </w:p>
          <w:p>
            <w:pPr>
              <w:pStyle w:val="TableParagraph"/>
              <w:spacing w:line="278" w:lineRule="auto" w:before="1"/>
              <w:ind w:left="191" w:right="178"/>
              <w:jc w:val="both"/>
              <w:rPr>
                <w:sz w:val="21"/>
              </w:rPr>
            </w:pPr>
            <w:r>
              <w:rPr>
                <w:sz w:val="21"/>
              </w:rPr>
              <w:t>医技楼外</w:t>
            </w:r>
          </w:p>
        </w:tc>
        <w:tc>
          <w:tcPr>
            <w:tcW w:w="1209" w:type="dxa"/>
            <w:vMerge w:val="restart"/>
          </w:tcPr>
          <w:p>
            <w:pPr>
              <w:pStyle w:val="TableParagraph"/>
              <w:jc w:val="left"/>
              <w:rPr>
                <w:sz w:val="20"/>
              </w:rPr>
            </w:pPr>
          </w:p>
          <w:p>
            <w:pPr>
              <w:pStyle w:val="TableParagraph"/>
              <w:spacing w:before="1"/>
              <w:jc w:val="left"/>
              <w:rPr>
                <w:sz w:val="18"/>
              </w:rPr>
            </w:pPr>
          </w:p>
          <w:p>
            <w:pPr>
              <w:pStyle w:val="TableParagraph"/>
              <w:spacing w:before="1"/>
              <w:ind w:left="183"/>
              <w:jc w:val="left"/>
              <w:rPr>
                <w:sz w:val="21"/>
              </w:rPr>
            </w:pPr>
            <w:r>
              <w:rPr>
                <w:sz w:val="21"/>
              </w:rPr>
              <w:t>医疗中心</w:t>
            </w:r>
          </w:p>
          <w:p>
            <w:pPr>
              <w:pStyle w:val="TableParagraph"/>
              <w:spacing w:before="43"/>
              <w:ind w:left="106"/>
              <w:jc w:val="left"/>
              <w:rPr>
                <w:sz w:val="21"/>
              </w:rPr>
            </w:pPr>
            <w:r>
              <w:rPr>
                <w:sz w:val="21"/>
              </w:rPr>
              <w:t>（西北侧）</w:t>
            </w:r>
          </w:p>
        </w:tc>
        <w:tc>
          <w:tcPr>
            <w:tcW w:w="1078" w:type="dxa"/>
            <w:vMerge w:val="restart"/>
          </w:tcPr>
          <w:p>
            <w:pPr>
              <w:pStyle w:val="TableParagraph"/>
              <w:jc w:val="left"/>
              <w:rPr>
                <w:sz w:val="22"/>
              </w:rPr>
            </w:pPr>
          </w:p>
          <w:p>
            <w:pPr>
              <w:pStyle w:val="TableParagraph"/>
              <w:spacing w:before="5"/>
              <w:jc w:val="left"/>
              <w:rPr>
                <w:sz w:val="29"/>
              </w:rPr>
            </w:pPr>
          </w:p>
          <w:p>
            <w:pPr>
              <w:pStyle w:val="TableParagraph"/>
              <w:ind w:left="136" w:right="126"/>
              <w:rPr>
                <w:rFonts w:ascii="Times New Roman"/>
                <w:sz w:val="21"/>
              </w:rPr>
            </w:pPr>
            <w:r>
              <w:rPr>
                <w:rFonts w:ascii="Times New Roman"/>
                <w:sz w:val="21"/>
              </w:rPr>
              <w:t>6.5</w:t>
            </w:r>
          </w:p>
        </w:tc>
        <w:tc>
          <w:tcPr>
            <w:tcW w:w="1595" w:type="dxa"/>
            <w:vMerge w:val="restart"/>
          </w:tcPr>
          <w:p>
            <w:pPr>
              <w:pStyle w:val="TableParagraph"/>
              <w:spacing w:line="278" w:lineRule="auto" w:before="20"/>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1"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100"/>
              <w:ind w:left="120" w:right="113"/>
              <w:rPr>
                <w:sz w:val="21"/>
              </w:rPr>
            </w:pPr>
            <w:r>
              <w:rPr>
                <w:sz w:val="21"/>
              </w:rPr>
              <w:t>透视</w:t>
            </w:r>
          </w:p>
        </w:tc>
        <w:tc>
          <w:tcPr>
            <w:tcW w:w="1214" w:type="dxa"/>
          </w:tcPr>
          <w:p>
            <w:pPr>
              <w:pStyle w:val="TableParagraph"/>
              <w:spacing w:before="114"/>
              <w:ind w:left="180" w:right="170"/>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14"/>
              <w:ind w:left="101" w:right="91"/>
              <w:rPr>
                <w:rFonts w:ascii="Times New Roman" w:hAnsi="Times New Roman"/>
                <w:sz w:val="21"/>
              </w:rPr>
            </w:pPr>
            <w:r>
              <w:rPr>
                <w:rFonts w:ascii="Times New Roman" w:hAnsi="Times New Roman"/>
                <w:sz w:val="21"/>
              </w:rPr>
              <w:t>5.22×10</w:t>
            </w:r>
            <w:r>
              <w:rPr>
                <w:rFonts w:ascii="Times New Roman" w:hAnsi="Times New Roman"/>
                <w:sz w:val="21"/>
                <w:vertAlign w:val="superscript"/>
              </w:rPr>
              <w:t>-6</w:t>
            </w:r>
          </w:p>
        </w:tc>
        <w:tc>
          <w:tcPr>
            <w:tcW w:w="1198" w:type="dxa"/>
            <w:tcBorders>
              <w:right w:val="nil"/>
            </w:tcBorders>
          </w:tcPr>
          <w:p>
            <w:pPr>
              <w:pStyle w:val="TableParagraph"/>
              <w:spacing w:before="114"/>
              <w:ind w:left="163" w:right="159"/>
              <w:rPr>
                <w:rFonts w:ascii="Times New Roman" w:hAnsi="Times New Roman"/>
                <w:sz w:val="21"/>
              </w:rPr>
            </w:pPr>
            <w:r>
              <w:rPr>
                <w:rFonts w:ascii="Times New Roman" w:hAnsi="Times New Roman"/>
                <w:sz w:val="21"/>
              </w:rPr>
              <w:t>1.02×10</w:t>
            </w:r>
            <w:r>
              <w:rPr>
                <w:rFonts w:ascii="Times New Roman" w:hAnsi="Times New Roman"/>
                <w:sz w:val="21"/>
                <w:vertAlign w:val="superscript"/>
              </w:rPr>
              <w:t>-6</w:t>
            </w:r>
          </w:p>
        </w:tc>
        <w:tc>
          <w:tcPr>
            <w:tcW w:w="206" w:type="dxa"/>
            <w:vMerge/>
            <w:tcBorders>
              <w:top w:val="nil"/>
              <w:left w:val="nil"/>
            </w:tcBorders>
          </w:tcPr>
          <w:p>
            <w:pPr>
              <w:rPr>
                <w:sz w:val="2"/>
                <w:szCs w:val="2"/>
              </w:rPr>
            </w:pPr>
          </w:p>
        </w:tc>
      </w:tr>
      <w:tr>
        <w:trPr>
          <w:trHeight w:val="1062" w:hRule="atLeast"/>
        </w:trPr>
        <w:tc>
          <w:tcPr>
            <w:tcW w:w="205" w:type="dxa"/>
            <w:vMerge/>
            <w:tcBorders>
              <w:top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40"/>
              <w:ind w:left="120" w:right="113"/>
              <w:rPr>
                <w:sz w:val="21"/>
              </w:rPr>
            </w:pPr>
            <w:r>
              <w:rPr>
                <w:sz w:val="21"/>
              </w:rPr>
              <w:t>拍片</w:t>
            </w:r>
          </w:p>
        </w:tc>
        <w:tc>
          <w:tcPr>
            <w:tcW w:w="1214" w:type="dxa"/>
          </w:tcPr>
          <w:p>
            <w:pPr>
              <w:pStyle w:val="TableParagraph"/>
              <w:jc w:val="left"/>
              <w:rPr>
                <w:sz w:val="32"/>
              </w:rPr>
            </w:pPr>
          </w:p>
          <w:p>
            <w:pPr>
              <w:pStyle w:val="TableParagraph"/>
              <w:ind w:left="180" w:right="170"/>
              <w:rPr>
                <w:rFonts w:ascii="Times New Roman" w:hAnsi="Times New Roman"/>
                <w:sz w:val="21"/>
              </w:rPr>
            </w:pPr>
            <w:r>
              <w:rPr>
                <w:rFonts w:ascii="Times New Roman" w:hAnsi="Times New Roman"/>
                <w:sz w:val="21"/>
              </w:rPr>
              <w:t>5.38×10</w:t>
            </w:r>
            <w:r>
              <w:rPr>
                <w:rFonts w:ascii="Times New Roman" w:hAnsi="Times New Roman"/>
                <w:sz w:val="21"/>
                <w:vertAlign w:val="superscript"/>
              </w:rPr>
              <w:t>-7</w:t>
            </w:r>
          </w:p>
        </w:tc>
        <w:tc>
          <w:tcPr>
            <w:tcW w:w="1227" w:type="dxa"/>
          </w:tcPr>
          <w:p>
            <w:pPr>
              <w:pStyle w:val="TableParagraph"/>
              <w:jc w:val="left"/>
              <w:rPr>
                <w:sz w:val="32"/>
              </w:rPr>
            </w:pPr>
          </w:p>
          <w:p>
            <w:pPr>
              <w:pStyle w:val="TableParagraph"/>
              <w:ind w:left="101" w:right="91"/>
              <w:rPr>
                <w:rFonts w:ascii="Times New Roman" w:hAnsi="Times New Roman"/>
                <w:sz w:val="21"/>
              </w:rPr>
            </w:pPr>
            <w:r>
              <w:rPr>
                <w:rFonts w:ascii="Times New Roman" w:hAnsi="Times New Roman"/>
                <w:sz w:val="21"/>
              </w:rPr>
              <w:t>1.20×10</w:t>
            </w:r>
            <w:r>
              <w:rPr>
                <w:rFonts w:ascii="Times New Roman" w:hAnsi="Times New Roman"/>
                <w:sz w:val="21"/>
                <w:vertAlign w:val="superscript"/>
              </w:rPr>
              <w:t>-4</w:t>
            </w:r>
          </w:p>
        </w:tc>
        <w:tc>
          <w:tcPr>
            <w:tcW w:w="1198" w:type="dxa"/>
            <w:tcBorders>
              <w:right w:val="nil"/>
            </w:tcBorders>
          </w:tcPr>
          <w:p>
            <w:pPr>
              <w:pStyle w:val="TableParagraph"/>
              <w:jc w:val="left"/>
              <w:rPr>
                <w:sz w:val="32"/>
              </w:rPr>
            </w:pPr>
          </w:p>
          <w:p>
            <w:pPr>
              <w:pStyle w:val="TableParagraph"/>
              <w:ind w:left="163" w:right="159"/>
              <w:rPr>
                <w:rFonts w:ascii="Times New Roman" w:hAnsi="Times New Roman"/>
                <w:sz w:val="21"/>
              </w:rPr>
            </w:pPr>
            <w:r>
              <w:rPr>
                <w:rFonts w:ascii="Times New Roman" w:hAnsi="Times New Roman"/>
                <w:sz w:val="21"/>
              </w:rPr>
              <w:t>2.59×10</w:t>
            </w:r>
            <w:r>
              <w:rPr>
                <w:rFonts w:ascii="Times New Roman" w:hAnsi="Times New Roman"/>
                <w:sz w:val="21"/>
                <w:vertAlign w:val="superscript"/>
              </w:rPr>
              <w:t>-6</w:t>
            </w:r>
          </w:p>
        </w:tc>
        <w:tc>
          <w:tcPr>
            <w:tcW w:w="206" w:type="dxa"/>
            <w:vMerge/>
            <w:tcBorders>
              <w:top w:val="nil"/>
              <w:left w:val="nil"/>
            </w:tcBorders>
          </w:tcPr>
          <w:p>
            <w:pPr>
              <w:rPr>
                <w:sz w:val="2"/>
                <w:szCs w:val="2"/>
              </w:rPr>
            </w:pPr>
          </w:p>
        </w:tc>
      </w:tr>
      <w:tr>
        <w:trPr>
          <w:trHeight w:val="447" w:hRule="atLeast"/>
        </w:trPr>
        <w:tc>
          <w:tcPr>
            <w:tcW w:w="205" w:type="dxa"/>
            <w:vMerge/>
            <w:tcBorders>
              <w:top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val="restart"/>
          </w:tcPr>
          <w:p>
            <w:pPr>
              <w:pStyle w:val="TableParagraph"/>
              <w:jc w:val="left"/>
              <w:rPr>
                <w:sz w:val="20"/>
              </w:rPr>
            </w:pPr>
          </w:p>
          <w:p>
            <w:pPr>
              <w:pStyle w:val="TableParagraph"/>
              <w:spacing w:before="4"/>
              <w:jc w:val="left"/>
              <w:rPr>
                <w:sz w:val="17"/>
              </w:rPr>
            </w:pPr>
          </w:p>
          <w:p>
            <w:pPr>
              <w:pStyle w:val="TableParagraph"/>
              <w:spacing w:line="278" w:lineRule="auto"/>
              <w:ind w:left="106" w:right="41" w:firstLine="76"/>
              <w:jc w:val="left"/>
              <w:rPr>
                <w:sz w:val="21"/>
              </w:rPr>
            </w:pPr>
            <w:r>
              <w:rPr>
                <w:sz w:val="21"/>
              </w:rPr>
              <w:t>康复理疗</w:t>
            </w:r>
            <w:r>
              <w:rPr>
                <w:spacing w:val="-1"/>
                <w:sz w:val="21"/>
              </w:rPr>
              <w:t>楼（北侧）</w:t>
            </w:r>
          </w:p>
        </w:tc>
        <w:tc>
          <w:tcPr>
            <w:tcW w:w="1078" w:type="dxa"/>
            <w:vMerge w:val="restart"/>
          </w:tcPr>
          <w:p>
            <w:pPr>
              <w:pStyle w:val="TableParagraph"/>
              <w:jc w:val="left"/>
              <w:rPr>
                <w:sz w:val="22"/>
              </w:rPr>
            </w:pPr>
          </w:p>
          <w:p>
            <w:pPr>
              <w:pStyle w:val="TableParagraph"/>
              <w:spacing w:before="7"/>
              <w:jc w:val="left"/>
              <w:rPr>
                <w:sz w:val="28"/>
              </w:rPr>
            </w:pPr>
          </w:p>
          <w:p>
            <w:pPr>
              <w:pStyle w:val="TableParagraph"/>
              <w:ind w:left="136" w:right="126"/>
              <w:rPr>
                <w:rFonts w:ascii="Times New Roman"/>
                <w:sz w:val="21"/>
              </w:rPr>
            </w:pPr>
            <w:r>
              <w:rPr>
                <w:rFonts w:ascii="Times New Roman"/>
                <w:sz w:val="21"/>
              </w:rPr>
              <w:t>18</w:t>
            </w:r>
          </w:p>
        </w:tc>
        <w:tc>
          <w:tcPr>
            <w:tcW w:w="1595" w:type="dxa"/>
            <w:vMerge w:val="restart"/>
          </w:tcPr>
          <w:p>
            <w:pPr>
              <w:pStyle w:val="TableParagraph"/>
              <w:spacing w:line="278" w:lineRule="auto" w:before="10"/>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1"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89"/>
              <w:ind w:left="120" w:right="113"/>
              <w:rPr>
                <w:sz w:val="21"/>
              </w:rPr>
            </w:pPr>
            <w:r>
              <w:rPr>
                <w:sz w:val="21"/>
              </w:rPr>
              <w:t>透视</w:t>
            </w:r>
          </w:p>
        </w:tc>
        <w:tc>
          <w:tcPr>
            <w:tcW w:w="1214" w:type="dxa"/>
          </w:tcPr>
          <w:p>
            <w:pPr>
              <w:pStyle w:val="TableParagraph"/>
              <w:spacing w:before="103"/>
              <w:ind w:left="180" w:right="170"/>
              <w:rPr>
                <w:rFonts w:ascii="Times New Roman" w:hAnsi="Times New Roman"/>
                <w:sz w:val="21"/>
              </w:rPr>
            </w:pPr>
            <w:r>
              <w:rPr>
                <w:rFonts w:ascii="Times New Roman" w:hAnsi="Times New Roman"/>
                <w:sz w:val="21"/>
              </w:rPr>
              <w:t>2.34×10</w:t>
            </w:r>
            <w:r>
              <w:rPr>
                <w:rFonts w:ascii="Times New Roman" w:hAnsi="Times New Roman"/>
                <w:sz w:val="21"/>
                <w:vertAlign w:val="superscript"/>
              </w:rPr>
              <w:t>-8</w:t>
            </w:r>
          </w:p>
        </w:tc>
        <w:tc>
          <w:tcPr>
            <w:tcW w:w="1227" w:type="dxa"/>
          </w:tcPr>
          <w:p>
            <w:pPr>
              <w:pStyle w:val="TableParagraph"/>
              <w:spacing w:before="103"/>
              <w:ind w:left="101" w:right="91"/>
              <w:rPr>
                <w:rFonts w:ascii="Times New Roman" w:hAnsi="Times New Roman"/>
                <w:sz w:val="21"/>
              </w:rPr>
            </w:pPr>
            <w:r>
              <w:rPr>
                <w:rFonts w:ascii="Times New Roman" w:hAnsi="Times New Roman"/>
                <w:sz w:val="21"/>
              </w:rPr>
              <w:t>6.81×10</w:t>
            </w:r>
            <w:r>
              <w:rPr>
                <w:rFonts w:ascii="Times New Roman" w:hAnsi="Times New Roman"/>
                <w:sz w:val="21"/>
                <w:vertAlign w:val="superscript"/>
              </w:rPr>
              <w:t>-7</w:t>
            </w:r>
          </w:p>
        </w:tc>
        <w:tc>
          <w:tcPr>
            <w:tcW w:w="1198" w:type="dxa"/>
            <w:tcBorders>
              <w:right w:val="nil"/>
            </w:tcBorders>
          </w:tcPr>
          <w:p>
            <w:pPr>
              <w:pStyle w:val="TableParagraph"/>
              <w:spacing w:before="103"/>
              <w:ind w:left="163" w:right="159"/>
              <w:rPr>
                <w:rFonts w:ascii="Times New Roman" w:hAnsi="Times New Roman"/>
                <w:sz w:val="21"/>
              </w:rPr>
            </w:pPr>
            <w:r>
              <w:rPr>
                <w:rFonts w:ascii="Times New Roman" w:hAnsi="Times New Roman"/>
                <w:sz w:val="21"/>
              </w:rPr>
              <w:t>1.33×10</w:t>
            </w:r>
            <w:r>
              <w:rPr>
                <w:rFonts w:ascii="Times New Roman" w:hAnsi="Times New Roman"/>
                <w:sz w:val="21"/>
                <w:vertAlign w:val="superscript"/>
              </w:rPr>
              <w:t>-7</w:t>
            </w:r>
          </w:p>
        </w:tc>
        <w:tc>
          <w:tcPr>
            <w:tcW w:w="206" w:type="dxa"/>
            <w:vMerge/>
            <w:tcBorders>
              <w:top w:val="nil"/>
              <w:left w:val="nil"/>
            </w:tcBorders>
          </w:tcPr>
          <w:p>
            <w:pPr>
              <w:rPr>
                <w:sz w:val="2"/>
                <w:szCs w:val="2"/>
              </w:rPr>
            </w:pPr>
          </w:p>
        </w:tc>
      </w:tr>
      <w:tr>
        <w:trPr>
          <w:trHeight w:val="1062" w:hRule="atLeast"/>
        </w:trPr>
        <w:tc>
          <w:tcPr>
            <w:tcW w:w="205" w:type="dxa"/>
            <w:vMerge/>
            <w:tcBorders>
              <w:top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tcBorders>
          </w:tcPr>
          <w:p>
            <w:pPr>
              <w:rPr>
                <w:sz w:val="2"/>
                <w:szCs w:val="2"/>
              </w:rPr>
            </w:pPr>
          </w:p>
        </w:tc>
        <w:tc>
          <w:tcPr>
            <w:tcW w:w="1078" w:type="dxa"/>
            <w:vMerge/>
            <w:tcBorders>
              <w:top w:val="nil"/>
            </w:tcBorders>
          </w:tcPr>
          <w:p>
            <w:pPr>
              <w:rPr>
                <w:sz w:val="2"/>
                <w:szCs w:val="2"/>
              </w:rPr>
            </w:pPr>
          </w:p>
        </w:tc>
        <w:tc>
          <w:tcPr>
            <w:tcW w:w="1595" w:type="dxa"/>
            <w:vMerge/>
            <w:tcBorders>
              <w:top w:val="nil"/>
            </w:tcBorders>
          </w:tcPr>
          <w:p>
            <w:pPr>
              <w:rPr>
                <w:sz w:val="2"/>
                <w:szCs w:val="2"/>
              </w:rPr>
            </w:pPr>
          </w:p>
        </w:tc>
        <w:tc>
          <w:tcPr>
            <w:tcW w:w="723" w:type="dxa"/>
          </w:tcPr>
          <w:p>
            <w:pPr>
              <w:pStyle w:val="TableParagraph"/>
              <w:jc w:val="left"/>
              <w:rPr>
                <w:sz w:val="20"/>
              </w:rPr>
            </w:pPr>
          </w:p>
          <w:p>
            <w:pPr>
              <w:pStyle w:val="TableParagraph"/>
              <w:spacing w:before="140"/>
              <w:ind w:left="120" w:right="113"/>
              <w:rPr>
                <w:sz w:val="21"/>
              </w:rPr>
            </w:pPr>
            <w:r>
              <w:rPr>
                <w:sz w:val="21"/>
              </w:rPr>
              <w:t>拍片</w:t>
            </w:r>
          </w:p>
        </w:tc>
        <w:tc>
          <w:tcPr>
            <w:tcW w:w="1214" w:type="dxa"/>
          </w:tcPr>
          <w:p>
            <w:pPr>
              <w:pStyle w:val="TableParagraph"/>
              <w:jc w:val="left"/>
              <w:rPr>
                <w:sz w:val="32"/>
              </w:rPr>
            </w:pPr>
          </w:p>
          <w:p>
            <w:pPr>
              <w:pStyle w:val="TableParagraph"/>
              <w:ind w:left="180" w:right="170"/>
              <w:rPr>
                <w:rFonts w:ascii="Times New Roman" w:hAnsi="Times New Roman"/>
                <w:sz w:val="13"/>
              </w:rPr>
            </w:pPr>
            <w:r>
              <w:rPr>
                <w:rFonts w:ascii="Times New Roman" w:hAnsi="Times New Roman"/>
                <w:sz w:val="21"/>
              </w:rPr>
              <w:t>5.38×10</w:t>
            </w:r>
            <w:r>
              <w:rPr>
                <w:rFonts w:ascii="Times New Roman" w:hAnsi="Times New Roman"/>
                <w:position w:val="7"/>
                <w:sz w:val="13"/>
              </w:rPr>
              <w:t>-7</w:t>
            </w:r>
          </w:p>
        </w:tc>
        <w:tc>
          <w:tcPr>
            <w:tcW w:w="1227" w:type="dxa"/>
          </w:tcPr>
          <w:p>
            <w:pPr>
              <w:pStyle w:val="TableParagraph"/>
              <w:jc w:val="left"/>
              <w:rPr>
                <w:sz w:val="32"/>
              </w:rPr>
            </w:pPr>
          </w:p>
          <w:p>
            <w:pPr>
              <w:pStyle w:val="TableParagraph"/>
              <w:ind w:left="101" w:right="91"/>
              <w:rPr>
                <w:rFonts w:ascii="Times New Roman" w:hAnsi="Times New Roman"/>
                <w:sz w:val="13"/>
              </w:rPr>
            </w:pPr>
            <w:r>
              <w:rPr>
                <w:rFonts w:ascii="Times New Roman" w:hAnsi="Times New Roman"/>
                <w:sz w:val="21"/>
              </w:rPr>
              <w:t>1.57×10</w:t>
            </w:r>
            <w:r>
              <w:rPr>
                <w:rFonts w:ascii="Times New Roman" w:hAnsi="Times New Roman"/>
                <w:position w:val="7"/>
                <w:sz w:val="13"/>
              </w:rPr>
              <w:t>-5</w:t>
            </w:r>
          </w:p>
        </w:tc>
        <w:tc>
          <w:tcPr>
            <w:tcW w:w="1198" w:type="dxa"/>
            <w:tcBorders>
              <w:right w:val="nil"/>
            </w:tcBorders>
          </w:tcPr>
          <w:p>
            <w:pPr>
              <w:pStyle w:val="TableParagraph"/>
              <w:jc w:val="left"/>
              <w:rPr>
                <w:sz w:val="32"/>
              </w:rPr>
            </w:pPr>
          </w:p>
          <w:p>
            <w:pPr>
              <w:pStyle w:val="TableParagraph"/>
              <w:ind w:left="163" w:right="159"/>
              <w:rPr>
                <w:rFonts w:ascii="Times New Roman" w:hAnsi="Times New Roman"/>
                <w:sz w:val="13"/>
              </w:rPr>
            </w:pPr>
            <w:r>
              <w:rPr>
                <w:rFonts w:ascii="Times New Roman" w:hAnsi="Times New Roman"/>
                <w:sz w:val="21"/>
              </w:rPr>
              <w:t>3.38×10</w:t>
            </w:r>
            <w:r>
              <w:rPr>
                <w:rFonts w:ascii="Times New Roman" w:hAnsi="Times New Roman"/>
                <w:position w:val="7"/>
                <w:sz w:val="13"/>
              </w:rPr>
              <w:t>-7</w:t>
            </w:r>
          </w:p>
        </w:tc>
        <w:tc>
          <w:tcPr>
            <w:tcW w:w="206" w:type="dxa"/>
            <w:vMerge/>
            <w:tcBorders>
              <w:top w:val="nil"/>
              <w:left w:val="nil"/>
            </w:tcBorders>
          </w:tcPr>
          <w:p>
            <w:pPr>
              <w:rPr>
                <w:sz w:val="2"/>
                <w:szCs w:val="2"/>
              </w:rPr>
            </w:pPr>
          </w:p>
        </w:tc>
      </w:tr>
      <w:tr>
        <w:trPr>
          <w:trHeight w:val="447" w:hRule="atLeast"/>
        </w:trPr>
        <w:tc>
          <w:tcPr>
            <w:tcW w:w="205" w:type="dxa"/>
            <w:vMerge/>
            <w:tcBorders>
              <w:top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val="restart"/>
            <w:tcBorders>
              <w:bottom w:val="single" w:sz="12" w:space="0" w:color="000000"/>
            </w:tcBorders>
          </w:tcPr>
          <w:p>
            <w:pPr>
              <w:pStyle w:val="TableParagraph"/>
              <w:jc w:val="left"/>
              <w:rPr>
                <w:sz w:val="20"/>
              </w:rPr>
            </w:pPr>
          </w:p>
          <w:p>
            <w:pPr>
              <w:pStyle w:val="TableParagraph"/>
              <w:spacing w:before="3"/>
              <w:jc w:val="left"/>
              <w:rPr>
                <w:sz w:val="17"/>
              </w:rPr>
            </w:pPr>
          </w:p>
          <w:p>
            <w:pPr>
              <w:pStyle w:val="TableParagraph"/>
              <w:spacing w:line="278" w:lineRule="auto" w:before="1"/>
              <w:ind w:left="289" w:right="96" w:hanging="183"/>
              <w:jc w:val="left"/>
              <w:rPr>
                <w:sz w:val="21"/>
              </w:rPr>
            </w:pPr>
            <w:r>
              <w:rPr>
                <w:spacing w:val="-20"/>
                <w:sz w:val="21"/>
              </w:rPr>
              <w:t>门诊楼</w:t>
            </w:r>
            <w:r>
              <w:rPr>
                <w:spacing w:val="-1"/>
                <w:sz w:val="21"/>
              </w:rPr>
              <w:t>（东</w:t>
            </w:r>
            <w:r>
              <w:rPr>
                <w:sz w:val="21"/>
              </w:rPr>
              <w:t>北侧）</w:t>
            </w:r>
          </w:p>
        </w:tc>
        <w:tc>
          <w:tcPr>
            <w:tcW w:w="1078" w:type="dxa"/>
            <w:vMerge w:val="restart"/>
            <w:tcBorders>
              <w:bottom w:val="single" w:sz="12" w:space="0" w:color="000000"/>
            </w:tcBorders>
          </w:tcPr>
          <w:p>
            <w:pPr>
              <w:pStyle w:val="TableParagraph"/>
              <w:jc w:val="left"/>
              <w:rPr>
                <w:sz w:val="22"/>
              </w:rPr>
            </w:pPr>
          </w:p>
          <w:p>
            <w:pPr>
              <w:pStyle w:val="TableParagraph"/>
              <w:spacing w:before="7"/>
              <w:jc w:val="left"/>
              <w:rPr>
                <w:sz w:val="28"/>
              </w:rPr>
            </w:pPr>
          </w:p>
          <w:p>
            <w:pPr>
              <w:pStyle w:val="TableParagraph"/>
              <w:ind w:left="136" w:right="126"/>
              <w:rPr>
                <w:rFonts w:ascii="Times New Roman"/>
                <w:sz w:val="21"/>
              </w:rPr>
            </w:pPr>
            <w:r>
              <w:rPr>
                <w:rFonts w:ascii="Times New Roman"/>
                <w:sz w:val="21"/>
              </w:rPr>
              <w:t>20</w:t>
            </w:r>
          </w:p>
        </w:tc>
        <w:tc>
          <w:tcPr>
            <w:tcW w:w="1595" w:type="dxa"/>
            <w:vMerge w:val="restart"/>
            <w:tcBorders>
              <w:bottom w:val="single" w:sz="12" w:space="0" w:color="000000"/>
            </w:tcBorders>
          </w:tcPr>
          <w:p>
            <w:pPr>
              <w:pStyle w:val="TableParagraph"/>
              <w:spacing w:line="278" w:lineRule="auto" w:before="10"/>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9"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Pr>
          <w:p>
            <w:pPr>
              <w:pStyle w:val="TableParagraph"/>
              <w:spacing w:before="89"/>
              <w:ind w:left="120" w:right="113"/>
              <w:rPr>
                <w:sz w:val="21"/>
              </w:rPr>
            </w:pPr>
            <w:r>
              <w:rPr>
                <w:sz w:val="21"/>
              </w:rPr>
              <w:t>透视</w:t>
            </w:r>
          </w:p>
        </w:tc>
        <w:tc>
          <w:tcPr>
            <w:tcW w:w="1214" w:type="dxa"/>
          </w:tcPr>
          <w:p>
            <w:pPr>
              <w:pStyle w:val="TableParagraph"/>
              <w:spacing w:before="103"/>
              <w:ind w:left="180" w:right="170"/>
              <w:rPr>
                <w:rFonts w:ascii="Times New Roman" w:hAnsi="Times New Roman"/>
                <w:sz w:val="13"/>
              </w:rPr>
            </w:pPr>
            <w:r>
              <w:rPr>
                <w:rFonts w:ascii="Times New Roman" w:hAnsi="Times New Roman"/>
                <w:sz w:val="21"/>
              </w:rPr>
              <w:t>2.34×10</w:t>
            </w:r>
            <w:r>
              <w:rPr>
                <w:rFonts w:ascii="Times New Roman" w:hAnsi="Times New Roman"/>
                <w:position w:val="7"/>
                <w:sz w:val="13"/>
              </w:rPr>
              <w:t>-8</w:t>
            </w:r>
          </w:p>
        </w:tc>
        <w:tc>
          <w:tcPr>
            <w:tcW w:w="1227" w:type="dxa"/>
          </w:tcPr>
          <w:p>
            <w:pPr>
              <w:pStyle w:val="TableParagraph"/>
              <w:spacing w:before="103"/>
              <w:ind w:left="101" w:right="91"/>
              <w:rPr>
                <w:rFonts w:ascii="Times New Roman" w:hAnsi="Times New Roman"/>
                <w:sz w:val="13"/>
              </w:rPr>
            </w:pPr>
            <w:r>
              <w:rPr>
                <w:rFonts w:ascii="Times New Roman" w:hAnsi="Times New Roman"/>
                <w:sz w:val="21"/>
              </w:rPr>
              <w:t>5.52×10</w:t>
            </w:r>
            <w:r>
              <w:rPr>
                <w:rFonts w:ascii="Times New Roman" w:hAnsi="Times New Roman"/>
                <w:position w:val="7"/>
                <w:sz w:val="13"/>
              </w:rPr>
              <w:t>-7</w:t>
            </w:r>
          </w:p>
        </w:tc>
        <w:tc>
          <w:tcPr>
            <w:tcW w:w="1198" w:type="dxa"/>
            <w:tcBorders>
              <w:right w:val="nil"/>
            </w:tcBorders>
          </w:tcPr>
          <w:p>
            <w:pPr>
              <w:pStyle w:val="TableParagraph"/>
              <w:spacing w:before="103"/>
              <w:ind w:left="163" w:right="159"/>
              <w:rPr>
                <w:rFonts w:ascii="Times New Roman" w:hAnsi="Times New Roman"/>
                <w:sz w:val="13"/>
              </w:rPr>
            </w:pPr>
            <w:r>
              <w:rPr>
                <w:rFonts w:ascii="Times New Roman" w:hAnsi="Times New Roman"/>
                <w:sz w:val="21"/>
              </w:rPr>
              <w:t>1.08×10</w:t>
            </w:r>
            <w:r>
              <w:rPr>
                <w:rFonts w:ascii="Times New Roman" w:hAnsi="Times New Roman"/>
                <w:position w:val="7"/>
                <w:sz w:val="13"/>
              </w:rPr>
              <w:t>-7</w:t>
            </w:r>
          </w:p>
        </w:tc>
        <w:tc>
          <w:tcPr>
            <w:tcW w:w="206" w:type="dxa"/>
            <w:vMerge/>
            <w:tcBorders>
              <w:top w:val="nil"/>
              <w:left w:val="nil"/>
            </w:tcBorders>
          </w:tcPr>
          <w:p>
            <w:pPr>
              <w:rPr>
                <w:sz w:val="2"/>
                <w:szCs w:val="2"/>
              </w:rPr>
            </w:pPr>
          </w:p>
        </w:tc>
      </w:tr>
      <w:tr>
        <w:trPr>
          <w:trHeight w:val="1069" w:hRule="atLeast"/>
        </w:trPr>
        <w:tc>
          <w:tcPr>
            <w:tcW w:w="205" w:type="dxa"/>
            <w:vMerge/>
            <w:tcBorders>
              <w:top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bottom w:val="single" w:sz="12" w:space="0" w:color="000000"/>
            </w:tcBorders>
          </w:tcPr>
          <w:p>
            <w:pPr>
              <w:rPr>
                <w:sz w:val="2"/>
                <w:szCs w:val="2"/>
              </w:rPr>
            </w:pPr>
          </w:p>
        </w:tc>
        <w:tc>
          <w:tcPr>
            <w:tcW w:w="1078" w:type="dxa"/>
            <w:vMerge/>
            <w:tcBorders>
              <w:top w:val="nil"/>
              <w:bottom w:val="single" w:sz="12" w:space="0" w:color="000000"/>
            </w:tcBorders>
          </w:tcPr>
          <w:p>
            <w:pPr>
              <w:rPr>
                <w:sz w:val="2"/>
                <w:szCs w:val="2"/>
              </w:rPr>
            </w:pPr>
          </w:p>
        </w:tc>
        <w:tc>
          <w:tcPr>
            <w:tcW w:w="1595" w:type="dxa"/>
            <w:vMerge/>
            <w:tcBorders>
              <w:top w:val="nil"/>
              <w:bottom w:val="single" w:sz="12" w:space="0" w:color="000000"/>
            </w:tcBorders>
          </w:tcPr>
          <w:p>
            <w:pPr>
              <w:rPr>
                <w:sz w:val="2"/>
                <w:szCs w:val="2"/>
              </w:rPr>
            </w:pPr>
          </w:p>
        </w:tc>
        <w:tc>
          <w:tcPr>
            <w:tcW w:w="723" w:type="dxa"/>
            <w:tcBorders>
              <w:bottom w:val="single" w:sz="12" w:space="0" w:color="000000"/>
            </w:tcBorders>
          </w:tcPr>
          <w:p>
            <w:pPr>
              <w:pStyle w:val="TableParagraph"/>
              <w:jc w:val="left"/>
              <w:rPr>
                <w:sz w:val="20"/>
              </w:rPr>
            </w:pPr>
          </w:p>
          <w:p>
            <w:pPr>
              <w:pStyle w:val="TableParagraph"/>
              <w:spacing w:before="139"/>
              <w:ind w:left="120" w:right="113"/>
              <w:rPr>
                <w:sz w:val="21"/>
              </w:rPr>
            </w:pPr>
            <w:r>
              <w:rPr>
                <w:sz w:val="21"/>
              </w:rPr>
              <w:t>拍片</w:t>
            </w:r>
          </w:p>
        </w:tc>
        <w:tc>
          <w:tcPr>
            <w:tcW w:w="1214" w:type="dxa"/>
            <w:tcBorders>
              <w:bottom w:val="single" w:sz="12" w:space="0" w:color="000000"/>
            </w:tcBorders>
          </w:tcPr>
          <w:p>
            <w:pPr>
              <w:pStyle w:val="TableParagraph"/>
              <w:spacing w:before="12"/>
              <w:jc w:val="left"/>
              <w:rPr>
                <w:sz w:val="31"/>
              </w:rPr>
            </w:pPr>
          </w:p>
          <w:p>
            <w:pPr>
              <w:pStyle w:val="TableParagraph"/>
              <w:ind w:left="180" w:right="170"/>
              <w:rPr>
                <w:rFonts w:ascii="Times New Roman" w:hAnsi="Times New Roman"/>
                <w:sz w:val="13"/>
              </w:rPr>
            </w:pPr>
            <w:r>
              <w:rPr>
                <w:rFonts w:ascii="Times New Roman" w:hAnsi="Times New Roman"/>
                <w:sz w:val="21"/>
              </w:rPr>
              <w:t>5.38×10</w:t>
            </w:r>
            <w:r>
              <w:rPr>
                <w:rFonts w:ascii="Times New Roman" w:hAnsi="Times New Roman"/>
                <w:position w:val="7"/>
                <w:sz w:val="13"/>
              </w:rPr>
              <w:t>-7</w:t>
            </w:r>
          </w:p>
        </w:tc>
        <w:tc>
          <w:tcPr>
            <w:tcW w:w="1227" w:type="dxa"/>
            <w:tcBorders>
              <w:bottom w:val="single" w:sz="12" w:space="0" w:color="000000"/>
            </w:tcBorders>
          </w:tcPr>
          <w:p>
            <w:pPr>
              <w:pStyle w:val="TableParagraph"/>
              <w:spacing w:before="12"/>
              <w:jc w:val="left"/>
              <w:rPr>
                <w:sz w:val="31"/>
              </w:rPr>
            </w:pPr>
          </w:p>
          <w:p>
            <w:pPr>
              <w:pStyle w:val="TableParagraph"/>
              <w:ind w:left="101" w:right="91"/>
              <w:rPr>
                <w:rFonts w:ascii="Times New Roman" w:hAnsi="Times New Roman"/>
                <w:sz w:val="13"/>
              </w:rPr>
            </w:pPr>
            <w:r>
              <w:rPr>
                <w:rFonts w:ascii="Times New Roman" w:hAnsi="Times New Roman"/>
                <w:sz w:val="21"/>
              </w:rPr>
              <w:t>1.27×10</w:t>
            </w:r>
            <w:r>
              <w:rPr>
                <w:rFonts w:ascii="Times New Roman" w:hAnsi="Times New Roman"/>
                <w:position w:val="7"/>
                <w:sz w:val="13"/>
              </w:rPr>
              <w:t>-5</w:t>
            </w:r>
          </w:p>
        </w:tc>
        <w:tc>
          <w:tcPr>
            <w:tcW w:w="1198" w:type="dxa"/>
            <w:tcBorders>
              <w:bottom w:val="single" w:sz="12" w:space="0" w:color="000000"/>
              <w:right w:val="nil"/>
            </w:tcBorders>
          </w:tcPr>
          <w:p>
            <w:pPr>
              <w:pStyle w:val="TableParagraph"/>
              <w:spacing w:before="12"/>
              <w:jc w:val="left"/>
              <w:rPr>
                <w:sz w:val="31"/>
              </w:rPr>
            </w:pPr>
          </w:p>
          <w:p>
            <w:pPr>
              <w:pStyle w:val="TableParagraph"/>
              <w:ind w:left="163" w:right="159"/>
              <w:rPr>
                <w:rFonts w:ascii="Times New Roman" w:hAnsi="Times New Roman"/>
                <w:sz w:val="13"/>
              </w:rPr>
            </w:pPr>
            <w:r>
              <w:rPr>
                <w:rFonts w:ascii="Times New Roman" w:hAnsi="Times New Roman"/>
                <w:sz w:val="21"/>
              </w:rPr>
              <w:t>2.74×10</w:t>
            </w:r>
            <w:r>
              <w:rPr>
                <w:rFonts w:ascii="Times New Roman" w:hAnsi="Times New Roman"/>
                <w:position w:val="7"/>
                <w:sz w:val="13"/>
              </w:rPr>
              <w:t>-7</w:t>
            </w:r>
          </w:p>
        </w:tc>
        <w:tc>
          <w:tcPr>
            <w:tcW w:w="206" w:type="dxa"/>
            <w:vMerge/>
            <w:tcBorders>
              <w:top w:val="nil"/>
              <w:left w:val="nil"/>
            </w:tcBorders>
          </w:tcPr>
          <w:p>
            <w:pPr>
              <w:rPr>
                <w:sz w:val="2"/>
                <w:szCs w:val="2"/>
              </w:rPr>
            </w:pPr>
          </w:p>
        </w:tc>
      </w:tr>
      <w:tr>
        <w:trPr>
          <w:trHeight w:val="433" w:hRule="atLeast"/>
        </w:trPr>
        <w:tc>
          <w:tcPr>
            <w:tcW w:w="205" w:type="dxa"/>
            <w:vMerge/>
            <w:tcBorders>
              <w:top w:val="nil"/>
              <w:right w:val="nil"/>
            </w:tcBorders>
          </w:tcPr>
          <w:p>
            <w:pPr>
              <w:rPr>
                <w:sz w:val="2"/>
                <w:szCs w:val="2"/>
              </w:rPr>
            </w:pPr>
          </w:p>
        </w:tc>
        <w:tc>
          <w:tcPr>
            <w:tcW w:w="8830" w:type="dxa"/>
            <w:gridSpan w:val="8"/>
            <w:tcBorders>
              <w:top w:val="single" w:sz="12" w:space="0" w:color="000000"/>
              <w:left w:val="nil"/>
              <w:right w:val="nil"/>
            </w:tcBorders>
          </w:tcPr>
          <w:p>
            <w:pPr>
              <w:pStyle w:val="TableParagraph"/>
              <w:jc w:val="left"/>
              <w:rPr>
                <w:rFonts w:ascii="Times New Roman"/>
                <w:sz w:val="20"/>
              </w:rPr>
            </w:pPr>
          </w:p>
        </w:tc>
        <w:tc>
          <w:tcPr>
            <w:tcW w:w="206" w:type="dxa"/>
            <w:vMerge/>
            <w:tcBorders>
              <w:top w:val="nil"/>
              <w:left w:val="nil"/>
            </w:tcBorders>
          </w:tcPr>
          <w:p>
            <w:pPr>
              <w:rPr>
                <w:sz w:val="2"/>
                <w:szCs w:val="2"/>
              </w:rPr>
            </w:pPr>
          </w:p>
        </w:tc>
      </w:tr>
    </w:tbl>
    <w:p>
      <w:pPr>
        <w:spacing w:after="0"/>
        <w:rPr>
          <w:sz w:val="2"/>
          <w:szCs w:val="2"/>
        </w:rPr>
        <w:sectPr>
          <w:pgSz w:w="11910" w:h="16840"/>
          <w:pgMar w:header="0" w:footer="1383" w:top="1420" w:bottom="1580" w:left="1240" w:right="1040"/>
        </w:sectPr>
      </w:pPr>
    </w:p>
    <w:tbl>
      <w:tblPr>
        <w:tblW w:w="0" w:type="auto"/>
        <w:jc w:val="left"/>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
        <w:gridCol w:w="586"/>
        <w:gridCol w:w="1209"/>
        <w:gridCol w:w="1078"/>
        <w:gridCol w:w="1595"/>
        <w:gridCol w:w="723"/>
        <w:gridCol w:w="1214"/>
        <w:gridCol w:w="1227"/>
        <w:gridCol w:w="1198"/>
        <w:gridCol w:w="206"/>
      </w:tblGrid>
      <w:tr>
        <w:trPr>
          <w:trHeight w:val="455" w:hRule="atLeast"/>
        </w:trPr>
        <w:tc>
          <w:tcPr>
            <w:tcW w:w="205" w:type="dxa"/>
            <w:vMerge w:val="restart"/>
            <w:tcBorders>
              <w:bottom w:val="nil"/>
              <w:right w:val="nil"/>
            </w:tcBorders>
          </w:tcPr>
          <w:p>
            <w:pPr>
              <w:pStyle w:val="TableParagraph"/>
              <w:jc w:val="left"/>
              <w:rPr>
                <w:rFonts w:ascii="Times New Roman"/>
                <w:sz w:val="20"/>
              </w:rPr>
            </w:pPr>
          </w:p>
        </w:tc>
        <w:tc>
          <w:tcPr>
            <w:tcW w:w="586" w:type="dxa"/>
            <w:vMerge w:val="restart"/>
            <w:tcBorders>
              <w:top w:val="single" w:sz="18" w:space="0" w:color="000000"/>
              <w:left w:val="nil"/>
              <w:bottom w:val="single" w:sz="12" w:space="0" w:color="000000"/>
            </w:tcBorders>
          </w:tcPr>
          <w:p>
            <w:pPr>
              <w:pStyle w:val="TableParagraph"/>
              <w:jc w:val="left"/>
              <w:rPr>
                <w:rFonts w:ascii="Times New Roman"/>
                <w:sz w:val="20"/>
              </w:rPr>
            </w:pPr>
          </w:p>
        </w:tc>
        <w:tc>
          <w:tcPr>
            <w:tcW w:w="1209" w:type="dxa"/>
            <w:vMerge w:val="restart"/>
            <w:tcBorders>
              <w:top w:val="single" w:sz="18" w:space="0" w:color="000000"/>
              <w:bottom w:val="single" w:sz="12" w:space="0" w:color="000000"/>
            </w:tcBorders>
          </w:tcPr>
          <w:p>
            <w:pPr>
              <w:pStyle w:val="TableParagraph"/>
              <w:spacing w:before="9"/>
              <w:jc w:val="left"/>
              <w:rPr>
                <w:sz w:val="25"/>
              </w:rPr>
            </w:pPr>
          </w:p>
          <w:p>
            <w:pPr>
              <w:pStyle w:val="TableParagraph"/>
              <w:spacing w:line="278" w:lineRule="auto"/>
              <w:ind w:left="183" w:right="175"/>
              <w:jc w:val="left"/>
              <w:rPr>
                <w:sz w:val="21"/>
              </w:rPr>
            </w:pPr>
            <w:r>
              <w:rPr>
                <w:spacing w:val="-2"/>
                <w:sz w:val="21"/>
              </w:rPr>
              <w:t>疑难病症诊治中心</w:t>
            </w:r>
          </w:p>
          <w:p>
            <w:pPr>
              <w:pStyle w:val="TableParagraph"/>
              <w:spacing w:line="269" w:lineRule="exact"/>
              <w:ind w:left="106"/>
              <w:jc w:val="left"/>
              <w:rPr>
                <w:sz w:val="21"/>
              </w:rPr>
            </w:pPr>
            <w:r>
              <w:rPr>
                <w:sz w:val="21"/>
              </w:rPr>
              <w:t>（西南侧）</w:t>
            </w:r>
          </w:p>
        </w:tc>
        <w:tc>
          <w:tcPr>
            <w:tcW w:w="1078" w:type="dxa"/>
            <w:vMerge w:val="restart"/>
            <w:tcBorders>
              <w:top w:val="single" w:sz="18" w:space="0" w:color="000000"/>
              <w:bottom w:val="single" w:sz="12" w:space="0" w:color="000000"/>
            </w:tcBorders>
          </w:tcPr>
          <w:p>
            <w:pPr>
              <w:pStyle w:val="TableParagraph"/>
              <w:jc w:val="left"/>
              <w:rPr>
                <w:sz w:val="22"/>
              </w:rPr>
            </w:pPr>
          </w:p>
          <w:p>
            <w:pPr>
              <w:pStyle w:val="TableParagraph"/>
              <w:spacing w:before="2"/>
              <w:jc w:val="left"/>
              <w:rPr>
                <w:sz w:val="29"/>
              </w:rPr>
            </w:pPr>
          </w:p>
          <w:p>
            <w:pPr>
              <w:pStyle w:val="TableParagraph"/>
              <w:ind w:left="136" w:right="126"/>
              <w:rPr>
                <w:rFonts w:ascii="Times New Roman"/>
                <w:sz w:val="21"/>
              </w:rPr>
            </w:pPr>
            <w:r>
              <w:rPr>
                <w:rFonts w:ascii="Times New Roman"/>
                <w:sz w:val="21"/>
              </w:rPr>
              <w:t>35</w:t>
            </w:r>
          </w:p>
        </w:tc>
        <w:tc>
          <w:tcPr>
            <w:tcW w:w="1595" w:type="dxa"/>
            <w:vMerge w:val="restart"/>
            <w:tcBorders>
              <w:top w:val="single" w:sz="18" w:space="0" w:color="000000"/>
              <w:bottom w:val="single" w:sz="12" w:space="0" w:color="000000"/>
            </w:tcBorders>
          </w:tcPr>
          <w:p>
            <w:pPr>
              <w:pStyle w:val="TableParagraph"/>
              <w:spacing w:line="278" w:lineRule="auto" w:before="18"/>
              <w:ind w:left="107" w:right="98" w:firstLine="28"/>
              <w:jc w:val="both"/>
              <w:rPr>
                <w:sz w:val="21"/>
              </w:rPr>
            </w:pPr>
            <w:r>
              <w:rPr>
                <w:rFonts w:ascii="Times New Roman" w:eastAsia="Times New Roman"/>
                <w:sz w:val="21"/>
              </w:rPr>
              <w:t>240mm</w:t>
            </w:r>
            <w:r>
              <w:rPr>
                <w:rFonts w:ascii="Times New Roman" w:eastAsia="Times New Roman"/>
                <w:spacing w:val="-3"/>
                <w:sz w:val="21"/>
              </w:rPr>
              <w:t> </w:t>
            </w:r>
            <w:r>
              <w:rPr>
                <w:sz w:val="21"/>
              </w:rPr>
              <w:t>厚实心砖墙</w:t>
            </w:r>
            <w:r>
              <w:rPr>
                <w:rFonts w:ascii="Times New Roman" w:eastAsia="Times New Roman"/>
                <w:sz w:val="21"/>
              </w:rPr>
              <w:t>+20mm</w:t>
            </w:r>
            <w:r>
              <w:rPr>
                <w:rFonts w:ascii="Times New Roman" w:eastAsia="Times New Roman"/>
                <w:spacing w:val="-1"/>
                <w:sz w:val="21"/>
              </w:rPr>
              <w:t> </w:t>
            </w:r>
            <w:r>
              <w:rPr>
                <w:sz w:val="21"/>
              </w:rPr>
              <w:t>厚射线防护复合</w:t>
            </w:r>
            <w:r>
              <w:rPr>
                <w:spacing w:val="-23"/>
                <w:w w:val="95"/>
                <w:sz w:val="21"/>
              </w:rPr>
              <w:t>微晶石板</w:t>
            </w:r>
            <w:r>
              <w:rPr>
                <w:w w:val="95"/>
                <w:sz w:val="21"/>
              </w:rPr>
              <w:t>（折合</w:t>
            </w:r>
          </w:p>
          <w:p>
            <w:pPr>
              <w:pStyle w:val="TableParagraph"/>
              <w:spacing w:line="269" w:lineRule="exact"/>
              <w:ind w:left="109"/>
              <w:jc w:val="both"/>
              <w:rPr>
                <w:sz w:val="21"/>
              </w:rPr>
            </w:pPr>
            <w:r>
              <w:rPr>
                <w:rFonts w:ascii="Times New Roman" w:eastAsia="Times New Roman"/>
                <w:spacing w:val="-2"/>
                <w:sz w:val="21"/>
              </w:rPr>
              <w:t>4.9mm</w:t>
            </w:r>
            <w:r>
              <w:rPr>
                <w:rFonts w:ascii="Times New Roman" w:eastAsia="Times New Roman"/>
                <w:spacing w:val="-11"/>
                <w:sz w:val="21"/>
              </w:rPr>
              <w:t> </w:t>
            </w:r>
            <w:r>
              <w:rPr>
                <w:spacing w:val="-2"/>
                <w:sz w:val="21"/>
              </w:rPr>
              <w:t>铅当量</w:t>
            </w:r>
            <w:r>
              <w:rPr>
                <w:spacing w:val="-1"/>
                <w:sz w:val="21"/>
              </w:rPr>
              <w:t>）</w:t>
            </w:r>
          </w:p>
        </w:tc>
        <w:tc>
          <w:tcPr>
            <w:tcW w:w="723" w:type="dxa"/>
            <w:tcBorders>
              <w:top w:val="single" w:sz="18" w:space="0" w:color="000000"/>
            </w:tcBorders>
          </w:tcPr>
          <w:p>
            <w:pPr>
              <w:pStyle w:val="TableParagraph"/>
              <w:spacing w:before="97"/>
              <w:ind w:left="120" w:right="113"/>
              <w:rPr>
                <w:sz w:val="21"/>
              </w:rPr>
            </w:pPr>
            <w:r>
              <w:rPr>
                <w:sz w:val="21"/>
              </w:rPr>
              <w:t>透视</w:t>
            </w:r>
          </w:p>
        </w:tc>
        <w:tc>
          <w:tcPr>
            <w:tcW w:w="1214" w:type="dxa"/>
            <w:tcBorders>
              <w:top w:val="single" w:sz="18" w:space="0" w:color="000000"/>
            </w:tcBorders>
          </w:tcPr>
          <w:p>
            <w:pPr>
              <w:pStyle w:val="TableParagraph"/>
              <w:spacing w:before="111"/>
              <w:ind w:right="190"/>
              <w:jc w:val="right"/>
              <w:rPr>
                <w:rFonts w:ascii="Times New Roman" w:hAnsi="Times New Roman"/>
                <w:sz w:val="13"/>
              </w:rPr>
            </w:pPr>
            <w:r>
              <w:rPr>
                <w:rFonts w:ascii="Times New Roman" w:hAnsi="Times New Roman"/>
                <w:sz w:val="21"/>
              </w:rPr>
              <w:t>2.34×10</w:t>
            </w:r>
            <w:r>
              <w:rPr>
                <w:rFonts w:ascii="Times New Roman" w:hAnsi="Times New Roman"/>
                <w:position w:val="7"/>
                <w:sz w:val="13"/>
              </w:rPr>
              <w:t>-8</w:t>
            </w:r>
          </w:p>
        </w:tc>
        <w:tc>
          <w:tcPr>
            <w:tcW w:w="1227" w:type="dxa"/>
            <w:tcBorders>
              <w:top w:val="single" w:sz="18" w:space="0" w:color="000000"/>
            </w:tcBorders>
          </w:tcPr>
          <w:p>
            <w:pPr>
              <w:pStyle w:val="TableParagraph"/>
              <w:spacing w:before="111"/>
              <w:ind w:left="101" w:right="91"/>
              <w:rPr>
                <w:rFonts w:ascii="Times New Roman" w:hAnsi="Times New Roman"/>
                <w:sz w:val="13"/>
              </w:rPr>
            </w:pPr>
            <w:r>
              <w:rPr>
                <w:rFonts w:ascii="Times New Roman" w:hAnsi="Times New Roman"/>
                <w:sz w:val="21"/>
              </w:rPr>
              <w:t>1.80×10</w:t>
            </w:r>
            <w:r>
              <w:rPr>
                <w:rFonts w:ascii="Times New Roman" w:hAnsi="Times New Roman"/>
                <w:position w:val="7"/>
                <w:sz w:val="13"/>
              </w:rPr>
              <w:t>-7</w:t>
            </w:r>
          </w:p>
        </w:tc>
        <w:tc>
          <w:tcPr>
            <w:tcW w:w="1198" w:type="dxa"/>
            <w:tcBorders>
              <w:top w:val="single" w:sz="18" w:space="0" w:color="000000"/>
              <w:right w:val="nil"/>
            </w:tcBorders>
          </w:tcPr>
          <w:p>
            <w:pPr>
              <w:pStyle w:val="TableParagraph"/>
              <w:spacing w:before="111"/>
              <w:ind w:left="193"/>
              <w:jc w:val="left"/>
              <w:rPr>
                <w:rFonts w:ascii="Times New Roman" w:hAnsi="Times New Roman"/>
                <w:sz w:val="13"/>
              </w:rPr>
            </w:pPr>
            <w:r>
              <w:rPr>
                <w:rFonts w:ascii="Times New Roman" w:hAnsi="Times New Roman"/>
                <w:sz w:val="21"/>
              </w:rPr>
              <w:t>3.51×10</w:t>
            </w:r>
            <w:r>
              <w:rPr>
                <w:rFonts w:ascii="Times New Roman" w:hAnsi="Times New Roman"/>
                <w:position w:val="7"/>
                <w:sz w:val="13"/>
              </w:rPr>
              <w:t>-8</w:t>
            </w:r>
          </w:p>
        </w:tc>
        <w:tc>
          <w:tcPr>
            <w:tcW w:w="206" w:type="dxa"/>
            <w:vMerge w:val="restart"/>
            <w:tcBorders>
              <w:left w:val="nil"/>
            </w:tcBorders>
          </w:tcPr>
          <w:p>
            <w:pPr>
              <w:pStyle w:val="TableParagraph"/>
              <w:jc w:val="left"/>
              <w:rPr>
                <w:rFonts w:ascii="Times New Roman"/>
                <w:sz w:val="20"/>
              </w:rPr>
            </w:pPr>
          </w:p>
        </w:tc>
      </w:tr>
      <w:tr>
        <w:trPr>
          <w:trHeight w:val="1071" w:hRule="atLeast"/>
        </w:trPr>
        <w:tc>
          <w:tcPr>
            <w:tcW w:w="205" w:type="dxa"/>
            <w:vMerge/>
            <w:tcBorders>
              <w:top w:val="nil"/>
              <w:bottom w:val="nil"/>
              <w:right w:val="nil"/>
            </w:tcBorders>
          </w:tcPr>
          <w:p>
            <w:pPr>
              <w:rPr>
                <w:sz w:val="2"/>
                <w:szCs w:val="2"/>
              </w:rPr>
            </w:pPr>
          </w:p>
        </w:tc>
        <w:tc>
          <w:tcPr>
            <w:tcW w:w="586" w:type="dxa"/>
            <w:vMerge/>
            <w:tcBorders>
              <w:top w:val="nil"/>
              <w:left w:val="nil"/>
              <w:bottom w:val="single" w:sz="12" w:space="0" w:color="000000"/>
            </w:tcBorders>
          </w:tcPr>
          <w:p>
            <w:pPr>
              <w:rPr>
                <w:sz w:val="2"/>
                <w:szCs w:val="2"/>
              </w:rPr>
            </w:pPr>
          </w:p>
        </w:tc>
        <w:tc>
          <w:tcPr>
            <w:tcW w:w="1209" w:type="dxa"/>
            <w:vMerge/>
            <w:tcBorders>
              <w:top w:val="nil"/>
              <w:bottom w:val="single" w:sz="12" w:space="0" w:color="000000"/>
            </w:tcBorders>
          </w:tcPr>
          <w:p>
            <w:pPr>
              <w:rPr>
                <w:sz w:val="2"/>
                <w:szCs w:val="2"/>
              </w:rPr>
            </w:pPr>
          </w:p>
        </w:tc>
        <w:tc>
          <w:tcPr>
            <w:tcW w:w="1078" w:type="dxa"/>
            <w:vMerge/>
            <w:tcBorders>
              <w:top w:val="nil"/>
              <w:bottom w:val="single" w:sz="12" w:space="0" w:color="000000"/>
            </w:tcBorders>
          </w:tcPr>
          <w:p>
            <w:pPr>
              <w:rPr>
                <w:sz w:val="2"/>
                <w:szCs w:val="2"/>
              </w:rPr>
            </w:pPr>
          </w:p>
        </w:tc>
        <w:tc>
          <w:tcPr>
            <w:tcW w:w="1595" w:type="dxa"/>
            <w:vMerge/>
            <w:tcBorders>
              <w:top w:val="nil"/>
              <w:bottom w:val="single" w:sz="12" w:space="0" w:color="000000"/>
            </w:tcBorders>
          </w:tcPr>
          <w:p>
            <w:pPr>
              <w:rPr>
                <w:sz w:val="2"/>
                <w:szCs w:val="2"/>
              </w:rPr>
            </w:pPr>
          </w:p>
        </w:tc>
        <w:tc>
          <w:tcPr>
            <w:tcW w:w="723" w:type="dxa"/>
            <w:tcBorders>
              <w:bottom w:val="single" w:sz="12" w:space="0" w:color="000000"/>
            </w:tcBorders>
          </w:tcPr>
          <w:p>
            <w:pPr>
              <w:pStyle w:val="TableParagraph"/>
              <w:jc w:val="left"/>
              <w:rPr>
                <w:sz w:val="20"/>
              </w:rPr>
            </w:pPr>
          </w:p>
          <w:p>
            <w:pPr>
              <w:pStyle w:val="TableParagraph"/>
              <w:spacing w:before="139"/>
              <w:ind w:left="120" w:right="113"/>
              <w:rPr>
                <w:sz w:val="21"/>
              </w:rPr>
            </w:pPr>
            <w:r>
              <w:rPr>
                <w:sz w:val="21"/>
              </w:rPr>
              <w:t>拍片</w:t>
            </w:r>
          </w:p>
        </w:tc>
        <w:tc>
          <w:tcPr>
            <w:tcW w:w="1214" w:type="dxa"/>
            <w:tcBorders>
              <w:bottom w:val="single" w:sz="12" w:space="0" w:color="000000"/>
            </w:tcBorders>
          </w:tcPr>
          <w:p>
            <w:pPr>
              <w:pStyle w:val="TableParagraph"/>
              <w:spacing w:before="12"/>
              <w:jc w:val="left"/>
              <w:rPr>
                <w:sz w:val="31"/>
              </w:rPr>
            </w:pPr>
          </w:p>
          <w:p>
            <w:pPr>
              <w:pStyle w:val="TableParagraph"/>
              <w:ind w:right="190"/>
              <w:jc w:val="right"/>
              <w:rPr>
                <w:rFonts w:ascii="Times New Roman" w:hAnsi="Times New Roman"/>
                <w:sz w:val="13"/>
              </w:rPr>
            </w:pPr>
            <w:r>
              <w:rPr>
                <w:rFonts w:ascii="Times New Roman" w:hAnsi="Times New Roman"/>
                <w:sz w:val="21"/>
              </w:rPr>
              <w:t>5.38×10</w:t>
            </w:r>
            <w:r>
              <w:rPr>
                <w:rFonts w:ascii="Times New Roman" w:hAnsi="Times New Roman"/>
                <w:position w:val="7"/>
                <w:sz w:val="13"/>
              </w:rPr>
              <w:t>-7</w:t>
            </w:r>
          </w:p>
        </w:tc>
        <w:tc>
          <w:tcPr>
            <w:tcW w:w="1227" w:type="dxa"/>
            <w:tcBorders>
              <w:bottom w:val="single" w:sz="12" w:space="0" w:color="000000"/>
            </w:tcBorders>
          </w:tcPr>
          <w:p>
            <w:pPr>
              <w:pStyle w:val="TableParagraph"/>
              <w:spacing w:before="12"/>
              <w:jc w:val="left"/>
              <w:rPr>
                <w:sz w:val="31"/>
              </w:rPr>
            </w:pPr>
          </w:p>
          <w:p>
            <w:pPr>
              <w:pStyle w:val="TableParagraph"/>
              <w:ind w:left="101" w:right="91"/>
              <w:rPr>
                <w:rFonts w:ascii="Times New Roman" w:hAnsi="Times New Roman"/>
                <w:sz w:val="13"/>
              </w:rPr>
            </w:pPr>
            <w:r>
              <w:rPr>
                <w:rFonts w:ascii="Times New Roman" w:hAnsi="Times New Roman"/>
                <w:sz w:val="21"/>
              </w:rPr>
              <w:t>4.14×10</w:t>
            </w:r>
            <w:r>
              <w:rPr>
                <w:rFonts w:ascii="Times New Roman" w:hAnsi="Times New Roman"/>
                <w:position w:val="7"/>
                <w:sz w:val="13"/>
              </w:rPr>
              <w:t>-6</w:t>
            </w:r>
          </w:p>
        </w:tc>
        <w:tc>
          <w:tcPr>
            <w:tcW w:w="1198" w:type="dxa"/>
            <w:tcBorders>
              <w:bottom w:val="single" w:sz="12" w:space="0" w:color="000000"/>
              <w:right w:val="nil"/>
            </w:tcBorders>
          </w:tcPr>
          <w:p>
            <w:pPr>
              <w:pStyle w:val="TableParagraph"/>
              <w:spacing w:before="12"/>
              <w:jc w:val="left"/>
              <w:rPr>
                <w:sz w:val="31"/>
              </w:rPr>
            </w:pPr>
          </w:p>
          <w:p>
            <w:pPr>
              <w:pStyle w:val="TableParagraph"/>
              <w:ind w:left="193"/>
              <w:jc w:val="left"/>
              <w:rPr>
                <w:rFonts w:ascii="Times New Roman" w:hAnsi="Times New Roman"/>
                <w:sz w:val="13"/>
              </w:rPr>
            </w:pPr>
            <w:r>
              <w:rPr>
                <w:rFonts w:ascii="Times New Roman" w:hAnsi="Times New Roman"/>
                <w:sz w:val="21"/>
              </w:rPr>
              <w:t>8.94×10</w:t>
            </w:r>
            <w:r>
              <w:rPr>
                <w:rFonts w:ascii="Times New Roman" w:hAnsi="Times New Roman"/>
                <w:position w:val="7"/>
                <w:sz w:val="13"/>
              </w:rPr>
              <w:t>-8</w:t>
            </w:r>
          </w:p>
        </w:tc>
        <w:tc>
          <w:tcPr>
            <w:tcW w:w="206" w:type="dxa"/>
            <w:vMerge/>
            <w:tcBorders>
              <w:top w:val="nil"/>
              <w:left w:val="nil"/>
            </w:tcBorders>
          </w:tcPr>
          <w:p>
            <w:pPr>
              <w:rPr>
                <w:sz w:val="2"/>
                <w:szCs w:val="2"/>
              </w:rPr>
            </w:pPr>
          </w:p>
        </w:tc>
      </w:tr>
      <w:tr>
        <w:trPr>
          <w:trHeight w:val="12095" w:hRule="atLeast"/>
        </w:trPr>
        <w:tc>
          <w:tcPr>
            <w:tcW w:w="9035" w:type="dxa"/>
            <w:gridSpan w:val="9"/>
            <w:tcBorders>
              <w:top w:val="nil"/>
              <w:right w:val="nil"/>
            </w:tcBorders>
          </w:tcPr>
          <w:p>
            <w:pPr>
              <w:pStyle w:val="TableParagraph"/>
              <w:spacing w:before="80"/>
              <w:ind w:left="108"/>
              <w:jc w:val="left"/>
              <w:rPr>
                <w:sz w:val="24"/>
              </w:rPr>
            </w:pPr>
            <w:r>
              <w:rPr>
                <w:rFonts w:ascii="Times New Roman" w:eastAsia="Times New Roman"/>
                <w:b/>
                <w:sz w:val="24"/>
              </w:rPr>
              <w:t>4</w:t>
            </w:r>
            <w:r>
              <w:rPr>
                <w:sz w:val="24"/>
              </w:rPr>
              <w:t>）小结</w:t>
            </w:r>
          </w:p>
          <w:p>
            <w:pPr>
              <w:pStyle w:val="TableParagraph"/>
              <w:spacing w:before="161"/>
              <w:ind w:left="588"/>
              <w:jc w:val="left"/>
              <w:rPr>
                <w:sz w:val="24"/>
              </w:rPr>
            </w:pPr>
            <w:r>
              <w:rPr>
                <w:spacing w:val="-1"/>
                <w:sz w:val="24"/>
              </w:rPr>
              <w:t>本项目所致保护目标最大年有效剂量理论预测结果见表</w:t>
            </w:r>
            <w:r>
              <w:rPr>
                <w:rFonts w:ascii="Times New Roman" w:eastAsia="Times New Roman"/>
                <w:sz w:val="24"/>
              </w:rPr>
              <w:t>11-7</w:t>
            </w:r>
            <w:r>
              <w:rPr>
                <w:sz w:val="24"/>
              </w:rPr>
              <w:t>：</w:t>
            </w:r>
          </w:p>
          <w:p>
            <w:pPr>
              <w:pStyle w:val="TableParagraph"/>
              <w:spacing w:before="178"/>
              <w:ind w:left="2275"/>
              <w:jc w:val="left"/>
              <w:rPr>
                <w:sz w:val="21"/>
              </w:rPr>
            </w:pPr>
            <w:r>
              <w:rPr>
                <w:sz w:val="21"/>
              </w:rPr>
              <w:t>表</w:t>
            </w:r>
            <w:r>
              <w:rPr>
                <w:rFonts w:ascii="Times New Roman" w:eastAsia="Times New Roman"/>
                <w:b/>
                <w:sz w:val="21"/>
              </w:rPr>
              <w:t>11-7</w:t>
            </w:r>
            <w:r>
              <w:rPr>
                <w:rFonts w:ascii="Times New Roman" w:eastAsia="Times New Roman"/>
                <w:b/>
                <w:spacing w:val="6"/>
                <w:sz w:val="21"/>
              </w:rPr>
              <w:t> </w:t>
            </w:r>
            <w:r>
              <w:rPr>
                <w:sz w:val="21"/>
              </w:rPr>
              <w:t>本项目各预测点保护目标理论预测最大受照剂量</w:t>
            </w:r>
          </w:p>
        </w:tc>
        <w:tc>
          <w:tcPr>
            <w:tcW w:w="206" w:type="dxa"/>
            <w:vMerge/>
            <w:tcBorders>
              <w:top w:val="nil"/>
              <w:left w:val="nil"/>
            </w:tcBorders>
          </w:tcPr>
          <w:p>
            <w:pPr>
              <w:rPr>
                <w:sz w:val="2"/>
                <w:szCs w:val="2"/>
              </w:rPr>
            </w:pPr>
          </w:p>
        </w:tc>
      </w:tr>
    </w:tbl>
    <w:p>
      <w:pPr>
        <w:rPr>
          <w:sz w:val="2"/>
          <w:szCs w:val="2"/>
        </w:rPr>
      </w:pPr>
      <w:r>
        <w:rPr/>
        <w:pict>
          <v:shape style="position:absolute;margin-left:75.330002pt;margin-top:223.700027pt;width:453.45pt;height:521.5500pt;mso-position-horizontal-relative:page;mso-position-vertical-relative:page;z-index:15751680"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5"/>
                    <w:gridCol w:w="2144"/>
                    <w:gridCol w:w="688"/>
                    <w:gridCol w:w="1096"/>
                    <w:gridCol w:w="1223"/>
                    <w:gridCol w:w="1137"/>
                    <w:gridCol w:w="1136"/>
                    <w:gridCol w:w="696"/>
                  </w:tblGrid>
                  <w:tr>
                    <w:trPr>
                      <w:trHeight w:val="302" w:hRule="atLeast"/>
                    </w:trPr>
                    <w:tc>
                      <w:tcPr>
                        <w:tcW w:w="905" w:type="dxa"/>
                        <w:vMerge w:val="restart"/>
                        <w:tcBorders>
                          <w:left w:val="nil"/>
                          <w:right w:val="single" w:sz="4" w:space="0" w:color="000000"/>
                        </w:tcBorders>
                      </w:tcPr>
                      <w:p>
                        <w:pPr>
                          <w:pStyle w:val="TableParagraph"/>
                          <w:spacing w:before="20"/>
                          <w:ind w:left="151"/>
                          <w:jc w:val="left"/>
                          <w:rPr>
                            <w:sz w:val="21"/>
                          </w:rPr>
                        </w:pPr>
                        <w:r>
                          <w:rPr>
                            <w:w w:val="95"/>
                            <w:sz w:val="21"/>
                          </w:rPr>
                          <w:t>保护目</w:t>
                        </w:r>
                      </w:p>
                      <w:p>
                        <w:pPr>
                          <w:pStyle w:val="TableParagraph"/>
                          <w:spacing w:line="310" w:lineRule="atLeast" w:before="2"/>
                          <w:ind w:left="257" w:right="114" w:hanging="106"/>
                          <w:jc w:val="left"/>
                          <w:rPr>
                            <w:sz w:val="21"/>
                          </w:rPr>
                        </w:pPr>
                        <w:r>
                          <w:rPr>
                            <w:spacing w:val="-1"/>
                            <w:sz w:val="21"/>
                          </w:rPr>
                          <w:t>标相对</w:t>
                        </w:r>
                        <w:r>
                          <w:rPr>
                            <w:sz w:val="21"/>
                          </w:rPr>
                          <w:t>位置</w:t>
                        </w:r>
                      </w:p>
                    </w:tc>
                    <w:tc>
                      <w:tcPr>
                        <w:tcW w:w="2144" w:type="dxa"/>
                        <w:vMerge w:val="restart"/>
                        <w:tcBorders>
                          <w:left w:val="single" w:sz="4" w:space="0" w:color="000000"/>
                          <w:right w:val="single" w:sz="4" w:space="0" w:color="000000"/>
                        </w:tcBorders>
                      </w:tcPr>
                      <w:p>
                        <w:pPr>
                          <w:pStyle w:val="TableParagraph"/>
                          <w:spacing w:before="12"/>
                          <w:jc w:val="left"/>
                          <w:rPr>
                            <w:sz w:val="25"/>
                          </w:rPr>
                        </w:pPr>
                      </w:p>
                      <w:p>
                        <w:pPr>
                          <w:pStyle w:val="TableParagraph"/>
                          <w:ind w:left="451"/>
                          <w:jc w:val="left"/>
                          <w:rPr>
                            <w:sz w:val="21"/>
                          </w:rPr>
                        </w:pPr>
                        <w:r>
                          <w:rPr>
                            <w:w w:val="95"/>
                            <w:sz w:val="21"/>
                          </w:rPr>
                          <w:t>关注点位描述</w:t>
                        </w:r>
                      </w:p>
                    </w:tc>
                    <w:tc>
                      <w:tcPr>
                        <w:tcW w:w="688" w:type="dxa"/>
                        <w:vMerge w:val="restart"/>
                        <w:tcBorders>
                          <w:left w:val="single" w:sz="4" w:space="0" w:color="000000"/>
                          <w:right w:val="single" w:sz="4" w:space="0" w:color="000000"/>
                        </w:tcBorders>
                      </w:tcPr>
                      <w:p>
                        <w:pPr>
                          <w:pStyle w:val="TableParagraph"/>
                          <w:spacing w:line="278" w:lineRule="auto" w:before="176"/>
                          <w:ind w:left="143" w:right="112"/>
                          <w:jc w:val="left"/>
                          <w:rPr>
                            <w:sz w:val="21"/>
                          </w:rPr>
                        </w:pPr>
                        <w:r>
                          <w:rPr>
                            <w:spacing w:val="-2"/>
                            <w:sz w:val="21"/>
                          </w:rPr>
                          <w:t>照射类型</w:t>
                        </w:r>
                      </w:p>
                    </w:tc>
                    <w:tc>
                      <w:tcPr>
                        <w:tcW w:w="3456" w:type="dxa"/>
                        <w:gridSpan w:val="3"/>
                        <w:tcBorders>
                          <w:left w:val="single" w:sz="4" w:space="0" w:color="000000"/>
                          <w:bottom w:val="single" w:sz="4" w:space="0" w:color="000000"/>
                          <w:right w:val="single" w:sz="4" w:space="0" w:color="000000"/>
                        </w:tcBorders>
                      </w:tcPr>
                      <w:p>
                        <w:pPr>
                          <w:pStyle w:val="TableParagraph"/>
                          <w:spacing w:line="262" w:lineRule="exact" w:before="20"/>
                          <w:ind w:left="722"/>
                          <w:jc w:val="left"/>
                          <w:rPr>
                            <w:sz w:val="21"/>
                          </w:rPr>
                        </w:pPr>
                        <w:r>
                          <w:rPr>
                            <w:w w:val="95"/>
                            <w:sz w:val="21"/>
                          </w:rPr>
                          <w:t>年辐射剂量（</w:t>
                        </w:r>
                        <w:r>
                          <w:rPr>
                            <w:rFonts w:ascii="Times New Roman" w:eastAsia="Times New Roman"/>
                            <w:b/>
                            <w:w w:val="95"/>
                            <w:sz w:val="21"/>
                          </w:rPr>
                          <w:t>mSv/a</w:t>
                        </w:r>
                        <w:r>
                          <w:rPr>
                            <w:w w:val="95"/>
                            <w:sz w:val="21"/>
                          </w:rPr>
                          <w:t>）</w:t>
                        </w:r>
                      </w:p>
                    </w:tc>
                    <w:tc>
                      <w:tcPr>
                        <w:tcW w:w="1136" w:type="dxa"/>
                        <w:vMerge w:val="restart"/>
                        <w:tcBorders>
                          <w:left w:val="single" w:sz="4" w:space="0" w:color="000000"/>
                          <w:right w:val="single" w:sz="4" w:space="0" w:color="000000"/>
                        </w:tcBorders>
                      </w:tcPr>
                      <w:p>
                        <w:pPr>
                          <w:pStyle w:val="TableParagraph"/>
                          <w:spacing w:line="278" w:lineRule="auto" w:before="20"/>
                          <w:ind w:left="156" w:right="125"/>
                          <w:rPr>
                            <w:sz w:val="21"/>
                          </w:rPr>
                        </w:pPr>
                        <w:r>
                          <w:rPr>
                            <w:spacing w:val="-1"/>
                            <w:sz w:val="21"/>
                          </w:rPr>
                          <w:t>年总辐射</w:t>
                        </w:r>
                        <w:r>
                          <w:rPr>
                            <w:sz w:val="21"/>
                          </w:rPr>
                          <w:t>剂量</w:t>
                        </w:r>
                      </w:p>
                      <w:p>
                        <w:pPr>
                          <w:pStyle w:val="TableParagraph"/>
                          <w:spacing w:before="14"/>
                          <w:ind w:left="153" w:right="125"/>
                          <w:rPr>
                            <w:rFonts w:ascii="Times New Roman"/>
                            <w:b/>
                            <w:sz w:val="21"/>
                          </w:rPr>
                        </w:pPr>
                        <w:r>
                          <w:rPr>
                            <w:rFonts w:ascii="Times New Roman"/>
                            <w:b/>
                            <w:sz w:val="21"/>
                          </w:rPr>
                          <w:t>(mSv/a)</w:t>
                        </w:r>
                      </w:p>
                    </w:tc>
                    <w:tc>
                      <w:tcPr>
                        <w:tcW w:w="696" w:type="dxa"/>
                        <w:vMerge w:val="restart"/>
                        <w:tcBorders>
                          <w:left w:val="single" w:sz="4" w:space="0" w:color="000000"/>
                          <w:right w:val="nil"/>
                        </w:tcBorders>
                      </w:tcPr>
                      <w:p>
                        <w:pPr>
                          <w:pStyle w:val="TableParagraph"/>
                          <w:spacing w:before="12"/>
                          <w:jc w:val="left"/>
                          <w:rPr>
                            <w:sz w:val="25"/>
                          </w:rPr>
                        </w:pPr>
                      </w:p>
                      <w:p>
                        <w:pPr>
                          <w:pStyle w:val="TableParagraph"/>
                          <w:ind w:left="148"/>
                          <w:jc w:val="left"/>
                          <w:rPr>
                            <w:sz w:val="21"/>
                          </w:rPr>
                        </w:pPr>
                        <w:r>
                          <w:rPr>
                            <w:sz w:val="21"/>
                          </w:rPr>
                          <w:t>备注</w:t>
                        </w:r>
                      </w:p>
                    </w:tc>
                  </w:tr>
                  <w:tr>
                    <w:trPr>
                      <w:trHeight w:val="603"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right w:val="single" w:sz="4" w:space="0" w:color="000000"/>
                        </w:tcBorders>
                      </w:tcPr>
                      <w:p>
                        <w:pPr>
                          <w:rPr>
                            <w:sz w:val="2"/>
                            <w:szCs w:val="2"/>
                          </w:rPr>
                        </w:pPr>
                      </w:p>
                    </w:tc>
                    <w:tc>
                      <w:tcPr>
                        <w:tcW w:w="688" w:type="dxa"/>
                        <w:vMerge/>
                        <w:tcBorders>
                          <w:top w:val="nil"/>
                          <w:left w:val="single" w:sz="4" w:space="0" w:color="000000"/>
                          <w:right w:val="single" w:sz="4" w:space="0" w:color="000000"/>
                        </w:tcBorders>
                      </w:tcPr>
                      <w:p>
                        <w:pPr>
                          <w:rPr>
                            <w:sz w:val="2"/>
                            <w:szCs w:val="2"/>
                          </w:rPr>
                        </w:pPr>
                      </w:p>
                    </w:tc>
                    <w:tc>
                      <w:tcPr>
                        <w:tcW w:w="1096" w:type="dxa"/>
                        <w:tcBorders>
                          <w:top w:val="single" w:sz="4" w:space="0" w:color="000000"/>
                          <w:left w:val="single" w:sz="4" w:space="0" w:color="000000"/>
                          <w:right w:val="single" w:sz="4" w:space="0" w:color="000000"/>
                        </w:tcBorders>
                      </w:tcPr>
                      <w:p>
                        <w:pPr>
                          <w:pStyle w:val="TableParagraph"/>
                          <w:spacing w:before="173"/>
                          <w:ind w:left="95" w:right="65"/>
                          <w:rPr>
                            <w:sz w:val="21"/>
                          </w:rPr>
                        </w:pPr>
                        <w:r>
                          <w:rPr>
                            <w:sz w:val="21"/>
                          </w:rPr>
                          <w:t>主射</w:t>
                        </w:r>
                      </w:p>
                    </w:tc>
                    <w:tc>
                      <w:tcPr>
                        <w:tcW w:w="1223" w:type="dxa"/>
                        <w:tcBorders>
                          <w:top w:val="single" w:sz="4" w:space="0" w:color="000000"/>
                          <w:left w:val="single" w:sz="4" w:space="0" w:color="000000"/>
                          <w:right w:val="single" w:sz="4" w:space="0" w:color="000000"/>
                        </w:tcBorders>
                      </w:tcPr>
                      <w:p>
                        <w:pPr>
                          <w:pStyle w:val="TableParagraph"/>
                          <w:spacing w:before="173"/>
                          <w:ind w:left="411"/>
                          <w:jc w:val="left"/>
                          <w:rPr>
                            <w:sz w:val="21"/>
                          </w:rPr>
                        </w:pPr>
                        <w:r>
                          <w:rPr>
                            <w:sz w:val="21"/>
                          </w:rPr>
                          <w:t>散射</w:t>
                        </w:r>
                      </w:p>
                    </w:tc>
                    <w:tc>
                      <w:tcPr>
                        <w:tcW w:w="1137" w:type="dxa"/>
                        <w:tcBorders>
                          <w:top w:val="single" w:sz="4" w:space="0" w:color="000000"/>
                          <w:left w:val="single" w:sz="4" w:space="0" w:color="000000"/>
                          <w:right w:val="single" w:sz="4" w:space="0" w:color="000000"/>
                        </w:tcBorders>
                      </w:tcPr>
                      <w:p>
                        <w:pPr>
                          <w:pStyle w:val="TableParagraph"/>
                          <w:spacing w:before="173"/>
                          <w:ind w:left="366"/>
                          <w:jc w:val="left"/>
                          <w:rPr>
                            <w:sz w:val="21"/>
                          </w:rPr>
                        </w:pPr>
                        <w:r>
                          <w:rPr>
                            <w:sz w:val="21"/>
                          </w:rPr>
                          <w:t>漏射</w:t>
                        </w:r>
                      </w:p>
                    </w:tc>
                    <w:tc>
                      <w:tcPr>
                        <w:tcW w:w="1136" w:type="dxa"/>
                        <w:vMerge/>
                        <w:tcBorders>
                          <w:top w:val="nil"/>
                          <w:left w:val="single" w:sz="4" w:space="0" w:color="000000"/>
                          <w:right w:val="single" w:sz="4" w:space="0" w:color="000000"/>
                        </w:tcBorders>
                      </w:tcPr>
                      <w:p>
                        <w:pPr>
                          <w:rPr>
                            <w:sz w:val="2"/>
                            <w:szCs w:val="2"/>
                          </w:rPr>
                        </w:pPr>
                      </w:p>
                    </w:tc>
                    <w:tc>
                      <w:tcPr>
                        <w:tcW w:w="696" w:type="dxa"/>
                        <w:vMerge/>
                        <w:tcBorders>
                          <w:top w:val="nil"/>
                          <w:left w:val="single" w:sz="4" w:space="0" w:color="000000"/>
                          <w:right w:val="nil"/>
                        </w:tcBorders>
                      </w:tcPr>
                      <w:p>
                        <w:pPr>
                          <w:rPr>
                            <w:sz w:val="2"/>
                            <w:szCs w:val="2"/>
                          </w:rPr>
                        </w:pPr>
                      </w:p>
                    </w:tc>
                  </w:tr>
                  <w:tr>
                    <w:trPr>
                      <w:trHeight w:val="312" w:hRule="atLeast"/>
                    </w:trPr>
                    <w:tc>
                      <w:tcPr>
                        <w:tcW w:w="905" w:type="dxa"/>
                        <w:vMerge w:val="restart"/>
                        <w:tcBorders>
                          <w:left w:val="nil"/>
                          <w:bottom w:val="single" w:sz="4" w:space="0" w:color="000000"/>
                          <w:right w:val="single" w:sz="4" w:space="0" w:color="000000"/>
                        </w:tcBorders>
                      </w:tcPr>
                      <w:p>
                        <w:pPr>
                          <w:pStyle w:val="TableParagraph"/>
                          <w:spacing w:before="3"/>
                          <w:jc w:val="left"/>
                          <w:rPr>
                            <w:sz w:val="14"/>
                          </w:rPr>
                        </w:pPr>
                      </w:p>
                      <w:p>
                        <w:pPr>
                          <w:pStyle w:val="TableParagraph"/>
                          <w:ind w:left="151"/>
                          <w:jc w:val="left"/>
                          <w:rPr>
                            <w:sz w:val="21"/>
                          </w:rPr>
                        </w:pPr>
                        <w:r>
                          <w:rPr>
                            <w:sz w:val="21"/>
                          </w:rPr>
                          <w:t>机房内</w:t>
                        </w:r>
                      </w:p>
                    </w:tc>
                    <w:tc>
                      <w:tcPr>
                        <w:tcW w:w="2144" w:type="dxa"/>
                        <w:tcBorders>
                          <w:left w:val="single" w:sz="4" w:space="0" w:color="000000"/>
                          <w:bottom w:val="single" w:sz="4" w:space="0" w:color="000000"/>
                          <w:right w:val="single" w:sz="4" w:space="0" w:color="000000"/>
                        </w:tcBorders>
                      </w:tcPr>
                      <w:p>
                        <w:pPr>
                          <w:pStyle w:val="TableParagraph"/>
                          <w:spacing w:before="21"/>
                          <w:ind w:left="430" w:right="402"/>
                          <w:rPr>
                            <w:sz w:val="21"/>
                          </w:rPr>
                        </w:pPr>
                        <w:r>
                          <w:rPr>
                            <w:sz w:val="21"/>
                          </w:rPr>
                          <w:t>机房内医生</w:t>
                        </w:r>
                      </w:p>
                    </w:tc>
                    <w:tc>
                      <w:tcPr>
                        <w:tcW w:w="688" w:type="dxa"/>
                        <w:tcBorders>
                          <w:left w:val="single" w:sz="4" w:space="0" w:color="000000"/>
                          <w:bottom w:val="single" w:sz="4" w:space="0" w:color="000000"/>
                          <w:right w:val="single" w:sz="4" w:space="0" w:color="000000"/>
                        </w:tcBorders>
                      </w:tcPr>
                      <w:p>
                        <w:pPr>
                          <w:pStyle w:val="TableParagraph"/>
                          <w:spacing w:before="21"/>
                          <w:ind w:left="95" w:right="69"/>
                          <w:rPr>
                            <w:sz w:val="21"/>
                          </w:rPr>
                        </w:pPr>
                        <w:r>
                          <w:rPr>
                            <w:sz w:val="21"/>
                          </w:rPr>
                          <w:t>透视</w:t>
                        </w:r>
                      </w:p>
                    </w:tc>
                    <w:tc>
                      <w:tcPr>
                        <w:tcW w:w="1096" w:type="dxa"/>
                        <w:tcBorders>
                          <w:left w:val="single" w:sz="4" w:space="0" w:color="000000"/>
                          <w:bottom w:val="single" w:sz="4" w:space="0" w:color="000000"/>
                          <w:right w:val="single" w:sz="4" w:space="0" w:color="000000"/>
                        </w:tcBorders>
                      </w:tcPr>
                      <w:p>
                        <w:pPr>
                          <w:pStyle w:val="TableParagraph"/>
                          <w:spacing w:before="35"/>
                          <w:ind w:left="28"/>
                          <w:rPr>
                            <w:rFonts w:ascii="Times New Roman"/>
                            <w:sz w:val="21"/>
                          </w:rPr>
                        </w:pPr>
                        <w:r>
                          <w:rPr>
                            <w:rFonts w:ascii="Times New Roman"/>
                            <w:w w:val="99"/>
                            <w:sz w:val="21"/>
                          </w:rPr>
                          <w:t>/</w:t>
                        </w:r>
                      </w:p>
                    </w:tc>
                    <w:tc>
                      <w:tcPr>
                        <w:tcW w:w="1223" w:type="dxa"/>
                        <w:tcBorders>
                          <w:left w:val="single" w:sz="4" w:space="0" w:color="000000"/>
                          <w:bottom w:val="single" w:sz="4" w:space="0" w:color="000000"/>
                          <w:right w:val="single" w:sz="4" w:space="0" w:color="000000"/>
                        </w:tcBorders>
                      </w:tcPr>
                      <w:p>
                        <w:pPr>
                          <w:pStyle w:val="TableParagraph"/>
                          <w:spacing w:before="35"/>
                          <w:ind w:left="418" w:right="387"/>
                          <w:rPr>
                            <w:rFonts w:ascii="Times New Roman"/>
                            <w:sz w:val="21"/>
                          </w:rPr>
                        </w:pPr>
                        <w:r>
                          <w:rPr>
                            <w:rFonts w:ascii="Times New Roman"/>
                            <w:sz w:val="21"/>
                          </w:rPr>
                          <w:t>11.5</w:t>
                        </w:r>
                      </w:p>
                    </w:tc>
                    <w:tc>
                      <w:tcPr>
                        <w:tcW w:w="1137" w:type="dxa"/>
                        <w:tcBorders>
                          <w:left w:val="single" w:sz="4" w:space="0" w:color="000000"/>
                          <w:bottom w:val="single" w:sz="4" w:space="0" w:color="000000"/>
                          <w:right w:val="single" w:sz="4" w:space="0" w:color="000000"/>
                        </w:tcBorders>
                      </w:tcPr>
                      <w:p>
                        <w:pPr>
                          <w:pStyle w:val="TableParagraph"/>
                          <w:spacing w:before="35"/>
                          <w:ind w:left="393"/>
                          <w:jc w:val="left"/>
                          <w:rPr>
                            <w:rFonts w:ascii="Times New Roman"/>
                            <w:sz w:val="21"/>
                          </w:rPr>
                        </w:pPr>
                        <w:r>
                          <w:rPr>
                            <w:rFonts w:ascii="Times New Roman"/>
                            <w:sz w:val="21"/>
                          </w:rPr>
                          <w:t>35.5</w:t>
                        </w:r>
                      </w:p>
                    </w:tc>
                    <w:tc>
                      <w:tcPr>
                        <w:tcW w:w="1136" w:type="dxa"/>
                        <w:tcBorders>
                          <w:left w:val="single" w:sz="4" w:space="0" w:color="000000"/>
                          <w:bottom w:val="single" w:sz="4" w:space="0" w:color="000000"/>
                          <w:right w:val="single" w:sz="4" w:space="0" w:color="000000"/>
                        </w:tcBorders>
                      </w:tcPr>
                      <w:p>
                        <w:pPr>
                          <w:pStyle w:val="TableParagraph"/>
                          <w:spacing w:before="35"/>
                          <w:ind w:left="155" w:right="125"/>
                          <w:rPr>
                            <w:rFonts w:ascii="Times New Roman"/>
                            <w:b/>
                            <w:sz w:val="21"/>
                          </w:rPr>
                        </w:pPr>
                        <w:r>
                          <w:rPr>
                            <w:rFonts w:ascii="Times New Roman"/>
                            <w:b/>
                            <w:sz w:val="21"/>
                          </w:rPr>
                          <w:t>47</w:t>
                        </w:r>
                      </w:p>
                    </w:tc>
                    <w:tc>
                      <w:tcPr>
                        <w:tcW w:w="696" w:type="dxa"/>
                        <w:tcBorders>
                          <w:left w:val="single" w:sz="4" w:space="0" w:color="000000"/>
                          <w:bottom w:val="single" w:sz="4" w:space="0" w:color="000000"/>
                          <w:right w:val="nil"/>
                        </w:tcBorders>
                      </w:tcPr>
                      <w:p>
                        <w:pPr>
                          <w:pStyle w:val="TableParagraph"/>
                          <w:spacing w:before="21"/>
                          <w:ind w:left="127" w:right="104"/>
                          <w:rPr>
                            <w:sz w:val="21"/>
                          </w:rPr>
                        </w:pPr>
                        <w:r>
                          <w:rPr>
                            <w:sz w:val="21"/>
                          </w:rPr>
                          <w:t>职业</w:t>
                        </w:r>
                      </w:p>
                    </w:tc>
                  </w:tr>
                  <w:tr>
                    <w:trPr>
                      <w:trHeight w:val="311"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tcBorders>
                          <w:top w:val="single" w:sz="4" w:space="0" w:color="000000"/>
                          <w:left w:val="single" w:sz="4" w:space="0" w:color="000000"/>
                          <w:bottom w:val="single" w:sz="4" w:space="0" w:color="000000"/>
                          <w:right w:val="single" w:sz="4" w:space="0" w:color="000000"/>
                        </w:tcBorders>
                      </w:tcPr>
                      <w:p>
                        <w:pPr>
                          <w:pStyle w:val="TableParagraph"/>
                          <w:spacing w:before="20"/>
                          <w:ind w:left="430" w:right="404"/>
                          <w:rPr>
                            <w:sz w:val="21"/>
                          </w:rPr>
                        </w:pPr>
                        <w:r>
                          <w:rPr>
                            <w:sz w:val="21"/>
                          </w:rPr>
                          <w:t>机房内的护士</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0"/>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7"/>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7"/>
                          <w:ind w:left="418" w:right="387"/>
                          <w:rPr>
                            <w:rFonts w:ascii="Times New Roman"/>
                            <w:sz w:val="21"/>
                          </w:rPr>
                        </w:pPr>
                        <w:r>
                          <w:rPr>
                            <w:rFonts w:ascii="Times New Roman"/>
                            <w:sz w:val="21"/>
                          </w:rPr>
                          <w:t>2.89</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7"/>
                          <w:ind w:left="425" w:right="398"/>
                          <w:rPr>
                            <w:rFonts w:ascii="Times New Roman"/>
                            <w:sz w:val="21"/>
                          </w:rPr>
                        </w:pPr>
                        <w:r>
                          <w:rPr>
                            <w:rFonts w:ascii="Times New Roman"/>
                            <w:sz w:val="21"/>
                          </w:rPr>
                          <w:t>8.2</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7"/>
                          <w:ind w:left="152" w:right="125"/>
                          <w:rPr>
                            <w:rFonts w:ascii="Times New Roman"/>
                            <w:b/>
                            <w:sz w:val="21"/>
                          </w:rPr>
                        </w:pPr>
                        <w:r>
                          <w:rPr>
                            <w:rFonts w:ascii="Times New Roman"/>
                            <w:b/>
                            <w:sz w:val="21"/>
                          </w:rPr>
                          <w:t>11.1</w:t>
                        </w:r>
                      </w:p>
                    </w:tc>
                    <w:tc>
                      <w:tcPr>
                        <w:tcW w:w="696" w:type="dxa"/>
                        <w:tcBorders>
                          <w:top w:val="single" w:sz="4" w:space="0" w:color="000000"/>
                          <w:left w:val="single" w:sz="4" w:space="0" w:color="000000"/>
                          <w:bottom w:val="single" w:sz="4" w:space="0" w:color="000000"/>
                          <w:right w:val="nil"/>
                        </w:tcBorders>
                      </w:tcPr>
                      <w:p>
                        <w:pPr>
                          <w:pStyle w:val="TableParagraph"/>
                          <w:spacing w:before="20"/>
                          <w:ind w:left="127" w:right="104"/>
                          <w:rPr>
                            <w:sz w:val="21"/>
                          </w:rPr>
                        </w:pPr>
                        <w:r>
                          <w:rPr>
                            <w:sz w:val="21"/>
                          </w:rPr>
                          <w:t>职业</w:t>
                        </w:r>
                      </w:p>
                    </w:tc>
                  </w:tr>
                  <w:tr>
                    <w:trPr>
                      <w:trHeight w:val="312" w:hRule="atLeast"/>
                    </w:trPr>
                    <w:tc>
                      <w:tcPr>
                        <w:tcW w:w="905" w:type="dxa"/>
                        <w:vMerge w:val="restart"/>
                        <w:tcBorders>
                          <w:top w:val="single" w:sz="4" w:space="0" w:color="000000"/>
                          <w:left w:val="nil"/>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
                          <w:jc w:val="left"/>
                          <w:rPr>
                            <w:sz w:val="21"/>
                          </w:rPr>
                        </w:pPr>
                      </w:p>
                      <w:p>
                        <w:pPr>
                          <w:pStyle w:val="TableParagraph"/>
                          <w:spacing w:line="242" w:lineRule="auto"/>
                          <w:ind w:left="226" w:right="191"/>
                          <w:jc w:val="left"/>
                          <w:rPr>
                            <w:sz w:val="24"/>
                          </w:rPr>
                        </w:pPr>
                        <w:r>
                          <w:rPr>
                            <w:spacing w:val="-2"/>
                            <w:sz w:val="24"/>
                          </w:rPr>
                          <w:t>医技楼内</w:t>
                        </w: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6"/>
                          <w:jc w:val="left"/>
                          <w:rPr>
                            <w:sz w:val="14"/>
                          </w:rPr>
                        </w:pPr>
                      </w:p>
                      <w:p>
                        <w:pPr>
                          <w:pStyle w:val="TableParagraph"/>
                          <w:spacing w:line="278" w:lineRule="auto"/>
                          <w:ind w:left="765" w:right="107" w:hanging="629"/>
                          <w:jc w:val="left"/>
                          <w:rPr>
                            <w:sz w:val="21"/>
                          </w:rPr>
                        </w:pPr>
                        <w:r>
                          <w:rPr>
                            <w:spacing w:val="-1"/>
                            <w:sz w:val="21"/>
                          </w:rPr>
                          <w:t>操作间内的技师</w:t>
                        </w:r>
                        <w:r>
                          <w:rPr>
                            <w:sz w:val="21"/>
                          </w:rPr>
                          <w:t>（西北侧）</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0"/>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6"/>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6"/>
                          <w:ind w:left="217"/>
                          <w:jc w:val="left"/>
                          <w:rPr>
                            <w:rFonts w:ascii="Times New Roman" w:hAnsi="Times New Roman"/>
                            <w:sz w:val="21"/>
                          </w:rPr>
                        </w:pPr>
                        <w:r>
                          <w:rPr>
                            <w:rFonts w:ascii="Times New Roman" w:hAnsi="Times New Roman"/>
                            <w:sz w:val="21"/>
                          </w:rPr>
                          <w:t>1.80×10</w:t>
                        </w:r>
                        <w:r>
                          <w:rPr>
                            <w:rFonts w:ascii="Times New Roman" w:hAnsi="Times New Roman"/>
                            <w:sz w:val="21"/>
                            <w:vertAlign w:val="superscript"/>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6"/>
                          <w:ind w:left="172"/>
                          <w:jc w:val="left"/>
                          <w:rPr>
                            <w:rFonts w:ascii="Times New Roman" w:hAnsi="Times New Roman"/>
                            <w:sz w:val="21"/>
                          </w:rPr>
                        </w:pPr>
                        <w:r>
                          <w:rPr>
                            <w:rFonts w:ascii="Times New Roman" w:hAnsi="Times New Roman"/>
                            <w:sz w:val="21"/>
                          </w:rPr>
                          <w:t>5.54×10</w:t>
                        </w:r>
                        <w:r>
                          <w:rPr>
                            <w:rFonts w:ascii="Times New Roman" w:hAnsi="Times New Roman"/>
                            <w:sz w:val="21"/>
                            <w:vertAlign w:val="superscript"/>
                          </w:rPr>
                          <w:t>-5</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6"/>
                          <w:ind w:left="156" w:right="16"/>
                          <w:rPr>
                            <w:rFonts w:ascii="Times New Roman" w:hAnsi="Times New Roman"/>
                            <w:sz w:val="21"/>
                          </w:rPr>
                        </w:pPr>
                        <w:r>
                          <w:rPr>
                            <w:rFonts w:ascii="Times New Roman" w:hAnsi="Times New Roman"/>
                            <w:sz w:val="21"/>
                          </w:rPr>
                          <w:t>7.34×10</w:t>
                        </w:r>
                        <w:r>
                          <w:rPr>
                            <w:rFonts w:ascii="Times New Roman" w:hAnsi="Times New Roman"/>
                            <w:sz w:val="21"/>
                            <w:vertAlign w:val="superscript"/>
                          </w:rPr>
                          <w:t>-5</w:t>
                        </w:r>
                      </w:p>
                    </w:tc>
                    <w:tc>
                      <w:tcPr>
                        <w:tcW w:w="696" w:type="dxa"/>
                        <w:vMerge w:val="restart"/>
                        <w:tcBorders>
                          <w:top w:val="single" w:sz="4" w:space="0" w:color="000000"/>
                          <w:left w:val="single" w:sz="4" w:space="0" w:color="000000"/>
                          <w:bottom w:val="single" w:sz="4" w:space="0" w:color="000000"/>
                          <w:right w:val="nil"/>
                        </w:tcBorders>
                      </w:tcPr>
                      <w:p>
                        <w:pPr>
                          <w:pStyle w:val="TableParagraph"/>
                          <w:spacing w:before="8"/>
                          <w:jc w:val="left"/>
                          <w:rPr>
                            <w:sz w:val="26"/>
                          </w:rPr>
                        </w:pPr>
                      </w:p>
                      <w:p>
                        <w:pPr>
                          <w:pStyle w:val="TableParagraph"/>
                          <w:spacing w:before="1"/>
                          <w:ind w:left="148"/>
                          <w:jc w:val="left"/>
                          <w:rPr>
                            <w:sz w:val="21"/>
                          </w:rPr>
                        </w:pPr>
                        <w:r>
                          <w:rPr>
                            <w:sz w:val="21"/>
                          </w:rPr>
                          <w:t>职业</w:t>
                        </w:r>
                      </w:p>
                    </w:tc>
                  </w:tr>
                  <w:tr>
                    <w:trPr>
                      <w:trHeight w:val="311"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0"/>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6"/>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6"/>
                          <w:ind w:left="217"/>
                          <w:jc w:val="left"/>
                          <w:rPr>
                            <w:rFonts w:ascii="Times New Roman" w:hAnsi="Times New Roman"/>
                            <w:sz w:val="21"/>
                          </w:rPr>
                        </w:pPr>
                        <w:r>
                          <w:rPr>
                            <w:rFonts w:ascii="Times New Roman" w:hAnsi="Times New Roman"/>
                            <w:sz w:val="21"/>
                          </w:rPr>
                          <w:t>4.63×10</w:t>
                        </w:r>
                        <w:r>
                          <w:rPr>
                            <w:rFonts w:ascii="Times New Roman" w:hAnsi="Times New Roman"/>
                            <w:sz w:val="21"/>
                            <w:vertAlign w:val="superscript"/>
                          </w:rPr>
                          <w:t>-4</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6"/>
                          <w:ind w:left="172"/>
                          <w:jc w:val="left"/>
                          <w:rPr>
                            <w:rFonts w:ascii="Times New Roman" w:hAnsi="Times New Roman"/>
                            <w:sz w:val="21"/>
                          </w:rPr>
                        </w:pPr>
                        <w:r>
                          <w:rPr>
                            <w:rFonts w:ascii="Times New Roman" w:hAnsi="Times New Roman"/>
                            <w:sz w:val="21"/>
                          </w:rPr>
                          <w:t>8.55×10</w:t>
                        </w:r>
                        <w:r>
                          <w:rPr>
                            <w:rFonts w:ascii="Times New Roman" w:hAnsi="Times New Roman"/>
                            <w:sz w:val="21"/>
                            <w:vertAlign w:val="superscript"/>
                          </w:rPr>
                          <w:t>-5</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6"/>
                          <w:ind w:left="156" w:right="16"/>
                          <w:rPr>
                            <w:rFonts w:ascii="Times New Roman" w:hAnsi="Times New Roman"/>
                            <w:sz w:val="21"/>
                          </w:rPr>
                        </w:pPr>
                        <w:r>
                          <w:rPr>
                            <w:rFonts w:ascii="Times New Roman" w:hAnsi="Times New Roman"/>
                            <w:sz w:val="21"/>
                          </w:rPr>
                          <w:t>5.49×10</w:t>
                        </w:r>
                        <w:r>
                          <w:rPr>
                            <w:rFonts w:ascii="Times New Roman" w:hAnsi="Times New Roman"/>
                            <w:sz w:val="21"/>
                            <w:vertAlign w:val="superscript"/>
                          </w:rPr>
                          <w:t>-4</w:t>
                        </w:r>
                      </w:p>
                    </w:tc>
                    <w:tc>
                      <w:tcPr>
                        <w:tcW w:w="696" w:type="dxa"/>
                        <w:vMerge/>
                        <w:tcBorders>
                          <w:top w:val="nil"/>
                          <w:left w:val="single" w:sz="4" w:space="0" w:color="000000"/>
                          <w:bottom w:val="single" w:sz="4" w:space="0" w:color="000000"/>
                          <w:right w:val="nil"/>
                        </w:tcBorders>
                      </w:tcPr>
                      <w:p>
                        <w:pPr>
                          <w:rPr>
                            <w:sz w:val="2"/>
                            <w:szCs w:val="2"/>
                          </w:rPr>
                        </w:pPr>
                      </w:p>
                    </w:tc>
                  </w:tr>
                  <w:tr>
                    <w:trPr>
                      <w:trHeight w:val="31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2"/>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6"/>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6"/>
                          <w:ind w:right="85"/>
                          <w:jc w:val="right"/>
                          <w:rPr>
                            <w:rFonts w:ascii="Times New Roman" w:hAnsi="Times New Roman"/>
                            <w:b/>
                            <w:sz w:val="21"/>
                          </w:rPr>
                        </w:pPr>
                        <w:r>
                          <w:rPr>
                            <w:rFonts w:ascii="Times New Roman" w:hAnsi="Times New Roman"/>
                            <w:b/>
                            <w:sz w:val="21"/>
                          </w:rPr>
                          <w:t>4.81×10</w:t>
                        </w:r>
                        <w:r>
                          <w:rPr>
                            <w:rFonts w:ascii="Times New Roman" w:hAnsi="Times New Roman"/>
                            <w:b/>
                            <w:sz w:val="21"/>
                            <w:vertAlign w:val="superscript"/>
                          </w:rPr>
                          <w:t>-4</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6"/>
                          <w:ind w:left="230"/>
                          <w:jc w:val="left"/>
                          <w:rPr>
                            <w:rFonts w:ascii="Times New Roman" w:hAnsi="Times New Roman"/>
                            <w:b/>
                            <w:sz w:val="21"/>
                          </w:rPr>
                        </w:pPr>
                        <w:r>
                          <w:rPr>
                            <w:rFonts w:ascii="Times New Roman" w:hAnsi="Times New Roman"/>
                            <w:b/>
                            <w:sz w:val="21"/>
                          </w:rPr>
                          <w:t>1.41×10</w:t>
                        </w:r>
                        <w:r>
                          <w:rPr>
                            <w:rFonts w:ascii="Times New Roman" w:hAnsi="Times New Roman"/>
                            <w:b/>
                            <w:sz w:val="21"/>
                            <w:vertAlign w:val="superscript"/>
                          </w:rPr>
                          <w:t>-4</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6"/>
                          <w:ind w:left="156" w:right="16"/>
                          <w:rPr>
                            <w:rFonts w:ascii="Times New Roman" w:hAnsi="Times New Roman"/>
                            <w:b/>
                            <w:sz w:val="21"/>
                          </w:rPr>
                        </w:pPr>
                        <w:r>
                          <w:rPr>
                            <w:rFonts w:ascii="Times New Roman" w:hAnsi="Times New Roman"/>
                            <w:b/>
                            <w:sz w:val="21"/>
                          </w:rPr>
                          <w:t>6.22×10</w:t>
                        </w:r>
                        <w:r>
                          <w:rPr>
                            <w:rFonts w:ascii="Times New Roman" w:hAnsi="Times New Roman"/>
                            <w:b/>
                            <w:sz w:val="21"/>
                            <w:vertAlign w:val="superscript"/>
                          </w:rPr>
                          <w:t>-4</w:t>
                        </w:r>
                      </w:p>
                    </w:tc>
                    <w:tc>
                      <w:tcPr>
                        <w:tcW w:w="696" w:type="dxa"/>
                        <w:vMerge/>
                        <w:tcBorders>
                          <w:top w:val="nil"/>
                          <w:left w:val="single" w:sz="4" w:space="0" w:color="000000"/>
                          <w:bottom w:val="single" w:sz="4" w:space="0" w:color="000000"/>
                          <w:right w:val="nil"/>
                        </w:tcBorders>
                      </w:tcPr>
                      <w:p>
                        <w:pPr>
                          <w:rPr>
                            <w:sz w:val="2"/>
                            <w:szCs w:val="2"/>
                          </w:rPr>
                        </w:pPr>
                      </w:p>
                    </w:tc>
                  </w:tr>
                  <w:tr>
                    <w:trPr>
                      <w:trHeight w:val="311"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31"/>
                          <w:ind w:left="137" w:right="86" w:hanging="20"/>
                          <w:jc w:val="left"/>
                          <w:rPr>
                            <w:sz w:val="21"/>
                          </w:rPr>
                        </w:pPr>
                        <w:r>
                          <w:rPr>
                            <w:rFonts w:ascii="Times New Roman" w:eastAsia="Times New Roman"/>
                            <w:spacing w:val="-2"/>
                            <w:sz w:val="21"/>
                          </w:rPr>
                          <w:t>DSA</w:t>
                        </w:r>
                        <w:r>
                          <w:rPr>
                            <w:rFonts w:ascii="Times New Roman" w:eastAsia="Times New Roman"/>
                            <w:spacing w:val="-11"/>
                            <w:sz w:val="21"/>
                          </w:rPr>
                          <w:t> </w:t>
                        </w:r>
                        <w:r>
                          <w:rPr>
                            <w:spacing w:val="-2"/>
                            <w:sz w:val="21"/>
                          </w:rPr>
                          <w:t>配套房间</w:t>
                        </w:r>
                        <w:r>
                          <w:rPr>
                            <w:spacing w:val="-1"/>
                            <w:sz w:val="21"/>
                          </w:rPr>
                          <w:t>（医生</w:t>
                        </w:r>
                        <w:r>
                          <w:rPr>
                            <w:w w:val="95"/>
                            <w:sz w:val="21"/>
                          </w:rPr>
                          <w:t>通道、办公休息室、</w:t>
                        </w:r>
                      </w:p>
                      <w:p>
                        <w:pPr>
                          <w:pStyle w:val="TableParagraph"/>
                          <w:spacing w:line="269" w:lineRule="exact"/>
                          <w:ind w:left="137"/>
                          <w:jc w:val="left"/>
                          <w:rPr>
                            <w:sz w:val="21"/>
                          </w:rPr>
                        </w:pPr>
                        <w:r>
                          <w:rPr>
                            <w:w w:val="95"/>
                            <w:sz w:val="21"/>
                          </w:rPr>
                          <w:t>更衣室）（西南侧）</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1"/>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5"/>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5"/>
                          <w:ind w:left="217"/>
                          <w:jc w:val="left"/>
                          <w:rPr>
                            <w:rFonts w:ascii="Times New Roman" w:hAnsi="Times New Roman"/>
                            <w:sz w:val="21"/>
                          </w:rPr>
                        </w:pPr>
                        <w:r>
                          <w:rPr>
                            <w:rFonts w:ascii="Times New Roman" w:hAnsi="Times New Roman"/>
                            <w:sz w:val="21"/>
                          </w:rPr>
                          <w:t>1.14×10</w:t>
                        </w:r>
                        <w:r>
                          <w:rPr>
                            <w:rFonts w:ascii="Times New Roman" w:hAnsi="Times New Roman"/>
                            <w:sz w:val="21"/>
                            <w:vertAlign w:val="superscript"/>
                          </w:rPr>
                          <w:t>-6</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5"/>
                          <w:ind w:left="172"/>
                          <w:jc w:val="left"/>
                          <w:rPr>
                            <w:rFonts w:ascii="Times New Roman" w:hAnsi="Times New Roman"/>
                            <w:sz w:val="21"/>
                          </w:rPr>
                        </w:pPr>
                        <w:r>
                          <w:rPr>
                            <w:rFonts w:ascii="Times New Roman" w:hAnsi="Times New Roman"/>
                            <w:sz w:val="21"/>
                          </w:rPr>
                          <w:t>3.51×10</w:t>
                        </w:r>
                        <w:r>
                          <w:rPr>
                            <w:rFonts w:ascii="Times New Roman" w:hAnsi="Times New Roman"/>
                            <w:sz w:val="21"/>
                            <w:vertAlign w:val="superscript"/>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5"/>
                          <w:ind w:left="156" w:right="16"/>
                          <w:rPr>
                            <w:rFonts w:ascii="Times New Roman" w:hAnsi="Times New Roman"/>
                            <w:sz w:val="21"/>
                          </w:rPr>
                        </w:pPr>
                        <w:r>
                          <w:rPr>
                            <w:rFonts w:ascii="Times New Roman" w:hAnsi="Times New Roman"/>
                            <w:sz w:val="21"/>
                          </w:rPr>
                          <w:t>4.65×10</w:t>
                        </w:r>
                        <w:r>
                          <w:rPr>
                            <w:rFonts w:ascii="Times New Roman" w:hAnsi="Times New Roman"/>
                            <w:sz w:val="21"/>
                            <w:vertAlign w:val="superscript"/>
                          </w:rPr>
                          <w:t>-6</w:t>
                        </w:r>
                      </w:p>
                    </w:tc>
                    <w:tc>
                      <w:tcPr>
                        <w:tcW w:w="696" w:type="dxa"/>
                        <w:vMerge w:val="restart"/>
                        <w:tcBorders>
                          <w:top w:val="single" w:sz="4" w:space="0" w:color="000000"/>
                          <w:left w:val="single" w:sz="4" w:space="0" w:color="000000"/>
                          <w:bottom w:val="single" w:sz="4" w:space="0" w:color="000000"/>
                          <w:right w:val="nil"/>
                        </w:tcBorders>
                      </w:tcPr>
                      <w:p>
                        <w:pPr>
                          <w:pStyle w:val="TableParagraph"/>
                          <w:spacing w:before="10"/>
                          <w:jc w:val="left"/>
                          <w:rPr>
                            <w:sz w:val="26"/>
                          </w:rPr>
                        </w:pPr>
                      </w:p>
                      <w:p>
                        <w:pPr>
                          <w:pStyle w:val="TableParagraph"/>
                          <w:ind w:left="148"/>
                          <w:jc w:val="left"/>
                          <w:rPr>
                            <w:sz w:val="21"/>
                          </w:rPr>
                        </w:pPr>
                        <w:r>
                          <w:rPr>
                            <w:sz w:val="21"/>
                          </w:rPr>
                          <w:t>公众</w:t>
                        </w:r>
                      </w:p>
                    </w:tc>
                  </w:tr>
                  <w:tr>
                    <w:trPr>
                      <w:trHeight w:val="31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1"/>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5"/>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5"/>
                          <w:ind w:left="217"/>
                          <w:jc w:val="left"/>
                          <w:rPr>
                            <w:rFonts w:ascii="Times New Roman" w:hAnsi="Times New Roman"/>
                            <w:sz w:val="13"/>
                          </w:rPr>
                        </w:pPr>
                        <w:r>
                          <w:rPr>
                            <w:rFonts w:ascii="Times New Roman" w:hAnsi="Times New Roman"/>
                            <w:sz w:val="21"/>
                          </w:rPr>
                          <w:t>4.84×10</w:t>
                        </w:r>
                        <w:r>
                          <w:rPr>
                            <w:rFonts w:ascii="Times New Roman" w:hAnsi="Times New Roman"/>
                            <w:position w:val="7"/>
                            <w:sz w:val="13"/>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5"/>
                          <w:ind w:left="172"/>
                          <w:jc w:val="left"/>
                          <w:rPr>
                            <w:rFonts w:ascii="Times New Roman" w:hAnsi="Times New Roman"/>
                            <w:sz w:val="13"/>
                          </w:rPr>
                        </w:pPr>
                        <w:r>
                          <w:rPr>
                            <w:rFonts w:ascii="Times New Roman" w:hAnsi="Times New Roman"/>
                            <w:sz w:val="21"/>
                          </w:rPr>
                          <w:t>8.94×10</w:t>
                        </w:r>
                        <w:r>
                          <w:rPr>
                            <w:rFonts w:ascii="Times New Roman" w:hAnsi="Times New Roman"/>
                            <w:position w:val="7"/>
                            <w:sz w:val="13"/>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5"/>
                          <w:ind w:left="156" w:right="16"/>
                          <w:rPr>
                            <w:rFonts w:ascii="Times New Roman" w:hAnsi="Times New Roman"/>
                            <w:sz w:val="13"/>
                          </w:rPr>
                        </w:pPr>
                        <w:r>
                          <w:rPr>
                            <w:rFonts w:ascii="Times New Roman" w:hAnsi="Times New Roman"/>
                            <w:sz w:val="21"/>
                          </w:rPr>
                          <w:t>5.73×10</w:t>
                        </w:r>
                        <w:r>
                          <w:rPr>
                            <w:rFonts w:ascii="Times New Roman" w:hAnsi="Times New Roman"/>
                            <w:position w:val="7"/>
                            <w:sz w:val="13"/>
                          </w:rPr>
                          <w:t>-5</w:t>
                        </w:r>
                      </w:p>
                    </w:tc>
                    <w:tc>
                      <w:tcPr>
                        <w:tcW w:w="696" w:type="dxa"/>
                        <w:vMerge/>
                        <w:tcBorders>
                          <w:top w:val="nil"/>
                          <w:left w:val="single" w:sz="4" w:space="0" w:color="000000"/>
                          <w:bottom w:val="single" w:sz="4" w:space="0" w:color="000000"/>
                          <w:right w:val="nil"/>
                        </w:tcBorders>
                      </w:tcPr>
                      <w:p>
                        <w:pPr>
                          <w:rPr>
                            <w:sz w:val="2"/>
                            <w:szCs w:val="2"/>
                          </w:rPr>
                        </w:pPr>
                      </w:p>
                    </w:tc>
                  </w:tr>
                  <w:tr>
                    <w:trPr>
                      <w:trHeight w:val="31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0"/>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7"/>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7"/>
                          <w:ind w:right="85"/>
                          <w:jc w:val="right"/>
                          <w:rPr>
                            <w:rFonts w:ascii="Times New Roman" w:hAnsi="Times New Roman"/>
                            <w:b/>
                            <w:sz w:val="21"/>
                          </w:rPr>
                        </w:pPr>
                        <w:r>
                          <w:rPr>
                            <w:rFonts w:ascii="Times New Roman" w:hAnsi="Times New Roman"/>
                            <w:b/>
                            <w:sz w:val="21"/>
                          </w:rPr>
                          <w:t>4.95×10</w:t>
                        </w:r>
                        <w:r>
                          <w:rPr>
                            <w:rFonts w:ascii="Times New Roman" w:hAnsi="Times New Roman"/>
                            <w:b/>
                            <w:sz w:val="21"/>
                            <w:vertAlign w:val="superscript"/>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7"/>
                          <w:ind w:left="230"/>
                          <w:jc w:val="left"/>
                          <w:rPr>
                            <w:rFonts w:ascii="Times New Roman" w:hAnsi="Times New Roman"/>
                            <w:b/>
                            <w:sz w:val="21"/>
                          </w:rPr>
                        </w:pPr>
                        <w:r>
                          <w:rPr>
                            <w:rFonts w:ascii="Times New Roman" w:hAnsi="Times New Roman"/>
                            <w:b/>
                            <w:sz w:val="21"/>
                          </w:rPr>
                          <w:t>1.25×10</w:t>
                        </w:r>
                        <w:r>
                          <w:rPr>
                            <w:rFonts w:ascii="Times New Roman" w:hAnsi="Times New Roman"/>
                            <w:b/>
                            <w:sz w:val="21"/>
                            <w:vertAlign w:val="superscript"/>
                          </w:rPr>
                          <w:t>-5</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7"/>
                          <w:ind w:left="156" w:right="16"/>
                          <w:rPr>
                            <w:rFonts w:ascii="Times New Roman" w:hAnsi="Times New Roman"/>
                            <w:b/>
                            <w:sz w:val="21"/>
                          </w:rPr>
                        </w:pPr>
                        <w:r>
                          <w:rPr>
                            <w:rFonts w:ascii="Times New Roman" w:hAnsi="Times New Roman"/>
                            <w:b/>
                            <w:sz w:val="21"/>
                          </w:rPr>
                          <w:t>6.20×10</w:t>
                        </w:r>
                        <w:r>
                          <w:rPr>
                            <w:rFonts w:ascii="Times New Roman" w:hAnsi="Times New Roman"/>
                            <w:b/>
                            <w:sz w:val="21"/>
                            <w:vertAlign w:val="superscript"/>
                          </w:rPr>
                          <w:t>-5</w:t>
                        </w:r>
                      </w:p>
                    </w:tc>
                    <w:tc>
                      <w:tcPr>
                        <w:tcW w:w="696" w:type="dxa"/>
                        <w:vMerge/>
                        <w:tcBorders>
                          <w:top w:val="nil"/>
                          <w:left w:val="single" w:sz="4" w:space="0" w:color="000000"/>
                          <w:bottom w:val="single" w:sz="4" w:space="0" w:color="000000"/>
                          <w:right w:val="nil"/>
                        </w:tcBorders>
                      </w:tcPr>
                      <w:p>
                        <w:pPr>
                          <w:rPr>
                            <w:sz w:val="2"/>
                            <w:szCs w:val="2"/>
                          </w:rPr>
                        </w:pPr>
                      </w:p>
                    </w:tc>
                  </w:tr>
                  <w:tr>
                    <w:trPr>
                      <w:trHeight w:val="365"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20"/>
                          <w:ind w:left="137" w:right="-29" w:hanging="20"/>
                          <w:jc w:val="left"/>
                          <w:rPr>
                            <w:sz w:val="21"/>
                          </w:rPr>
                        </w:pPr>
                        <w:r>
                          <w:rPr>
                            <w:spacing w:val="-9"/>
                            <w:sz w:val="21"/>
                          </w:rPr>
                          <w:t>设备间、家属等候区、</w:t>
                        </w:r>
                        <w:r>
                          <w:rPr>
                            <w:sz w:val="21"/>
                          </w:rPr>
                          <w:t>后处理室、其他机房及配套用房等（东南</w:t>
                        </w:r>
                      </w:p>
                      <w:p>
                        <w:pPr>
                          <w:pStyle w:val="TableParagraph"/>
                          <w:spacing w:line="269" w:lineRule="exact"/>
                          <w:ind w:left="871"/>
                          <w:jc w:val="left"/>
                          <w:rPr>
                            <w:sz w:val="21"/>
                          </w:rPr>
                        </w:pPr>
                        <w:r>
                          <w:rPr>
                            <w:sz w:val="21"/>
                          </w:rPr>
                          <w:t>侧）</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49"/>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63"/>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63"/>
                          <w:ind w:left="217"/>
                          <w:jc w:val="left"/>
                          <w:rPr>
                            <w:rFonts w:ascii="Times New Roman" w:hAnsi="Times New Roman"/>
                            <w:sz w:val="21"/>
                          </w:rPr>
                        </w:pPr>
                        <w:r>
                          <w:rPr>
                            <w:rFonts w:ascii="Times New Roman" w:hAnsi="Times New Roman"/>
                            <w:sz w:val="21"/>
                          </w:rPr>
                          <w:t>1.14×10</w:t>
                        </w:r>
                        <w:r>
                          <w:rPr>
                            <w:rFonts w:ascii="Times New Roman" w:hAnsi="Times New Roman"/>
                            <w:sz w:val="21"/>
                            <w:vertAlign w:val="superscript"/>
                          </w:rPr>
                          <w:t>-6</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63"/>
                          <w:ind w:left="172"/>
                          <w:jc w:val="left"/>
                          <w:rPr>
                            <w:rFonts w:ascii="Times New Roman" w:hAnsi="Times New Roman"/>
                            <w:sz w:val="21"/>
                          </w:rPr>
                        </w:pPr>
                        <w:r>
                          <w:rPr>
                            <w:rFonts w:ascii="Times New Roman" w:hAnsi="Times New Roman"/>
                            <w:sz w:val="21"/>
                          </w:rPr>
                          <w:t>3.51×10</w:t>
                        </w:r>
                        <w:r>
                          <w:rPr>
                            <w:rFonts w:ascii="Times New Roman" w:hAnsi="Times New Roman"/>
                            <w:sz w:val="21"/>
                            <w:vertAlign w:val="superscript"/>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89"/>
                          <w:ind w:left="156" w:right="16"/>
                          <w:rPr>
                            <w:rFonts w:ascii="Times New Roman" w:hAnsi="Times New Roman"/>
                            <w:sz w:val="21"/>
                          </w:rPr>
                        </w:pPr>
                        <w:r>
                          <w:rPr>
                            <w:rFonts w:ascii="Times New Roman" w:hAnsi="Times New Roman"/>
                            <w:sz w:val="21"/>
                          </w:rPr>
                          <w:t>4.65×10</w:t>
                        </w:r>
                        <w:r>
                          <w:rPr>
                            <w:rFonts w:ascii="Times New Roman" w:hAnsi="Times New Roman"/>
                            <w:sz w:val="21"/>
                            <w:vertAlign w:val="superscript"/>
                          </w:rPr>
                          <w:t>-6</w:t>
                        </w:r>
                      </w:p>
                    </w:tc>
                    <w:tc>
                      <w:tcPr>
                        <w:tcW w:w="696" w:type="dxa"/>
                        <w:vMerge w:val="restart"/>
                        <w:tcBorders>
                          <w:top w:val="single" w:sz="4" w:space="0" w:color="000000"/>
                          <w:left w:val="single" w:sz="4" w:space="0" w:color="000000"/>
                          <w:bottom w:val="single" w:sz="4" w:space="0" w:color="000000"/>
                          <w:right w:val="nil"/>
                        </w:tcBorders>
                      </w:tcPr>
                      <w:p>
                        <w:pPr>
                          <w:pStyle w:val="TableParagraph"/>
                          <w:jc w:val="left"/>
                          <w:rPr>
                            <w:sz w:val="20"/>
                          </w:rPr>
                        </w:pPr>
                      </w:p>
                      <w:p>
                        <w:pPr>
                          <w:pStyle w:val="TableParagraph"/>
                          <w:spacing w:before="1"/>
                          <w:jc w:val="left"/>
                          <w:rPr>
                            <w:sz w:val="18"/>
                          </w:rPr>
                        </w:pPr>
                      </w:p>
                      <w:p>
                        <w:pPr>
                          <w:pStyle w:val="TableParagraph"/>
                          <w:ind w:left="148"/>
                          <w:jc w:val="left"/>
                          <w:rPr>
                            <w:sz w:val="21"/>
                          </w:rPr>
                        </w:pPr>
                        <w:r>
                          <w:rPr>
                            <w:sz w:val="21"/>
                          </w:rPr>
                          <w:t>公众</w:t>
                        </w:r>
                      </w:p>
                    </w:tc>
                  </w:tr>
                  <w:tr>
                    <w:trPr>
                      <w:trHeight w:val="35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40"/>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56"/>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56"/>
                          <w:ind w:left="217"/>
                          <w:jc w:val="left"/>
                          <w:rPr>
                            <w:rFonts w:ascii="Times New Roman" w:hAnsi="Times New Roman"/>
                            <w:sz w:val="21"/>
                          </w:rPr>
                        </w:pPr>
                        <w:r>
                          <w:rPr>
                            <w:rFonts w:ascii="Times New Roman" w:hAnsi="Times New Roman"/>
                            <w:sz w:val="21"/>
                          </w:rPr>
                          <w:t>4.84×10</w:t>
                        </w:r>
                        <w:r>
                          <w:rPr>
                            <w:rFonts w:ascii="Times New Roman" w:hAnsi="Times New Roman"/>
                            <w:sz w:val="21"/>
                            <w:vertAlign w:val="superscript"/>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56"/>
                          <w:ind w:left="172"/>
                          <w:jc w:val="left"/>
                          <w:rPr>
                            <w:rFonts w:ascii="Times New Roman" w:hAnsi="Times New Roman"/>
                            <w:sz w:val="21"/>
                          </w:rPr>
                        </w:pPr>
                        <w:r>
                          <w:rPr>
                            <w:rFonts w:ascii="Times New Roman" w:hAnsi="Times New Roman"/>
                            <w:sz w:val="21"/>
                          </w:rPr>
                          <w:t>8.94×10</w:t>
                        </w:r>
                        <w:r>
                          <w:rPr>
                            <w:rFonts w:ascii="Times New Roman" w:hAnsi="Times New Roman"/>
                            <w:sz w:val="21"/>
                            <w:vertAlign w:val="superscript"/>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76"/>
                          <w:ind w:left="156" w:right="16"/>
                          <w:rPr>
                            <w:rFonts w:ascii="Times New Roman" w:hAnsi="Times New Roman"/>
                            <w:sz w:val="21"/>
                          </w:rPr>
                        </w:pPr>
                        <w:r>
                          <w:rPr>
                            <w:rFonts w:ascii="Times New Roman" w:hAnsi="Times New Roman"/>
                            <w:sz w:val="21"/>
                          </w:rPr>
                          <w:t>5.73×10</w:t>
                        </w:r>
                        <w:r>
                          <w:rPr>
                            <w:rFonts w:ascii="Times New Roman" w:hAnsi="Times New Roman"/>
                            <w:sz w:val="21"/>
                            <w:vertAlign w:val="superscript"/>
                          </w:rPr>
                          <w:t>-5</w:t>
                        </w:r>
                      </w:p>
                    </w:tc>
                    <w:tc>
                      <w:tcPr>
                        <w:tcW w:w="696" w:type="dxa"/>
                        <w:vMerge/>
                        <w:tcBorders>
                          <w:top w:val="nil"/>
                          <w:left w:val="single" w:sz="4" w:space="0" w:color="000000"/>
                          <w:bottom w:val="single" w:sz="4" w:space="0" w:color="000000"/>
                          <w:right w:val="nil"/>
                        </w:tcBorders>
                      </w:tcPr>
                      <w:p>
                        <w:pPr>
                          <w:rPr>
                            <w:sz w:val="2"/>
                            <w:szCs w:val="2"/>
                          </w:rPr>
                        </w:pPr>
                      </w:p>
                    </w:tc>
                  </w:tr>
                  <w:tr>
                    <w:trPr>
                      <w:trHeight w:val="510"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120"/>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134"/>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134"/>
                          <w:ind w:left="217"/>
                          <w:jc w:val="left"/>
                          <w:rPr>
                            <w:rFonts w:ascii="Times New Roman" w:hAnsi="Times New Roman"/>
                            <w:b/>
                            <w:sz w:val="13"/>
                          </w:rPr>
                        </w:pPr>
                        <w:r>
                          <w:rPr>
                            <w:rFonts w:ascii="Times New Roman" w:hAnsi="Times New Roman"/>
                            <w:b/>
                            <w:sz w:val="21"/>
                          </w:rPr>
                          <w:t>4.95×10</w:t>
                        </w:r>
                        <w:r>
                          <w:rPr>
                            <w:rFonts w:ascii="Times New Roman" w:hAnsi="Times New Roman"/>
                            <w:b/>
                            <w:position w:val="7"/>
                            <w:sz w:val="13"/>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134"/>
                          <w:ind w:left="172"/>
                          <w:jc w:val="left"/>
                          <w:rPr>
                            <w:rFonts w:ascii="Times New Roman" w:hAnsi="Times New Roman"/>
                            <w:b/>
                            <w:sz w:val="13"/>
                          </w:rPr>
                        </w:pPr>
                        <w:r>
                          <w:rPr>
                            <w:rFonts w:ascii="Times New Roman" w:hAnsi="Times New Roman"/>
                            <w:b/>
                            <w:sz w:val="21"/>
                          </w:rPr>
                          <w:t>1.25×10</w:t>
                        </w:r>
                        <w:r>
                          <w:rPr>
                            <w:rFonts w:ascii="Times New Roman" w:hAnsi="Times New Roman"/>
                            <w:b/>
                            <w:position w:val="7"/>
                            <w:sz w:val="13"/>
                          </w:rPr>
                          <w:t>-5</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34"/>
                          <w:ind w:left="155" w:right="125"/>
                          <w:rPr>
                            <w:rFonts w:ascii="Times New Roman" w:hAnsi="Times New Roman"/>
                            <w:b/>
                            <w:sz w:val="13"/>
                          </w:rPr>
                        </w:pPr>
                        <w:r>
                          <w:rPr>
                            <w:rFonts w:ascii="Times New Roman" w:hAnsi="Times New Roman"/>
                            <w:b/>
                            <w:sz w:val="21"/>
                          </w:rPr>
                          <w:t>6.20×10</w:t>
                        </w:r>
                        <w:r>
                          <w:rPr>
                            <w:rFonts w:ascii="Times New Roman" w:hAnsi="Times New Roman"/>
                            <w:b/>
                            <w:position w:val="7"/>
                            <w:sz w:val="13"/>
                          </w:rPr>
                          <w:t>-5</w:t>
                        </w:r>
                      </w:p>
                    </w:tc>
                    <w:tc>
                      <w:tcPr>
                        <w:tcW w:w="696" w:type="dxa"/>
                        <w:vMerge/>
                        <w:tcBorders>
                          <w:top w:val="nil"/>
                          <w:left w:val="single" w:sz="4" w:space="0" w:color="000000"/>
                          <w:bottom w:val="single" w:sz="4" w:space="0" w:color="000000"/>
                          <w:right w:val="nil"/>
                        </w:tcBorders>
                      </w:tcPr>
                      <w:p>
                        <w:pPr>
                          <w:rPr>
                            <w:sz w:val="2"/>
                            <w:szCs w:val="2"/>
                          </w:rPr>
                        </w:pPr>
                      </w:p>
                    </w:tc>
                  </w:tr>
                  <w:tr>
                    <w:trPr>
                      <w:trHeight w:val="31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6"/>
                          </w:rPr>
                        </w:pPr>
                      </w:p>
                      <w:p>
                        <w:pPr>
                          <w:pStyle w:val="TableParagraph"/>
                          <w:spacing w:before="1"/>
                          <w:ind w:left="117" w:right="-29"/>
                          <w:jc w:val="left"/>
                          <w:rPr>
                            <w:sz w:val="21"/>
                          </w:rPr>
                        </w:pPr>
                        <w:r>
                          <w:rPr>
                            <w:rFonts w:ascii="Times New Roman" w:eastAsia="Times New Roman"/>
                            <w:spacing w:val="-1"/>
                            <w:sz w:val="21"/>
                          </w:rPr>
                          <w:t>2</w:t>
                        </w:r>
                        <w:r>
                          <w:rPr>
                            <w:rFonts w:ascii="Times New Roman" w:eastAsia="Times New Roman"/>
                            <w:spacing w:val="-12"/>
                            <w:sz w:val="21"/>
                          </w:rPr>
                          <w:t> </w:t>
                        </w:r>
                        <w:r>
                          <w:rPr>
                            <w:spacing w:val="-1"/>
                            <w:sz w:val="21"/>
                          </w:rPr>
                          <w:t>楼更衣室</w:t>
                        </w:r>
                        <w:r>
                          <w:rPr>
                            <w:sz w:val="21"/>
                          </w:rPr>
                          <w:t>（正上方）</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0"/>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6"/>
                          <w:ind w:left="96" w:right="65"/>
                          <w:rPr>
                            <w:rFonts w:ascii="Times New Roman" w:hAnsi="Times New Roman"/>
                            <w:sz w:val="21"/>
                          </w:rPr>
                        </w:pPr>
                        <w:r>
                          <w:rPr>
                            <w:rFonts w:ascii="Times New Roman" w:hAnsi="Times New Roman"/>
                            <w:sz w:val="21"/>
                          </w:rPr>
                          <w:t>1.19×10</w:t>
                        </w:r>
                        <w:r>
                          <w:rPr>
                            <w:rFonts w:ascii="Times New Roman" w:hAnsi="Times New Roman"/>
                            <w:sz w:val="21"/>
                            <w:vertAlign w:val="superscript"/>
                          </w:rPr>
                          <w:t>-3</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6"/>
                          <w:ind w:left="27"/>
                          <w:rPr>
                            <w:rFonts w:ascii="Times New Roman"/>
                            <w:sz w:val="21"/>
                          </w:rPr>
                        </w:pPr>
                        <w:r>
                          <w:rPr>
                            <w:rFonts w:ascii="Times New Roman"/>
                            <w:w w:val="99"/>
                            <w:sz w:val="21"/>
                          </w:rPr>
                          <w:t>/</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6"/>
                          <w:ind w:left="29"/>
                          <w:rPr>
                            <w:rFonts w:ascii="Times New Roman"/>
                            <w:sz w:val="21"/>
                          </w:rPr>
                        </w:pPr>
                        <w:r>
                          <w:rPr>
                            <w:rFonts w:ascii="Times New Roman"/>
                            <w:w w:val="99"/>
                            <w:sz w:val="21"/>
                          </w:rPr>
                          <w:t>/</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Pr>
                            <w:rFonts w:ascii="Times New Roman"/>
                            <w:sz w:val="21"/>
                          </w:rPr>
                        </w:pPr>
                        <w:r>
                          <w:rPr>
                            <w:rFonts w:ascii="Times New Roman"/>
                            <w:w w:val="99"/>
                            <w:sz w:val="21"/>
                          </w:rPr>
                          <w:t>/</w:t>
                        </w:r>
                      </w:p>
                    </w:tc>
                    <w:tc>
                      <w:tcPr>
                        <w:tcW w:w="696" w:type="dxa"/>
                        <w:vMerge w:val="restart"/>
                        <w:tcBorders>
                          <w:top w:val="single" w:sz="4" w:space="0" w:color="000000"/>
                          <w:left w:val="single" w:sz="4" w:space="0" w:color="000000"/>
                          <w:bottom w:val="single" w:sz="4" w:space="0" w:color="000000"/>
                          <w:right w:val="nil"/>
                        </w:tcBorders>
                      </w:tcPr>
                      <w:p>
                        <w:pPr>
                          <w:pStyle w:val="TableParagraph"/>
                          <w:spacing w:before="10"/>
                          <w:jc w:val="left"/>
                          <w:rPr>
                            <w:sz w:val="26"/>
                          </w:rPr>
                        </w:pPr>
                      </w:p>
                      <w:p>
                        <w:pPr>
                          <w:pStyle w:val="TableParagraph"/>
                          <w:spacing w:before="1"/>
                          <w:ind w:left="148"/>
                          <w:jc w:val="left"/>
                          <w:rPr>
                            <w:sz w:val="21"/>
                          </w:rPr>
                        </w:pPr>
                        <w:r>
                          <w:rPr>
                            <w:sz w:val="21"/>
                          </w:rPr>
                          <w:t>公众</w:t>
                        </w:r>
                      </w:p>
                    </w:tc>
                  </w:tr>
                  <w:tr>
                    <w:trPr>
                      <w:trHeight w:val="311"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2"/>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6"/>
                          <w:ind w:left="96" w:right="65"/>
                          <w:rPr>
                            <w:rFonts w:ascii="Times New Roman" w:hAnsi="Times New Roman"/>
                            <w:sz w:val="21"/>
                          </w:rPr>
                        </w:pPr>
                        <w:r>
                          <w:rPr>
                            <w:rFonts w:ascii="Times New Roman" w:hAnsi="Times New Roman"/>
                            <w:sz w:val="21"/>
                          </w:rPr>
                          <w:t>4.07×10</w:t>
                        </w:r>
                        <w:r>
                          <w:rPr>
                            <w:rFonts w:ascii="Times New Roman" w:hAnsi="Times New Roman"/>
                            <w:sz w:val="21"/>
                            <w:vertAlign w:val="superscript"/>
                          </w:rPr>
                          <w:t>-2</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6"/>
                          <w:ind w:left="27"/>
                          <w:rPr>
                            <w:rFonts w:ascii="Times New Roman"/>
                            <w:sz w:val="21"/>
                          </w:rPr>
                        </w:pPr>
                        <w:r>
                          <w:rPr>
                            <w:rFonts w:ascii="Times New Roman"/>
                            <w:w w:val="99"/>
                            <w:sz w:val="21"/>
                          </w:rPr>
                          <w:t>/</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6"/>
                          <w:ind w:left="29"/>
                          <w:rPr>
                            <w:rFonts w:ascii="Times New Roman"/>
                            <w:sz w:val="21"/>
                          </w:rPr>
                        </w:pPr>
                        <w:r>
                          <w:rPr>
                            <w:rFonts w:ascii="Times New Roman"/>
                            <w:w w:val="99"/>
                            <w:sz w:val="21"/>
                          </w:rPr>
                          <w:t>/</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Pr>
                            <w:rFonts w:ascii="Times New Roman"/>
                            <w:sz w:val="21"/>
                          </w:rPr>
                        </w:pPr>
                        <w:r>
                          <w:rPr>
                            <w:rFonts w:ascii="Times New Roman"/>
                            <w:w w:val="99"/>
                            <w:sz w:val="21"/>
                          </w:rPr>
                          <w:t>/</w:t>
                        </w:r>
                      </w:p>
                    </w:tc>
                    <w:tc>
                      <w:tcPr>
                        <w:tcW w:w="696" w:type="dxa"/>
                        <w:vMerge/>
                        <w:tcBorders>
                          <w:top w:val="nil"/>
                          <w:left w:val="single" w:sz="4" w:space="0" w:color="000000"/>
                          <w:bottom w:val="single" w:sz="4" w:space="0" w:color="000000"/>
                          <w:right w:val="nil"/>
                        </w:tcBorders>
                      </w:tcPr>
                      <w:p>
                        <w:pPr>
                          <w:rPr>
                            <w:sz w:val="2"/>
                            <w:szCs w:val="2"/>
                          </w:rPr>
                        </w:pPr>
                      </w:p>
                    </w:tc>
                  </w:tr>
                  <w:tr>
                    <w:trPr>
                      <w:trHeight w:val="31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1"/>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5"/>
                          <w:ind w:left="132" w:right="31"/>
                          <w:rPr>
                            <w:rFonts w:ascii="Times New Roman" w:hAnsi="Times New Roman"/>
                            <w:b/>
                            <w:sz w:val="21"/>
                          </w:rPr>
                        </w:pPr>
                        <w:r>
                          <w:rPr>
                            <w:rFonts w:ascii="Times New Roman" w:hAnsi="Times New Roman"/>
                            <w:b/>
                            <w:sz w:val="21"/>
                          </w:rPr>
                          <w:t>4.19×10</w:t>
                        </w:r>
                        <w:r>
                          <w:rPr>
                            <w:rFonts w:ascii="Times New Roman" w:hAnsi="Times New Roman"/>
                            <w:b/>
                            <w:sz w:val="21"/>
                            <w:vertAlign w:val="superscript"/>
                          </w:rPr>
                          <w:t>-2</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5"/>
                          <w:ind w:left="27"/>
                          <w:rPr>
                            <w:rFonts w:ascii="Times New Roman"/>
                            <w:sz w:val="21"/>
                          </w:rPr>
                        </w:pPr>
                        <w:r>
                          <w:rPr>
                            <w:rFonts w:ascii="Times New Roman"/>
                            <w:w w:val="99"/>
                            <w:sz w:val="21"/>
                          </w:rPr>
                          <w:t>/</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5"/>
                          <w:ind w:left="29"/>
                          <w:rPr>
                            <w:rFonts w:ascii="Times New Roman"/>
                            <w:sz w:val="21"/>
                          </w:rPr>
                        </w:pPr>
                        <w:r>
                          <w:rPr>
                            <w:rFonts w:ascii="Times New Roman"/>
                            <w:w w:val="99"/>
                            <w:sz w:val="21"/>
                          </w:rPr>
                          <w:t>/</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5"/>
                          <w:ind w:left="26"/>
                          <w:rPr>
                            <w:rFonts w:ascii="Times New Roman"/>
                            <w:sz w:val="21"/>
                          </w:rPr>
                        </w:pPr>
                        <w:r>
                          <w:rPr>
                            <w:rFonts w:ascii="Times New Roman"/>
                            <w:w w:val="99"/>
                            <w:sz w:val="21"/>
                          </w:rPr>
                          <w:t>/</w:t>
                        </w:r>
                      </w:p>
                    </w:tc>
                    <w:tc>
                      <w:tcPr>
                        <w:tcW w:w="696" w:type="dxa"/>
                        <w:vMerge/>
                        <w:tcBorders>
                          <w:top w:val="nil"/>
                          <w:left w:val="single" w:sz="4" w:space="0" w:color="000000"/>
                          <w:bottom w:val="single" w:sz="4" w:space="0" w:color="000000"/>
                          <w:right w:val="nil"/>
                        </w:tcBorders>
                      </w:tcPr>
                      <w:p>
                        <w:pPr>
                          <w:rPr>
                            <w:sz w:val="2"/>
                            <w:szCs w:val="2"/>
                          </w:rPr>
                        </w:pPr>
                      </w:p>
                    </w:tc>
                  </w:tr>
                  <w:tr>
                    <w:trPr>
                      <w:trHeight w:val="607"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8"/>
                          </w:rPr>
                        </w:pPr>
                      </w:p>
                      <w:p>
                        <w:pPr>
                          <w:pStyle w:val="TableParagraph"/>
                          <w:ind w:left="209" w:right="181"/>
                          <w:rPr>
                            <w:sz w:val="21"/>
                          </w:rPr>
                        </w:pPr>
                        <w:r>
                          <w:rPr>
                            <w:rFonts w:ascii="Times New Roman" w:eastAsia="Times New Roman"/>
                            <w:sz w:val="21"/>
                          </w:rPr>
                          <w:t>-1</w:t>
                        </w:r>
                        <w:r>
                          <w:rPr>
                            <w:rFonts w:ascii="Times New Roman" w:eastAsia="Times New Roman"/>
                            <w:spacing w:val="-2"/>
                            <w:sz w:val="21"/>
                          </w:rPr>
                          <w:t> </w:t>
                        </w:r>
                        <w:r>
                          <w:rPr>
                            <w:sz w:val="21"/>
                          </w:rPr>
                          <w:t>楼预留变配电室</w:t>
                        </w:r>
                      </w:p>
                      <w:p>
                        <w:pPr>
                          <w:pStyle w:val="TableParagraph"/>
                          <w:spacing w:before="43"/>
                          <w:ind w:left="209" w:right="181"/>
                          <w:rPr>
                            <w:sz w:val="21"/>
                          </w:rPr>
                        </w:pPr>
                        <w:r>
                          <w:rPr>
                            <w:sz w:val="21"/>
                          </w:rPr>
                          <w:t>（正下方）</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167"/>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184"/>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184"/>
                          <w:ind w:left="217"/>
                          <w:jc w:val="left"/>
                          <w:rPr>
                            <w:rFonts w:ascii="Times New Roman" w:hAnsi="Times New Roman"/>
                            <w:sz w:val="21"/>
                          </w:rPr>
                        </w:pPr>
                        <w:r>
                          <w:rPr>
                            <w:rFonts w:ascii="Times New Roman" w:hAnsi="Times New Roman"/>
                            <w:sz w:val="21"/>
                          </w:rPr>
                          <w:t>6.15×10</w:t>
                        </w:r>
                        <w:r>
                          <w:rPr>
                            <w:rFonts w:ascii="Times New Roman" w:hAnsi="Times New Roman"/>
                            <w:sz w:val="21"/>
                            <w:vertAlign w:val="superscript"/>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184"/>
                          <w:ind w:left="172"/>
                          <w:jc w:val="left"/>
                          <w:rPr>
                            <w:rFonts w:ascii="Times New Roman" w:hAnsi="Times New Roman"/>
                            <w:sz w:val="21"/>
                          </w:rPr>
                        </w:pPr>
                        <w:r>
                          <w:rPr>
                            <w:rFonts w:ascii="Times New Roman" w:hAnsi="Times New Roman"/>
                            <w:sz w:val="21"/>
                          </w:rPr>
                          <w:t>1.89×10</w:t>
                        </w:r>
                        <w:r>
                          <w:rPr>
                            <w:rFonts w:ascii="Times New Roman" w:hAnsi="Times New Roman"/>
                            <w:sz w:val="21"/>
                            <w:vertAlign w:val="superscript"/>
                          </w:rPr>
                          <w:t>-4</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5"/>
                          </w:rPr>
                        </w:pPr>
                      </w:p>
                      <w:p>
                        <w:pPr>
                          <w:pStyle w:val="TableParagraph"/>
                          <w:ind w:left="156" w:right="16"/>
                          <w:rPr>
                            <w:rFonts w:ascii="Times New Roman" w:hAnsi="Times New Roman"/>
                            <w:sz w:val="13"/>
                          </w:rPr>
                        </w:pPr>
                        <w:r>
                          <w:rPr>
                            <w:rFonts w:ascii="Times New Roman" w:hAnsi="Times New Roman"/>
                            <w:sz w:val="21"/>
                          </w:rPr>
                          <w:t>2.51×10</w:t>
                        </w:r>
                        <w:r>
                          <w:rPr>
                            <w:rFonts w:ascii="Times New Roman" w:hAnsi="Times New Roman"/>
                            <w:position w:val="7"/>
                            <w:sz w:val="13"/>
                          </w:rPr>
                          <w:t>-4</w:t>
                        </w:r>
                      </w:p>
                    </w:tc>
                    <w:tc>
                      <w:tcPr>
                        <w:tcW w:w="696" w:type="dxa"/>
                        <w:vMerge w:val="restart"/>
                        <w:tcBorders>
                          <w:top w:val="single" w:sz="4" w:space="0" w:color="000000"/>
                          <w:left w:val="single" w:sz="4" w:space="0" w:color="000000"/>
                          <w:bottom w:val="single" w:sz="4" w:space="0" w:color="000000"/>
                          <w:right w:val="nil"/>
                        </w:tcBorders>
                      </w:tcPr>
                      <w:p>
                        <w:pPr>
                          <w:pStyle w:val="TableParagraph"/>
                          <w:jc w:val="left"/>
                          <w:rPr>
                            <w:sz w:val="20"/>
                          </w:rPr>
                        </w:pPr>
                      </w:p>
                      <w:p>
                        <w:pPr>
                          <w:pStyle w:val="TableParagraph"/>
                          <w:spacing w:before="5"/>
                          <w:jc w:val="left"/>
                          <w:rPr>
                            <w:sz w:val="20"/>
                          </w:rPr>
                        </w:pPr>
                      </w:p>
                      <w:p>
                        <w:pPr>
                          <w:pStyle w:val="TableParagraph"/>
                          <w:ind w:left="148"/>
                          <w:jc w:val="left"/>
                          <w:rPr>
                            <w:sz w:val="21"/>
                          </w:rPr>
                        </w:pPr>
                        <w:r>
                          <w:rPr>
                            <w:sz w:val="21"/>
                          </w:rPr>
                          <w:t>公众</w:t>
                        </w:r>
                      </w:p>
                    </w:tc>
                  </w:tr>
                  <w:tr>
                    <w:trPr>
                      <w:trHeight w:val="367"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49"/>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63"/>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63"/>
                          <w:ind w:left="217"/>
                          <w:jc w:val="left"/>
                          <w:rPr>
                            <w:rFonts w:ascii="Times New Roman" w:hAnsi="Times New Roman"/>
                            <w:sz w:val="21"/>
                          </w:rPr>
                        </w:pPr>
                        <w:r>
                          <w:rPr>
                            <w:rFonts w:ascii="Times New Roman" w:hAnsi="Times New Roman"/>
                            <w:sz w:val="21"/>
                          </w:rPr>
                          <w:t>1.26×10</w:t>
                        </w:r>
                        <w:r>
                          <w:rPr>
                            <w:rFonts w:ascii="Times New Roman" w:hAnsi="Times New Roman"/>
                            <w:sz w:val="21"/>
                            <w:vertAlign w:val="superscript"/>
                          </w:rPr>
                          <w:t>-3</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63"/>
                          <w:ind w:left="172"/>
                          <w:jc w:val="left"/>
                          <w:rPr>
                            <w:rFonts w:ascii="Times New Roman" w:hAnsi="Times New Roman"/>
                            <w:sz w:val="21"/>
                          </w:rPr>
                        </w:pPr>
                        <w:r>
                          <w:rPr>
                            <w:rFonts w:ascii="Times New Roman" w:hAnsi="Times New Roman"/>
                            <w:sz w:val="21"/>
                          </w:rPr>
                          <w:t>2.33×10</w:t>
                        </w:r>
                        <w:r>
                          <w:rPr>
                            <w:rFonts w:ascii="Times New Roman" w:hAnsi="Times New Roman"/>
                            <w:sz w:val="21"/>
                            <w:vertAlign w:val="superscript"/>
                          </w:rPr>
                          <w:t>-4</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92"/>
                          <w:ind w:left="156" w:right="16"/>
                          <w:rPr>
                            <w:rFonts w:ascii="Times New Roman" w:hAnsi="Times New Roman"/>
                            <w:sz w:val="21"/>
                          </w:rPr>
                        </w:pPr>
                        <w:r>
                          <w:rPr>
                            <w:rFonts w:ascii="Times New Roman" w:hAnsi="Times New Roman"/>
                            <w:sz w:val="21"/>
                          </w:rPr>
                          <w:t>1.49×10</w:t>
                        </w:r>
                        <w:r>
                          <w:rPr>
                            <w:rFonts w:ascii="Times New Roman" w:hAnsi="Times New Roman"/>
                            <w:sz w:val="21"/>
                            <w:vertAlign w:val="superscript"/>
                          </w:rPr>
                          <w:t>-3</w:t>
                        </w:r>
                      </w:p>
                    </w:tc>
                    <w:tc>
                      <w:tcPr>
                        <w:tcW w:w="696" w:type="dxa"/>
                        <w:vMerge/>
                        <w:tcBorders>
                          <w:top w:val="nil"/>
                          <w:left w:val="single" w:sz="4" w:space="0" w:color="000000"/>
                          <w:bottom w:val="single" w:sz="4" w:space="0" w:color="000000"/>
                          <w:right w:val="nil"/>
                        </w:tcBorders>
                      </w:tcPr>
                      <w:p>
                        <w:pPr>
                          <w:rPr>
                            <w:sz w:val="2"/>
                            <w:szCs w:val="2"/>
                          </w:rPr>
                        </w:pPr>
                      </w:p>
                    </w:tc>
                  </w:tr>
                  <w:tr>
                    <w:trPr>
                      <w:trHeight w:val="312" w:hRule="atLeast"/>
                    </w:trPr>
                    <w:tc>
                      <w:tcPr>
                        <w:tcW w:w="905" w:type="dxa"/>
                        <w:vMerge/>
                        <w:tcBorders>
                          <w:top w:val="nil"/>
                          <w:left w:val="nil"/>
                          <w:bottom w:val="single" w:sz="4" w:space="0" w:color="000000"/>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22"/>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36"/>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6"/>
                          <w:ind w:right="85"/>
                          <w:jc w:val="right"/>
                          <w:rPr>
                            <w:rFonts w:ascii="Times New Roman" w:hAnsi="Times New Roman"/>
                            <w:b/>
                            <w:sz w:val="13"/>
                          </w:rPr>
                        </w:pPr>
                        <w:r>
                          <w:rPr>
                            <w:rFonts w:ascii="Times New Roman" w:hAnsi="Times New Roman"/>
                            <w:b/>
                            <w:sz w:val="21"/>
                          </w:rPr>
                          <w:t>1.32×10</w:t>
                        </w:r>
                        <w:r>
                          <w:rPr>
                            <w:rFonts w:ascii="Times New Roman" w:hAnsi="Times New Roman"/>
                            <w:b/>
                            <w:position w:val="7"/>
                            <w:sz w:val="13"/>
                          </w:rPr>
                          <w:t>-3</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6"/>
                          <w:ind w:left="230"/>
                          <w:jc w:val="left"/>
                          <w:rPr>
                            <w:rFonts w:ascii="Times New Roman" w:hAnsi="Times New Roman"/>
                            <w:b/>
                            <w:sz w:val="13"/>
                          </w:rPr>
                        </w:pPr>
                        <w:r>
                          <w:rPr>
                            <w:rFonts w:ascii="Times New Roman" w:hAnsi="Times New Roman"/>
                            <w:b/>
                            <w:sz w:val="21"/>
                          </w:rPr>
                          <w:t>4.22×10</w:t>
                        </w:r>
                        <w:r>
                          <w:rPr>
                            <w:rFonts w:ascii="Times New Roman" w:hAnsi="Times New Roman"/>
                            <w:b/>
                            <w:position w:val="7"/>
                            <w:sz w:val="13"/>
                          </w:rPr>
                          <w:t>-4</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6"/>
                          <w:ind w:left="156" w:right="16"/>
                          <w:rPr>
                            <w:rFonts w:ascii="Times New Roman" w:hAnsi="Times New Roman"/>
                            <w:b/>
                            <w:sz w:val="13"/>
                          </w:rPr>
                        </w:pPr>
                        <w:r>
                          <w:rPr>
                            <w:rFonts w:ascii="Times New Roman" w:hAnsi="Times New Roman"/>
                            <w:b/>
                            <w:sz w:val="21"/>
                          </w:rPr>
                          <w:t>1.74×10</w:t>
                        </w:r>
                        <w:r>
                          <w:rPr>
                            <w:rFonts w:ascii="Times New Roman" w:hAnsi="Times New Roman"/>
                            <w:b/>
                            <w:position w:val="7"/>
                            <w:sz w:val="13"/>
                          </w:rPr>
                          <w:t>-3</w:t>
                        </w:r>
                      </w:p>
                    </w:tc>
                    <w:tc>
                      <w:tcPr>
                        <w:tcW w:w="696" w:type="dxa"/>
                        <w:vMerge/>
                        <w:tcBorders>
                          <w:top w:val="nil"/>
                          <w:left w:val="single" w:sz="4" w:space="0" w:color="000000"/>
                          <w:bottom w:val="single" w:sz="4" w:space="0" w:color="000000"/>
                          <w:right w:val="nil"/>
                        </w:tcBorders>
                      </w:tcPr>
                      <w:p>
                        <w:pPr>
                          <w:rPr>
                            <w:sz w:val="2"/>
                            <w:szCs w:val="2"/>
                          </w:rPr>
                        </w:pPr>
                      </w:p>
                    </w:tc>
                  </w:tr>
                  <w:tr>
                    <w:trPr>
                      <w:trHeight w:val="569" w:hRule="atLeast"/>
                    </w:trPr>
                    <w:tc>
                      <w:tcPr>
                        <w:tcW w:w="905" w:type="dxa"/>
                        <w:vMerge w:val="restart"/>
                        <w:tcBorders>
                          <w:top w:val="single" w:sz="4" w:space="0" w:color="000000"/>
                          <w:left w:val="nil"/>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4"/>
                          <w:jc w:val="left"/>
                          <w:rPr>
                            <w:sz w:val="32"/>
                          </w:rPr>
                        </w:pPr>
                      </w:p>
                      <w:p>
                        <w:pPr>
                          <w:pStyle w:val="TableParagraph"/>
                          <w:spacing w:line="242" w:lineRule="auto"/>
                          <w:ind w:left="226" w:right="191"/>
                          <w:jc w:val="left"/>
                          <w:rPr>
                            <w:sz w:val="24"/>
                          </w:rPr>
                        </w:pPr>
                        <w:r>
                          <w:rPr>
                            <w:spacing w:val="-2"/>
                            <w:sz w:val="24"/>
                          </w:rPr>
                          <w:t>医技楼外</w:t>
                        </w: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8"/>
                          <w:jc w:val="left"/>
                          <w:rPr>
                            <w:sz w:val="19"/>
                          </w:rPr>
                        </w:pPr>
                      </w:p>
                      <w:p>
                        <w:pPr>
                          <w:pStyle w:val="TableParagraph"/>
                          <w:ind w:left="137"/>
                          <w:jc w:val="left"/>
                          <w:rPr>
                            <w:sz w:val="21"/>
                          </w:rPr>
                        </w:pPr>
                        <w:r>
                          <w:rPr>
                            <w:sz w:val="21"/>
                          </w:rPr>
                          <w:t>医疗中心（西北侧）</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155"/>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169"/>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169"/>
                          <w:ind w:left="217"/>
                          <w:jc w:val="left"/>
                          <w:rPr>
                            <w:rFonts w:ascii="Times New Roman" w:hAnsi="Times New Roman"/>
                            <w:sz w:val="21"/>
                          </w:rPr>
                        </w:pPr>
                        <w:r>
                          <w:rPr>
                            <w:rFonts w:ascii="Times New Roman" w:hAnsi="Times New Roman"/>
                            <w:sz w:val="21"/>
                          </w:rPr>
                          <w:t>3.31×10</w:t>
                        </w:r>
                        <w:r>
                          <w:rPr>
                            <w:rFonts w:ascii="Times New Roman" w:hAnsi="Times New Roman"/>
                            <w:sz w:val="21"/>
                            <w:vertAlign w:val="superscript"/>
                          </w:rPr>
                          <w:t>-7</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169"/>
                          <w:ind w:left="172"/>
                          <w:jc w:val="left"/>
                          <w:rPr>
                            <w:rFonts w:ascii="Times New Roman" w:hAnsi="Times New Roman"/>
                            <w:sz w:val="21"/>
                          </w:rPr>
                        </w:pPr>
                        <w:r>
                          <w:rPr>
                            <w:rFonts w:ascii="Times New Roman" w:hAnsi="Times New Roman"/>
                            <w:sz w:val="21"/>
                          </w:rPr>
                          <w:t>1.02×10</w:t>
                        </w:r>
                        <w:r>
                          <w:rPr>
                            <w:rFonts w:ascii="Times New Roman" w:hAnsi="Times New Roman"/>
                            <w:sz w:val="21"/>
                            <w:vertAlign w:val="superscript"/>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8"/>
                          <w:jc w:val="left"/>
                          <w:rPr>
                            <w:sz w:val="23"/>
                          </w:rPr>
                        </w:pPr>
                      </w:p>
                      <w:p>
                        <w:pPr>
                          <w:pStyle w:val="TableParagraph"/>
                          <w:spacing w:before="1"/>
                          <w:ind w:left="156" w:right="16"/>
                          <w:rPr>
                            <w:rFonts w:ascii="Times New Roman" w:hAnsi="Times New Roman"/>
                            <w:sz w:val="21"/>
                          </w:rPr>
                        </w:pPr>
                        <w:r>
                          <w:rPr>
                            <w:rFonts w:ascii="Times New Roman" w:hAnsi="Times New Roman"/>
                            <w:sz w:val="21"/>
                          </w:rPr>
                          <w:t>1.35×10</w:t>
                        </w:r>
                        <w:r>
                          <w:rPr>
                            <w:rFonts w:ascii="Times New Roman" w:hAnsi="Times New Roman"/>
                            <w:sz w:val="21"/>
                            <w:vertAlign w:val="superscript"/>
                          </w:rPr>
                          <w:t>-6</w:t>
                        </w:r>
                      </w:p>
                    </w:tc>
                    <w:tc>
                      <w:tcPr>
                        <w:tcW w:w="696" w:type="dxa"/>
                        <w:vMerge w:val="restart"/>
                        <w:tcBorders>
                          <w:top w:val="single" w:sz="4" w:space="0" w:color="000000"/>
                          <w:left w:val="single" w:sz="4" w:space="0" w:color="000000"/>
                          <w:bottom w:val="single" w:sz="4" w:space="0" w:color="000000"/>
                          <w:right w:val="nil"/>
                        </w:tcBorders>
                      </w:tcPr>
                      <w:p>
                        <w:pPr>
                          <w:pStyle w:val="TableParagraph"/>
                          <w:jc w:val="left"/>
                          <w:rPr>
                            <w:sz w:val="20"/>
                          </w:rPr>
                        </w:pPr>
                      </w:p>
                      <w:p>
                        <w:pPr>
                          <w:pStyle w:val="TableParagraph"/>
                          <w:spacing w:before="8"/>
                          <w:jc w:val="left"/>
                          <w:rPr>
                            <w:sz w:val="19"/>
                          </w:rPr>
                        </w:pPr>
                      </w:p>
                      <w:p>
                        <w:pPr>
                          <w:pStyle w:val="TableParagraph"/>
                          <w:ind w:left="148"/>
                          <w:jc w:val="left"/>
                          <w:rPr>
                            <w:sz w:val="21"/>
                          </w:rPr>
                        </w:pPr>
                        <w:r>
                          <w:rPr>
                            <w:sz w:val="21"/>
                          </w:rPr>
                          <w:t>公众</w:t>
                        </w:r>
                      </w:p>
                    </w:tc>
                  </w:tr>
                  <w:tr>
                    <w:trPr>
                      <w:trHeight w:val="347"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38"/>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55"/>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55"/>
                          <w:ind w:left="217"/>
                          <w:jc w:val="left"/>
                          <w:rPr>
                            <w:rFonts w:ascii="Times New Roman" w:hAnsi="Times New Roman"/>
                            <w:sz w:val="21"/>
                          </w:rPr>
                        </w:pPr>
                        <w:r>
                          <w:rPr>
                            <w:rFonts w:ascii="Times New Roman" w:hAnsi="Times New Roman"/>
                            <w:sz w:val="21"/>
                          </w:rPr>
                          <w:t>1.40×10</w:t>
                        </w:r>
                        <w:r>
                          <w:rPr>
                            <w:rFonts w:ascii="Times New Roman" w:hAnsi="Times New Roman"/>
                            <w:sz w:val="21"/>
                            <w:vertAlign w:val="superscript"/>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55"/>
                          <w:ind w:left="172"/>
                          <w:jc w:val="left"/>
                          <w:rPr>
                            <w:rFonts w:ascii="Times New Roman" w:hAnsi="Times New Roman"/>
                            <w:sz w:val="21"/>
                          </w:rPr>
                        </w:pPr>
                        <w:r>
                          <w:rPr>
                            <w:rFonts w:ascii="Times New Roman" w:hAnsi="Times New Roman"/>
                            <w:sz w:val="21"/>
                          </w:rPr>
                          <w:t>2.59×10</w:t>
                        </w:r>
                        <w:r>
                          <w:rPr>
                            <w:rFonts w:ascii="Times New Roman" w:hAnsi="Times New Roman"/>
                            <w:sz w:val="21"/>
                            <w:vertAlign w:val="superscript"/>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81"/>
                          <w:ind w:left="156" w:right="16"/>
                          <w:rPr>
                            <w:rFonts w:ascii="Times New Roman" w:hAnsi="Times New Roman"/>
                            <w:sz w:val="13"/>
                          </w:rPr>
                        </w:pPr>
                        <w:r>
                          <w:rPr>
                            <w:rFonts w:ascii="Times New Roman" w:hAnsi="Times New Roman"/>
                            <w:sz w:val="21"/>
                          </w:rPr>
                          <w:t>1.66×10</w:t>
                        </w:r>
                        <w:r>
                          <w:rPr>
                            <w:rFonts w:ascii="Times New Roman" w:hAnsi="Times New Roman"/>
                            <w:position w:val="7"/>
                            <w:sz w:val="13"/>
                          </w:rPr>
                          <w:t>-6</w:t>
                        </w:r>
                      </w:p>
                    </w:tc>
                    <w:tc>
                      <w:tcPr>
                        <w:tcW w:w="696" w:type="dxa"/>
                        <w:vMerge/>
                        <w:tcBorders>
                          <w:top w:val="nil"/>
                          <w:left w:val="single" w:sz="4" w:space="0" w:color="000000"/>
                          <w:bottom w:val="single" w:sz="4" w:space="0" w:color="000000"/>
                          <w:right w:val="nil"/>
                        </w:tcBorders>
                      </w:tcPr>
                      <w:p>
                        <w:pPr>
                          <w:rPr>
                            <w:sz w:val="2"/>
                            <w:szCs w:val="2"/>
                          </w:rPr>
                        </w:pPr>
                      </w:p>
                    </w:tc>
                  </w:tr>
                  <w:tr>
                    <w:trPr>
                      <w:trHeight w:val="300"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before="16"/>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29"/>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34"/>
                          <w:ind w:right="85"/>
                          <w:jc w:val="right"/>
                          <w:rPr>
                            <w:rFonts w:ascii="Times New Roman" w:hAnsi="Times New Roman"/>
                            <w:b/>
                            <w:sz w:val="21"/>
                          </w:rPr>
                        </w:pPr>
                        <w:r>
                          <w:rPr>
                            <w:rFonts w:ascii="Times New Roman" w:hAnsi="Times New Roman"/>
                            <w:b/>
                            <w:sz w:val="21"/>
                          </w:rPr>
                          <w:t>1.43×10</w:t>
                        </w:r>
                        <w:r>
                          <w:rPr>
                            <w:rFonts w:ascii="Times New Roman" w:hAnsi="Times New Roman"/>
                            <w:b/>
                            <w:sz w:val="21"/>
                            <w:vertAlign w:val="superscript"/>
                          </w:rPr>
                          <w:t>-5</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34"/>
                          <w:ind w:left="230"/>
                          <w:jc w:val="left"/>
                          <w:rPr>
                            <w:rFonts w:ascii="Times New Roman" w:hAnsi="Times New Roman"/>
                            <w:b/>
                            <w:sz w:val="21"/>
                          </w:rPr>
                        </w:pPr>
                        <w:r>
                          <w:rPr>
                            <w:rFonts w:ascii="Times New Roman" w:hAnsi="Times New Roman"/>
                            <w:b/>
                            <w:sz w:val="21"/>
                          </w:rPr>
                          <w:t>3.61×10</w:t>
                        </w:r>
                        <w:r>
                          <w:rPr>
                            <w:rFonts w:ascii="Times New Roman" w:hAnsi="Times New Roman"/>
                            <w:b/>
                            <w:sz w:val="21"/>
                            <w:vertAlign w:val="superscript"/>
                          </w:rPr>
                          <w:t>-6</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34"/>
                          <w:ind w:left="156" w:right="16"/>
                          <w:rPr>
                            <w:rFonts w:ascii="Times New Roman" w:hAnsi="Times New Roman"/>
                            <w:b/>
                            <w:sz w:val="21"/>
                          </w:rPr>
                        </w:pPr>
                        <w:r>
                          <w:rPr>
                            <w:rFonts w:ascii="Times New Roman" w:hAnsi="Times New Roman"/>
                            <w:b/>
                            <w:sz w:val="21"/>
                          </w:rPr>
                          <w:t>1.80×10</w:t>
                        </w:r>
                        <w:r>
                          <w:rPr>
                            <w:rFonts w:ascii="Times New Roman" w:hAnsi="Times New Roman"/>
                            <w:b/>
                            <w:sz w:val="21"/>
                            <w:vertAlign w:val="superscript"/>
                          </w:rPr>
                          <w:t>-5</w:t>
                        </w:r>
                      </w:p>
                    </w:tc>
                    <w:tc>
                      <w:tcPr>
                        <w:tcW w:w="696" w:type="dxa"/>
                        <w:vMerge/>
                        <w:tcBorders>
                          <w:top w:val="nil"/>
                          <w:left w:val="single" w:sz="4" w:space="0" w:color="000000"/>
                          <w:bottom w:val="single" w:sz="4" w:space="0" w:color="000000"/>
                          <w:right w:val="nil"/>
                        </w:tcBorders>
                      </w:tcPr>
                      <w:p>
                        <w:pPr>
                          <w:rPr>
                            <w:sz w:val="2"/>
                            <w:szCs w:val="2"/>
                          </w:rPr>
                        </w:pPr>
                      </w:p>
                    </w:tc>
                  </w:tr>
                  <w:tr>
                    <w:trPr>
                      <w:trHeight w:val="292" w:hRule="atLeast"/>
                    </w:trPr>
                    <w:tc>
                      <w:tcPr>
                        <w:tcW w:w="905" w:type="dxa"/>
                        <w:vMerge/>
                        <w:tcBorders>
                          <w:top w:val="nil"/>
                          <w:left w:val="nil"/>
                          <w:right w:val="single" w:sz="4" w:space="0" w:color="000000"/>
                        </w:tcBorders>
                      </w:tcPr>
                      <w:p>
                        <w:pPr>
                          <w:rPr>
                            <w:sz w:val="2"/>
                            <w:szCs w:val="2"/>
                          </w:rPr>
                        </w:pPr>
                      </w:p>
                    </w:tc>
                    <w:tc>
                      <w:tcPr>
                        <w:tcW w:w="214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
                          <w:jc w:val="left"/>
                          <w:rPr>
                            <w:sz w:val="25"/>
                          </w:rPr>
                        </w:pPr>
                      </w:p>
                      <w:p>
                        <w:pPr>
                          <w:pStyle w:val="TableParagraph"/>
                          <w:ind w:left="137"/>
                          <w:jc w:val="left"/>
                          <w:rPr>
                            <w:sz w:val="21"/>
                          </w:rPr>
                        </w:pPr>
                        <w:r>
                          <w:rPr>
                            <w:sz w:val="21"/>
                          </w:rPr>
                          <w:t>康复理疗楼（北侧）</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1"/>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25"/>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25"/>
                          <w:ind w:left="217"/>
                          <w:jc w:val="left"/>
                          <w:rPr>
                            <w:rFonts w:ascii="Times New Roman" w:hAnsi="Times New Roman"/>
                            <w:sz w:val="13"/>
                          </w:rPr>
                        </w:pPr>
                        <w:r>
                          <w:rPr>
                            <w:rFonts w:ascii="Times New Roman" w:hAnsi="Times New Roman"/>
                            <w:sz w:val="21"/>
                          </w:rPr>
                          <w:t>4.32×10</w:t>
                        </w:r>
                        <w:r>
                          <w:rPr>
                            <w:rFonts w:ascii="Times New Roman" w:hAnsi="Times New Roman"/>
                            <w:position w:val="7"/>
                            <w:sz w:val="13"/>
                          </w:rPr>
                          <w:t>-8</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25"/>
                          <w:ind w:left="172"/>
                          <w:jc w:val="left"/>
                          <w:rPr>
                            <w:rFonts w:ascii="Times New Roman" w:hAnsi="Times New Roman"/>
                            <w:sz w:val="13"/>
                          </w:rPr>
                        </w:pPr>
                        <w:r>
                          <w:rPr>
                            <w:rFonts w:ascii="Times New Roman" w:hAnsi="Times New Roman"/>
                            <w:sz w:val="21"/>
                          </w:rPr>
                          <w:t>1.33×10</w:t>
                        </w:r>
                        <w:r>
                          <w:rPr>
                            <w:rFonts w:ascii="Times New Roman" w:hAnsi="Times New Roman"/>
                            <w:position w:val="7"/>
                            <w:sz w:val="13"/>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25"/>
                          <w:ind w:left="156" w:right="16"/>
                          <w:rPr>
                            <w:rFonts w:ascii="Times New Roman" w:hAnsi="Times New Roman"/>
                            <w:sz w:val="13"/>
                          </w:rPr>
                        </w:pPr>
                        <w:r>
                          <w:rPr>
                            <w:rFonts w:ascii="Times New Roman" w:hAnsi="Times New Roman"/>
                            <w:sz w:val="21"/>
                          </w:rPr>
                          <w:t>1.76×10</w:t>
                        </w:r>
                        <w:r>
                          <w:rPr>
                            <w:rFonts w:ascii="Times New Roman" w:hAnsi="Times New Roman"/>
                            <w:position w:val="7"/>
                            <w:sz w:val="13"/>
                          </w:rPr>
                          <w:t>-7</w:t>
                        </w:r>
                      </w:p>
                    </w:tc>
                    <w:tc>
                      <w:tcPr>
                        <w:tcW w:w="696" w:type="dxa"/>
                        <w:vMerge w:val="restart"/>
                        <w:tcBorders>
                          <w:top w:val="single" w:sz="4" w:space="0" w:color="000000"/>
                          <w:left w:val="single" w:sz="4" w:space="0" w:color="000000"/>
                          <w:bottom w:val="single" w:sz="4" w:space="0" w:color="000000"/>
                          <w:right w:val="nil"/>
                        </w:tcBorders>
                      </w:tcPr>
                      <w:p>
                        <w:pPr>
                          <w:pStyle w:val="TableParagraph"/>
                          <w:spacing w:before="12"/>
                          <w:jc w:val="left"/>
                          <w:rPr>
                            <w:sz w:val="25"/>
                          </w:rPr>
                        </w:pPr>
                      </w:p>
                      <w:p>
                        <w:pPr>
                          <w:pStyle w:val="TableParagraph"/>
                          <w:ind w:left="148"/>
                          <w:jc w:val="left"/>
                          <w:rPr>
                            <w:sz w:val="21"/>
                          </w:rPr>
                        </w:pPr>
                        <w:r>
                          <w:rPr>
                            <w:sz w:val="21"/>
                          </w:rPr>
                          <w:t>公众</w:t>
                        </w:r>
                      </w:p>
                    </w:tc>
                  </w:tr>
                  <w:tr>
                    <w:trPr>
                      <w:trHeight w:val="292"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27"/>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27"/>
                          <w:ind w:left="217"/>
                          <w:jc w:val="left"/>
                          <w:rPr>
                            <w:rFonts w:ascii="Times New Roman" w:hAnsi="Times New Roman"/>
                            <w:sz w:val="21"/>
                          </w:rPr>
                        </w:pPr>
                        <w:r>
                          <w:rPr>
                            <w:rFonts w:ascii="Times New Roman" w:hAnsi="Times New Roman"/>
                            <w:sz w:val="21"/>
                          </w:rPr>
                          <w:t>1.83×10</w:t>
                        </w:r>
                        <w:r>
                          <w:rPr>
                            <w:rFonts w:ascii="Times New Roman" w:hAnsi="Times New Roman"/>
                            <w:sz w:val="21"/>
                            <w:vertAlign w:val="superscript"/>
                          </w:rPr>
                          <w:t>-6</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27"/>
                          <w:ind w:left="172"/>
                          <w:jc w:val="left"/>
                          <w:rPr>
                            <w:rFonts w:ascii="Times New Roman" w:hAnsi="Times New Roman"/>
                            <w:sz w:val="21"/>
                          </w:rPr>
                        </w:pPr>
                        <w:r>
                          <w:rPr>
                            <w:rFonts w:ascii="Times New Roman" w:hAnsi="Times New Roman"/>
                            <w:sz w:val="21"/>
                          </w:rPr>
                          <w:t>3.38×10</w:t>
                        </w:r>
                        <w:r>
                          <w:rPr>
                            <w:rFonts w:ascii="Times New Roman" w:hAnsi="Times New Roman"/>
                            <w:sz w:val="21"/>
                            <w:vertAlign w:val="superscript"/>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27"/>
                          <w:ind w:left="156" w:right="16"/>
                          <w:rPr>
                            <w:rFonts w:ascii="Times New Roman" w:hAnsi="Times New Roman"/>
                            <w:sz w:val="21"/>
                          </w:rPr>
                        </w:pPr>
                        <w:r>
                          <w:rPr>
                            <w:rFonts w:ascii="Times New Roman" w:hAnsi="Times New Roman"/>
                            <w:sz w:val="21"/>
                          </w:rPr>
                          <w:t>2.17×10</w:t>
                        </w:r>
                        <w:r>
                          <w:rPr>
                            <w:rFonts w:ascii="Times New Roman" w:hAnsi="Times New Roman"/>
                            <w:sz w:val="21"/>
                            <w:vertAlign w:val="superscript"/>
                          </w:rPr>
                          <w:t>-6</w:t>
                        </w:r>
                      </w:p>
                    </w:tc>
                    <w:tc>
                      <w:tcPr>
                        <w:tcW w:w="696" w:type="dxa"/>
                        <w:vMerge/>
                        <w:tcBorders>
                          <w:top w:val="nil"/>
                          <w:left w:val="single" w:sz="4" w:space="0" w:color="000000"/>
                          <w:bottom w:val="single" w:sz="4" w:space="0" w:color="000000"/>
                          <w:right w:val="nil"/>
                        </w:tcBorders>
                      </w:tcPr>
                      <w:p>
                        <w:pPr>
                          <w:rPr>
                            <w:sz w:val="2"/>
                            <w:szCs w:val="2"/>
                          </w:rPr>
                        </w:pPr>
                      </w:p>
                    </w:tc>
                  </w:tr>
                  <w:tr>
                    <w:trPr>
                      <w:trHeight w:val="292"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bottom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262" w:lineRule="exact" w:before="10"/>
                          <w:ind w:left="97" w:right="69"/>
                          <w:rPr>
                            <w:sz w:val="21"/>
                          </w:rPr>
                        </w:pPr>
                        <w:r>
                          <w:rPr>
                            <w:sz w:val="21"/>
                          </w:rPr>
                          <w:t>合计</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26"/>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26"/>
                          <w:ind w:right="85"/>
                          <w:jc w:val="right"/>
                          <w:rPr>
                            <w:rFonts w:ascii="Times New Roman" w:hAnsi="Times New Roman"/>
                            <w:b/>
                            <w:sz w:val="21"/>
                          </w:rPr>
                        </w:pPr>
                        <w:r>
                          <w:rPr>
                            <w:rFonts w:ascii="Times New Roman" w:hAnsi="Times New Roman"/>
                            <w:b/>
                            <w:sz w:val="21"/>
                          </w:rPr>
                          <w:t>1.87×10</w:t>
                        </w:r>
                        <w:r>
                          <w:rPr>
                            <w:rFonts w:ascii="Times New Roman" w:hAnsi="Times New Roman"/>
                            <w:b/>
                            <w:sz w:val="21"/>
                            <w:vertAlign w:val="superscript"/>
                          </w:rPr>
                          <w:t>-6</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26"/>
                          <w:ind w:left="230"/>
                          <w:jc w:val="left"/>
                          <w:rPr>
                            <w:rFonts w:ascii="Times New Roman" w:hAnsi="Times New Roman"/>
                            <w:b/>
                            <w:sz w:val="21"/>
                          </w:rPr>
                        </w:pPr>
                        <w:r>
                          <w:rPr>
                            <w:rFonts w:ascii="Times New Roman" w:hAnsi="Times New Roman"/>
                            <w:b/>
                            <w:sz w:val="21"/>
                          </w:rPr>
                          <w:t>4.71×10</w:t>
                        </w:r>
                        <w:r>
                          <w:rPr>
                            <w:rFonts w:ascii="Times New Roman" w:hAnsi="Times New Roman"/>
                            <w:b/>
                            <w:sz w:val="21"/>
                            <w:vertAlign w:val="superscript"/>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26"/>
                          <w:ind w:left="156" w:right="16"/>
                          <w:rPr>
                            <w:rFonts w:ascii="Times New Roman" w:hAnsi="Times New Roman"/>
                            <w:b/>
                            <w:sz w:val="21"/>
                          </w:rPr>
                        </w:pPr>
                        <w:r>
                          <w:rPr>
                            <w:rFonts w:ascii="Times New Roman" w:hAnsi="Times New Roman"/>
                            <w:b/>
                            <w:sz w:val="21"/>
                          </w:rPr>
                          <w:t>2.35×10</w:t>
                        </w:r>
                        <w:r>
                          <w:rPr>
                            <w:rFonts w:ascii="Times New Roman" w:hAnsi="Times New Roman"/>
                            <w:b/>
                            <w:sz w:val="21"/>
                            <w:vertAlign w:val="superscript"/>
                          </w:rPr>
                          <w:t>-6</w:t>
                        </w:r>
                      </w:p>
                    </w:tc>
                    <w:tc>
                      <w:tcPr>
                        <w:tcW w:w="696" w:type="dxa"/>
                        <w:vMerge/>
                        <w:tcBorders>
                          <w:top w:val="nil"/>
                          <w:left w:val="single" w:sz="4" w:space="0" w:color="000000"/>
                          <w:bottom w:val="single" w:sz="4" w:space="0" w:color="000000"/>
                          <w:right w:val="nil"/>
                        </w:tcBorders>
                      </w:tcPr>
                      <w:p>
                        <w:pPr>
                          <w:rPr>
                            <w:sz w:val="2"/>
                            <w:szCs w:val="2"/>
                          </w:rPr>
                        </w:pPr>
                      </w:p>
                    </w:tc>
                  </w:tr>
                  <w:tr>
                    <w:trPr>
                      <w:trHeight w:val="362" w:hRule="atLeast"/>
                    </w:trPr>
                    <w:tc>
                      <w:tcPr>
                        <w:tcW w:w="905" w:type="dxa"/>
                        <w:vMerge/>
                        <w:tcBorders>
                          <w:top w:val="nil"/>
                          <w:left w:val="nil"/>
                          <w:right w:val="single" w:sz="4" w:space="0" w:color="000000"/>
                        </w:tcBorders>
                      </w:tcPr>
                      <w:p>
                        <w:pPr>
                          <w:rPr>
                            <w:sz w:val="2"/>
                            <w:szCs w:val="2"/>
                          </w:rPr>
                        </w:pPr>
                      </w:p>
                    </w:tc>
                    <w:tc>
                      <w:tcPr>
                        <w:tcW w:w="2144" w:type="dxa"/>
                        <w:vMerge w:val="restart"/>
                        <w:tcBorders>
                          <w:top w:val="single" w:sz="4" w:space="0" w:color="000000"/>
                          <w:left w:val="single" w:sz="4" w:space="0" w:color="000000"/>
                          <w:right w:val="single" w:sz="4" w:space="0" w:color="000000"/>
                        </w:tcBorders>
                      </w:tcPr>
                      <w:p>
                        <w:pPr>
                          <w:pStyle w:val="TableParagraph"/>
                          <w:spacing w:before="8"/>
                          <w:jc w:val="left"/>
                          <w:rPr>
                            <w:sz w:val="28"/>
                          </w:rPr>
                        </w:pPr>
                      </w:p>
                      <w:p>
                        <w:pPr>
                          <w:pStyle w:val="TableParagraph"/>
                          <w:spacing w:before="1"/>
                          <w:ind w:left="240"/>
                          <w:jc w:val="left"/>
                          <w:rPr>
                            <w:sz w:val="21"/>
                          </w:rPr>
                        </w:pPr>
                        <w:r>
                          <w:rPr>
                            <w:sz w:val="21"/>
                          </w:rPr>
                          <w:t>门诊楼（东北侧）</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46"/>
                          <w:ind w:left="95" w:right="69"/>
                          <w:rPr>
                            <w:sz w:val="21"/>
                          </w:rPr>
                        </w:pPr>
                        <w:r>
                          <w:rPr>
                            <w:sz w:val="21"/>
                          </w:rPr>
                          <w:t>透视</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60"/>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jc w:val="left"/>
                          <w:rPr>
                            <w:rFonts w:ascii="Times New Roman" w:hAnsi="Times New Roman"/>
                            <w:sz w:val="13"/>
                          </w:rPr>
                        </w:pPr>
                        <w:r>
                          <w:rPr>
                            <w:rFonts w:ascii="Times New Roman" w:hAnsi="Times New Roman"/>
                            <w:sz w:val="21"/>
                          </w:rPr>
                          <w:t>3.50×10</w:t>
                        </w:r>
                        <w:r>
                          <w:rPr>
                            <w:rFonts w:ascii="Times New Roman" w:hAnsi="Times New Roman"/>
                            <w:position w:val="7"/>
                            <w:sz w:val="13"/>
                          </w:rPr>
                          <w:t>-8</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60"/>
                          <w:ind w:left="172"/>
                          <w:jc w:val="left"/>
                          <w:rPr>
                            <w:rFonts w:ascii="Times New Roman" w:hAnsi="Times New Roman"/>
                            <w:sz w:val="13"/>
                          </w:rPr>
                        </w:pPr>
                        <w:r>
                          <w:rPr>
                            <w:rFonts w:ascii="Times New Roman" w:hAnsi="Times New Roman"/>
                            <w:sz w:val="21"/>
                          </w:rPr>
                          <w:t>1.08×10</w:t>
                        </w:r>
                        <w:r>
                          <w:rPr>
                            <w:rFonts w:ascii="Times New Roman" w:hAnsi="Times New Roman"/>
                            <w:position w:val="7"/>
                            <w:sz w:val="13"/>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96"/>
                          <w:ind w:left="156" w:right="16"/>
                          <w:rPr>
                            <w:rFonts w:ascii="Times New Roman" w:hAnsi="Times New Roman"/>
                            <w:sz w:val="21"/>
                          </w:rPr>
                        </w:pPr>
                        <w:r>
                          <w:rPr>
                            <w:rFonts w:ascii="Times New Roman" w:hAnsi="Times New Roman"/>
                            <w:sz w:val="21"/>
                          </w:rPr>
                          <w:t>1.43×10</w:t>
                        </w:r>
                        <w:r>
                          <w:rPr>
                            <w:rFonts w:ascii="Times New Roman" w:hAnsi="Times New Roman"/>
                            <w:sz w:val="21"/>
                            <w:vertAlign w:val="superscript"/>
                          </w:rPr>
                          <w:t>-7</w:t>
                        </w:r>
                      </w:p>
                    </w:tc>
                    <w:tc>
                      <w:tcPr>
                        <w:tcW w:w="696" w:type="dxa"/>
                        <w:vMerge w:val="restart"/>
                        <w:tcBorders>
                          <w:top w:val="single" w:sz="4" w:space="0" w:color="000000"/>
                          <w:left w:val="single" w:sz="4" w:space="0" w:color="000000"/>
                          <w:right w:val="nil"/>
                        </w:tcBorders>
                      </w:tcPr>
                      <w:p>
                        <w:pPr>
                          <w:pStyle w:val="TableParagraph"/>
                          <w:spacing w:before="8"/>
                          <w:jc w:val="left"/>
                          <w:rPr>
                            <w:sz w:val="28"/>
                          </w:rPr>
                        </w:pPr>
                      </w:p>
                      <w:p>
                        <w:pPr>
                          <w:pStyle w:val="TableParagraph"/>
                          <w:spacing w:before="1"/>
                          <w:ind w:left="148"/>
                          <w:jc w:val="left"/>
                          <w:rPr>
                            <w:sz w:val="21"/>
                          </w:rPr>
                        </w:pPr>
                        <w:r>
                          <w:rPr>
                            <w:sz w:val="21"/>
                          </w:rPr>
                          <w:t>公众</w:t>
                        </w:r>
                      </w:p>
                    </w:tc>
                  </w:tr>
                  <w:tr>
                    <w:trPr>
                      <w:trHeight w:val="291"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11"/>
                          <w:ind w:left="95"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25"/>
                          <w:ind w:left="28"/>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25"/>
                          <w:ind w:left="217"/>
                          <w:jc w:val="left"/>
                          <w:rPr>
                            <w:rFonts w:ascii="Times New Roman" w:hAnsi="Times New Roman"/>
                            <w:sz w:val="21"/>
                          </w:rPr>
                        </w:pPr>
                        <w:r>
                          <w:rPr>
                            <w:rFonts w:ascii="Times New Roman" w:hAnsi="Times New Roman"/>
                            <w:sz w:val="21"/>
                          </w:rPr>
                          <w:t>1.48×10</w:t>
                        </w:r>
                        <w:r>
                          <w:rPr>
                            <w:rFonts w:ascii="Times New Roman" w:hAnsi="Times New Roman"/>
                            <w:sz w:val="21"/>
                            <w:vertAlign w:val="superscript"/>
                          </w:rPr>
                          <w:t>-6</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25"/>
                          <w:ind w:left="172"/>
                          <w:jc w:val="left"/>
                          <w:rPr>
                            <w:rFonts w:ascii="Times New Roman" w:hAnsi="Times New Roman"/>
                            <w:sz w:val="21"/>
                          </w:rPr>
                        </w:pPr>
                        <w:r>
                          <w:rPr>
                            <w:rFonts w:ascii="Times New Roman" w:hAnsi="Times New Roman"/>
                            <w:sz w:val="21"/>
                          </w:rPr>
                          <w:t>2.74×10</w:t>
                        </w:r>
                        <w:r>
                          <w:rPr>
                            <w:rFonts w:ascii="Times New Roman" w:hAnsi="Times New Roman"/>
                            <w:sz w:val="21"/>
                            <w:vertAlign w:val="superscript"/>
                          </w:rPr>
                          <w:t>-7</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25"/>
                          <w:ind w:left="156" w:right="16"/>
                          <w:rPr>
                            <w:rFonts w:ascii="Times New Roman" w:hAnsi="Times New Roman"/>
                            <w:sz w:val="21"/>
                          </w:rPr>
                        </w:pPr>
                        <w:r>
                          <w:rPr>
                            <w:rFonts w:ascii="Times New Roman" w:hAnsi="Times New Roman"/>
                            <w:sz w:val="21"/>
                          </w:rPr>
                          <w:t>1.75×10</w:t>
                        </w:r>
                        <w:r>
                          <w:rPr>
                            <w:rFonts w:ascii="Times New Roman" w:hAnsi="Times New Roman"/>
                            <w:sz w:val="21"/>
                            <w:vertAlign w:val="superscript"/>
                          </w:rPr>
                          <w:t>-6</w:t>
                        </w:r>
                      </w:p>
                    </w:tc>
                    <w:tc>
                      <w:tcPr>
                        <w:tcW w:w="696" w:type="dxa"/>
                        <w:vMerge/>
                        <w:tcBorders>
                          <w:top w:val="nil"/>
                          <w:left w:val="single" w:sz="4" w:space="0" w:color="000000"/>
                          <w:right w:val="nil"/>
                        </w:tcBorders>
                      </w:tcPr>
                      <w:p>
                        <w:pPr>
                          <w:rPr>
                            <w:sz w:val="2"/>
                            <w:szCs w:val="2"/>
                          </w:rPr>
                        </w:pPr>
                      </w:p>
                    </w:tc>
                  </w:tr>
                  <w:tr>
                    <w:trPr>
                      <w:trHeight w:val="299" w:hRule="atLeast"/>
                    </w:trPr>
                    <w:tc>
                      <w:tcPr>
                        <w:tcW w:w="905" w:type="dxa"/>
                        <w:vMerge/>
                        <w:tcBorders>
                          <w:top w:val="nil"/>
                          <w:left w:val="nil"/>
                          <w:right w:val="single" w:sz="4" w:space="0" w:color="000000"/>
                        </w:tcBorders>
                      </w:tcPr>
                      <w:p>
                        <w:pPr>
                          <w:rPr>
                            <w:sz w:val="2"/>
                            <w:szCs w:val="2"/>
                          </w:rPr>
                        </w:pPr>
                      </w:p>
                    </w:tc>
                    <w:tc>
                      <w:tcPr>
                        <w:tcW w:w="2144" w:type="dxa"/>
                        <w:vMerge/>
                        <w:tcBorders>
                          <w:top w:val="nil"/>
                          <w:left w:val="single" w:sz="4" w:space="0" w:color="000000"/>
                          <w:right w:val="single" w:sz="4" w:space="0" w:color="000000"/>
                        </w:tcBorders>
                      </w:tcPr>
                      <w:p>
                        <w:pPr>
                          <w:rPr>
                            <w:sz w:val="2"/>
                            <w:szCs w:val="2"/>
                          </w:rPr>
                        </w:pPr>
                      </w:p>
                    </w:tc>
                    <w:tc>
                      <w:tcPr>
                        <w:tcW w:w="688" w:type="dxa"/>
                        <w:tcBorders>
                          <w:top w:val="single" w:sz="4" w:space="0" w:color="000000"/>
                          <w:left w:val="single" w:sz="4" w:space="0" w:color="000000"/>
                          <w:right w:val="single" w:sz="4" w:space="0" w:color="000000"/>
                        </w:tcBorders>
                      </w:tcPr>
                      <w:p>
                        <w:pPr>
                          <w:pStyle w:val="TableParagraph"/>
                          <w:spacing w:line="268" w:lineRule="exact" w:before="11"/>
                          <w:ind w:left="97" w:right="69"/>
                          <w:rPr>
                            <w:sz w:val="21"/>
                          </w:rPr>
                        </w:pPr>
                        <w:r>
                          <w:rPr>
                            <w:sz w:val="21"/>
                          </w:rPr>
                          <w:t>合计</w:t>
                        </w:r>
                      </w:p>
                    </w:tc>
                    <w:tc>
                      <w:tcPr>
                        <w:tcW w:w="1096" w:type="dxa"/>
                        <w:tcBorders>
                          <w:top w:val="single" w:sz="4" w:space="0" w:color="000000"/>
                          <w:left w:val="single" w:sz="4" w:space="0" w:color="000000"/>
                          <w:right w:val="single" w:sz="4" w:space="0" w:color="000000"/>
                        </w:tcBorders>
                      </w:tcPr>
                      <w:p>
                        <w:pPr>
                          <w:pStyle w:val="TableParagraph"/>
                          <w:spacing w:before="25"/>
                          <w:ind w:left="28"/>
                          <w:rPr>
                            <w:rFonts w:ascii="Times New Roman"/>
                            <w:b/>
                            <w:sz w:val="21"/>
                          </w:rPr>
                        </w:pPr>
                        <w:r>
                          <w:rPr>
                            <w:rFonts w:ascii="Times New Roman"/>
                            <w:b/>
                            <w:w w:val="99"/>
                            <w:sz w:val="21"/>
                          </w:rPr>
                          <w:t>/</w:t>
                        </w:r>
                      </w:p>
                    </w:tc>
                    <w:tc>
                      <w:tcPr>
                        <w:tcW w:w="1223" w:type="dxa"/>
                        <w:tcBorders>
                          <w:top w:val="single" w:sz="4" w:space="0" w:color="000000"/>
                          <w:left w:val="single" w:sz="4" w:space="0" w:color="000000"/>
                          <w:right w:val="single" w:sz="4" w:space="0" w:color="000000"/>
                        </w:tcBorders>
                      </w:tcPr>
                      <w:p>
                        <w:pPr>
                          <w:pStyle w:val="TableParagraph"/>
                          <w:spacing w:before="25"/>
                          <w:ind w:right="85"/>
                          <w:jc w:val="right"/>
                          <w:rPr>
                            <w:rFonts w:ascii="Times New Roman" w:hAnsi="Times New Roman"/>
                            <w:b/>
                            <w:sz w:val="13"/>
                          </w:rPr>
                        </w:pPr>
                        <w:r>
                          <w:rPr>
                            <w:rFonts w:ascii="Times New Roman" w:hAnsi="Times New Roman"/>
                            <w:b/>
                            <w:sz w:val="21"/>
                          </w:rPr>
                          <w:t>1.52×10</w:t>
                        </w:r>
                        <w:r>
                          <w:rPr>
                            <w:rFonts w:ascii="Times New Roman" w:hAnsi="Times New Roman"/>
                            <w:b/>
                            <w:position w:val="7"/>
                            <w:sz w:val="13"/>
                          </w:rPr>
                          <w:t>-6</w:t>
                        </w:r>
                      </w:p>
                    </w:tc>
                    <w:tc>
                      <w:tcPr>
                        <w:tcW w:w="1137" w:type="dxa"/>
                        <w:tcBorders>
                          <w:top w:val="single" w:sz="4" w:space="0" w:color="000000"/>
                          <w:left w:val="single" w:sz="4" w:space="0" w:color="000000"/>
                          <w:right w:val="single" w:sz="4" w:space="0" w:color="000000"/>
                        </w:tcBorders>
                      </w:tcPr>
                      <w:p>
                        <w:pPr>
                          <w:pStyle w:val="TableParagraph"/>
                          <w:spacing w:before="25"/>
                          <w:ind w:left="230"/>
                          <w:jc w:val="left"/>
                          <w:rPr>
                            <w:rFonts w:ascii="Times New Roman" w:hAnsi="Times New Roman"/>
                            <w:b/>
                            <w:sz w:val="13"/>
                          </w:rPr>
                        </w:pPr>
                        <w:r>
                          <w:rPr>
                            <w:rFonts w:ascii="Times New Roman" w:hAnsi="Times New Roman"/>
                            <w:b/>
                            <w:sz w:val="21"/>
                          </w:rPr>
                          <w:t>3.82×10</w:t>
                        </w:r>
                        <w:r>
                          <w:rPr>
                            <w:rFonts w:ascii="Times New Roman" w:hAnsi="Times New Roman"/>
                            <w:b/>
                            <w:position w:val="7"/>
                            <w:sz w:val="13"/>
                          </w:rPr>
                          <w:t>-7</w:t>
                        </w:r>
                      </w:p>
                    </w:tc>
                    <w:tc>
                      <w:tcPr>
                        <w:tcW w:w="1136" w:type="dxa"/>
                        <w:tcBorders>
                          <w:top w:val="single" w:sz="4" w:space="0" w:color="000000"/>
                          <w:left w:val="single" w:sz="4" w:space="0" w:color="000000"/>
                          <w:right w:val="single" w:sz="4" w:space="0" w:color="000000"/>
                        </w:tcBorders>
                      </w:tcPr>
                      <w:p>
                        <w:pPr>
                          <w:pStyle w:val="TableParagraph"/>
                          <w:spacing w:before="25"/>
                          <w:ind w:left="156" w:right="16"/>
                          <w:rPr>
                            <w:rFonts w:ascii="Times New Roman" w:hAnsi="Times New Roman"/>
                            <w:b/>
                            <w:sz w:val="13"/>
                          </w:rPr>
                        </w:pPr>
                        <w:r>
                          <w:rPr>
                            <w:rFonts w:ascii="Times New Roman" w:hAnsi="Times New Roman"/>
                            <w:b/>
                            <w:sz w:val="21"/>
                          </w:rPr>
                          <w:t>1.89×10</w:t>
                        </w:r>
                        <w:r>
                          <w:rPr>
                            <w:rFonts w:ascii="Times New Roman" w:hAnsi="Times New Roman"/>
                            <w:b/>
                            <w:position w:val="7"/>
                            <w:sz w:val="13"/>
                          </w:rPr>
                          <w:t>-6</w:t>
                        </w:r>
                      </w:p>
                    </w:tc>
                    <w:tc>
                      <w:tcPr>
                        <w:tcW w:w="696" w:type="dxa"/>
                        <w:vMerge/>
                        <w:tcBorders>
                          <w:top w:val="nil"/>
                          <w:left w:val="single" w:sz="4" w:space="0" w:color="000000"/>
                          <w:right w:val="nil"/>
                        </w:tcBorders>
                      </w:tcPr>
                      <w:p>
                        <w:pPr>
                          <w:rPr>
                            <w:sz w:val="2"/>
                            <w:szCs w:val="2"/>
                          </w:rPr>
                        </w:pPr>
                      </w:p>
                    </w:tc>
                  </w:tr>
                </w:tbl>
                <w:p>
                  <w:pPr>
                    <w:pStyle w:val="BodyText"/>
                  </w:pPr>
                </w:p>
              </w:txbxContent>
            </v:textbox>
            <w10:wrap type="none"/>
          </v:shape>
        </w:pict>
      </w:r>
    </w:p>
    <w:p>
      <w:pPr>
        <w:spacing w:after="0"/>
        <w:rPr>
          <w:sz w:val="2"/>
          <w:szCs w:val="2"/>
        </w:rPr>
        <w:sectPr>
          <w:pgSz w:w="11910" w:h="16840"/>
          <w:pgMar w:header="0" w:footer="1383" w:top="1420" w:bottom="1580" w:left="1240" w:right="1040"/>
        </w:sectPr>
      </w:pPr>
    </w:p>
    <w:tbl>
      <w:tblPr>
        <w:tblW w:w="0" w:type="auto"/>
        <w:jc w:val="left"/>
        <w:tblInd w:w="1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13"/>
        <w:gridCol w:w="2144"/>
        <w:gridCol w:w="688"/>
        <w:gridCol w:w="1096"/>
        <w:gridCol w:w="1223"/>
        <w:gridCol w:w="1137"/>
        <w:gridCol w:w="1136"/>
        <w:gridCol w:w="804"/>
      </w:tblGrid>
      <w:tr>
        <w:trPr>
          <w:trHeight w:val="299" w:hRule="atLeast"/>
        </w:trPr>
        <w:tc>
          <w:tcPr>
            <w:tcW w:w="1013" w:type="dxa"/>
            <w:vMerge w:val="restart"/>
            <w:tcBorders>
              <w:left w:val="single" w:sz="4" w:space="0" w:color="000000"/>
              <w:bottom w:val="single" w:sz="12" w:space="0" w:color="000000"/>
              <w:right w:val="single" w:sz="4" w:space="0" w:color="000000"/>
            </w:tcBorders>
          </w:tcPr>
          <w:p>
            <w:pPr>
              <w:pStyle w:val="TableParagraph"/>
              <w:jc w:val="left"/>
              <w:rPr>
                <w:rFonts w:ascii="Times New Roman"/>
                <w:sz w:val="22"/>
              </w:rPr>
            </w:pPr>
          </w:p>
        </w:tc>
        <w:tc>
          <w:tcPr>
            <w:tcW w:w="2144" w:type="dxa"/>
            <w:vMerge w:val="restart"/>
            <w:tcBorders>
              <w:left w:val="single" w:sz="4" w:space="0" w:color="000000"/>
              <w:bottom w:val="single" w:sz="12" w:space="0" w:color="000000"/>
              <w:right w:val="single" w:sz="4" w:space="0" w:color="000000"/>
            </w:tcBorders>
          </w:tcPr>
          <w:p>
            <w:pPr>
              <w:pStyle w:val="TableParagraph"/>
              <w:spacing w:before="6"/>
              <w:jc w:val="left"/>
              <w:rPr>
                <w:sz w:val="14"/>
              </w:rPr>
            </w:pPr>
          </w:p>
          <w:p>
            <w:pPr>
              <w:pStyle w:val="TableParagraph"/>
              <w:ind w:left="189" w:right="185"/>
              <w:rPr>
                <w:sz w:val="21"/>
              </w:rPr>
            </w:pPr>
            <w:r>
              <w:rPr>
                <w:sz w:val="21"/>
              </w:rPr>
              <w:t>疑难病症诊治中心</w:t>
            </w:r>
          </w:p>
          <w:p>
            <w:pPr>
              <w:pStyle w:val="TableParagraph"/>
              <w:spacing w:before="43"/>
              <w:ind w:left="194" w:right="185"/>
              <w:rPr>
                <w:sz w:val="21"/>
              </w:rPr>
            </w:pPr>
            <w:r>
              <w:rPr>
                <w:sz w:val="21"/>
              </w:rPr>
              <w:t>（西南侧）</w:t>
            </w:r>
          </w:p>
        </w:tc>
        <w:tc>
          <w:tcPr>
            <w:tcW w:w="688" w:type="dxa"/>
            <w:tcBorders>
              <w:left w:val="single" w:sz="4" w:space="0" w:color="000000"/>
              <w:bottom w:val="single" w:sz="4" w:space="0" w:color="000000"/>
              <w:right w:val="single" w:sz="4" w:space="0" w:color="000000"/>
            </w:tcBorders>
          </w:tcPr>
          <w:p>
            <w:pPr>
              <w:pStyle w:val="TableParagraph"/>
              <w:spacing w:line="262" w:lineRule="exact" w:before="18"/>
              <w:ind w:left="76" w:right="69"/>
              <w:rPr>
                <w:sz w:val="21"/>
              </w:rPr>
            </w:pPr>
            <w:r>
              <w:rPr>
                <w:sz w:val="21"/>
              </w:rPr>
              <w:t>透视</w:t>
            </w:r>
          </w:p>
        </w:tc>
        <w:tc>
          <w:tcPr>
            <w:tcW w:w="1096" w:type="dxa"/>
            <w:tcBorders>
              <w:left w:val="single" w:sz="4" w:space="0" w:color="000000"/>
              <w:bottom w:val="single" w:sz="4" w:space="0" w:color="000000"/>
              <w:right w:val="single" w:sz="4" w:space="0" w:color="000000"/>
            </w:tcBorders>
          </w:tcPr>
          <w:p>
            <w:pPr>
              <w:pStyle w:val="TableParagraph"/>
              <w:spacing w:before="32"/>
              <w:ind w:left="9"/>
              <w:rPr>
                <w:rFonts w:ascii="Times New Roman"/>
                <w:sz w:val="21"/>
              </w:rPr>
            </w:pPr>
            <w:r>
              <w:rPr>
                <w:rFonts w:ascii="Times New Roman"/>
                <w:w w:val="99"/>
                <w:sz w:val="21"/>
              </w:rPr>
              <w:t>/</w:t>
            </w:r>
          </w:p>
        </w:tc>
        <w:tc>
          <w:tcPr>
            <w:tcW w:w="1223" w:type="dxa"/>
            <w:tcBorders>
              <w:left w:val="single" w:sz="4" w:space="0" w:color="000000"/>
              <w:bottom w:val="single" w:sz="4" w:space="0" w:color="000000"/>
              <w:right w:val="single" w:sz="4" w:space="0" w:color="000000"/>
            </w:tcBorders>
          </w:tcPr>
          <w:p>
            <w:pPr>
              <w:pStyle w:val="TableParagraph"/>
              <w:spacing w:before="34"/>
              <w:ind w:left="207"/>
              <w:jc w:val="left"/>
              <w:rPr>
                <w:rFonts w:ascii="Times New Roman" w:hAnsi="Times New Roman"/>
                <w:sz w:val="21"/>
              </w:rPr>
            </w:pPr>
            <w:r>
              <w:rPr>
                <w:rFonts w:ascii="Times New Roman" w:hAnsi="Times New Roman"/>
                <w:sz w:val="21"/>
              </w:rPr>
              <w:t>1.14×10</w:t>
            </w:r>
            <w:r>
              <w:rPr>
                <w:rFonts w:ascii="Times New Roman" w:hAnsi="Times New Roman"/>
                <w:sz w:val="21"/>
                <w:vertAlign w:val="superscript"/>
              </w:rPr>
              <w:t>-8</w:t>
            </w:r>
          </w:p>
        </w:tc>
        <w:tc>
          <w:tcPr>
            <w:tcW w:w="1137" w:type="dxa"/>
            <w:tcBorders>
              <w:left w:val="single" w:sz="4" w:space="0" w:color="000000"/>
              <w:bottom w:val="single" w:sz="4" w:space="0" w:color="000000"/>
              <w:right w:val="single" w:sz="4" w:space="0" w:color="000000"/>
            </w:tcBorders>
          </w:tcPr>
          <w:p>
            <w:pPr>
              <w:pStyle w:val="TableParagraph"/>
              <w:spacing w:before="34"/>
              <w:ind w:left="162"/>
              <w:jc w:val="left"/>
              <w:rPr>
                <w:rFonts w:ascii="Times New Roman" w:hAnsi="Times New Roman"/>
                <w:sz w:val="21"/>
              </w:rPr>
            </w:pPr>
            <w:r>
              <w:rPr>
                <w:rFonts w:ascii="Times New Roman" w:hAnsi="Times New Roman"/>
                <w:sz w:val="21"/>
              </w:rPr>
              <w:t>3.51×10</w:t>
            </w:r>
            <w:r>
              <w:rPr>
                <w:rFonts w:ascii="Times New Roman" w:hAnsi="Times New Roman"/>
                <w:sz w:val="21"/>
                <w:vertAlign w:val="superscript"/>
              </w:rPr>
              <w:t>-8</w:t>
            </w:r>
          </w:p>
        </w:tc>
        <w:tc>
          <w:tcPr>
            <w:tcW w:w="1136" w:type="dxa"/>
            <w:tcBorders>
              <w:left w:val="single" w:sz="4" w:space="0" w:color="000000"/>
              <w:bottom w:val="single" w:sz="4" w:space="0" w:color="000000"/>
              <w:right w:val="single" w:sz="4" w:space="0" w:color="000000"/>
            </w:tcBorders>
          </w:tcPr>
          <w:p>
            <w:pPr>
              <w:pStyle w:val="TableParagraph"/>
              <w:spacing w:before="34"/>
              <w:ind w:right="95"/>
              <w:jc w:val="right"/>
              <w:rPr>
                <w:rFonts w:ascii="Times New Roman" w:hAnsi="Times New Roman"/>
                <w:sz w:val="21"/>
              </w:rPr>
            </w:pPr>
            <w:r>
              <w:rPr>
                <w:rFonts w:ascii="Times New Roman" w:hAnsi="Times New Roman"/>
                <w:sz w:val="21"/>
              </w:rPr>
              <w:t>4.65×10</w:t>
            </w:r>
            <w:r>
              <w:rPr>
                <w:rFonts w:ascii="Times New Roman" w:hAnsi="Times New Roman"/>
                <w:sz w:val="21"/>
                <w:vertAlign w:val="superscript"/>
              </w:rPr>
              <w:t>-8</w:t>
            </w:r>
          </w:p>
        </w:tc>
        <w:tc>
          <w:tcPr>
            <w:tcW w:w="804" w:type="dxa"/>
            <w:vMerge w:val="restart"/>
            <w:tcBorders>
              <w:left w:val="single" w:sz="4" w:space="0" w:color="000000"/>
              <w:bottom w:val="single" w:sz="12" w:space="0" w:color="000000"/>
              <w:right w:val="single" w:sz="4" w:space="0" w:color="000000"/>
            </w:tcBorders>
          </w:tcPr>
          <w:p>
            <w:pPr>
              <w:pStyle w:val="TableParagraph"/>
              <w:spacing w:before="8"/>
              <w:jc w:val="left"/>
              <w:rPr>
                <w:sz w:val="26"/>
              </w:rPr>
            </w:pPr>
          </w:p>
          <w:p>
            <w:pPr>
              <w:pStyle w:val="TableParagraph"/>
              <w:ind w:left="138"/>
              <w:jc w:val="left"/>
              <w:rPr>
                <w:sz w:val="21"/>
              </w:rPr>
            </w:pPr>
            <w:r>
              <w:rPr>
                <w:sz w:val="21"/>
              </w:rPr>
              <w:t>公众</w:t>
            </w:r>
          </w:p>
        </w:tc>
      </w:tr>
      <w:tr>
        <w:trPr>
          <w:trHeight w:val="291" w:hRule="atLeast"/>
        </w:trPr>
        <w:tc>
          <w:tcPr>
            <w:tcW w:w="1013" w:type="dxa"/>
            <w:vMerge/>
            <w:tcBorders>
              <w:top w:val="nil"/>
              <w:left w:val="single" w:sz="4" w:space="0" w:color="000000"/>
              <w:bottom w:val="single" w:sz="12" w:space="0" w:color="000000"/>
              <w:right w:val="single" w:sz="4" w:space="0" w:color="000000"/>
            </w:tcBorders>
          </w:tcPr>
          <w:p>
            <w:pPr>
              <w:rPr>
                <w:sz w:val="2"/>
                <w:szCs w:val="2"/>
              </w:rPr>
            </w:pPr>
          </w:p>
        </w:tc>
        <w:tc>
          <w:tcPr>
            <w:tcW w:w="2144" w:type="dxa"/>
            <w:vMerge/>
            <w:tcBorders>
              <w:top w:val="nil"/>
              <w:left w:val="single" w:sz="4" w:space="0" w:color="000000"/>
              <w:bottom w:val="single" w:sz="12"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line="260" w:lineRule="exact" w:before="12"/>
              <w:ind w:left="76" w:right="69"/>
              <w:rPr>
                <w:sz w:val="21"/>
              </w:rPr>
            </w:pPr>
            <w:r>
              <w:rPr>
                <w:sz w:val="21"/>
              </w:rPr>
              <w:t>拍片</w:t>
            </w:r>
          </w:p>
        </w:tc>
        <w:tc>
          <w:tcPr>
            <w:tcW w:w="1096" w:type="dxa"/>
            <w:tcBorders>
              <w:top w:val="single" w:sz="4" w:space="0" w:color="000000"/>
              <w:left w:val="single" w:sz="4" w:space="0" w:color="000000"/>
              <w:bottom w:val="single" w:sz="4" w:space="0" w:color="000000"/>
              <w:right w:val="single" w:sz="4" w:space="0" w:color="000000"/>
            </w:tcBorders>
          </w:tcPr>
          <w:p>
            <w:pPr>
              <w:pStyle w:val="TableParagraph"/>
              <w:spacing w:before="26"/>
              <w:ind w:left="9"/>
              <w:rPr>
                <w:rFonts w:ascii="Times New Roman"/>
                <w:sz w:val="21"/>
              </w:rPr>
            </w:pPr>
            <w:r>
              <w:rPr>
                <w:rFonts w:ascii="Times New Roman"/>
                <w:w w:val="99"/>
                <w:sz w:val="21"/>
              </w:rPr>
              <w:t>/</w:t>
            </w: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before="26"/>
              <w:ind w:left="207"/>
              <w:jc w:val="left"/>
              <w:rPr>
                <w:rFonts w:ascii="Times New Roman" w:hAnsi="Times New Roman"/>
                <w:sz w:val="21"/>
              </w:rPr>
            </w:pPr>
            <w:r>
              <w:rPr>
                <w:rFonts w:ascii="Times New Roman" w:hAnsi="Times New Roman"/>
                <w:sz w:val="21"/>
              </w:rPr>
              <w:t>4.84×10</w:t>
            </w:r>
            <w:r>
              <w:rPr>
                <w:rFonts w:ascii="Times New Roman" w:hAnsi="Times New Roman"/>
                <w:sz w:val="21"/>
                <w:vertAlign w:val="superscript"/>
              </w:rPr>
              <w:t>-7</w:t>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spacing w:before="26"/>
              <w:ind w:left="162"/>
              <w:jc w:val="left"/>
              <w:rPr>
                <w:rFonts w:ascii="Times New Roman" w:hAnsi="Times New Roman"/>
                <w:sz w:val="21"/>
              </w:rPr>
            </w:pPr>
            <w:r>
              <w:rPr>
                <w:rFonts w:ascii="Times New Roman" w:hAnsi="Times New Roman"/>
                <w:sz w:val="21"/>
              </w:rPr>
              <w:t>8.94×10</w:t>
            </w:r>
            <w:r>
              <w:rPr>
                <w:rFonts w:ascii="Times New Roman" w:hAnsi="Times New Roman"/>
                <w:sz w:val="21"/>
                <w:vertAlign w:val="superscript"/>
              </w:rPr>
              <w:t>-8</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26"/>
              <w:ind w:right="95"/>
              <w:jc w:val="right"/>
              <w:rPr>
                <w:rFonts w:ascii="Times New Roman" w:hAnsi="Times New Roman"/>
                <w:sz w:val="21"/>
              </w:rPr>
            </w:pPr>
            <w:r>
              <w:rPr>
                <w:rFonts w:ascii="Times New Roman" w:hAnsi="Times New Roman"/>
                <w:sz w:val="21"/>
              </w:rPr>
              <w:t>5.73×10</w:t>
            </w:r>
            <w:r>
              <w:rPr>
                <w:rFonts w:ascii="Times New Roman" w:hAnsi="Times New Roman"/>
                <w:sz w:val="21"/>
                <w:vertAlign w:val="superscript"/>
              </w:rPr>
              <w:t>-7</w:t>
            </w:r>
          </w:p>
        </w:tc>
        <w:tc>
          <w:tcPr>
            <w:tcW w:w="804" w:type="dxa"/>
            <w:vMerge/>
            <w:tcBorders>
              <w:top w:val="nil"/>
              <w:left w:val="single" w:sz="4" w:space="0" w:color="000000"/>
              <w:bottom w:val="single" w:sz="12" w:space="0" w:color="000000"/>
              <w:right w:val="single" w:sz="4" w:space="0" w:color="000000"/>
            </w:tcBorders>
          </w:tcPr>
          <w:p>
            <w:pPr>
              <w:rPr>
                <w:sz w:val="2"/>
                <w:szCs w:val="2"/>
              </w:rPr>
            </w:pPr>
          </w:p>
        </w:tc>
      </w:tr>
      <w:tr>
        <w:trPr>
          <w:trHeight w:val="301" w:hRule="atLeast"/>
        </w:trPr>
        <w:tc>
          <w:tcPr>
            <w:tcW w:w="1013" w:type="dxa"/>
            <w:vMerge/>
            <w:tcBorders>
              <w:top w:val="nil"/>
              <w:left w:val="single" w:sz="4" w:space="0" w:color="000000"/>
              <w:bottom w:val="single" w:sz="12" w:space="0" w:color="000000"/>
              <w:right w:val="single" w:sz="4" w:space="0" w:color="000000"/>
            </w:tcBorders>
          </w:tcPr>
          <w:p>
            <w:pPr>
              <w:rPr>
                <w:sz w:val="2"/>
                <w:szCs w:val="2"/>
              </w:rPr>
            </w:pPr>
          </w:p>
        </w:tc>
        <w:tc>
          <w:tcPr>
            <w:tcW w:w="2144" w:type="dxa"/>
            <w:vMerge/>
            <w:tcBorders>
              <w:top w:val="nil"/>
              <w:left w:val="single" w:sz="4" w:space="0" w:color="000000"/>
              <w:bottom w:val="single" w:sz="12" w:space="0" w:color="000000"/>
              <w:right w:val="single" w:sz="4" w:space="0" w:color="000000"/>
            </w:tcBorders>
          </w:tcPr>
          <w:p>
            <w:pPr>
              <w:rPr>
                <w:sz w:val="2"/>
                <w:szCs w:val="2"/>
              </w:rPr>
            </w:pPr>
          </w:p>
        </w:tc>
        <w:tc>
          <w:tcPr>
            <w:tcW w:w="688" w:type="dxa"/>
            <w:tcBorders>
              <w:top w:val="single" w:sz="4" w:space="0" w:color="000000"/>
              <w:left w:val="single" w:sz="4" w:space="0" w:color="000000"/>
              <w:bottom w:val="single" w:sz="12" w:space="0" w:color="000000"/>
              <w:right w:val="single" w:sz="4" w:space="0" w:color="000000"/>
            </w:tcBorders>
          </w:tcPr>
          <w:p>
            <w:pPr>
              <w:pStyle w:val="TableParagraph"/>
              <w:spacing w:before="11"/>
              <w:ind w:left="78" w:right="69"/>
              <w:rPr>
                <w:sz w:val="21"/>
              </w:rPr>
            </w:pPr>
            <w:r>
              <w:rPr>
                <w:sz w:val="21"/>
              </w:rPr>
              <w:t>合计</w:t>
            </w:r>
          </w:p>
        </w:tc>
        <w:tc>
          <w:tcPr>
            <w:tcW w:w="1096" w:type="dxa"/>
            <w:tcBorders>
              <w:top w:val="single" w:sz="4" w:space="0" w:color="000000"/>
              <w:left w:val="single" w:sz="4" w:space="0" w:color="000000"/>
              <w:bottom w:val="single" w:sz="12" w:space="0" w:color="000000"/>
              <w:right w:val="single" w:sz="4" w:space="0" w:color="000000"/>
            </w:tcBorders>
          </w:tcPr>
          <w:p>
            <w:pPr>
              <w:pStyle w:val="TableParagraph"/>
              <w:spacing w:before="25"/>
              <w:ind w:left="9"/>
              <w:rPr>
                <w:rFonts w:ascii="Times New Roman"/>
                <w:b/>
                <w:sz w:val="21"/>
              </w:rPr>
            </w:pPr>
            <w:r>
              <w:rPr>
                <w:rFonts w:ascii="Times New Roman"/>
                <w:b/>
                <w:w w:val="99"/>
                <w:sz w:val="21"/>
              </w:rPr>
              <w:t>/</w:t>
            </w:r>
          </w:p>
        </w:tc>
        <w:tc>
          <w:tcPr>
            <w:tcW w:w="1223" w:type="dxa"/>
            <w:tcBorders>
              <w:top w:val="single" w:sz="4" w:space="0" w:color="000000"/>
              <w:left w:val="single" w:sz="4" w:space="0" w:color="000000"/>
              <w:bottom w:val="single" w:sz="12" w:space="0" w:color="000000"/>
              <w:right w:val="single" w:sz="4" w:space="0" w:color="000000"/>
            </w:tcBorders>
          </w:tcPr>
          <w:p>
            <w:pPr>
              <w:pStyle w:val="TableParagraph"/>
              <w:spacing w:before="25"/>
              <w:ind w:left="305"/>
              <w:jc w:val="left"/>
              <w:rPr>
                <w:rFonts w:ascii="Times New Roman" w:hAnsi="Times New Roman"/>
                <w:b/>
                <w:sz w:val="21"/>
              </w:rPr>
            </w:pPr>
            <w:r>
              <w:rPr>
                <w:rFonts w:ascii="Times New Roman" w:hAnsi="Times New Roman"/>
                <w:b/>
                <w:sz w:val="21"/>
              </w:rPr>
              <w:t>4.95×10</w:t>
            </w:r>
            <w:r>
              <w:rPr>
                <w:rFonts w:ascii="Times New Roman" w:hAnsi="Times New Roman"/>
                <w:b/>
                <w:sz w:val="21"/>
                <w:vertAlign w:val="superscript"/>
              </w:rPr>
              <w:t>-7</w:t>
            </w:r>
          </w:p>
        </w:tc>
        <w:tc>
          <w:tcPr>
            <w:tcW w:w="1137" w:type="dxa"/>
            <w:tcBorders>
              <w:top w:val="single" w:sz="4" w:space="0" w:color="000000"/>
              <w:left w:val="single" w:sz="4" w:space="0" w:color="000000"/>
              <w:bottom w:val="single" w:sz="12" w:space="0" w:color="000000"/>
              <w:right w:val="single" w:sz="4" w:space="0" w:color="000000"/>
            </w:tcBorders>
          </w:tcPr>
          <w:p>
            <w:pPr>
              <w:pStyle w:val="TableParagraph"/>
              <w:spacing w:before="25"/>
              <w:ind w:left="220"/>
              <w:jc w:val="left"/>
              <w:rPr>
                <w:rFonts w:ascii="Times New Roman" w:hAnsi="Times New Roman"/>
                <w:b/>
                <w:sz w:val="21"/>
              </w:rPr>
            </w:pPr>
            <w:r>
              <w:rPr>
                <w:rFonts w:ascii="Times New Roman" w:hAnsi="Times New Roman"/>
                <w:b/>
                <w:sz w:val="21"/>
              </w:rPr>
              <w:t>1.25×10</w:t>
            </w:r>
            <w:r>
              <w:rPr>
                <w:rFonts w:ascii="Times New Roman" w:hAnsi="Times New Roman"/>
                <w:b/>
                <w:sz w:val="21"/>
                <w:vertAlign w:val="superscript"/>
              </w:rPr>
              <w:t>-7</w:t>
            </w:r>
          </w:p>
        </w:tc>
        <w:tc>
          <w:tcPr>
            <w:tcW w:w="1136" w:type="dxa"/>
            <w:tcBorders>
              <w:top w:val="single" w:sz="4" w:space="0" w:color="000000"/>
              <w:left w:val="single" w:sz="4" w:space="0" w:color="000000"/>
              <w:bottom w:val="single" w:sz="12" w:space="0" w:color="000000"/>
              <w:right w:val="single" w:sz="4" w:space="0" w:color="000000"/>
            </w:tcBorders>
          </w:tcPr>
          <w:p>
            <w:pPr>
              <w:pStyle w:val="TableParagraph"/>
              <w:spacing w:before="25"/>
              <w:ind w:right="95"/>
              <w:jc w:val="right"/>
              <w:rPr>
                <w:rFonts w:ascii="Times New Roman" w:hAnsi="Times New Roman"/>
                <w:b/>
                <w:sz w:val="21"/>
              </w:rPr>
            </w:pPr>
            <w:r>
              <w:rPr>
                <w:rFonts w:ascii="Times New Roman" w:hAnsi="Times New Roman"/>
                <w:b/>
                <w:sz w:val="21"/>
              </w:rPr>
              <w:t>6.20×10</w:t>
            </w:r>
            <w:r>
              <w:rPr>
                <w:rFonts w:ascii="Times New Roman" w:hAnsi="Times New Roman"/>
                <w:b/>
                <w:sz w:val="21"/>
                <w:vertAlign w:val="superscript"/>
              </w:rPr>
              <w:t>-7</w:t>
            </w:r>
          </w:p>
        </w:tc>
        <w:tc>
          <w:tcPr>
            <w:tcW w:w="804" w:type="dxa"/>
            <w:vMerge/>
            <w:tcBorders>
              <w:top w:val="nil"/>
              <w:left w:val="single" w:sz="4" w:space="0" w:color="000000"/>
              <w:bottom w:val="single" w:sz="12" w:space="0" w:color="000000"/>
              <w:right w:val="single" w:sz="4" w:space="0" w:color="000000"/>
            </w:tcBorders>
          </w:tcPr>
          <w:p>
            <w:pPr>
              <w:rPr>
                <w:sz w:val="2"/>
                <w:szCs w:val="2"/>
              </w:rPr>
            </w:pPr>
          </w:p>
        </w:tc>
      </w:tr>
      <w:tr>
        <w:trPr>
          <w:trHeight w:val="12699" w:hRule="atLeast"/>
        </w:trPr>
        <w:tc>
          <w:tcPr>
            <w:tcW w:w="9241" w:type="dxa"/>
            <w:gridSpan w:val="8"/>
            <w:tcBorders>
              <w:top w:val="single" w:sz="12" w:space="0" w:color="000000"/>
              <w:left w:val="single" w:sz="4" w:space="0" w:color="000000"/>
              <w:bottom w:val="single" w:sz="4" w:space="0" w:color="000000"/>
              <w:right w:val="single" w:sz="4" w:space="0" w:color="000000"/>
            </w:tcBorders>
          </w:tcPr>
          <w:p>
            <w:pPr>
              <w:pStyle w:val="TableParagraph"/>
              <w:spacing w:line="362" w:lineRule="auto" w:before="2"/>
              <w:ind w:left="108" w:right="-29" w:firstLine="480"/>
              <w:jc w:val="left"/>
              <w:rPr>
                <w:sz w:val="24"/>
              </w:rPr>
            </w:pPr>
            <w:r>
              <w:rPr>
                <w:spacing w:val="-1"/>
                <w:sz w:val="24"/>
              </w:rPr>
              <w:t>由上表可知，本项目公众所受年剂量最高为 </w:t>
            </w:r>
            <w:r>
              <w:rPr>
                <w:rFonts w:ascii="Times New Roman" w:hAnsi="Times New Roman" w:eastAsia="Times New Roman"/>
                <w:sz w:val="24"/>
              </w:rPr>
              <w:t>4.19×10</w:t>
            </w:r>
            <w:r>
              <w:rPr>
                <w:rFonts w:ascii="Times New Roman" w:hAnsi="Times New Roman" w:eastAsia="Times New Roman"/>
                <w:sz w:val="24"/>
                <w:vertAlign w:val="superscript"/>
              </w:rPr>
              <w:t>-2</w:t>
            </w:r>
            <w:r>
              <w:rPr>
                <w:rFonts w:ascii="Times New Roman" w:hAnsi="Times New Roman" w:eastAsia="Times New Roman"/>
                <w:sz w:val="24"/>
                <w:vertAlign w:val="baseline"/>
              </w:rPr>
              <w:t>mSv</w:t>
            </w:r>
            <w:r>
              <w:rPr>
                <w:sz w:val="24"/>
                <w:vertAlign w:val="baseline"/>
              </w:rPr>
              <w:t>，小于本次评价确定的</w:t>
            </w:r>
            <w:r>
              <w:rPr>
                <w:rFonts w:ascii="Times New Roman" w:hAnsi="Times New Roman" w:eastAsia="Times New Roman"/>
                <w:sz w:val="24"/>
                <w:vertAlign w:val="baseline"/>
              </w:rPr>
              <w:t>0.1mSv/a</w:t>
            </w:r>
            <w:r>
              <w:rPr>
                <w:rFonts w:ascii="Times New Roman" w:hAnsi="Times New Roman" w:eastAsia="Times New Roman"/>
                <w:spacing w:val="-21"/>
                <w:sz w:val="24"/>
                <w:vertAlign w:val="baseline"/>
              </w:rPr>
              <w:t> </w:t>
            </w:r>
            <w:r>
              <w:rPr>
                <w:spacing w:val="-11"/>
                <w:sz w:val="24"/>
                <w:vertAlign w:val="baseline"/>
              </w:rPr>
              <w:t>的约束值要求；在</w:t>
            </w:r>
            <w:r>
              <w:rPr>
                <w:rFonts w:ascii="Times New Roman" w:hAnsi="Times New Roman" w:eastAsia="Times New Roman"/>
                <w:sz w:val="24"/>
                <w:vertAlign w:val="baseline"/>
              </w:rPr>
              <w:t>DSA</w:t>
            </w:r>
            <w:r>
              <w:rPr>
                <w:rFonts w:ascii="Times New Roman" w:hAnsi="Times New Roman" w:eastAsia="Times New Roman"/>
                <w:spacing w:val="-20"/>
                <w:sz w:val="24"/>
                <w:vertAlign w:val="baseline"/>
              </w:rPr>
              <w:t> </w:t>
            </w:r>
            <w:r>
              <w:rPr>
                <w:spacing w:val="4"/>
                <w:sz w:val="24"/>
                <w:vertAlign w:val="baseline"/>
              </w:rPr>
              <w:t>机房内参加手术的</w:t>
            </w:r>
            <w:r>
              <w:rPr>
                <w:rFonts w:ascii="Times New Roman" w:hAnsi="Times New Roman" w:eastAsia="Times New Roman"/>
                <w:sz w:val="24"/>
                <w:vertAlign w:val="baseline"/>
              </w:rPr>
              <w:t>10</w:t>
            </w:r>
            <w:r>
              <w:rPr>
                <w:rFonts w:ascii="Times New Roman" w:hAnsi="Times New Roman" w:eastAsia="Times New Roman"/>
                <w:spacing w:val="-20"/>
                <w:sz w:val="24"/>
                <w:vertAlign w:val="baseline"/>
              </w:rPr>
              <w:t> </w:t>
            </w:r>
            <w:r>
              <w:rPr>
                <w:spacing w:val="3"/>
                <w:sz w:val="24"/>
                <w:vertAlign w:val="baseline"/>
              </w:rPr>
              <w:t>名医生所受剂量合计为</w:t>
            </w:r>
            <w:r>
              <w:rPr>
                <w:rFonts w:ascii="Times New Roman" w:hAnsi="Times New Roman" w:eastAsia="Times New Roman"/>
                <w:sz w:val="24"/>
                <w:vertAlign w:val="baseline"/>
              </w:rPr>
              <w:t>47 mSv/a</w:t>
            </w:r>
            <w:r>
              <w:rPr>
                <w:sz w:val="24"/>
                <w:vertAlign w:val="baseline"/>
              </w:rPr>
              <w:t>，</w:t>
            </w:r>
          </w:p>
          <w:p>
            <w:pPr>
              <w:pStyle w:val="TableParagraph"/>
              <w:spacing w:line="362" w:lineRule="auto" w:before="5"/>
              <w:ind w:left="108" w:right="89"/>
              <w:jc w:val="left"/>
              <w:rPr>
                <w:sz w:val="24"/>
              </w:rPr>
            </w:pPr>
            <w:r>
              <w:rPr>
                <w:rFonts w:ascii="Times New Roman" w:hAnsi="Times New Roman" w:eastAsia="Times New Roman"/>
                <w:spacing w:val="-1"/>
                <w:sz w:val="24"/>
              </w:rPr>
              <w:t>3</w:t>
            </w:r>
            <w:r>
              <w:rPr>
                <w:rFonts w:ascii="Times New Roman" w:hAnsi="Times New Roman" w:eastAsia="Times New Roman"/>
                <w:sz w:val="24"/>
              </w:rPr>
              <w:t> </w:t>
            </w:r>
            <w:r>
              <w:rPr>
                <w:spacing w:val="-7"/>
                <w:sz w:val="24"/>
              </w:rPr>
              <w:t>名护士所受剂量合计为 </w:t>
            </w:r>
            <w:r>
              <w:rPr>
                <w:rFonts w:ascii="Times New Roman" w:hAnsi="Times New Roman" w:eastAsia="Times New Roman"/>
                <w:spacing w:val="-1"/>
                <w:sz w:val="24"/>
              </w:rPr>
              <w:t>11.1mSv/a</w:t>
            </w:r>
            <w:r>
              <w:rPr>
                <w:spacing w:val="-1"/>
                <w:sz w:val="24"/>
              </w:rPr>
              <w:t>，</w:t>
            </w:r>
            <w:r>
              <w:rPr>
                <w:rFonts w:ascii="Times New Roman" w:hAnsi="Times New Roman" w:eastAsia="Times New Roman"/>
                <w:spacing w:val="-1"/>
                <w:sz w:val="24"/>
              </w:rPr>
              <w:t>3</w:t>
            </w:r>
            <w:r>
              <w:rPr>
                <w:rFonts w:ascii="Times New Roman" w:hAnsi="Times New Roman" w:eastAsia="Times New Roman"/>
                <w:sz w:val="24"/>
              </w:rPr>
              <w:t> </w:t>
            </w:r>
            <w:r>
              <w:rPr>
                <w:spacing w:val="-7"/>
                <w:sz w:val="24"/>
              </w:rPr>
              <w:t>名技师所受剂量合计为 </w:t>
            </w:r>
            <w:r>
              <w:rPr>
                <w:rFonts w:ascii="Times New Roman" w:hAnsi="Times New Roman" w:eastAsia="Times New Roman"/>
                <w:spacing w:val="-1"/>
                <w:sz w:val="24"/>
              </w:rPr>
              <w:t>6.22×10</w:t>
            </w:r>
            <w:r>
              <w:rPr>
                <w:rFonts w:ascii="Times New Roman" w:hAnsi="Times New Roman" w:eastAsia="Times New Roman"/>
                <w:spacing w:val="-1"/>
                <w:sz w:val="24"/>
                <w:vertAlign w:val="superscript"/>
              </w:rPr>
              <w:t>-4</w:t>
            </w:r>
            <w:r>
              <w:rPr>
                <w:rFonts w:ascii="Times New Roman" w:hAnsi="Times New Roman" w:eastAsia="Times New Roman"/>
                <w:spacing w:val="-1"/>
                <w:sz w:val="24"/>
                <w:vertAlign w:val="baseline"/>
              </w:rPr>
              <w:t>mSv/a</w:t>
            </w:r>
            <w:r>
              <w:rPr>
                <w:sz w:val="24"/>
                <w:vertAlign w:val="baseline"/>
              </w:rPr>
              <w:t>。本项目</w:t>
            </w:r>
            <w:r>
              <w:rPr>
                <w:spacing w:val="3"/>
                <w:w w:val="95"/>
                <w:sz w:val="24"/>
                <w:vertAlign w:val="baseline"/>
              </w:rPr>
              <w:t>介入手术年手术量为 </w:t>
            </w:r>
            <w:r>
              <w:rPr>
                <w:rFonts w:ascii="Times New Roman" w:hAnsi="Times New Roman" w:eastAsia="Times New Roman"/>
                <w:w w:val="95"/>
                <w:sz w:val="24"/>
                <w:vertAlign w:val="baseline"/>
              </w:rPr>
              <w:t>1300</w:t>
            </w:r>
            <w:r>
              <w:rPr>
                <w:rFonts w:ascii="Times New Roman" w:hAnsi="Times New Roman" w:eastAsia="Times New Roman"/>
                <w:spacing w:val="45"/>
                <w:w w:val="95"/>
                <w:sz w:val="24"/>
                <w:vertAlign w:val="baseline"/>
              </w:rPr>
              <w:t> </w:t>
            </w:r>
            <w:r>
              <w:rPr>
                <w:w w:val="95"/>
                <w:sz w:val="24"/>
                <w:vertAlign w:val="baseline"/>
              </w:rPr>
              <w:t>台。根据本项目人员配置数量及每台手术人员分配情况，每</w:t>
            </w:r>
          </w:p>
          <w:p>
            <w:pPr>
              <w:pStyle w:val="TableParagraph"/>
              <w:spacing w:line="362" w:lineRule="auto" w:before="5"/>
              <w:ind w:left="108" w:right="96"/>
              <w:jc w:val="left"/>
              <w:rPr>
                <w:sz w:val="24"/>
              </w:rPr>
            </w:pPr>
            <w:r>
              <w:rPr>
                <w:spacing w:val="-12"/>
                <w:sz w:val="24"/>
              </w:rPr>
              <w:t>台手术配置 </w:t>
            </w:r>
            <w:r>
              <w:rPr>
                <w:rFonts w:ascii="Times New Roman" w:eastAsia="Times New Roman"/>
                <w:spacing w:val="-2"/>
                <w:sz w:val="24"/>
              </w:rPr>
              <w:t>1</w:t>
            </w:r>
            <w:r>
              <w:rPr>
                <w:rFonts w:ascii="Times New Roman" w:eastAsia="Times New Roman"/>
                <w:sz w:val="24"/>
              </w:rPr>
              <w:t> </w:t>
            </w:r>
            <w:r>
              <w:rPr>
                <w:spacing w:val="-17"/>
                <w:sz w:val="24"/>
              </w:rPr>
              <w:t>名医生 </w:t>
            </w:r>
            <w:r>
              <w:rPr>
                <w:rFonts w:ascii="Times New Roman" w:eastAsia="Times New Roman"/>
                <w:spacing w:val="-2"/>
                <w:sz w:val="24"/>
              </w:rPr>
              <w:t>1</w:t>
            </w:r>
            <w:r>
              <w:rPr>
                <w:rFonts w:ascii="Times New Roman" w:eastAsia="Times New Roman"/>
                <w:sz w:val="24"/>
              </w:rPr>
              <w:t> </w:t>
            </w:r>
            <w:r>
              <w:rPr>
                <w:spacing w:val="-2"/>
                <w:sz w:val="24"/>
              </w:rPr>
              <w:t>名护士、</w:t>
            </w:r>
            <w:r>
              <w:rPr>
                <w:rFonts w:ascii="Times New Roman" w:eastAsia="Times New Roman"/>
                <w:spacing w:val="-2"/>
                <w:sz w:val="24"/>
              </w:rPr>
              <w:t>1</w:t>
            </w:r>
            <w:r>
              <w:rPr>
                <w:rFonts w:ascii="Times New Roman" w:eastAsia="Times New Roman"/>
                <w:sz w:val="24"/>
              </w:rPr>
              <w:t> </w:t>
            </w:r>
            <w:r>
              <w:rPr>
                <w:spacing w:val="-1"/>
                <w:sz w:val="24"/>
              </w:rPr>
              <w:t>名技师，因此每位医生、护士和技师的年剂量核算见</w:t>
            </w:r>
            <w:r>
              <w:rPr>
                <w:sz w:val="24"/>
              </w:rPr>
              <w:t>下表。</w:t>
            </w:r>
          </w:p>
          <w:p>
            <w:pPr>
              <w:pStyle w:val="TableParagraph"/>
              <w:tabs>
                <w:tab w:pos="3446" w:val="left" w:leader="none"/>
              </w:tabs>
              <w:spacing w:before="23"/>
              <w:ind w:left="2642"/>
              <w:jc w:val="left"/>
              <w:rPr>
                <w:sz w:val="21"/>
              </w:rPr>
            </w:pPr>
            <w:r>
              <w:rPr>
                <w:sz w:val="21"/>
              </w:rPr>
              <w:t>表</w:t>
            </w:r>
            <w:r>
              <w:rPr>
                <w:rFonts w:ascii="Times New Roman" w:eastAsia="Times New Roman"/>
                <w:b/>
                <w:sz w:val="21"/>
              </w:rPr>
              <w:t>11-8</w:t>
              <w:tab/>
            </w:r>
            <w:r>
              <w:rPr>
                <w:sz w:val="21"/>
              </w:rPr>
              <w:t>本项目每名职业人员年剂量附加核算表</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2"/>
              <w:jc w:val="left"/>
              <w:rPr>
                <w:sz w:val="26"/>
              </w:rPr>
            </w:pPr>
          </w:p>
          <w:p>
            <w:pPr>
              <w:pStyle w:val="TableParagraph"/>
              <w:spacing w:line="364" w:lineRule="auto"/>
              <w:ind w:left="108" w:right="94" w:firstLine="480"/>
              <w:jc w:val="both"/>
              <w:rPr>
                <w:sz w:val="24"/>
              </w:rPr>
            </w:pPr>
            <w:r>
              <w:rPr>
                <w:spacing w:val="-3"/>
                <w:sz w:val="24"/>
              </w:rPr>
              <w:t>从上表可知，根据手术医生的配置及手术分配情况，本项目每名医生所受年剂量最</w:t>
            </w:r>
            <w:r>
              <w:rPr>
                <w:spacing w:val="-1"/>
                <w:sz w:val="24"/>
              </w:rPr>
              <w:t>大附加值为</w:t>
            </w:r>
            <w:r>
              <w:rPr>
                <w:rFonts w:ascii="Times New Roman" w:hAnsi="Times New Roman" w:eastAsia="Times New Roman"/>
                <w:sz w:val="24"/>
              </w:rPr>
              <w:t>4.7mSv/a</w:t>
            </w:r>
            <w:r>
              <w:rPr>
                <w:sz w:val="24"/>
              </w:rPr>
              <w:t>；每名护士所受年剂量附加值最大为</w:t>
            </w:r>
            <w:r>
              <w:rPr>
                <w:rFonts w:ascii="Times New Roman" w:hAnsi="Times New Roman" w:eastAsia="Times New Roman"/>
                <w:sz w:val="24"/>
              </w:rPr>
              <w:t>3.7mSv/a</w:t>
            </w:r>
            <w:r>
              <w:rPr>
                <w:sz w:val="24"/>
              </w:rPr>
              <w:t>；每名技师所受年剂量附加值最大为</w:t>
            </w:r>
            <w:r>
              <w:rPr>
                <w:rFonts w:ascii="Times New Roman" w:hAnsi="Times New Roman" w:eastAsia="Times New Roman"/>
                <w:sz w:val="24"/>
              </w:rPr>
              <w:t>2.07×10</w:t>
            </w:r>
            <w:r>
              <w:rPr>
                <w:rFonts w:ascii="Times New Roman" w:hAnsi="Times New Roman" w:eastAsia="Times New Roman"/>
                <w:sz w:val="24"/>
                <w:vertAlign w:val="superscript"/>
              </w:rPr>
              <w:t>-4</w:t>
            </w:r>
            <w:r>
              <w:rPr>
                <w:rFonts w:ascii="Times New Roman" w:hAnsi="Times New Roman" w:eastAsia="Times New Roman"/>
                <w:sz w:val="24"/>
                <w:vertAlign w:val="baseline"/>
              </w:rPr>
              <w:t>mSv/a</w:t>
            </w:r>
            <w:r>
              <w:rPr>
                <w:sz w:val="24"/>
                <w:vertAlign w:val="baseline"/>
              </w:rPr>
              <w:t>。本项目医生和技师需兼任之前岗位，因此需要考虑辐</w:t>
            </w:r>
            <w:r>
              <w:rPr>
                <w:spacing w:val="-3"/>
                <w:sz w:val="24"/>
                <w:vertAlign w:val="baseline"/>
              </w:rPr>
              <w:t>射工作人员的个人剂量叠加；护士定岗定责，不再兼任之前的岗位，个人剂量不需要叠</w:t>
            </w:r>
            <w:r>
              <w:rPr>
                <w:sz w:val="24"/>
                <w:vertAlign w:val="baseline"/>
              </w:rPr>
              <w:t>加。今后，医院可根据开展项目的实际情况做适当调整。</w:t>
            </w:r>
          </w:p>
          <w:p>
            <w:pPr>
              <w:pStyle w:val="TableParagraph"/>
              <w:tabs>
                <w:tab w:pos="1245" w:val="left" w:leader="none"/>
              </w:tabs>
              <w:spacing w:line="211" w:lineRule="exact"/>
              <w:ind w:left="439"/>
              <w:rPr>
                <w:sz w:val="21"/>
              </w:rPr>
            </w:pPr>
            <w:r>
              <w:rPr>
                <w:sz w:val="21"/>
              </w:rPr>
              <w:t>表</w:t>
            </w:r>
            <w:r>
              <w:rPr>
                <w:rFonts w:ascii="Times New Roman" w:eastAsia="Times New Roman"/>
                <w:b/>
                <w:sz w:val="21"/>
              </w:rPr>
              <w:t>11-9</w:t>
              <w:tab/>
            </w:r>
            <w:r>
              <w:rPr>
                <w:sz w:val="21"/>
              </w:rPr>
              <w:t>本项目每名职业人员年剂量核算表</w:t>
            </w:r>
          </w:p>
        </w:tc>
      </w:tr>
    </w:tbl>
    <w:p>
      <w:pPr>
        <w:rPr>
          <w:sz w:val="2"/>
          <w:szCs w:val="2"/>
        </w:rPr>
      </w:pPr>
      <w:r>
        <w:rPr/>
        <w:pict>
          <v:shape style="position:absolute;margin-left:75.330002pt;margin-top:278.950012pt;width:455.8pt;height:68.350pt;mso-position-horizontal-relative:page;mso-position-vertical-relative:page;z-index:15752192"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20"/>
                    <w:gridCol w:w="1400"/>
                    <w:gridCol w:w="2717"/>
                    <w:gridCol w:w="4035"/>
                  </w:tblGrid>
                  <w:tr>
                    <w:trPr>
                      <w:trHeight w:val="312" w:hRule="atLeast"/>
                    </w:trPr>
                    <w:tc>
                      <w:tcPr>
                        <w:tcW w:w="920" w:type="dxa"/>
                        <w:tcBorders>
                          <w:left w:val="nil"/>
                          <w:right w:val="single" w:sz="6" w:space="0" w:color="000000"/>
                        </w:tcBorders>
                      </w:tcPr>
                      <w:p>
                        <w:pPr>
                          <w:pStyle w:val="TableParagraph"/>
                          <w:spacing w:before="21"/>
                          <w:ind w:left="259"/>
                          <w:jc w:val="left"/>
                          <w:rPr>
                            <w:sz w:val="21"/>
                          </w:rPr>
                        </w:pPr>
                        <w:r>
                          <w:rPr>
                            <w:sz w:val="21"/>
                          </w:rPr>
                          <w:t>职务</w:t>
                        </w:r>
                      </w:p>
                    </w:tc>
                    <w:tc>
                      <w:tcPr>
                        <w:tcW w:w="1400" w:type="dxa"/>
                        <w:tcBorders>
                          <w:left w:val="single" w:sz="6" w:space="0" w:color="000000"/>
                          <w:right w:val="single" w:sz="6" w:space="0" w:color="000000"/>
                        </w:tcBorders>
                      </w:tcPr>
                      <w:p>
                        <w:pPr>
                          <w:pStyle w:val="TableParagraph"/>
                          <w:spacing w:before="21"/>
                          <w:ind w:left="89" w:right="59"/>
                          <w:rPr>
                            <w:sz w:val="21"/>
                          </w:rPr>
                        </w:pPr>
                        <w:r>
                          <w:rPr>
                            <w:w w:val="95"/>
                            <w:sz w:val="21"/>
                          </w:rPr>
                          <w:t>职业人员数量</w:t>
                        </w:r>
                      </w:p>
                    </w:tc>
                    <w:tc>
                      <w:tcPr>
                        <w:tcW w:w="2717" w:type="dxa"/>
                        <w:tcBorders>
                          <w:left w:val="single" w:sz="6" w:space="0" w:color="000000"/>
                          <w:right w:val="single" w:sz="6" w:space="0" w:color="000000"/>
                        </w:tcBorders>
                      </w:tcPr>
                      <w:p>
                        <w:pPr>
                          <w:pStyle w:val="TableParagraph"/>
                          <w:spacing w:before="21"/>
                          <w:ind w:left="17" w:right="-130"/>
                          <w:rPr>
                            <w:sz w:val="21"/>
                          </w:rPr>
                        </w:pPr>
                        <w:r>
                          <w:rPr>
                            <w:spacing w:val="-8"/>
                            <w:w w:val="95"/>
                            <w:sz w:val="21"/>
                          </w:rPr>
                          <w:t>年总辐射剂量附加值</w:t>
                        </w:r>
                        <w:r>
                          <w:rPr>
                            <w:w w:val="95"/>
                            <w:sz w:val="21"/>
                          </w:rPr>
                          <w:t>（</w:t>
                        </w:r>
                        <w:r>
                          <w:rPr>
                            <w:rFonts w:ascii="Times New Roman" w:eastAsia="Times New Roman"/>
                            <w:b/>
                            <w:w w:val="95"/>
                            <w:sz w:val="21"/>
                          </w:rPr>
                          <w:t>mSv/a</w:t>
                        </w:r>
                        <w:r>
                          <w:rPr>
                            <w:w w:val="95"/>
                            <w:sz w:val="21"/>
                          </w:rPr>
                          <w:t>）</w:t>
                        </w:r>
                      </w:p>
                    </w:tc>
                    <w:tc>
                      <w:tcPr>
                        <w:tcW w:w="4035" w:type="dxa"/>
                        <w:tcBorders>
                          <w:left w:val="single" w:sz="6" w:space="0" w:color="000000"/>
                          <w:right w:val="nil"/>
                        </w:tcBorders>
                      </w:tcPr>
                      <w:p>
                        <w:pPr>
                          <w:pStyle w:val="TableParagraph"/>
                          <w:spacing w:before="21"/>
                          <w:ind w:left="285" w:right="243"/>
                          <w:rPr>
                            <w:rFonts w:ascii="Times New Roman" w:eastAsia="Times New Roman"/>
                            <w:b/>
                            <w:sz w:val="21"/>
                          </w:rPr>
                        </w:pPr>
                        <w:r>
                          <w:rPr>
                            <w:w w:val="95"/>
                            <w:sz w:val="21"/>
                          </w:rPr>
                          <w:t>每名职业人员最大年剂量附加值</w:t>
                        </w:r>
                        <w:r>
                          <w:rPr>
                            <w:rFonts w:ascii="Times New Roman" w:eastAsia="Times New Roman"/>
                            <w:b/>
                            <w:w w:val="95"/>
                            <w:sz w:val="21"/>
                          </w:rPr>
                          <w:t>(mSv/a)</w:t>
                        </w:r>
                      </w:p>
                    </w:tc>
                  </w:tr>
                  <w:tr>
                    <w:trPr>
                      <w:trHeight w:val="312" w:hRule="atLeast"/>
                    </w:trPr>
                    <w:tc>
                      <w:tcPr>
                        <w:tcW w:w="920" w:type="dxa"/>
                        <w:tcBorders>
                          <w:left w:val="nil"/>
                          <w:bottom w:val="single" w:sz="6" w:space="0" w:color="000000"/>
                          <w:right w:val="single" w:sz="6" w:space="0" w:color="000000"/>
                        </w:tcBorders>
                      </w:tcPr>
                      <w:p>
                        <w:pPr>
                          <w:pStyle w:val="TableParagraph"/>
                          <w:spacing w:before="20"/>
                          <w:ind w:left="259"/>
                          <w:jc w:val="left"/>
                          <w:rPr>
                            <w:sz w:val="21"/>
                          </w:rPr>
                        </w:pPr>
                        <w:r>
                          <w:rPr>
                            <w:sz w:val="21"/>
                          </w:rPr>
                          <w:t>医生</w:t>
                        </w:r>
                      </w:p>
                    </w:tc>
                    <w:tc>
                      <w:tcPr>
                        <w:tcW w:w="1400" w:type="dxa"/>
                        <w:tcBorders>
                          <w:left w:val="single" w:sz="6" w:space="0" w:color="000000"/>
                          <w:bottom w:val="single" w:sz="6" w:space="0" w:color="000000"/>
                          <w:right w:val="single" w:sz="6" w:space="0" w:color="000000"/>
                        </w:tcBorders>
                      </w:tcPr>
                      <w:p>
                        <w:pPr>
                          <w:pStyle w:val="TableParagraph"/>
                          <w:spacing w:before="34"/>
                          <w:ind w:left="87" w:right="59"/>
                          <w:rPr>
                            <w:rFonts w:ascii="Times New Roman"/>
                            <w:sz w:val="21"/>
                          </w:rPr>
                        </w:pPr>
                        <w:r>
                          <w:rPr>
                            <w:rFonts w:ascii="Times New Roman"/>
                            <w:sz w:val="21"/>
                          </w:rPr>
                          <w:t>10</w:t>
                        </w:r>
                      </w:p>
                    </w:tc>
                    <w:tc>
                      <w:tcPr>
                        <w:tcW w:w="2717" w:type="dxa"/>
                        <w:tcBorders>
                          <w:left w:val="single" w:sz="6" w:space="0" w:color="000000"/>
                          <w:bottom w:val="single" w:sz="6" w:space="0" w:color="000000"/>
                          <w:right w:val="single" w:sz="6" w:space="0" w:color="000000"/>
                        </w:tcBorders>
                      </w:tcPr>
                      <w:p>
                        <w:pPr>
                          <w:pStyle w:val="TableParagraph"/>
                          <w:spacing w:before="37"/>
                          <w:ind w:left="77" w:right="52"/>
                          <w:rPr>
                            <w:rFonts w:ascii="Times New Roman"/>
                            <w:sz w:val="21"/>
                          </w:rPr>
                        </w:pPr>
                        <w:r>
                          <w:rPr>
                            <w:rFonts w:ascii="Times New Roman"/>
                            <w:sz w:val="21"/>
                          </w:rPr>
                          <w:t>47</w:t>
                        </w:r>
                      </w:p>
                    </w:tc>
                    <w:tc>
                      <w:tcPr>
                        <w:tcW w:w="4035" w:type="dxa"/>
                        <w:tcBorders>
                          <w:left w:val="single" w:sz="6" w:space="0" w:color="000000"/>
                          <w:bottom w:val="single" w:sz="6" w:space="0" w:color="000000"/>
                          <w:right w:val="nil"/>
                        </w:tcBorders>
                      </w:tcPr>
                      <w:p>
                        <w:pPr>
                          <w:pStyle w:val="TableParagraph"/>
                          <w:spacing w:before="37"/>
                          <w:ind w:left="272" w:right="243"/>
                          <w:rPr>
                            <w:rFonts w:ascii="Times New Roman"/>
                            <w:sz w:val="21"/>
                          </w:rPr>
                        </w:pPr>
                        <w:r>
                          <w:rPr>
                            <w:rFonts w:ascii="Times New Roman"/>
                            <w:sz w:val="21"/>
                          </w:rPr>
                          <w:t>4.7</w:t>
                        </w:r>
                      </w:p>
                    </w:tc>
                  </w:tr>
                  <w:tr>
                    <w:trPr>
                      <w:trHeight w:val="312" w:hRule="atLeast"/>
                    </w:trPr>
                    <w:tc>
                      <w:tcPr>
                        <w:tcW w:w="920" w:type="dxa"/>
                        <w:tcBorders>
                          <w:top w:val="single" w:sz="6" w:space="0" w:color="000000"/>
                          <w:left w:val="nil"/>
                          <w:bottom w:val="single" w:sz="6" w:space="0" w:color="000000"/>
                          <w:right w:val="single" w:sz="6" w:space="0" w:color="000000"/>
                        </w:tcBorders>
                      </w:tcPr>
                      <w:p>
                        <w:pPr>
                          <w:pStyle w:val="TableParagraph"/>
                          <w:spacing w:before="22"/>
                          <w:ind w:left="259"/>
                          <w:jc w:val="left"/>
                          <w:rPr>
                            <w:sz w:val="21"/>
                          </w:rPr>
                        </w:pPr>
                        <w:r>
                          <w:rPr>
                            <w:sz w:val="21"/>
                          </w:rPr>
                          <w:t>护士</w:t>
                        </w:r>
                      </w:p>
                    </w:tc>
                    <w:tc>
                      <w:tcPr>
                        <w:tcW w:w="1400"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Times New Roman"/>
                            <w:sz w:val="21"/>
                          </w:rPr>
                        </w:pPr>
                        <w:r>
                          <w:rPr>
                            <w:rFonts w:ascii="Times New Roman"/>
                            <w:w w:val="99"/>
                            <w:sz w:val="21"/>
                          </w:rPr>
                          <w:t>3</w:t>
                        </w:r>
                      </w:p>
                    </w:tc>
                    <w:tc>
                      <w:tcPr>
                        <w:tcW w:w="2717" w:type="dxa"/>
                        <w:tcBorders>
                          <w:top w:val="single" w:sz="6" w:space="0" w:color="000000"/>
                          <w:left w:val="single" w:sz="6" w:space="0" w:color="000000"/>
                          <w:bottom w:val="single" w:sz="6" w:space="0" w:color="000000"/>
                          <w:right w:val="single" w:sz="6" w:space="0" w:color="000000"/>
                        </w:tcBorders>
                      </w:tcPr>
                      <w:p>
                        <w:pPr>
                          <w:pStyle w:val="TableParagraph"/>
                          <w:spacing w:before="36"/>
                          <w:ind w:left="77" w:right="47"/>
                          <w:rPr>
                            <w:rFonts w:ascii="Times New Roman"/>
                            <w:sz w:val="21"/>
                          </w:rPr>
                        </w:pPr>
                        <w:r>
                          <w:rPr>
                            <w:rFonts w:ascii="Times New Roman"/>
                            <w:sz w:val="21"/>
                          </w:rPr>
                          <w:t>11.1</w:t>
                        </w:r>
                      </w:p>
                    </w:tc>
                    <w:tc>
                      <w:tcPr>
                        <w:tcW w:w="4035" w:type="dxa"/>
                        <w:tcBorders>
                          <w:top w:val="single" w:sz="6" w:space="0" w:color="000000"/>
                          <w:left w:val="single" w:sz="6" w:space="0" w:color="000000"/>
                          <w:bottom w:val="single" w:sz="6" w:space="0" w:color="000000"/>
                          <w:right w:val="nil"/>
                        </w:tcBorders>
                      </w:tcPr>
                      <w:p>
                        <w:pPr>
                          <w:pStyle w:val="TableParagraph"/>
                          <w:spacing w:before="36"/>
                          <w:ind w:left="272" w:right="243"/>
                          <w:rPr>
                            <w:rFonts w:ascii="Times New Roman"/>
                            <w:sz w:val="21"/>
                          </w:rPr>
                        </w:pPr>
                        <w:r>
                          <w:rPr>
                            <w:rFonts w:ascii="Times New Roman"/>
                            <w:sz w:val="21"/>
                          </w:rPr>
                          <w:t>3.7</w:t>
                        </w:r>
                      </w:p>
                    </w:tc>
                  </w:tr>
                  <w:tr>
                    <w:trPr>
                      <w:trHeight w:val="311" w:hRule="atLeast"/>
                    </w:trPr>
                    <w:tc>
                      <w:tcPr>
                        <w:tcW w:w="920" w:type="dxa"/>
                        <w:tcBorders>
                          <w:top w:val="single" w:sz="6" w:space="0" w:color="000000"/>
                          <w:left w:val="nil"/>
                          <w:right w:val="single" w:sz="6" w:space="0" w:color="000000"/>
                        </w:tcBorders>
                      </w:tcPr>
                      <w:p>
                        <w:pPr>
                          <w:pStyle w:val="TableParagraph"/>
                          <w:spacing w:before="21"/>
                          <w:ind w:left="259"/>
                          <w:jc w:val="left"/>
                          <w:rPr>
                            <w:sz w:val="21"/>
                          </w:rPr>
                        </w:pPr>
                        <w:r>
                          <w:rPr>
                            <w:sz w:val="21"/>
                          </w:rPr>
                          <w:t>技师</w:t>
                        </w:r>
                      </w:p>
                    </w:tc>
                    <w:tc>
                      <w:tcPr>
                        <w:tcW w:w="1400" w:type="dxa"/>
                        <w:tcBorders>
                          <w:top w:val="single" w:sz="6" w:space="0" w:color="000000"/>
                          <w:left w:val="single" w:sz="6" w:space="0" w:color="000000"/>
                          <w:right w:val="single" w:sz="6" w:space="0" w:color="000000"/>
                        </w:tcBorders>
                      </w:tcPr>
                      <w:p>
                        <w:pPr>
                          <w:pStyle w:val="TableParagraph"/>
                          <w:spacing w:before="35"/>
                          <w:ind w:left="28"/>
                          <w:rPr>
                            <w:rFonts w:ascii="Times New Roman"/>
                            <w:sz w:val="21"/>
                          </w:rPr>
                        </w:pPr>
                        <w:r>
                          <w:rPr>
                            <w:rFonts w:ascii="Times New Roman"/>
                            <w:w w:val="99"/>
                            <w:sz w:val="21"/>
                          </w:rPr>
                          <w:t>3</w:t>
                        </w:r>
                      </w:p>
                    </w:tc>
                    <w:tc>
                      <w:tcPr>
                        <w:tcW w:w="2717" w:type="dxa"/>
                        <w:tcBorders>
                          <w:top w:val="single" w:sz="6" w:space="0" w:color="000000"/>
                          <w:left w:val="single" w:sz="6" w:space="0" w:color="000000"/>
                          <w:right w:val="single" w:sz="6" w:space="0" w:color="000000"/>
                        </w:tcBorders>
                      </w:tcPr>
                      <w:p>
                        <w:pPr>
                          <w:pStyle w:val="TableParagraph"/>
                          <w:spacing w:before="35"/>
                          <w:ind w:left="77" w:right="47"/>
                          <w:rPr>
                            <w:rFonts w:ascii="Times New Roman" w:hAnsi="Times New Roman"/>
                            <w:sz w:val="21"/>
                          </w:rPr>
                        </w:pPr>
                        <w:r>
                          <w:rPr>
                            <w:rFonts w:ascii="Times New Roman" w:hAnsi="Times New Roman"/>
                            <w:sz w:val="21"/>
                          </w:rPr>
                          <w:t>6.22×10</w:t>
                        </w:r>
                        <w:r>
                          <w:rPr>
                            <w:rFonts w:ascii="Times New Roman" w:hAnsi="Times New Roman"/>
                            <w:sz w:val="21"/>
                            <w:vertAlign w:val="superscript"/>
                          </w:rPr>
                          <w:t>-4</w:t>
                        </w:r>
                      </w:p>
                    </w:tc>
                    <w:tc>
                      <w:tcPr>
                        <w:tcW w:w="4035" w:type="dxa"/>
                        <w:tcBorders>
                          <w:top w:val="single" w:sz="6" w:space="0" w:color="000000"/>
                          <w:left w:val="single" w:sz="6" w:space="0" w:color="000000"/>
                          <w:right w:val="nil"/>
                        </w:tcBorders>
                      </w:tcPr>
                      <w:p>
                        <w:pPr>
                          <w:pStyle w:val="TableParagraph"/>
                          <w:spacing w:before="35"/>
                          <w:ind w:left="269" w:right="243"/>
                          <w:rPr>
                            <w:rFonts w:ascii="Times New Roman" w:hAnsi="Times New Roman"/>
                            <w:sz w:val="21"/>
                          </w:rPr>
                        </w:pPr>
                        <w:r>
                          <w:rPr>
                            <w:rFonts w:ascii="Times New Roman" w:hAnsi="Times New Roman"/>
                            <w:sz w:val="21"/>
                          </w:rPr>
                          <w:t>2.07×10</w:t>
                        </w:r>
                        <w:r>
                          <w:rPr>
                            <w:rFonts w:ascii="Times New Roman" w:hAnsi="Times New Roman"/>
                            <w:sz w:val="21"/>
                            <w:vertAlign w:val="superscript"/>
                          </w:rPr>
                          <w:t>4</w:t>
                        </w:r>
                      </w:p>
                    </w:tc>
                  </w:tr>
                </w:tbl>
                <w:p>
                  <w:pPr>
                    <w:pStyle w:val="BodyText"/>
                  </w:pPr>
                </w:p>
              </w:txbxContent>
            </v:textbox>
            <w10:wrap type="none"/>
          </v:shape>
        </w:pict>
      </w:r>
      <w:r>
        <w:rPr/>
        <w:pict>
          <v:shape style="position:absolute;margin-left:75.330002pt;margin-top:479.950012pt;width:453.45pt;height:262.05pt;mso-position-horizontal-relative:page;mso-position-vertical-relative:page;z-index:15752704"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0"/>
                    <w:gridCol w:w="1613"/>
                    <w:gridCol w:w="1490"/>
                    <w:gridCol w:w="1369"/>
                    <w:gridCol w:w="1900"/>
                    <w:gridCol w:w="1743"/>
                  </w:tblGrid>
                  <w:tr>
                    <w:trPr>
                      <w:trHeight w:val="623" w:hRule="atLeast"/>
                    </w:trPr>
                    <w:tc>
                      <w:tcPr>
                        <w:tcW w:w="910" w:type="dxa"/>
                        <w:tcBorders>
                          <w:left w:val="nil"/>
                          <w:right w:val="single" w:sz="6" w:space="0" w:color="000000"/>
                        </w:tcBorders>
                      </w:tcPr>
                      <w:p>
                        <w:pPr>
                          <w:pStyle w:val="TableParagraph"/>
                          <w:spacing w:before="177"/>
                          <w:ind w:left="234" w:right="207"/>
                          <w:rPr>
                            <w:sz w:val="21"/>
                          </w:rPr>
                        </w:pPr>
                        <w:r>
                          <w:rPr>
                            <w:sz w:val="21"/>
                          </w:rPr>
                          <w:t>序号</w:t>
                        </w:r>
                      </w:p>
                    </w:tc>
                    <w:tc>
                      <w:tcPr>
                        <w:tcW w:w="1613" w:type="dxa"/>
                        <w:tcBorders>
                          <w:left w:val="single" w:sz="6" w:space="0" w:color="000000"/>
                          <w:right w:val="single" w:sz="6" w:space="0" w:color="000000"/>
                        </w:tcBorders>
                      </w:tcPr>
                      <w:p>
                        <w:pPr>
                          <w:pStyle w:val="TableParagraph"/>
                          <w:spacing w:before="177"/>
                          <w:ind w:left="294" w:right="265"/>
                          <w:rPr>
                            <w:sz w:val="21"/>
                          </w:rPr>
                        </w:pPr>
                        <w:r>
                          <w:rPr>
                            <w:w w:val="95"/>
                            <w:sz w:val="21"/>
                          </w:rPr>
                          <w:t>本项目人员</w:t>
                        </w:r>
                      </w:p>
                    </w:tc>
                    <w:tc>
                      <w:tcPr>
                        <w:tcW w:w="1490" w:type="dxa"/>
                        <w:tcBorders>
                          <w:left w:val="single" w:sz="6" w:space="0" w:color="000000"/>
                          <w:right w:val="single" w:sz="4" w:space="0" w:color="000000"/>
                        </w:tcBorders>
                      </w:tcPr>
                      <w:p>
                        <w:pPr>
                          <w:pStyle w:val="TableParagraph"/>
                          <w:spacing w:before="21"/>
                          <w:ind w:left="18" w:right="-29"/>
                          <w:rPr>
                            <w:sz w:val="21"/>
                          </w:rPr>
                        </w:pPr>
                        <w:r>
                          <w:rPr>
                            <w:w w:val="95"/>
                            <w:sz w:val="21"/>
                          </w:rPr>
                          <w:t>是否兼任之前岗</w:t>
                        </w:r>
                      </w:p>
                      <w:p>
                        <w:pPr>
                          <w:pStyle w:val="TableParagraph"/>
                          <w:spacing w:before="43"/>
                          <w:ind w:left="26"/>
                          <w:rPr>
                            <w:sz w:val="21"/>
                          </w:rPr>
                        </w:pPr>
                        <w:r>
                          <w:rPr>
                            <w:w w:val="99"/>
                            <w:sz w:val="21"/>
                          </w:rPr>
                          <w:t>位</w:t>
                        </w:r>
                      </w:p>
                    </w:tc>
                    <w:tc>
                      <w:tcPr>
                        <w:tcW w:w="1369" w:type="dxa"/>
                        <w:tcBorders>
                          <w:left w:val="single" w:sz="4" w:space="0" w:color="000000"/>
                          <w:right w:val="single" w:sz="6" w:space="0" w:color="000000"/>
                        </w:tcBorders>
                      </w:tcPr>
                      <w:p>
                        <w:pPr>
                          <w:pStyle w:val="TableParagraph"/>
                          <w:spacing w:before="21"/>
                          <w:ind w:left="75" w:right="44"/>
                          <w:rPr>
                            <w:sz w:val="21"/>
                          </w:rPr>
                        </w:pPr>
                        <w:r>
                          <w:rPr>
                            <w:w w:val="95"/>
                            <w:sz w:val="21"/>
                          </w:rPr>
                          <w:t>本项目附加值</w:t>
                        </w:r>
                      </w:p>
                      <w:p>
                        <w:pPr>
                          <w:pStyle w:val="TableParagraph"/>
                          <w:spacing w:before="57"/>
                          <w:ind w:left="75" w:right="44"/>
                          <w:rPr>
                            <w:rFonts w:ascii="Times New Roman"/>
                            <w:b/>
                            <w:sz w:val="21"/>
                          </w:rPr>
                        </w:pPr>
                        <w:r>
                          <w:rPr>
                            <w:rFonts w:ascii="Times New Roman"/>
                            <w:b/>
                            <w:sz w:val="21"/>
                          </w:rPr>
                          <w:t>(mSv/a)</w:t>
                        </w:r>
                      </w:p>
                    </w:tc>
                    <w:tc>
                      <w:tcPr>
                        <w:tcW w:w="1900" w:type="dxa"/>
                        <w:tcBorders>
                          <w:left w:val="single" w:sz="6" w:space="0" w:color="000000"/>
                          <w:right w:val="single" w:sz="4" w:space="0" w:color="000000"/>
                        </w:tcBorders>
                      </w:tcPr>
                      <w:p>
                        <w:pPr>
                          <w:pStyle w:val="TableParagraph"/>
                          <w:spacing w:before="21"/>
                          <w:ind w:left="308" w:right="278"/>
                          <w:rPr>
                            <w:sz w:val="21"/>
                          </w:rPr>
                        </w:pPr>
                        <w:r>
                          <w:rPr>
                            <w:rFonts w:ascii="Times New Roman" w:eastAsia="Times New Roman"/>
                            <w:b/>
                            <w:sz w:val="21"/>
                          </w:rPr>
                          <w:t>2021</w:t>
                        </w:r>
                        <w:r>
                          <w:rPr>
                            <w:sz w:val="21"/>
                          </w:rPr>
                          <w:t>年剂量值</w:t>
                        </w:r>
                      </w:p>
                      <w:p>
                        <w:pPr>
                          <w:pStyle w:val="TableParagraph"/>
                          <w:spacing w:before="57"/>
                          <w:ind w:left="308" w:right="278"/>
                          <w:rPr>
                            <w:rFonts w:ascii="Times New Roman"/>
                            <w:b/>
                            <w:sz w:val="21"/>
                          </w:rPr>
                        </w:pPr>
                        <w:r>
                          <w:rPr>
                            <w:rFonts w:ascii="Times New Roman"/>
                            <w:b/>
                            <w:sz w:val="21"/>
                          </w:rPr>
                          <w:t>(mSv/a)</w:t>
                        </w:r>
                      </w:p>
                    </w:tc>
                    <w:tc>
                      <w:tcPr>
                        <w:tcW w:w="1743" w:type="dxa"/>
                        <w:tcBorders>
                          <w:left w:val="single" w:sz="4" w:space="0" w:color="000000"/>
                          <w:right w:val="nil"/>
                        </w:tcBorders>
                      </w:tcPr>
                      <w:p>
                        <w:pPr>
                          <w:pStyle w:val="TableParagraph"/>
                          <w:spacing w:before="177"/>
                          <w:ind w:right="641"/>
                          <w:jc w:val="right"/>
                          <w:rPr>
                            <w:sz w:val="21"/>
                          </w:rPr>
                        </w:pPr>
                        <w:r>
                          <w:rPr>
                            <w:sz w:val="21"/>
                          </w:rPr>
                          <w:t>总值</w:t>
                        </w:r>
                      </w:p>
                    </w:tc>
                  </w:tr>
                  <w:tr>
                    <w:trPr>
                      <w:trHeight w:val="616" w:hRule="atLeast"/>
                    </w:trPr>
                    <w:tc>
                      <w:tcPr>
                        <w:tcW w:w="910" w:type="dxa"/>
                        <w:tcBorders>
                          <w:left w:val="nil"/>
                          <w:bottom w:val="single" w:sz="6" w:space="0" w:color="000000"/>
                          <w:right w:val="single" w:sz="6" w:space="0" w:color="000000"/>
                        </w:tcBorders>
                      </w:tcPr>
                      <w:p>
                        <w:pPr>
                          <w:pStyle w:val="TableParagraph"/>
                          <w:spacing w:before="190"/>
                          <w:ind w:left="28"/>
                          <w:rPr>
                            <w:rFonts w:ascii="Times New Roman"/>
                            <w:sz w:val="21"/>
                          </w:rPr>
                        </w:pPr>
                        <w:r>
                          <w:rPr>
                            <w:rFonts w:ascii="Times New Roman"/>
                            <w:w w:val="99"/>
                            <w:sz w:val="21"/>
                          </w:rPr>
                          <w:t>1</w:t>
                        </w:r>
                      </w:p>
                    </w:tc>
                    <w:tc>
                      <w:tcPr>
                        <w:tcW w:w="1613" w:type="dxa"/>
                        <w:tcBorders>
                          <w:left w:val="single" w:sz="6" w:space="0" w:color="000000"/>
                          <w:bottom w:val="single" w:sz="6" w:space="0" w:color="000000"/>
                          <w:right w:val="single" w:sz="6" w:space="0" w:color="000000"/>
                        </w:tcBorders>
                      </w:tcPr>
                      <w:p>
                        <w:pPr>
                          <w:pStyle w:val="TableParagraph"/>
                          <w:spacing w:before="128"/>
                          <w:ind w:left="294" w:right="264"/>
                          <w:rPr>
                            <w:rFonts w:ascii="Times New Roman"/>
                            <w:b/>
                            <w:sz w:val="32"/>
                          </w:rPr>
                        </w:pPr>
                        <w:r>
                          <w:rPr>
                            <w:rFonts w:ascii="Times New Roman"/>
                            <w:b/>
                            <w:sz w:val="32"/>
                          </w:rPr>
                          <w:t>***</w:t>
                        </w:r>
                      </w:p>
                    </w:tc>
                    <w:tc>
                      <w:tcPr>
                        <w:tcW w:w="1490" w:type="dxa"/>
                        <w:tcBorders>
                          <w:left w:val="single" w:sz="6" w:space="0" w:color="000000"/>
                          <w:bottom w:val="single" w:sz="6" w:space="0" w:color="000000"/>
                          <w:right w:val="single" w:sz="4" w:space="0" w:color="000000"/>
                        </w:tcBorders>
                      </w:tcPr>
                      <w:p>
                        <w:pPr>
                          <w:pStyle w:val="TableParagraph"/>
                          <w:spacing w:before="176"/>
                          <w:ind w:left="26"/>
                          <w:rPr>
                            <w:sz w:val="21"/>
                          </w:rPr>
                        </w:pPr>
                        <w:r>
                          <w:rPr>
                            <w:w w:val="99"/>
                            <w:sz w:val="21"/>
                          </w:rPr>
                          <w:t>是</w:t>
                        </w:r>
                      </w:p>
                    </w:tc>
                    <w:tc>
                      <w:tcPr>
                        <w:tcW w:w="1369" w:type="dxa"/>
                        <w:vMerge w:val="restart"/>
                        <w:tcBorders>
                          <w:left w:val="single" w:sz="4" w:space="0" w:color="000000"/>
                          <w:right w:val="single" w:sz="6"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73"/>
                          <w:ind w:left="73" w:right="44"/>
                          <w:rPr>
                            <w:rFonts w:ascii="Times New Roman"/>
                            <w:sz w:val="21"/>
                          </w:rPr>
                        </w:pPr>
                        <w:r>
                          <w:rPr>
                            <w:rFonts w:ascii="Times New Roman"/>
                            <w:sz w:val="21"/>
                          </w:rPr>
                          <w:t>4.7</w:t>
                        </w:r>
                      </w:p>
                    </w:tc>
                    <w:tc>
                      <w:tcPr>
                        <w:tcW w:w="1900" w:type="dxa"/>
                        <w:tcBorders>
                          <w:left w:val="single" w:sz="6" w:space="0" w:color="000000"/>
                          <w:bottom w:val="single" w:sz="6" w:space="0" w:color="000000"/>
                          <w:right w:val="single" w:sz="4" w:space="0" w:color="000000"/>
                        </w:tcBorders>
                      </w:tcPr>
                      <w:p>
                        <w:pPr>
                          <w:pStyle w:val="TableParagraph"/>
                          <w:spacing w:before="193"/>
                          <w:ind w:left="307" w:right="278"/>
                          <w:rPr>
                            <w:rFonts w:ascii="Times New Roman"/>
                            <w:sz w:val="21"/>
                          </w:rPr>
                        </w:pPr>
                        <w:r>
                          <w:rPr>
                            <w:rFonts w:ascii="Times New Roman"/>
                            <w:sz w:val="21"/>
                          </w:rPr>
                          <w:t>0.21</w:t>
                        </w:r>
                      </w:p>
                    </w:tc>
                    <w:tc>
                      <w:tcPr>
                        <w:tcW w:w="1743" w:type="dxa"/>
                        <w:tcBorders>
                          <w:left w:val="single" w:sz="4" w:space="0" w:color="000000"/>
                          <w:bottom w:val="single" w:sz="6" w:space="0" w:color="000000"/>
                          <w:right w:val="nil"/>
                        </w:tcBorders>
                      </w:tcPr>
                      <w:p>
                        <w:pPr>
                          <w:pStyle w:val="TableParagraph"/>
                          <w:spacing w:before="193"/>
                          <w:ind w:right="669"/>
                          <w:jc w:val="right"/>
                          <w:rPr>
                            <w:rFonts w:ascii="Times New Roman"/>
                            <w:sz w:val="21"/>
                          </w:rPr>
                        </w:pPr>
                        <w:r>
                          <w:rPr>
                            <w:rFonts w:ascii="Times New Roman"/>
                            <w:sz w:val="21"/>
                          </w:rPr>
                          <w:t>4.91</w:t>
                        </w:r>
                      </w:p>
                    </w:tc>
                  </w:tr>
                  <w:tr>
                    <w:trPr>
                      <w:trHeight w:val="608" w:hRule="atLeast"/>
                    </w:trPr>
                    <w:tc>
                      <w:tcPr>
                        <w:tcW w:w="910" w:type="dxa"/>
                        <w:tcBorders>
                          <w:top w:val="single" w:sz="6" w:space="0" w:color="000000"/>
                          <w:left w:val="nil"/>
                          <w:bottom w:val="single" w:sz="6" w:space="0" w:color="000000"/>
                          <w:right w:val="single" w:sz="6" w:space="0" w:color="000000"/>
                        </w:tcBorders>
                      </w:tcPr>
                      <w:p>
                        <w:pPr>
                          <w:pStyle w:val="TableParagraph"/>
                          <w:spacing w:before="184"/>
                          <w:ind w:left="28"/>
                          <w:rPr>
                            <w:rFonts w:ascii="Times New Roman"/>
                            <w:sz w:val="21"/>
                          </w:rPr>
                        </w:pPr>
                        <w:r>
                          <w:rPr>
                            <w:rFonts w:ascii="Times New Roman"/>
                            <w:w w:val="99"/>
                            <w:sz w:val="21"/>
                          </w:rPr>
                          <w:t>2</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2"/>
                          <w:ind w:left="294" w:right="264"/>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0"/>
                          <w:ind w:left="26"/>
                          <w:rPr>
                            <w:sz w:val="21"/>
                          </w:rPr>
                        </w:pPr>
                        <w:r>
                          <w:rPr>
                            <w:w w:val="99"/>
                            <w:sz w:val="21"/>
                          </w:rPr>
                          <w:t>是</w:t>
                        </w:r>
                      </w:p>
                    </w:tc>
                    <w:tc>
                      <w:tcPr>
                        <w:tcW w:w="1369" w:type="dxa"/>
                        <w:vMerge/>
                        <w:tcBorders>
                          <w:top w:val="nil"/>
                          <w:left w:val="single" w:sz="4"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84"/>
                          <w:ind w:left="307" w:right="278"/>
                          <w:rPr>
                            <w:rFonts w:ascii="Times New Roman"/>
                            <w:sz w:val="21"/>
                          </w:rPr>
                        </w:pPr>
                        <w:r>
                          <w:rPr>
                            <w:rFonts w:ascii="Times New Roman"/>
                            <w:sz w:val="21"/>
                          </w:rPr>
                          <w:t>0.2</w:t>
                        </w:r>
                      </w:p>
                    </w:tc>
                    <w:tc>
                      <w:tcPr>
                        <w:tcW w:w="1743" w:type="dxa"/>
                        <w:tcBorders>
                          <w:top w:val="single" w:sz="6" w:space="0" w:color="000000"/>
                          <w:left w:val="single" w:sz="4" w:space="0" w:color="000000"/>
                          <w:bottom w:val="single" w:sz="6" w:space="0" w:color="000000"/>
                          <w:right w:val="nil"/>
                        </w:tcBorders>
                      </w:tcPr>
                      <w:p>
                        <w:pPr>
                          <w:pStyle w:val="TableParagraph"/>
                          <w:spacing w:before="184"/>
                          <w:ind w:right="721"/>
                          <w:jc w:val="right"/>
                          <w:rPr>
                            <w:rFonts w:ascii="Times New Roman"/>
                            <w:sz w:val="21"/>
                          </w:rPr>
                        </w:pPr>
                        <w:r>
                          <w:rPr>
                            <w:rFonts w:ascii="Times New Roman"/>
                            <w:sz w:val="21"/>
                          </w:rPr>
                          <w:t>4.9</w:t>
                        </w:r>
                      </w:p>
                    </w:tc>
                  </w:tr>
                  <w:tr>
                    <w:trPr>
                      <w:trHeight w:val="609" w:hRule="atLeast"/>
                    </w:trPr>
                    <w:tc>
                      <w:tcPr>
                        <w:tcW w:w="910" w:type="dxa"/>
                        <w:tcBorders>
                          <w:top w:val="single" w:sz="6" w:space="0" w:color="000000"/>
                          <w:left w:val="nil"/>
                          <w:bottom w:val="single" w:sz="6" w:space="0" w:color="000000"/>
                          <w:right w:val="single" w:sz="6" w:space="0" w:color="000000"/>
                        </w:tcBorders>
                      </w:tcPr>
                      <w:p>
                        <w:pPr>
                          <w:pStyle w:val="TableParagraph"/>
                          <w:spacing w:before="184"/>
                          <w:ind w:left="28"/>
                          <w:rPr>
                            <w:rFonts w:ascii="Times New Roman"/>
                            <w:sz w:val="21"/>
                          </w:rPr>
                        </w:pPr>
                        <w:r>
                          <w:rPr>
                            <w:rFonts w:ascii="Times New Roman"/>
                            <w:w w:val="99"/>
                            <w:sz w:val="21"/>
                          </w:rPr>
                          <w:t>3</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2"/>
                          <w:ind w:left="294" w:right="264"/>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0"/>
                          <w:ind w:left="26"/>
                          <w:rPr>
                            <w:sz w:val="21"/>
                          </w:rPr>
                        </w:pPr>
                        <w:r>
                          <w:rPr>
                            <w:w w:val="99"/>
                            <w:sz w:val="21"/>
                          </w:rPr>
                          <w:t>是</w:t>
                        </w:r>
                      </w:p>
                    </w:tc>
                    <w:tc>
                      <w:tcPr>
                        <w:tcW w:w="1369" w:type="dxa"/>
                        <w:vMerge/>
                        <w:tcBorders>
                          <w:top w:val="nil"/>
                          <w:left w:val="single" w:sz="4"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84"/>
                          <w:ind w:left="307" w:right="278"/>
                          <w:rPr>
                            <w:rFonts w:ascii="Times New Roman"/>
                            <w:sz w:val="21"/>
                          </w:rPr>
                        </w:pPr>
                        <w:r>
                          <w:rPr>
                            <w:rFonts w:ascii="Times New Roman"/>
                            <w:sz w:val="21"/>
                          </w:rPr>
                          <w:t>0.24</w:t>
                        </w:r>
                      </w:p>
                    </w:tc>
                    <w:tc>
                      <w:tcPr>
                        <w:tcW w:w="1743" w:type="dxa"/>
                        <w:tcBorders>
                          <w:top w:val="single" w:sz="6" w:space="0" w:color="000000"/>
                          <w:left w:val="single" w:sz="4" w:space="0" w:color="000000"/>
                          <w:bottom w:val="single" w:sz="6" w:space="0" w:color="000000"/>
                          <w:right w:val="nil"/>
                        </w:tcBorders>
                      </w:tcPr>
                      <w:p>
                        <w:pPr>
                          <w:pStyle w:val="TableParagraph"/>
                          <w:spacing w:before="184"/>
                          <w:ind w:right="669"/>
                          <w:jc w:val="right"/>
                          <w:rPr>
                            <w:rFonts w:ascii="Times New Roman"/>
                            <w:sz w:val="21"/>
                          </w:rPr>
                        </w:pPr>
                        <w:r>
                          <w:rPr>
                            <w:rFonts w:ascii="Times New Roman"/>
                            <w:sz w:val="21"/>
                          </w:rPr>
                          <w:t>4.94</w:t>
                        </w:r>
                      </w:p>
                    </w:tc>
                  </w:tr>
                  <w:tr>
                    <w:trPr>
                      <w:trHeight w:val="680" w:hRule="atLeast"/>
                    </w:trPr>
                    <w:tc>
                      <w:tcPr>
                        <w:tcW w:w="910" w:type="dxa"/>
                        <w:tcBorders>
                          <w:top w:val="single" w:sz="6" w:space="0" w:color="000000"/>
                          <w:left w:val="nil"/>
                          <w:bottom w:val="single" w:sz="6" w:space="0" w:color="000000"/>
                          <w:right w:val="single" w:sz="6" w:space="0" w:color="000000"/>
                        </w:tcBorders>
                      </w:tcPr>
                      <w:p>
                        <w:pPr>
                          <w:pStyle w:val="TableParagraph"/>
                          <w:spacing w:before="1"/>
                          <w:jc w:val="left"/>
                          <w:rPr>
                            <w:sz w:val="17"/>
                          </w:rPr>
                        </w:pPr>
                      </w:p>
                      <w:p>
                        <w:pPr>
                          <w:pStyle w:val="TableParagraph"/>
                          <w:ind w:left="28"/>
                          <w:rPr>
                            <w:rFonts w:ascii="Times New Roman"/>
                            <w:sz w:val="21"/>
                          </w:rPr>
                        </w:pPr>
                        <w:r>
                          <w:rPr>
                            <w:rFonts w:ascii="Times New Roman"/>
                            <w:w w:val="99"/>
                            <w:sz w:val="21"/>
                          </w:rPr>
                          <w:t>4</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57"/>
                          <w:ind w:left="294" w:right="264"/>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jc w:val="left"/>
                          <w:rPr>
                            <w:sz w:val="16"/>
                          </w:rPr>
                        </w:pPr>
                      </w:p>
                      <w:p>
                        <w:pPr>
                          <w:pStyle w:val="TableParagraph"/>
                          <w:ind w:left="26"/>
                          <w:rPr>
                            <w:sz w:val="21"/>
                          </w:rPr>
                        </w:pPr>
                        <w:r>
                          <w:rPr>
                            <w:w w:val="99"/>
                            <w:sz w:val="21"/>
                          </w:rPr>
                          <w:t>是</w:t>
                        </w:r>
                      </w:p>
                    </w:tc>
                    <w:tc>
                      <w:tcPr>
                        <w:tcW w:w="1369" w:type="dxa"/>
                        <w:vMerge/>
                        <w:tcBorders>
                          <w:top w:val="nil"/>
                          <w:left w:val="single" w:sz="4"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3"/>
                          <w:jc w:val="left"/>
                          <w:rPr>
                            <w:sz w:val="17"/>
                          </w:rPr>
                        </w:pPr>
                      </w:p>
                      <w:p>
                        <w:pPr>
                          <w:pStyle w:val="TableParagraph"/>
                          <w:spacing w:before="1"/>
                          <w:ind w:left="307" w:right="278"/>
                          <w:rPr>
                            <w:rFonts w:ascii="Times New Roman"/>
                            <w:sz w:val="21"/>
                          </w:rPr>
                        </w:pPr>
                        <w:r>
                          <w:rPr>
                            <w:rFonts w:ascii="Times New Roman"/>
                            <w:sz w:val="21"/>
                          </w:rPr>
                          <w:t>0.07</w:t>
                        </w:r>
                      </w:p>
                    </w:tc>
                    <w:tc>
                      <w:tcPr>
                        <w:tcW w:w="1743" w:type="dxa"/>
                        <w:tcBorders>
                          <w:top w:val="single" w:sz="6" w:space="0" w:color="000000"/>
                          <w:left w:val="single" w:sz="4" w:space="0" w:color="000000"/>
                          <w:bottom w:val="single" w:sz="6" w:space="0" w:color="000000"/>
                          <w:right w:val="nil"/>
                        </w:tcBorders>
                      </w:tcPr>
                      <w:p>
                        <w:pPr>
                          <w:pStyle w:val="TableParagraph"/>
                          <w:spacing w:before="1"/>
                          <w:jc w:val="left"/>
                          <w:rPr>
                            <w:sz w:val="17"/>
                          </w:rPr>
                        </w:pPr>
                      </w:p>
                      <w:p>
                        <w:pPr>
                          <w:pStyle w:val="TableParagraph"/>
                          <w:ind w:right="669"/>
                          <w:jc w:val="right"/>
                          <w:rPr>
                            <w:rFonts w:ascii="Times New Roman"/>
                            <w:sz w:val="21"/>
                          </w:rPr>
                        </w:pPr>
                        <w:r>
                          <w:rPr>
                            <w:rFonts w:ascii="Times New Roman"/>
                            <w:sz w:val="21"/>
                          </w:rPr>
                          <w:t>4.77</w:t>
                        </w:r>
                      </w:p>
                    </w:tc>
                  </w:tr>
                  <w:tr>
                    <w:trPr>
                      <w:trHeight w:val="609" w:hRule="atLeast"/>
                    </w:trPr>
                    <w:tc>
                      <w:tcPr>
                        <w:tcW w:w="910" w:type="dxa"/>
                        <w:tcBorders>
                          <w:top w:val="single" w:sz="6" w:space="0" w:color="000000"/>
                          <w:left w:val="nil"/>
                          <w:bottom w:val="single" w:sz="6" w:space="0" w:color="000000"/>
                          <w:right w:val="single" w:sz="6" w:space="0" w:color="000000"/>
                        </w:tcBorders>
                      </w:tcPr>
                      <w:p>
                        <w:pPr>
                          <w:pStyle w:val="TableParagraph"/>
                          <w:spacing w:before="182"/>
                          <w:ind w:left="28"/>
                          <w:rPr>
                            <w:rFonts w:ascii="Times New Roman"/>
                            <w:sz w:val="21"/>
                          </w:rPr>
                        </w:pPr>
                        <w:r>
                          <w:rPr>
                            <w:rFonts w:ascii="Times New Roman"/>
                            <w:w w:val="99"/>
                            <w:sz w:val="21"/>
                          </w:rPr>
                          <w:t>5</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1"/>
                          <w:ind w:left="294" w:right="264"/>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68"/>
                          <w:ind w:left="26"/>
                          <w:rPr>
                            <w:sz w:val="21"/>
                          </w:rPr>
                        </w:pPr>
                        <w:r>
                          <w:rPr>
                            <w:w w:val="99"/>
                            <w:sz w:val="21"/>
                          </w:rPr>
                          <w:t>是</w:t>
                        </w:r>
                      </w:p>
                    </w:tc>
                    <w:tc>
                      <w:tcPr>
                        <w:tcW w:w="1369" w:type="dxa"/>
                        <w:vMerge/>
                        <w:tcBorders>
                          <w:top w:val="nil"/>
                          <w:left w:val="single" w:sz="4"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85"/>
                          <w:ind w:left="307" w:right="278"/>
                          <w:rPr>
                            <w:rFonts w:ascii="Times New Roman"/>
                            <w:sz w:val="21"/>
                          </w:rPr>
                        </w:pPr>
                        <w:r>
                          <w:rPr>
                            <w:rFonts w:ascii="Times New Roman"/>
                            <w:sz w:val="21"/>
                          </w:rPr>
                          <w:t>016</w:t>
                        </w:r>
                      </w:p>
                    </w:tc>
                    <w:tc>
                      <w:tcPr>
                        <w:tcW w:w="1743" w:type="dxa"/>
                        <w:tcBorders>
                          <w:top w:val="single" w:sz="6" w:space="0" w:color="000000"/>
                          <w:left w:val="single" w:sz="4" w:space="0" w:color="000000"/>
                          <w:bottom w:val="single" w:sz="6" w:space="0" w:color="000000"/>
                          <w:right w:val="nil"/>
                        </w:tcBorders>
                      </w:tcPr>
                      <w:p>
                        <w:pPr>
                          <w:pStyle w:val="TableParagraph"/>
                          <w:spacing w:before="182"/>
                          <w:ind w:right="669"/>
                          <w:jc w:val="right"/>
                          <w:rPr>
                            <w:rFonts w:ascii="Times New Roman"/>
                            <w:sz w:val="21"/>
                          </w:rPr>
                        </w:pPr>
                        <w:r>
                          <w:rPr>
                            <w:rFonts w:ascii="Times New Roman"/>
                            <w:sz w:val="21"/>
                          </w:rPr>
                          <w:t>4.86</w:t>
                        </w:r>
                      </w:p>
                    </w:tc>
                  </w:tr>
                  <w:tr>
                    <w:trPr>
                      <w:trHeight w:val="608" w:hRule="atLeast"/>
                    </w:trPr>
                    <w:tc>
                      <w:tcPr>
                        <w:tcW w:w="910" w:type="dxa"/>
                        <w:tcBorders>
                          <w:top w:val="single" w:sz="6" w:space="0" w:color="000000"/>
                          <w:left w:val="nil"/>
                          <w:bottom w:val="single" w:sz="6" w:space="0" w:color="000000"/>
                          <w:right w:val="single" w:sz="6" w:space="0" w:color="000000"/>
                        </w:tcBorders>
                      </w:tcPr>
                      <w:p>
                        <w:pPr>
                          <w:pStyle w:val="TableParagraph"/>
                          <w:spacing w:before="184"/>
                          <w:ind w:left="28"/>
                          <w:rPr>
                            <w:rFonts w:ascii="Times New Roman"/>
                            <w:sz w:val="21"/>
                          </w:rPr>
                        </w:pPr>
                        <w:r>
                          <w:rPr>
                            <w:rFonts w:ascii="Times New Roman"/>
                            <w:w w:val="99"/>
                            <w:sz w:val="21"/>
                          </w:rPr>
                          <w:t>6</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2"/>
                          <w:ind w:left="294" w:right="264"/>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0"/>
                          <w:ind w:left="26"/>
                          <w:rPr>
                            <w:sz w:val="21"/>
                          </w:rPr>
                        </w:pPr>
                        <w:r>
                          <w:rPr>
                            <w:w w:val="99"/>
                            <w:sz w:val="21"/>
                          </w:rPr>
                          <w:t>是</w:t>
                        </w:r>
                      </w:p>
                    </w:tc>
                    <w:tc>
                      <w:tcPr>
                        <w:tcW w:w="1369" w:type="dxa"/>
                        <w:vMerge/>
                        <w:tcBorders>
                          <w:top w:val="nil"/>
                          <w:left w:val="single" w:sz="4"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84"/>
                          <w:ind w:left="307" w:right="278"/>
                          <w:rPr>
                            <w:rFonts w:ascii="Times New Roman"/>
                            <w:sz w:val="21"/>
                          </w:rPr>
                        </w:pPr>
                        <w:r>
                          <w:rPr>
                            <w:rFonts w:ascii="Times New Roman"/>
                            <w:sz w:val="21"/>
                          </w:rPr>
                          <w:t>0.08</w:t>
                        </w:r>
                      </w:p>
                    </w:tc>
                    <w:tc>
                      <w:tcPr>
                        <w:tcW w:w="1743" w:type="dxa"/>
                        <w:tcBorders>
                          <w:top w:val="single" w:sz="6" w:space="0" w:color="000000"/>
                          <w:left w:val="single" w:sz="4" w:space="0" w:color="000000"/>
                          <w:bottom w:val="single" w:sz="6" w:space="0" w:color="000000"/>
                          <w:right w:val="nil"/>
                        </w:tcBorders>
                      </w:tcPr>
                      <w:p>
                        <w:pPr>
                          <w:pStyle w:val="TableParagraph"/>
                          <w:spacing w:before="184"/>
                          <w:ind w:right="669"/>
                          <w:jc w:val="right"/>
                          <w:rPr>
                            <w:rFonts w:ascii="Times New Roman"/>
                            <w:sz w:val="21"/>
                          </w:rPr>
                        </w:pPr>
                        <w:r>
                          <w:rPr>
                            <w:rFonts w:ascii="Times New Roman"/>
                            <w:sz w:val="21"/>
                          </w:rPr>
                          <w:t>4.78</w:t>
                        </w:r>
                      </w:p>
                    </w:tc>
                  </w:tr>
                  <w:tr>
                    <w:trPr>
                      <w:trHeight w:val="614" w:hRule="atLeast"/>
                    </w:trPr>
                    <w:tc>
                      <w:tcPr>
                        <w:tcW w:w="910" w:type="dxa"/>
                        <w:tcBorders>
                          <w:top w:val="single" w:sz="6" w:space="0" w:color="000000"/>
                          <w:left w:val="nil"/>
                          <w:right w:val="single" w:sz="6" w:space="0" w:color="000000"/>
                        </w:tcBorders>
                      </w:tcPr>
                      <w:p>
                        <w:pPr>
                          <w:pStyle w:val="TableParagraph"/>
                          <w:spacing w:before="184"/>
                          <w:ind w:left="28"/>
                          <w:rPr>
                            <w:rFonts w:ascii="Times New Roman"/>
                            <w:sz w:val="21"/>
                          </w:rPr>
                        </w:pPr>
                        <w:r>
                          <w:rPr>
                            <w:rFonts w:ascii="Times New Roman"/>
                            <w:w w:val="99"/>
                            <w:sz w:val="21"/>
                          </w:rPr>
                          <w:t>7</w:t>
                        </w:r>
                      </w:p>
                    </w:tc>
                    <w:tc>
                      <w:tcPr>
                        <w:tcW w:w="1613" w:type="dxa"/>
                        <w:tcBorders>
                          <w:top w:val="single" w:sz="6" w:space="0" w:color="000000"/>
                          <w:left w:val="single" w:sz="6" w:space="0" w:color="000000"/>
                          <w:right w:val="single" w:sz="6" w:space="0" w:color="000000"/>
                        </w:tcBorders>
                      </w:tcPr>
                      <w:p>
                        <w:pPr>
                          <w:pStyle w:val="TableParagraph"/>
                          <w:spacing w:before="122"/>
                          <w:ind w:left="294" w:right="264"/>
                          <w:rPr>
                            <w:rFonts w:ascii="Times New Roman"/>
                            <w:b/>
                            <w:sz w:val="32"/>
                          </w:rPr>
                        </w:pPr>
                        <w:r>
                          <w:rPr>
                            <w:rFonts w:ascii="Times New Roman"/>
                            <w:b/>
                            <w:sz w:val="32"/>
                          </w:rPr>
                          <w:t>***</w:t>
                        </w:r>
                      </w:p>
                    </w:tc>
                    <w:tc>
                      <w:tcPr>
                        <w:tcW w:w="1490" w:type="dxa"/>
                        <w:tcBorders>
                          <w:top w:val="single" w:sz="6" w:space="0" w:color="000000"/>
                          <w:left w:val="single" w:sz="6" w:space="0" w:color="000000"/>
                          <w:right w:val="single" w:sz="4" w:space="0" w:color="000000"/>
                        </w:tcBorders>
                      </w:tcPr>
                      <w:p>
                        <w:pPr>
                          <w:pStyle w:val="TableParagraph"/>
                          <w:spacing w:before="170"/>
                          <w:ind w:left="26"/>
                          <w:rPr>
                            <w:sz w:val="21"/>
                          </w:rPr>
                        </w:pPr>
                        <w:r>
                          <w:rPr>
                            <w:w w:val="99"/>
                            <w:sz w:val="21"/>
                          </w:rPr>
                          <w:t>是</w:t>
                        </w:r>
                      </w:p>
                    </w:tc>
                    <w:tc>
                      <w:tcPr>
                        <w:tcW w:w="1369" w:type="dxa"/>
                        <w:vMerge/>
                        <w:tcBorders>
                          <w:top w:val="nil"/>
                          <w:left w:val="single" w:sz="4" w:space="0" w:color="000000"/>
                          <w:right w:val="single" w:sz="6" w:space="0" w:color="000000"/>
                        </w:tcBorders>
                      </w:tcPr>
                      <w:p>
                        <w:pPr>
                          <w:rPr>
                            <w:sz w:val="2"/>
                            <w:szCs w:val="2"/>
                          </w:rPr>
                        </w:pPr>
                      </w:p>
                    </w:tc>
                    <w:tc>
                      <w:tcPr>
                        <w:tcW w:w="1900" w:type="dxa"/>
                        <w:tcBorders>
                          <w:top w:val="single" w:sz="6" w:space="0" w:color="000000"/>
                          <w:left w:val="single" w:sz="6" w:space="0" w:color="000000"/>
                          <w:right w:val="single" w:sz="4" w:space="0" w:color="000000"/>
                        </w:tcBorders>
                      </w:tcPr>
                      <w:p>
                        <w:pPr>
                          <w:pStyle w:val="TableParagraph"/>
                          <w:spacing w:before="184"/>
                          <w:ind w:left="307" w:right="278"/>
                          <w:rPr>
                            <w:rFonts w:ascii="Times New Roman"/>
                            <w:sz w:val="21"/>
                          </w:rPr>
                        </w:pPr>
                        <w:r>
                          <w:rPr>
                            <w:rFonts w:ascii="Times New Roman"/>
                            <w:sz w:val="21"/>
                          </w:rPr>
                          <w:t>0.16</w:t>
                        </w:r>
                      </w:p>
                    </w:tc>
                    <w:tc>
                      <w:tcPr>
                        <w:tcW w:w="1743" w:type="dxa"/>
                        <w:tcBorders>
                          <w:top w:val="single" w:sz="6" w:space="0" w:color="000000"/>
                          <w:left w:val="single" w:sz="4" w:space="0" w:color="000000"/>
                          <w:right w:val="nil"/>
                        </w:tcBorders>
                      </w:tcPr>
                      <w:p>
                        <w:pPr>
                          <w:pStyle w:val="TableParagraph"/>
                          <w:spacing w:before="184"/>
                          <w:ind w:right="669"/>
                          <w:jc w:val="right"/>
                          <w:rPr>
                            <w:rFonts w:ascii="Times New Roman"/>
                            <w:sz w:val="21"/>
                          </w:rPr>
                        </w:pPr>
                        <w:r>
                          <w:rPr>
                            <w:rFonts w:ascii="Times New Roman"/>
                            <w:sz w:val="21"/>
                          </w:rPr>
                          <w:t>4.86</w:t>
                        </w:r>
                      </w:p>
                    </w:tc>
                  </w:tr>
                </w:tbl>
                <w:p>
                  <w:pPr>
                    <w:pStyle w:val="BodyText"/>
                  </w:pPr>
                </w:p>
              </w:txbxContent>
            </v:textbox>
            <w10:wrap type="none"/>
          </v:shape>
        </w:pict>
      </w:r>
    </w:p>
    <w:p>
      <w:pPr>
        <w:spacing w:after="0"/>
        <w:rPr>
          <w:sz w:val="2"/>
          <w:szCs w:val="2"/>
        </w:rPr>
        <w:sectPr>
          <w:pgSz w:w="11910" w:h="16840"/>
          <w:pgMar w:header="0" w:footer="1383" w:top="1420" w:bottom="1580" w:left="1240" w:right="1040"/>
        </w:sectPr>
      </w:pPr>
    </w:p>
    <w:tbl>
      <w:tblPr>
        <w:tblW w:w="0" w:type="auto"/>
        <w:jc w:val="left"/>
        <w:tblInd w:w="1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18"/>
        <w:gridCol w:w="1613"/>
        <w:gridCol w:w="1490"/>
        <w:gridCol w:w="1369"/>
        <w:gridCol w:w="1900"/>
        <w:gridCol w:w="1851"/>
      </w:tblGrid>
      <w:tr>
        <w:trPr>
          <w:trHeight w:val="621" w:hRule="atLeast"/>
        </w:trPr>
        <w:tc>
          <w:tcPr>
            <w:tcW w:w="1018" w:type="dxa"/>
            <w:tcBorders>
              <w:left w:val="single" w:sz="4" w:space="0" w:color="000000"/>
              <w:bottom w:val="single" w:sz="6" w:space="0" w:color="000000"/>
              <w:right w:val="single" w:sz="6" w:space="0" w:color="000000"/>
            </w:tcBorders>
          </w:tcPr>
          <w:p>
            <w:pPr>
              <w:pStyle w:val="TableParagraph"/>
              <w:spacing w:before="188"/>
              <w:ind w:left="112"/>
              <w:rPr>
                <w:rFonts w:ascii="Times New Roman"/>
                <w:sz w:val="21"/>
              </w:rPr>
            </w:pPr>
            <w:r>
              <w:rPr>
                <w:rFonts w:ascii="Times New Roman"/>
                <w:w w:val="99"/>
                <w:sz w:val="21"/>
              </w:rPr>
              <w:t>8</w:t>
            </w:r>
          </w:p>
        </w:tc>
        <w:tc>
          <w:tcPr>
            <w:tcW w:w="1613" w:type="dxa"/>
            <w:tcBorders>
              <w:left w:val="single" w:sz="6" w:space="0" w:color="000000"/>
              <w:bottom w:val="single" w:sz="6" w:space="0" w:color="000000"/>
              <w:right w:val="single" w:sz="6" w:space="0" w:color="000000"/>
            </w:tcBorders>
          </w:tcPr>
          <w:p>
            <w:pPr>
              <w:pStyle w:val="TableParagraph"/>
              <w:spacing w:before="128"/>
              <w:ind w:left="563"/>
              <w:jc w:val="left"/>
              <w:rPr>
                <w:rFonts w:ascii="Times New Roman"/>
                <w:b/>
                <w:sz w:val="32"/>
              </w:rPr>
            </w:pPr>
            <w:r>
              <w:rPr>
                <w:rFonts w:ascii="Times New Roman"/>
                <w:b/>
                <w:sz w:val="32"/>
              </w:rPr>
              <w:t>***</w:t>
            </w:r>
          </w:p>
        </w:tc>
        <w:tc>
          <w:tcPr>
            <w:tcW w:w="1490" w:type="dxa"/>
            <w:tcBorders>
              <w:left w:val="single" w:sz="6" w:space="0" w:color="000000"/>
              <w:bottom w:val="single" w:sz="6" w:space="0" w:color="000000"/>
              <w:right w:val="single" w:sz="4" w:space="0" w:color="000000"/>
            </w:tcBorders>
          </w:tcPr>
          <w:p>
            <w:pPr>
              <w:pStyle w:val="TableParagraph"/>
              <w:spacing w:before="174"/>
              <w:ind w:left="7"/>
              <w:rPr>
                <w:sz w:val="21"/>
              </w:rPr>
            </w:pPr>
            <w:r>
              <w:rPr>
                <w:w w:val="99"/>
                <w:sz w:val="21"/>
              </w:rPr>
              <w:t>是</w:t>
            </w:r>
          </w:p>
        </w:tc>
        <w:tc>
          <w:tcPr>
            <w:tcW w:w="1369" w:type="dxa"/>
            <w:vMerge w:val="restart"/>
            <w:tcBorders>
              <w:left w:val="single" w:sz="4" w:space="0" w:color="000000"/>
              <w:bottom w:val="single" w:sz="6" w:space="0" w:color="000000"/>
              <w:right w:val="single" w:sz="6" w:space="0" w:color="000000"/>
            </w:tcBorders>
          </w:tcPr>
          <w:p>
            <w:pPr>
              <w:pStyle w:val="TableParagraph"/>
              <w:jc w:val="left"/>
              <w:rPr>
                <w:rFonts w:ascii="Times New Roman"/>
                <w:sz w:val="22"/>
              </w:rPr>
            </w:pPr>
          </w:p>
        </w:tc>
        <w:tc>
          <w:tcPr>
            <w:tcW w:w="1900" w:type="dxa"/>
            <w:tcBorders>
              <w:left w:val="single" w:sz="6" w:space="0" w:color="000000"/>
              <w:bottom w:val="single" w:sz="6" w:space="0" w:color="000000"/>
              <w:right w:val="single" w:sz="4" w:space="0" w:color="000000"/>
            </w:tcBorders>
          </w:tcPr>
          <w:p>
            <w:pPr>
              <w:pStyle w:val="TableParagraph"/>
              <w:spacing w:before="190"/>
              <w:ind w:left="288" w:right="278"/>
              <w:rPr>
                <w:rFonts w:ascii="Times New Roman"/>
                <w:sz w:val="21"/>
              </w:rPr>
            </w:pPr>
            <w:r>
              <w:rPr>
                <w:rFonts w:ascii="Times New Roman"/>
                <w:sz w:val="21"/>
              </w:rPr>
              <w:t>0.25</w:t>
            </w:r>
          </w:p>
        </w:tc>
        <w:tc>
          <w:tcPr>
            <w:tcW w:w="1851" w:type="dxa"/>
            <w:tcBorders>
              <w:left w:val="single" w:sz="4" w:space="0" w:color="000000"/>
              <w:bottom w:val="single" w:sz="6" w:space="0" w:color="000000"/>
              <w:right w:val="single" w:sz="4" w:space="0" w:color="000000"/>
            </w:tcBorders>
          </w:tcPr>
          <w:p>
            <w:pPr>
              <w:pStyle w:val="TableParagraph"/>
              <w:spacing w:before="188"/>
              <w:ind w:left="688"/>
              <w:jc w:val="left"/>
              <w:rPr>
                <w:rFonts w:ascii="Times New Roman"/>
                <w:sz w:val="21"/>
              </w:rPr>
            </w:pPr>
            <w:r>
              <w:rPr>
                <w:rFonts w:ascii="Times New Roman"/>
                <w:sz w:val="21"/>
              </w:rPr>
              <w:t>4.95</w:t>
            </w:r>
          </w:p>
        </w:tc>
      </w:tr>
      <w:tr>
        <w:trPr>
          <w:trHeight w:val="623"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92"/>
              <w:ind w:left="112"/>
              <w:rPr>
                <w:rFonts w:ascii="Times New Roman"/>
                <w:sz w:val="21"/>
              </w:rPr>
            </w:pPr>
            <w:r>
              <w:rPr>
                <w:rFonts w:ascii="Times New Roman"/>
                <w:w w:val="99"/>
                <w:sz w:val="21"/>
              </w:rPr>
              <w:t>9</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30"/>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8"/>
              <w:ind w:left="7"/>
              <w:rPr>
                <w:sz w:val="21"/>
              </w:rPr>
            </w:pPr>
            <w:r>
              <w:rPr>
                <w:w w:val="99"/>
                <w:sz w:val="21"/>
              </w:rPr>
              <w:t>是</w:t>
            </w:r>
          </w:p>
        </w:tc>
        <w:tc>
          <w:tcPr>
            <w:tcW w:w="1369" w:type="dxa"/>
            <w:vMerge/>
            <w:tcBorders>
              <w:top w:val="nil"/>
              <w:left w:val="single" w:sz="4" w:space="0" w:color="000000"/>
              <w:bottom w:val="single" w:sz="6"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92"/>
              <w:ind w:left="288" w:right="278"/>
              <w:rPr>
                <w:rFonts w:ascii="Times New Roman"/>
                <w:sz w:val="21"/>
              </w:rPr>
            </w:pPr>
            <w:r>
              <w:rPr>
                <w:rFonts w:ascii="Times New Roman"/>
                <w:sz w:val="21"/>
              </w:rPr>
              <w:t>0.04</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92"/>
              <w:ind w:left="688"/>
              <w:jc w:val="left"/>
              <w:rPr>
                <w:rFonts w:ascii="Times New Roman"/>
                <w:sz w:val="21"/>
              </w:rPr>
            </w:pPr>
            <w:r>
              <w:rPr>
                <w:rFonts w:ascii="Times New Roman"/>
                <w:sz w:val="21"/>
              </w:rPr>
              <w:t>4.74</w:t>
            </w:r>
          </w:p>
        </w:tc>
      </w:tr>
      <w:tr>
        <w:trPr>
          <w:trHeight w:val="624"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91"/>
              <w:ind w:left="433" w:right="321"/>
              <w:rPr>
                <w:rFonts w:ascii="Times New Roman"/>
                <w:sz w:val="21"/>
              </w:rPr>
            </w:pPr>
            <w:r>
              <w:rPr>
                <w:rFonts w:ascii="Times New Roman"/>
                <w:sz w:val="21"/>
              </w:rPr>
              <w:t>10</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9"/>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7"/>
              <w:ind w:left="7"/>
              <w:rPr>
                <w:sz w:val="21"/>
              </w:rPr>
            </w:pPr>
            <w:r>
              <w:rPr>
                <w:w w:val="99"/>
                <w:sz w:val="21"/>
              </w:rPr>
              <w:t>是</w:t>
            </w:r>
          </w:p>
        </w:tc>
        <w:tc>
          <w:tcPr>
            <w:tcW w:w="1369" w:type="dxa"/>
            <w:vMerge/>
            <w:tcBorders>
              <w:top w:val="nil"/>
              <w:left w:val="single" w:sz="4" w:space="0" w:color="000000"/>
              <w:bottom w:val="single" w:sz="6"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91"/>
              <w:ind w:left="288" w:right="278"/>
              <w:rPr>
                <w:rFonts w:ascii="Times New Roman"/>
                <w:sz w:val="21"/>
              </w:rPr>
            </w:pPr>
            <w:r>
              <w:rPr>
                <w:rFonts w:ascii="Times New Roman"/>
                <w:sz w:val="21"/>
              </w:rPr>
              <w:t>0.17</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91"/>
              <w:ind w:left="688"/>
              <w:jc w:val="left"/>
              <w:rPr>
                <w:rFonts w:ascii="Times New Roman"/>
                <w:sz w:val="21"/>
              </w:rPr>
            </w:pPr>
            <w:r>
              <w:rPr>
                <w:rFonts w:ascii="Times New Roman"/>
                <w:sz w:val="21"/>
              </w:rPr>
              <w:t>4.87</w:t>
            </w:r>
          </w:p>
        </w:tc>
      </w:tr>
      <w:tr>
        <w:trPr>
          <w:trHeight w:val="623"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90"/>
              <w:ind w:left="433" w:right="321"/>
              <w:rPr>
                <w:rFonts w:ascii="Times New Roman"/>
                <w:sz w:val="21"/>
              </w:rPr>
            </w:pPr>
            <w:r>
              <w:rPr>
                <w:rFonts w:ascii="Times New Roman"/>
                <w:sz w:val="21"/>
              </w:rPr>
              <w:t>11</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8"/>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6"/>
              <w:ind w:left="7"/>
              <w:rPr>
                <w:sz w:val="21"/>
              </w:rPr>
            </w:pPr>
            <w:r>
              <w:rPr>
                <w:w w:val="99"/>
                <w:sz w:val="21"/>
              </w:rPr>
              <w:t>是</w:t>
            </w:r>
          </w:p>
        </w:tc>
        <w:tc>
          <w:tcPr>
            <w:tcW w:w="1369" w:type="dxa"/>
            <w:vMerge w:val="restart"/>
            <w:tcBorders>
              <w:top w:val="single" w:sz="6" w:space="0" w:color="000000"/>
              <w:left w:val="single" w:sz="4" w:space="0" w:color="000000"/>
              <w:bottom w:val="single" w:sz="6" w:space="0" w:color="000000"/>
              <w:right w:val="single" w:sz="6" w:space="0" w:color="000000"/>
            </w:tcBorders>
          </w:tcPr>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ind w:left="278"/>
              <w:jc w:val="left"/>
              <w:rPr>
                <w:rFonts w:ascii="Times New Roman" w:hAnsi="Times New Roman"/>
                <w:sz w:val="13"/>
              </w:rPr>
            </w:pPr>
            <w:r>
              <w:rPr>
                <w:rFonts w:ascii="Times New Roman" w:hAnsi="Times New Roman"/>
                <w:sz w:val="21"/>
              </w:rPr>
              <w:t>2.07×10</w:t>
            </w:r>
            <w:r>
              <w:rPr>
                <w:rFonts w:ascii="Times New Roman" w:hAnsi="Times New Roman"/>
                <w:position w:val="7"/>
                <w:sz w:val="13"/>
              </w:rPr>
              <w:t>-4</w:t>
            </w: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93"/>
              <w:ind w:left="288" w:right="278"/>
              <w:rPr>
                <w:rFonts w:ascii="Times New Roman"/>
                <w:sz w:val="21"/>
              </w:rPr>
            </w:pPr>
            <w:r>
              <w:rPr>
                <w:rFonts w:ascii="Times New Roman"/>
                <w:sz w:val="21"/>
              </w:rPr>
              <w:t>0.20</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93"/>
              <w:ind w:left="688"/>
              <w:jc w:val="left"/>
              <w:rPr>
                <w:rFonts w:ascii="Times New Roman"/>
                <w:sz w:val="21"/>
              </w:rPr>
            </w:pPr>
            <w:r>
              <w:rPr>
                <w:rFonts w:ascii="Times New Roman"/>
                <w:sz w:val="21"/>
              </w:rPr>
              <w:t>0.20</w:t>
            </w:r>
          </w:p>
        </w:tc>
      </w:tr>
      <w:tr>
        <w:trPr>
          <w:trHeight w:val="624"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90"/>
              <w:ind w:left="433" w:right="321"/>
              <w:rPr>
                <w:rFonts w:ascii="Times New Roman"/>
                <w:sz w:val="21"/>
              </w:rPr>
            </w:pPr>
            <w:r>
              <w:rPr>
                <w:rFonts w:ascii="Times New Roman"/>
                <w:sz w:val="21"/>
              </w:rPr>
              <w:t>12</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30"/>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6"/>
              <w:ind w:left="7"/>
              <w:rPr>
                <w:sz w:val="21"/>
              </w:rPr>
            </w:pPr>
            <w:r>
              <w:rPr>
                <w:w w:val="99"/>
                <w:sz w:val="21"/>
              </w:rPr>
              <w:t>是</w:t>
            </w:r>
          </w:p>
        </w:tc>
        <w:tc>
          <w:tcPr>
            <w:tcW w:w="1369" w:type="dxa"/>
            <w:vMerge/>
            <w:tcBorders>
              <w:top w:val="nil"/>
              <w:left w:val="single" w:sz="4" w:space="0" w:color="000000"/>
              <w:bottom w:val="single" w:sz="6"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92"/>
              <w:ind w:left="288" w:right="278"/>
              <w:rPr>
                <w:rFonts w:ascii="Times New Roman"/>
                <w:sz w:val="21"/>
              </w:rPr>
            </w:pPr>
            <w:r>
              <w:rPr>
                <w:rFonts w:ascii="Times New Roman"/>
                <w:sz w:val="21"/>
              </w:rPr>
              <w:t>0.15</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92"/>
              <w:ind w:left="688"/>
              <w:jc w:val="left"/>
              <w:rPr>
                <w:rFonts w:ascii="Times New Roman"/>
                <w:sz w:val="21"/>
              </w:rPr>
            </w:pPr>
            <w:r>
              <w:rPr>
                <w:rFonts w:ascii="Times New Roman"/>
                <w:sz w:val="21"/>
              </w:rPr>
              <w:t>0.15</w:t>
            </w:r>
          </w:p>
        </w:tc>
      </w:tr>
      <w:tr>
        <w:trPr>
          <w:trHeight w:val="624"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92"/>
              <w:ind w:left="433" w:right="321"/>
              <w:rPr>
                <w:rFonts w:ascii="Times New Roman"/>
                <w:sz w:val="21"/>
              </w:rPr>
            </w:pPr>
            <w:r>
              <w:rPr>
                <w:rFonts w:ascii="Times New Roman"/>
                <w:sz w:val="21"/>
              </w:rPr>
              <w:t>13</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30"/>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8"/>
              <w:ind w:left="7"/>
              <w:rPr>
                <w:sz w:val="21"/>
              </w:rPr>
            </w:pPr>
            <w:r>
              <w:rPr>
                <w:w w:val="99"/>
                <w:sz w:val="21"/>
              </w:rPr>
              <w:t>是</w:t>
            </w:r>
          </w:p>
        </w:tc>
        <w:tc>
          <w:tcPr>
            <w:tcW w:w="1369" w:type="dxa"/>
            <w:vMerge/>
            <w:tcBorders>
              <w:top w:val="nil"/>
              <w:left w:val="single" w:sz="4" w:space="0" w:color="000000"/>
              <w:bottom w:val="single" w:sz="6"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92"/>
              <w:ind w:left="288" w:right="278"/>
              <w:rPr>
                <w:rFonts w:ascii="Times New Roman"/>
                <w:sz w:val="21"/>
              </w:rPr>
            </w:pPr>
            <w:r>
              <w:rPr>
                <w:rFonts w:ascii="Times New Roman"/>
                <w:sz w:val="21"/>
              </w:rPr>
              <w:t>0.19</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92"/>
              <w:ind w:left="688"/>
              <w:jc w:val="left"/>
              <w:rPr>
                <w:rFonts w:ascii="Times New Roman"/>
                <w:sz w:val="21"/>
              </w:rPr>
            </w:pPr>
            <w:r>
              <w:rPr>
                <w:rFonts w:ascii="Times New Roman"/>
                <w:sz w:val="21"/>
              </w:rPr>
              <w:t>0.19</w:t>
            </w:r>
          </w:p>
        </w:tc>
      </w:tr>
      <w:tr>
        <w:trPr>
          <w:trHeight w:val="616"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91"/>
              <w:ind w:left="433" w:right="321"/>
              <w:rPr>
                <w:rFonts w:ascii="Times New Roman"/>
                <w:sz w:val="21"/>
              </w:rPr>
            </w:pPr>
            <w:r>
              <w:rPr>
                <w:rFonts w:ascii="Times New Roman"/>
                <w:sz w:val="21"/>
              </w:rPr>
              <w:t>14</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9"/>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77"/>
              <w:ind w:left="7"/>
              <w:rPr>
                <w:sz w:val="21"/>
              </w:rPr>
            </w:pPr>
            <w:r>
              <w:rPr>
                <w:w w:val="99"/>
                <w:sz w:val="21"/>
              </w:rPr>
              <w:t>否</w:t>
            </w:r>
          </w:p>
        </w:tc>
        <w:tc>
          <w:tcPr>
            <w:tcW w:w="1369" w:type="dxa"/>
            <w:vMerge w:val="restart"/>
            <w:tcBorders>
              <w:top w:val="single" w:sz="6" w:space="0" w:color="000000"/>
              <w:left w:val="single" w:sz="4" w:space="0" w:color="000000"/>
              <w:bottom w:val="single" w:sz="12" w:space="0" w:color="000000"/>
              <w:right w:val="single" w:sz="6" w:space="0" w:color="000000"/>
            </w:tcBorders>
          </w:tcPr>
          <w:p>
            <w:pPr>
              <w:pStyle w:val="TableParagraph"/>
              <w:jc w:val="left"/>
              <w:rPr>
                <w:sz w:val="22"/>
              </w:rPr>
            </w:pPr>
          </w:p>
          <w:p>
            <w:pPr>
              <w:pStyle w:val="TableParagraph"/>
              <w:jc w:val="left"/>
              <w:rPr>
                <w:sz w:val="22"/>
              </w:rPr>
            </w:pPr>
          </w:p>
          <w:p>
            <w:pPr>
              <w:pStyle w:val="TableParagraph"/>
              <w:spacing w:before="9"/>
              <w:jc w:val="left"/>
              <w:rPr>
                <w:sz w:val="20"/>
              </w:rPr>
            </w:pPr>
          </w:p>
          <w:p>
            <w:pPr>
              <w:pStyle w:val="TableParagraph"/>
              <w:ind w:left="532" w:right="522"/>
              <w:rPr>
                <w:rFonts w:ascii="Times New Roman"/>
                <w:sz w:val="21"/>
              </w:rPr>
            </w:pPr>
            <w:r>
              <w:rPr>
                <w:rFonts w:ascii="Times New Roman"/>
                <w:sz w:val="21"/>
              </w:rPr>
              <w:t>3.7</w:t>
            </w: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77"/>
              <w:ind w:left="284" w:right="278"/>
              <w:rPr>
                <w:sz w:val="21"/>
              </w:rPr>
            </w:pPr>
            <w:r>
              <w:rPr>
                <w:sz w:val="21"/>
              </w:rPr>
              <w:t>——</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91"/>
              <w:ind w:left="741"/>
              <w:jc w:val="left"/>
              <w:rPr>
                <w:rFonts w:ascii="Times New Roman"/>
                <w:sz w:val="21"/>
              </w:rPr>
            </w:pPr>
            <w:r>
              <w:rPr>
                <w:rFonts w:ascii="Times New Roman"/>
                <w:sz w:val="21"/>
              </w:rPr>
              <w:t>3.7</w:t>
            </w:r>
          </w:p>
        </w:tc>
      </w:tr>
      <w:tr>
        <w:trPr>
          <w:trHeight w:val="608" w:hRule="atLeast"/>
        </w:trPr>
        <w:tc>
          <w:tcPr>
            <w:tcW w:w="1018" w:type="dxa"/>
            <w:tcBorders>
              <w:top w:val="single" w:sz="6" w:space="0" w:color="000000"/>
              <w:left w:val="single" w:sz="4" w:space="0" w:color="000000"/>
              <w:bottom w:val="single" w:sz="6" w:space="0" w:color="000000"/>
              <w:right w:val="single" w:sz="6" w:space="0" w:color="000000"/>
            </w:tcBorders>
          </w:tcPr>
          <w:p>
            <w:pPr>
              <w:pStyle w:val="TableParagraph"/>
              <w:spacing w:before="183"/>
              <w:ind w:left="433" w:right="321"/>
              <w:rPr>
                <w:rFonts w:ascii="Times New Roman"/>
                <w:sz w:val="21"/>
              </w:rPr>
            </w:pPr>
            <w:r>
              <w:rPr>
                <w:rFonts w:ascii="Times New Roman"/>
                <w:sz w:val="21"/>
              </w:rPr>
              <w:t>15</w:t>
            </w:r>
          </w:p>
        </w:tc>
        <w:tc>
          <w:tcPr>
            <w:tcW w:w="1613" w:type="dxa"/>
            <w:tcBorders>
              <w:top w:val="single" w:sz="6" w:space="0" w:color="000000"/>
              <w:left w:val="single" w:sz="6" w:space="0" w:color="000000"/>
              <w:bottom w:val="single" w:sz="6" w:space="0" w:color="000000"/>
              <w:right w:val="single" w:sz="6" w:space="0" w:color="000000"/>
            </w:tcBorders>
          </w:tcPr>
          <w:p>
            <w:pPr>
              <w:pStyle w:val="TableParagraph"/>
              <w:spacing w:before="121"/>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6" w:space="0" w:color="000000"/>
              <w:right w:val="single" w:sz="4" w:space="0" w:color="000000"/>
            </w:tcBorders>
          </w:tcPr>
          <w:p>
            <w:pPr>
              <w:pStyle w:val="TableParagraph"/>
              <w:spacing w:before="169"/>
              <w:ind w:left="7"/>
              <w:rPr>
                <w:sz w:val="21"/>
              </w:rPr>
            </w:pPr>
            <w:r>
              <w:rPr>
                <w:w w:val="99"/>
                <w:sz w:val="21"/>
              </w:rPr>
              <w:t>否</w:t>
            </w:r>
          </w:p>
        </w:tc>
        <w:tc>
          <w:tcPr>
            <w:tcW w:w="1369" w:type="dxa"/>
            <w:vMerge/>
            <w:tcBorders>
              <w:top w:val="nil"/>
              <w:left w:val="single" w:sz="4" w:space="0" w:color="000000"/>
              <w:bottom w:val="single" w:sz="12"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6" w:space="0" w:color="000000"/>
              <w:right w:val="single" w:sz="4" w:space="0" w:color="000000"/>
            </w:tcBorders>
          </w:tcPr>
          <w:p>
            <w:pPr>
              <w:pStyle w:val="TableParagraph"/>
              <w:spacing w:before="169"/>
              <w:ind w:left="284" w:right="278"/>
              <w:rPr>
                <w:sz w:val="21"/>
              </w:rPr>
            </w:pPr>
            <w:r>
              <w:rPr>
                <w:sz w:val="21"/>
              </w:rPr>
              <w:t>——</w:t>
            </w:r>
          </w:p>
        </w:tc>
        <w:tc>
          <w:tcPr>
            <w:tcW w:w="1851" w:type="dxa"/>
            <w:tcBorders>
              <w:top w:val="single" w:sz="6" w:space="0" w:color="000000"/>
              <w:left w:val="single" w:sz="4" w:space="0" w:color="000000"/>
              <w:bottom w:val="single" w:sz="6" w:space="0" w:color="000000"/>
              <w:right w:val="single" w:sz="4" w:space="0" w:color="000000"/>
            </w:tcBorders>
          </w:tcPr>
          <w:p>
            <w:pPr>
              <w:pStyle w:val="TableParagraph"/>
              <w:spacing w:before="183"/>
              <w:ind w:left="741"/>
              <w:jc w:val="left"/>
              <w:rPr>
                <w:rFonts w:ascii="Times New Roman"/>
                <w:sz w:val="21"/>
              </w:rPr>
            </w:pPr>
            <w:r>
              <w:rPr>
                <w:rFonts w:ascii="Times New Roman"/>
                <w:sz w:val="21"/>
              </w:rPr>
              <w:t>3.7</w:t>
            </w:r>
          </w:p>
        </w:tc>
      </w:tr>
      <w:tr>
        <w:trPr>
          <w:trHeight w:val="616" w:hRule="atLeast"/>
        </w:trPr>
        <w:tc>
          <w:tcPr>
            <w:tcW w:w="1018" w:type="dxa"/>
            <w:tcBorders>
              <w:top w:val="single" w:sz="6" w:space="0" w:color="000000"/>
              <w:left w:val="single" w:sz="4" w:space="0" w:color="000000"/>
              <w:bottom w:val="single" w:sz="12" w:space="0" w:color="000000"/>
              <w:right w:val="single" w:sz="6" w:space="0" w:color="000000"/>
            </w:tcBorders>
          </w:tcPr>
          <w:p>
            <w:pPr>
              <w:pStyle w:val="TableParagraph"/>
              <w:spacing w:before="182"/>
              <w:ind w:left="433" w:right="321"/>
              <w:rPr>
                <w:rFonts w:ascii="Times New Roman"/>
                <w:sz w:val="21"/>
              </w:rPr>
            </w:pPr>
            <w:r>
              <w:rPr>
                <w:rFonts w:ascii="Times New Roman"/>
                <w:sz w:val="21"/>
              </w:rPr>
              <w:t>16</w:t>
            </w:r>
          </w:p>
        </w:tc>
        <w:tc>
          <w:tcPr>
            <w:tcW w:w="1613" w:type="dxa"/>
            <w:tcBorders>
              <w:top w:val="single" w:sz="6" w:space="0" w:color="000000"/>
              <w:left w:val="single" w:sz="6" w:space="0" w:color="000000"/>
              <w:bottom w:val="single" w:sz="12" w:space="0" w:color="000000"/>
              <w:right w:val="single" w:sz="6" w:space="0" w:color="000000"/>
            </w:tcBorders>
          </w:tcPr>
          <w:p>
            <w:pPr>
              <w:pStyle w:val="TableParagraph"/>
              <w:spacing w:before="123"/>
              <w:ind w:left="563"/>
              <w:jc w:val="left"/>
              <w:rPr>
                <w:rFonts w:ascii="Times New Roman"/>
                <w:b/>
                <w:sz w:val="32"/>
              </w:rPr>
            </w:pPr>
            <w:r>
              <w:rPr>
                <w:rFonts w:ascii="Times New Roman"/>
                <w:b/>
                <w:sz w:val="32"/>
              </w:rPr>
              <w:t>***</w:t>
            </w:r>
          </w:p>
        </w:tc>
        <w:tc>
          <w:tcPr>
            <w:tcW w:w="1490" w:type="dxa"/>
            <w:tcBorders>
              <w:top w:val="single" w:sz="6" w:space="0" w:color="000000"/>
              <w:left w:val="single" w:sz="6" w:space="0" w:color="000000"/>
              <w:bottom w:val="single" w:sz="12" w:space="0" w:color="000000"/>
              <w:right w:val="single" w:sz="4" w:space="0" w:color="000000"/>
            </w:tcBorders>
          </w:tcPr>
          <w:p>
            <w:pPr>
              <w:pStyle w:val="TableParagraph"/>
              <w:spacing w:before="168"/>
              <w:ind w:left="7"/>
              <w:rPr>
                <w:sz w:val="21"/>
              </w:rPr>
            </w:pPr>
            <w:r>
              <w:rPr>
                <w:w w:val="99"/>
                <w:sz w:val="21"/>
              </w:rPr>
              <w:t>否</w:t>
            </w:r>
          </w:p>
        </w:tc>
        <w:tc>
          <w:tcPr>
            <w:tcW w:w="1369" w:type="dxa"/>
            <w:vMerge/>
            <w:tcBorders>
              <w:top w:val="nil"/>
              <w:left w:val="single" w:sz="4" w:space="0" w:color="000000"/>
              <w:bottom w:val="single" w:sz="12" w:space="0" w:color="000000"/>
              <w:right w:val="single" w:sz="6" w:space="0" w:color="000000"/>
            </w:tcBorders>
          </w:tcPr>
          <w:p>
            <w:pPr>
              <w:rPr>
                <w:sz w:val="2"/>
                <w:szCs w:val="2"/>
              </w:rPr>
            </w:pPr>
          </w:p>
        </w:tc>
        <w:tc>
          <w:tcPr>
            <w:tcW w:w="1900" w:type="dxa"/>
            <w:tcBorders>
              <w:top w:val="single" w:sz="6" w:space="0" w:color="000000"/>
              <w:left w:val="single" w:sz="6" w:space="0" w:color="000000"/>
              <w:bottom w:val="single" w:sz="12" w:space="0" w:color="000000"/>
              <w:right w:val="single" w:sz="4" w:space="0" w:color="000000"/>
            </w:tcBorders>
          </w:tcPr>
          <w:p>
            <w:pPr>
              <w:pStyle w:val="TableParagraph"/>
              <w:spacing w:before="168"/>
              <w:ind w:left="284" w:right="278"/>
              <w:rPr>
                <w:sz w:val="21"/>
              </w:rPr>
            </w:pPr>
            <w:r>
              <w:rPr>
                <w:sz w:val="21"/>
              </w:rPr>
              <w:t>——</w:t>
            </w:r>
          </w:p>
        </w:tc>
        <w:tc>
          <w:tcPr>
            <w:tcW w:w="1851" w:type="dxa"/>
            <w:tcBorders>
              <w:top w:val="single" w:sz="6" w:space="0" w:color="000000"/>
              <w:left w:val="single" w:sz="4" w:space="0" w:color="000000"/>
              <w:bottom w:val="single" w:sz="12" w:space="0" w:color="000000"/>
              <w:right w:val="single" w:sz="4" w:space="0" w:color="000000"/>
            </w:tcBorders>
          </w:tcPr>
          <w:p>
            <w:pPr>
              <w:pStyle w:val="TableParagraph"/>
              <w:spacing w:before="182"/>
              <w:ind w:left="741"/>
              <w:jc w:val="left"/>
              <w:rPr>
                <w:rFonts w:ascii="Times New Roman"/>
                <w:sz w:val="21"/>
              </w:rPr>
            </w:pPr>
            <w:r>
              <w:rPr>
                <w:rFonts w:ascii="Times New Roman"/>
                <w:sz w:val="21"/>
              </w:rPr>
              <w:t>3.7</w:t>
            </w:r>
          </w:p>
        </w:tc>
      </w:tr>
      <w:tr>
        <w:trPr>
          <w:trHeight w:val="7919" w:hRule="atLeast"/>
        </w:trPr>
        <w:tc>
          <w:tcPr>
            <w:tcW w:w="9241" w:type="dxa"/>
            <w:gridSpan w:val="6"/>
            <w:tcBorders>
              <w:top w:val="single" w:sz="12" w:space="0" w:color="000000"/>
              <w:left w:val="single" w:sz="4" w:space="0" w:color="000000"/>
              <w:bottom w:val="single" w:sz="4" w:space="0" w:color="000000"/>
              <w:right w:val="single" w:sz="4" w:space="0" w:color="000000"/>
            </w:tcBorders>
          </w:tcPr>
          <w:p>
            <w:pPr>
              <w:pStyle w:val="TableParagraph"/>
              <w:spacing w:line="364" w:lineRule="auto" w:before="80"/>
              <w:ind w:left="108" w:right="91" w:firstLine="480"/>
              <w:jc w:val="both"/>
              <w:rPr>
                <w:sz w:val="24"/>
              </w:rPr>
            </w:pPr>
            <w:r>
              <w:rPr>
                <w:spacing w:val="-3"/>
                <w:sz w:val="24"/>
              </w:rPr>
              <w:t>从上表可知，根据手术医生的配置及手术分配情况，本项目每名医生所受年剂量最</w:t>
            </w:r>
            <w:r>
              <w:rPr>
                <w:sz w:val="24"/>
              </w:rPr>
              <w:t>大附加值为</w:t>
            </w:r>
            <w:r>
              <w:rPr>
                <w:rFonts w:ascii="Times New Roman" w:eastAsia="Times New Roman"/>
                <w:sz w:val="24"/>
              </w:rPr>
              <w:t>4.95mSv/a</w:t>
            </w:r>
            <w:r>
              <w:rPr>
                <w:sz w:val="24"/>
              </w:rPr>
              <w:t>；每名护士所受年剂量附加值最大为</w:t>
            </w:r>
            <w:r>
              <w:rPr>
                <w:rFonts w:ascii="Times New Roman" w:eastAsia="Times New Roman"/>
                <w:sz w:val="24"/>
              </w:rPr>
              <w:t>3.7mSv/a</w:t>
            </w:r>
            <w:r>
              <w:rPr>
                <w:sz w:val="24"/>
              </w:rPr>
              <w:t>；每名技师所受年</w:t>
            </w:r>
            <w:r>
              <w:rPr>
                <w:spacing w:val="-2"/>
                <w:sz w:val="24"/>
              </w:rPr>
              <w:t>剂量附加值最大为</w:t>
            </w:r>
            <w:r>
              <w:rPr>
                <w:rFonts w:ascii="Times New Roman" w:eastAsia="Times New Roman"/>
                <w:spacing w:val="-2"/>
                <w:sz w:val="24"/>
              </w:rPr>
              <w:t>0.2mSv/a</w:t>
            </w:r>
            <w:r>
              <w:rPr>
                <w:spacing w:val="-2"/>
                <w:sz w:val="24"/>
              </w:rPr>
              <w:t>，满足本项目要求的职业人员照射年有效剂量</w:t>
            </w:r>
            <w:r>
              <w:rPr>
                <w:rFonts w:ascii="Times New Roman" w:eastAsia="Times New Roman"/>
                <w:spacing w:val="-1"/>
                <w:sz w:val="24"/>
              </w:rPr>
              <w:t>5mSv/a</w:t>
            </w:r>
            <w:r>
              <w:rPr>
                <w:spacing w:val="-1"/>
                <w:sz w:val="24"/>
              </w:rPr>
              <w:t>的标准</w:t>
            </w:r>
            <w:r>
              <w:rPr>
                <w:sz w:val="24"/>
              </w:rPr>
              <w:t>要求。</w:t>
            </w:r>
          </w:p>
          <w:p>
            <w:pPr>
              <w:pStyle w:val="TableParagraph"/>
              <w:spacing w:before="2"/>
              <w:ind w:left="578"/>
              <w:jc w:val="left"/>
              <w:rPr>
                <w:sz w:val="24"/>
              </w:rPr>
            </w:pPr>
            <w:r>
              <w:rPr>
                <w:sz w:val="24"/>
              </w:rPr>
              <w:t>（</w:t>
            </w:r>
            <w:r>
              <w:rPr>
                <w:rFonts w:ascii="Times New Roman" w:eastAsia="Times New Roman"/>
                <w:b/>
                <w:sz w:val="24"/>
              </w:rPr>
              <w:t>4</w:t>
            </w:r>
            <w:r>
              <w:rPr>
                <w:sz w:val="24"/>
              </w:rPr>
              <w:t>）医生腕部皮肤受照剂量</w:t>
            </w:r>
          </w:p>
          <w:p>
            <w:pPr>
              <w:pStyle w:val="TableParagraph"/>
              <w:spacing w:line="364" w:lineRule="auto" w:before="161"/>
              <w:ind w:left="108" w:right="94" w:firstLine="480"/>
              <w:jc w:val="both"/>
              <w:rPr>
                <w:sz w:val="24"/>
              </w:rPr>
            </w:pPr>
            <w:r>
              <w:rPr>
                <w:spacing w:val="-3"/>
                <w:sz w:val="24"/>
              </w:rPr>
              <w:t>介入治疗时，医生通常站立于介入治疗病床侧面，面对病患，受到散射射束照射的</w:t>
            </w:r>
            <w:r>
              <w:rPr>
                <w:sz w:val="24"/>
              </w:rPr>
              <w:t>几何条件为前后入射（</w:t>
            </w:r>
            <w:r>
              <w:rPr>
                <w:rFonts w:ascii="Times New Roman" w:eastAsia="Times New Roman"/>
                <w:sz w:val="24"/>
              </w:rPr>
              <w:t>AP</w:t>
            </w:r>
            <w:r>
              <w:rPr>
                <w:sz w:val="24"/>
              </w:rPr>
              <w:t>，即垂直于人体长轴</w:t>
            </w:r>
            <w:r>
              <w:rPr>
                <w:rFonts w:ascii="Times New Roman" w:eastAsia="Times New Roman"/>
                <w:sz w:val="24"/>
              </w:rPr>
              <w:t>/Z</w:t>
            </w:r>
            <w:r>
              <w:rPr>
                <w:rFonts w:ascii="Times New Roman" w:eastAsia="Times New Roman"/>
                <w:spacing w:val="31"/>
                <w:sz w:val="24"/>
              </w:rPr>
              <w:t> </w:t>
            </w:r>
            <w:r>
              <w:rPr>
                <w:sz w:val="24"/>
              </w:rPr>
              <w:t>轴，从人体正面的入射），本项目采用理论预测分析介入手术医生所受到的皮肤剂量。</w:t>
            </w:r>
          </w:p>
          <w:p>
            <w:pPr>
              <w:pStyle w:val="TableParagraph"/>
              <w:spacing w:before="2"/>
              <w:ind w:left="588" w:right="-58"/>
              <w:jc w:val="left"/>
              <w:rPr>
                <w:sz w:val="24"/>
              </w:rPr>
            </w:pPr>
            <w:r>
              <w:rPr>
                <w:spacing w:val="-3"/>
                <w:sz w:val="24"/>
              </w:rPr>
              <w:t>预测模式：计算模式采用《电离辐射所致皮肤剂量估算方法》（</w:t>
            </w:r>
            <w:r>
              <w:rPr>
                <w:rFonts w:ascii="Times New Roman" w:eastAsia="Times New Roman"/>
                <w:spacing w:val="-3"/>
                <w:sz w:val="24"/>
              </w:rPr>
              <w:t>GBZ/T244-2017</w:t>
            </w:r>
            <w:r>
              <w:rPr>
                <w:spacing w:val="-3"/>
                <w:sz w:val="24"/>
              </w:rPr>
              <w:t>），</w:t>
            </w:r>
          </w:p>
          <w:p>
            <w:pPr>
              <w:pStyle w:val="TableParagraph"/>
              <w:spacing w:before="160"/>
              <w:ind w:right="4087"/>
              <w:jc w:val="right"/>
              <w:rPr>
                <w:sz w:val="24"/>
              </w:rPr>
            </w:pPr>
            <w:r>
              <w:rPr>
                <w:rFonts w:ascii="Times New Roman" w:eastAsia="Times New Roman"/>
                <w:sz w:val="24"/>
              </w:rPr>
              <w:t>X</w:t>
            </w:r>
            <w:r>
              <w:rPr>
                <w:rFonts w:ascii="Times New Roman" w:eastAsia="Times New Roman"/>
                <w:spacing w:val="-1"/>
                <w:sz w:val="24"/>
              </w:rPr>
              <w:t> </w:t>
            </w:r>
            <w:r>
              <w:rPr>
                <w:sz w:val="24"/>
              </w:rPr>
              <w:t>射线所致皮肤损伤的辐射剂量可按下式估算：</w:t>
            </w:r>
          </w:p>
          <w:p>
            <w:pPr>
              <w:pStyle w:val="TableParagraph"/>
              <w:tabs>
                <w:tab w:pos="5707" w:val="left" w:leader="none"/>
              </w:tabs>
              <w:spacing w:line="149" w:lineRule="exact" w:before="152"/>
              <w:ind w:left="1832"/>
              <w:jc w:val="left"/>
              <w:rPr>
                <w:sz w:val="24"/>
              </w:rPr>
            </w:pPr>
            <w:r>
              <w:rPr>
                <w:rFonts w:ascii="Times New Roman" w:hAnsi="Times New Roman" w:eastAsia="Times New Roman"/>
                <w:i/>
                <w:w w:val="95"/>
                <w:sz w:val="24"/>
              </w:rPr>
              <w:t>D</w:t>
            </w:r>
            <w:r>
              <w:rPr>
                <w:rFonts w:ascii="Times New Roman" w:hAnsi="Times New Roman" w:eastAsia="Times New Roman"/>
                <w:i/>
                <w:w w:val="95"/>
                <w:position w:val="-5"/>
                <w:sz w:val="14"/>
              </w:rPr>
              <w:t>S</w:t>
            </w:r>
            <w:r>
              <w:rPr>
                <w:rFonts w:ascii="Times New Roman" w:hAnsi="Times New Roman" w:eastAsia="Times New Roman"/>
                <w:i/>
                <w:spacing w:val="63"/>
                <w:position w:val="-5"/>
                <w:sz w:val="14"/>
              </w:rPr>
              <w:t> </w:t>
            </w:r>
            <w:r>
              <w:rPr>
                <w:rFonts w:ascii="Symbol" w:hAnsi="Symbol" w:eastAsia="Symbol"/>
                <w:w w:val="95"/>
                <w:sz w:val="24"/>
              </w:rPr>
              <w:t></w:t>
            </w:r>
            <w:r>
              <w:rPr>
                <w:rFonts w:ascii="Times New Roman" w:hAnsi="Times New Roman" w:eastAsia="Times New Roman"/>
                <w:spacing w:val="-5"/>
                <w:w w:val="95"/>
                <w:sz w:val="24"/>
              </w:rPr>
              <w:t> </w:t>
            </w:r>
            <w:r>
              <w:rPr>
                <w:rFonts w:ascii="Times New Roman" w:hAnsi="Times New Roman" w:eastAsia="Times New Roman"/>
                <w:i/>
                <w:w w:val="95"/>
                <w:sz w:val="24"/>
              </w:rPr>
              <w:t>C</w:t>
            </w:r>
            <w:r>
              <w:rPr>
                <w:rFonts w:ascii="Times New Roman" w:hAnsi="Times New Roman" w:eastAsia="Times New Roman"/>
                <w:i/>
                <w:w w:val="95"/>
                <w:position w:val="-5"/>
                <w:sz w:val="14"/>
              </w:rPr>
              <w:t>KS</w:t>
            </w:r>
            <w:r>
              <w:rPr>
                <w:rFonts w:ascii="Times New Roman" w:hAnsi="Times New Roman" w:eastAsia="Times New Roman"/>
                <w:i/>
                <w:spacing w:val="11"/>
                <w:w w:val="95"/>
                <w:position w:val="-5"/>
                <w:sz w:val="14"/>
              </w:rPr>
              <w:t> </w:t>
            </w:r>
            <w:r>
              <w:rPr>
                <w:rFonts w:ascii="Symbol" w:hAnsi="Symbol" w:eastAsia="Symbol"/>
                <w:w w:val="95"/>
                <w:sz w:val="31"/>
              </w:rPr>
              <w:t></w:t>
            </w:r>
            <w:r>
              <w:rPr>
                <w:rFonts w:ascii="Times New Roman" w:hAnsi="Times New Roman" w:eastAsia="Times New Roman"/>
                <w:w w:val="95"/>
                <w:sz w:val="24"/>
              </w:rPr>
              <w:t>k</w:t>
            </w:r>
            <w:r>
              <w:rPr>
                <w:rFonts w:ascii="Times New Roman" w:hAnsi="Times New Roman" w:eastAsia="Times New Roman"/>
                <w:spacing w:val="-17"/>
                <w:w w:val="95"/>
                <w:sz w:val="24"/>
              </w:rPr>
              <w:t> </w:t>
            </w:r>
            <w:r>
              <w:rPr>
                <w:rFonts w:ascii="Symbol" w:hAnsi="Symbol" w:eastAsia="Symbol"/>
                <w:w w:val="95"/>
                <w:sz w:val="24"/>
              </w:rPr>
              <w:t></w:t>
            </w:r>
            <w:r>
              <w:rPr>
                <w:rFonts w:ascii="Times New Roman" w:hAnsi="Times New Roman" w:eastAsia="Times New Roman"/>
                <w:spacing w:val="-33"/>
                <w:w w:val="95"/>
                <w:sz w:val="24"/>
              </w:rPr>
              <w:t> </w:t>
            </w:r>
            <w:r>
              <w:rPr>
                <w:rFonts w:ascii="Times New Roman" w:hAnsi="Times New Roman" w:eastAsia="Times New Roman"/>
                <w:i/>
                <w:w w:val="95"/>
                <w:sz w:val="24"/>
              </w:rPr>
              <w:t>t</w:t>
            </w:r>
            <w:r>
              <w:rPr>
                <w:rFonts w:ascii="Times New Roman" w:hAnsi="Times New Roman" w:eastAsia="Times New Roman"/>
                <w:i/>
                <w:spacing w:val="-32"/>
                <w:w w:val="95"/>
                <w:sz w:val="24"/>
              </w:rPr>
              <w:t> </w:t>
            </w:r>
            <w:r>
              <w:rPr>
                <w:rFonts w:ascii="Symbol" w:hAnsi="Symbol" w:eastAsia="Symbol"/>
                <w:w w:val="95"/>
                <w:sz w:val="31"/>
              </w:rPr>
              <w:t></w:t>
            </w:r>
            <w:r>
              <w:rPr>
                <w:rFonts w:ascii="Symbol" w:hAnsi="Symbol" w:eastAsia="Symbol"/>
                <w:w w:val="95"/>
                <w:sz w:val="24"/>
              </w:rPr>
              <w:t></w:t>
            </w:r>
            <w:r>
              <w:rPr>
                <w:rFonts w:ascii="Times New Roman" w:hAnsi="Times New Roman" w:eastAsia="Times New Roman"/>
                <w:w w:val="95"/>
                <w:sz w:val="24"/>
              </w:rPr>
              <w:t>10</w:t>
              <w:tab/>
            </w:r>
            <w:r>
              <w:rPr>
                <w:sz w:val="24"/>
              </w:rPr>
              <w:t>（</w:t>
            </w:r>
            <w:r>
              <w:rPr>
                <w:spacing w:val="-30"/>
                <w:sz w:val="24"/>
              </w:rPr>
              <w:t>式 </w:t>
            </w:r>
            <w:r>
              <w:rPr>
                <w:rFonts w:ascii="Times New Roman" w:hAnsi="Times New Roman" w:eastAsia="Times New Roman"/>
                <w:sz w:val="24"/>
              </w:rPr>
              <w:t>5</w:t>
            </w:r>
            <w:r>
              <w:rPr>
                <w:sz w:val="24"/>
              </w:rPr>
              <w:t>）</w:t>
            </w:r>
          </w:p>
          <w:p>
            <w:pPr>
              <w:pStyle w:val="TableParagraph"/>
              <w:spacing w:line="86" w:lineRule="exact"/>
              <w:ind w:left="3237" w:right="5130"/>
              <w:rPr>
                <w:rFonts w:ascii="Times New Roman" w:hAnsi="Times New Roman"/>
                <w:sz w:val="14"/>
              </w:rPr>
            </w:pPr>
            <w:r>
              <w:rPr>
                <w:rFonts w:ascii="Symbol" w:hAnsi="Symbol"/>
                <w:sz w:val="14"/>
              </w:rPr>
              <w:t></w:t>
            </w:r>
            <w:r>
              <w:rPr>
                <w:rFonts w:ascii="Times New Roman" w:hAnsi="Times New Roman"/>
                <w:sz w:val="14"/>
              </w:rPr>
              <w:t>3</w:t>
            </w:r>
          </w:p>
          <w:p>
            <w:pPr>
              <w:pStyle w:val="TableParagraph"/>
              <w:jc w:val="left"/>
              <w:rPr>
                <w:sz w:val="16"/>
              </w:rPr>
            </w:pPr>
          </w:p>
          <w:p>
            <w:pPr>
              <w:pStyle w:val="TableParagraph"/>
              <w:spacing w:before="4"/>
              <w:jc w:val="left"/>
              <w:rPr>
                <w:sz w:val="17"/>
              </w:rPr>
            </w:pPr>
          </w:p>
          <w:p>
            <w:pPr>
              <w:pStyle w:val="TableParagraph"/>
              <w:numPr>
                <w:ilvl w:val="0"/>
                <w:numId w:val="12"/>
              </w:numPr>
              <w:tabs>
                <w:tab w:pos="2705" w:val="left" w:leader="none"/>
              </w:tabs>
              <w:spacing w:line="199" w:lineRule="exact" w:before="0" w:after="0"/>
              <w:ind w:left="2704" w:right="0" w:hanging="195"/>
              <w:jc w:val="left"/>
              <w:rPr>
                <w:rFonts w:ascii="Symbol" w:hAnsi="Symbol"/>
                <w:sz w:val="14"/>
              </w:rPr>
            </w:pPr>
            <w:r>
              <w:rPr>
                <w:rFonts w:ascii="Symbol" w:hAnsi="Symbol"/>
                <w:w w:val="99"/>
                <w:sz w:val="14"/>
              </w:rPr>
              <w:t></w:t>
            </w:r>
            <w:r>
              <w:rPr>
                <w:rFonts w:ascii="Symbol" w:hAnsi="Symbol"/>
                <w:sz w:val="14"/>
              </w:rPr>
            </w:r>
          </w:p>
          <w:p>
            <w:pPr>
              <w:pStyle w:val="TableParagraph"/>
              <w:spacing w:line="100" w:lineRule="exact"/>
              <w:ind w:left="1943"/>
              <w:jc w:val="left"/>
              <w:rPr>
                <w:rFonts w:ascii="Times New Roman" w:hAnsi="Times New Roman"/>
                <w:sz w:val="14"/>
              </w:rPr>
            </w:pPr>
            <w:r>
              <w:rPr>
                <w:rFonts w:ascii="Times New Roman" w:hAnsi="Times New Roman"/>
                <w:i/>
                <w:position w:val="-22"/>
                <w:sz w:val="35"/>
              </w:rPr>
              <w:t>k</w:t>
            </w:r>
            <w:r>
              <w:rPr>
                <w:rFonts w:ascii="Times New Roman" w:hAnsi="Times New Roman"/>
                <w:i/>
                <w:spacing w:val="-7"/>
                <w:position w:val="-22"/>
                <w:sz w:val="35"/>
              </w:rPr>
              <w:t> </w:t>
            </w:r>
            <w:r>
              <w:rPr>
                <w:rFonts w:ascii="Symbol" w:hAnsi="Symbol"/>
                <w:position w:val="-15"/>
                <w:sz w:val="24"/>
              </w:rPr>
              <w:t></w:t>
            </w:r>
            <w:r>
              <w:rPr>
                <w:rFonts w:ascii="Times New Roman" w:hAnsi="Times New Roman"/>
                <w:spacing w:val="28"/>
                <w:position w:val="-15"/>
                <w:sz w:val="24"/>
              </w:rPr>
              <w:t> </w:t>
            </w:r>
            <w:r>
              <w:rPr>
                <w:rFonts w:ascii="Times New Roman" w:hAnsi="Times New Roman"/>
                <w:i/>
                <w:position w:val="-6"/>
                <w:sz w:val="35"/>
              </w:rPr>
              <w:t>H</w:t>
            </w:r>
            <w:r>
              <w:rPr>
                <w:rFonts w:ascii="Times New Roman" w:hAnsi="Times New Roman"/>
                <w:i/>
                <w:spacing w:val="40"/>
                <w:position w:val="-6"/>
                <w:sz w:val="35"/>
              </w:rPr>
              <w:t> </w:t>
            </w:r>
            <w:r>
              <w:rPr>
                <w:rFonts w:ascii="Times New Roman" w:hAnsi="Times New Roman"/>
                <w:sz w:val="14"/>
              </w:rPr>
              <w:t>(10)</w:t>
            </w:r>
          </w:p>
          <w:p>
            <w:pPr>
              <w:pStyle w:val="TableParagraph"/>
              <w:spacing w:line="86" w:lineRule="exact"/>
              <w:ind w:left="2001"/>
              <w:jc w:val="left"/>
              <w:rPr>
                <w:rFonts w:ascii="Symbol" w:hAnsi="Symbol"/>
                <w:sz w:val="14"/>
              </w:rPr>
            </w:pPr>
            <w:r>
              <w:rPr>
                <w:rFonts w:ascii="Symbol" w:hAnsi="Symbol"/>
                <w:w w:val="99"/>
                <w:sz w:val="14"/>
              </w:rPr>
              <w:t></w:t>
            </w:r>
          </w:p>
          <w:p>
            <w:pPr>
              <w:pStyle w:val="TableParagraph"/>
              <w:spacing w:before="11"/>
              <w:jc w:val="left"/>
              <w:rPr>
                <w:sz w:val="10"/>
              </w:rPr>
            </w:pPr>
          </w:p>
          <w:p>
            <w:pPr>
              <w:pStyle w:val="TableParagraph"/>
              <w:spacing w:line="20" w:lineRule="exact"/>
              <w:ind w:left="2367"/>
              <w:jc w:val="left"/>
              <w:rPr>
                <w:sz w:val="2"/>
              </w:rPr>
            </w:pPr>
            <w:r>
              <w:rPr>
                <w:sz w:val="2"/>
              </w:rPr>
              <w:pict>
                <v:group style="width:34.15pt;height:.5pt;mso-position-horizontal-relative:char;mso-position-vertical-relative:line" coordorigin="0,0" coordsize="683,10">
                  <v:line style="position:absolute" from="0,5" to="683,5" stroked="true" strokeweight=".5pt" strokecolor="#000000">
                    <v:stroke dashstyle="solid"/>
                  </v:line>
                </v:group>
              </w:pict>
            </w:r>
            <w:r>
              <w:rPr>
                <w:sz w:val="2"/>
              </w:rPr>
            </w:r>
          </w:p>
          <w:p>
            <w:pPr>
              <w:pStyle w:val="TableParagraph"/>
              <w:tabs>
                <w:tab w:pos="3221" w:val="left" w:leader="none"/>
              </w:tabs>
              <w:spacing w:before="13"/>
              <w:ind w:right="113"/>
              <w:rPr>
                <w:sz w:val="24"/>
              </w:rPr>
            </w:pPr>
            <w:r>
              <w:rPr>
                <w:rFonts w:ascii="Times New Roman" w:eastAsia="Times New Roman"/>
                <w:i/>
                <w:position w:val="19"/>
                <w:sz w:val="24"/>
              </w:rPr>
              <w:t>C</w:t>
            </w:r>
            <w:r>
              <w:rPr>
                <w:rFonts w:ascii="Times New Roman" w:eastAsia="Times New Roman"/>
                <w:i/>
                <w:position w:val="13"/>
                <w:sz w:val="14"/>
              </w:rPr>
              <w:t>kH</w:t>
              <w:tab/>
            </w:r>
            <w:r>
              <w:rPr>
                <w:sz w:val="24"/>
              </w:rPr>
              <w:t>（式</w:t>
            </w:r>
            <w:r>
              <w:rPr>
                <w:rFonts w:ascii="Times New Roman" w:eastAsia="Times New Roman"/>
                <w:sz w:val="24"/>
              </w:rPr>
              <w:t>6</w:t>
            </w:r>
            <w:r>
              <w:rPr>
                <w:sz w:val="24"/>
              </w:rPr>
              <w:t>）</w:t>
            </w:r>
          </w:p>
          <w:p>
            <w:pPr>
              <w:pStyle w:val="TableParagraph"/>
              <w:tabs>
                <w:tab w:pos="959" w:val="left" w:leader="none"/>
              </w:tabs>
              <w:spacing w:before="179"/>
              <w:ind w:right="4181"/>
              <w:jc w:val="right"/>
              <w:rPr>
                <w:sz w:val="24"/>
              </w:rPr>
            </w:pPr>
            <w:r>
              <w:rPr>
                <w:position w:val="2"/>
                <w:sz w:val="24"/>
              </w:rPr>
              <w:t>式中：</w:t>
              <w:tab/>
            </w:r>
            <w:r>
              <w:rPr>
                <w:rFonts w:ascii="Times New Roman" w:eastAsia="Times New Roman"/>
                <w:position w:val="2"/>
                <w:sz w:val="24"/>
              </w:rPr>
              <w:t>D</w:t>
            </w:r>
            <w:r>
              <w:rPr>
                <w:rFonts w:ascii="Times New Roman" w:eastAsia="Times New Roman"/>
                <w:sz w:val="15"/>
              </w:rPr>
              <w:t>S  </w:t>
            </w:r>
            <w:r>
              <w:rPr>
                <w:rFonts w:ascii="Times New Roman" w:eastAsia="Times New Roman"/>
                <w:spacing w:val="8"/>
                <w:sz w:val="15"/>
              </w:rPr>
              <w:t> </w:t>
            </w:r>
            <w:r>
              <w:rPr>
                <w:position w:val="2"/>
                <w:sz w:val="24"/>
              </w:rPr>
              <w:t>：皮肤吸收剂量（</w:t>
            </w:r>
            <w:r>
              <w:rPr>
                <w:rFonts w:ascii="Times New Roman" w:eastAsia="Times New Roman"/>
                <w:position w:val="2"/>
                <w:sz w:val="24"/>
              </w:rPr>
              <w:t>mGy</w:t>
            </w:r>
            <w:r>
              <w:rPr>
                <w:position w:val="2"/>
                <w:sz w:val="24"/>
              </w:rPr>
              <w:t>）；</w:t>
            </w:r>
          </w:p>
          <w:p>
            <w:pPr>
              <w:pStyle w:val="TableParagraph"/>
              <w:spacing w:before="161"/>
              <w:ind w:left="1788"/>
              <w:jc w:val="left"/>
              <w:rPr>
                <w:sz w:val="24"/>
              </w:rPr>
            </w:pPr>
            <w:r>
              <w:rPr>
                <w:rFonts w:ascii="Times New Roman" w:hAnsi="Times New Roman" w:eastAsia="Times New Roman"/>
                <w:sz w:val="24"/>
              </w:rPr>
              <w:t>k</w:t>
            </w:r>
            <w:r>
              <w:rPr>
                <w:sz w:val="24"/>
              </w:rPr>
              <w:t>：</w:t>
            </w:r>
            <w:r>
              <w:rPr>
                <w:rFonts w:ascii="Times New Roman" w:hAnsi="Times New Roman" w:eastAsia="Times New Roman"/>
                <w:sz w:val="24"/>
              </w:rPr>
              <w:t>X-γ</w:t>
            </w:r>
            <w:r>
              <w:rPr>
                <w:sz w:val="24"/>
              </w:rPr>
              <w:t>辐射场的空气比释动能率（</w:t>
            </w:r>
            <w:r>
              <w:rPr>
                <w:rFonts w:ascii="Times New Roman" w:hAnsi="Times New Roman" w:eastAsia="Times New Roman"/>
                <w:sz w:val="24"/>
              </w:rPr>
              <w:t>μGy∙h</w:t>
            </w:r>
            <w:r>
              <w:rPr>
                <w:rFonts w:ascii="Times New Roman" w:hAnsi="Times New Roman" w:eastAsia="Times New Roman"/>
                <w:position w:val="8"/>
                <w:sz w:val="15"/>
              </w:rPr>
              <w:t>-1</w:t>
            </w:r>
            <w:r>
              <w:rPr>
                <w:rFonts w:ascii="Times New Roman" w:hAnsi="Times New Roman" w:eastAsia="Times New Roman"/>
                <w:spacing w:val="9"/>
                <w:position w:val="8"/>
                <w:sz w:val="15"/>
              </w:rPr>
              <w:t> </w:t>
            </w:r>
            <w:r>
              <w:rPr>
                <w:sz w:val="24"/>
              </w:rPr>
              <w:t>）</w:t>
            </w:r>
            <w:r>
              <w:rPr>
                <w:spacing w:val="-1"/>
                <w:sz w:val="24"/>
              </w:rPr>
              <w:t> ；</w:t>
            </w:r>
          </w:p>
        </w:tc>
      </w:tr>
    </w:tbl>
    <w:p>
      <w:pPr>
        <w:spacing w:after="0"/>
        <w:jc w:val="left"/>
        <w:rPr>
          <w:sz w:val="24"/>
        </w:rPr>
        <w:sectPr>
          <w:pgSz w:w="11910" w:h="16840"/>
          <w:pgMar w:header="0" w:footer="1383" w:top="1420" w:bottom="1580" w:left="1240" w:right="1040"/>
        </w:sectPr>
      </w:pPr>
    </w:p>
    <w:p>
      <w:pPr>
        <w:pStyle w:val="BodyText"/>
        <w:spacing w:line="364" w:lineRule="auto" w:before="91"/>
        <w:ind w:left="1961" w:right="1368" w:hanging="5"/>
      </w:pPr>
      <w:r>
        <w:rPr>
          <w:rFonts w:ascii="Times New Roman" w:eastAsia="Times New Roman"/>
          <w:position w:val="2"/>
        </w:rPr>
        <w:t>C</w:t>
      </w:r>
      <w:r>
        <w:rPr>
          <w:rFonts w:ascii="Times New Roman" w:eastAsia="Times New Roman"/>
          <w:sz w:val="15"/>
        </w:rPr>
        <w:t>KS</w:t>
      </w:r>
      <w:r>
        <w:rPr>
          <w:position w:val="2"/>
        </w:rPr>
        <w:t>：空气比释动能到皮肤吸收剂量的转换系数（</w:t>
      </w:r>
      <w:r>
        <w:rPr>
          <w:rFonts w:ascii="Times New Roman" w:eastAsia="Times New Roman"/>
          <w:position w:val="2"/>
        </w:rPr>
        <w:t>Gy/Gy</w:t>
      </w:r>
      <w:r>
        <w:rPr>
          <w:position w:val="2"/>
        </w:rPr>
        <w:t>）；</w:t>
      </w:r>
      <w:r>
        <w:rPr>
          <w:spacing w:val="-117"/>
          <w:position w:val="2"/>
        </w:rPr>
        <w:t> </w:t>
      </w:r>
      <w:r>
        <w:rPr>
          <w:rFonts w:ascii="Times New Roman" w:eastAsia="Times New Roman"/>
        </w:rPr>
        <w:t>t</w:t>
      </w:r>
      <w:r>
        <w:rPr/>
        <w:t>：人员累积受照时间，单位为小时（</w:t>
      </w:r>
      <w:r>
        <w:rPr>
          <w:rFonts w:ascii="Times New Roman" w:eastAsia="Times New Roman"/>
        </w:rPr>
        <w:t>h</w:t>
      </w:r>
      <w:r>
        <w:rPr/>
        <w:t>）；</w:t>
      </w:r>
    </w:p>
    <w:p>
      <w:pPr>
        <w:spacing w:after="0" w:line="364" w:lineRule="auto"/>
        <w:sectPr>
          <w:pgSz w:w="11910" w:h="16840"/>
          <w:pgMar w:header="0" w:footer="1383" w:top="1420" w:bottom="1580" w:left="1240" w:right="1040"/>
        </w:sectPr>
      </w:pPr>
    </w:p>
    <w:p>
      <w:pPr>
        <w:spacing w:line="154" w:lineRule="exact" w:before="35"/>
        <w:ind w:left="1609" w:right="0" w:firstLine="0"/>
        <w:jc w:val="center"/>
        <w:rPr>
          <w:rFonts w:ascii="Symbol" w:hAnsi="Symbol"/>
          <w:sz w:val="15"/>
        </w:rPr>
      </w:pPr>
      <w:r>
        <w:rPr>
          <w:rFonts w:ascii="Symbol" w:hAnsi="Symbol"/>
          <w:w w:val="98"/>
          <w:sz w:val="15"/>
        </w:rPr>
        <w:t></w:t>
      </w:r>
    </w:p>
    <w:p>
      <w:pPr>
        <w:spacing w:line="204" w:lineRule="auto" w:before="0"/>
        <w:ind w:left="1905" w:right="276" w:firstLine="0"/>
        <w:jc w:val="center"/>
        <w:rPr>
          <w:rFonts w:ascii="Symbol" w:hAnsi="Symbol"/>
          <w:sz w:val="26"/>
        </w:rPr>
      </w:pPr>
      <w:r>
        <w:rPr>
          <w:rFonts w:ascii="Times New Roman" w:hAnsi="Times New Roman"/>
          <w:i/>
          <w:w w:val="95"/>
          <w:position w:val="-10"/>
          <w:sz w:val="26"/>
        </w:rPr>
        <w:t>H</w:t>
      </w:r>
      <w:r>
        <w:rPr>
          <w:rFonts w:ascii="Times New Roman" w:hAnsi="Times New Roman"/>
          <w:i/>
          <w:spacing w:val="-23"/>
          <w:w w:val="95"/>
          <w:position w:val="-10"/>
          <w:sz w:val="26"/>
        </w:rPr>
        <w:t> </w:t>
      </w:r>
      <w:r>
        <w:rPr>
          <w:rFonts w:ascii="Symbol" w:hAnsi="Symbol"/>
          <w:w w:val="95"/>
          <w:sz w:val="26"/>
        </w:rPr>
        <w:t></w:t>
      </w:r>
    </w:p>
    <w:p>
      <w:pPr>
        <w:spacing w:line="148" w:lineRule="exact" w:before="0"/>
        <w:ind w:left="0" w:right="0" w:firstLine="0"/>
        <w:jc w:val="right"/>
        <w:rPr>
          <w:rFonts w:ascii="Times New Roman"/>
          <w:sz w:val="15"/>
        </w:rPr>
      </w:pPr>
      <w:r>
        <w:rPr>
          <w:rFonts w:ascii="Times New Roman"/>
          <w:sz w:val="15"/>
        </w:rPr>
        <w:t>(10)</w:t>
      </w:r>
    </w:p>
    <w:p>
      <w:pPr>
        <w:pStyle w:val="BodyText"/>
        <w:spacing w:before="9"/>
        <w:rPr>
          <w:rFonts w:ascii="Times New Roman"/>
        </w:rPr>
      </w:pPr>
      <w:r>
        <w:rPr/>
        <w:br w:type="column"/>
      </w:r>
      <w:r>
        <w:rPr>
          <w:rFonts w:ascii="Times New Roman"/>
        </w:rPr>
      </w:r>
    </w:p>
    <w:p>
      <w:pPr>
        <w:pStyle w:val="BodyText"/>
        <w:ind w:left="2"/>
      </w:pPr>
      <w:r>
        <w:rPr>
          <w:rFonts w:ascii="Times New Roman" w:hAnsi="Times New Roman" w:eastAsia="Times New Roman"/>
        </w:rPr>
        <w:t>—X</w:t>
      </w:r>
      <w:r>
        <w:rPr>
          <w:rFonts w:ascii="Times New Roman" w:hAnsi="Times New Roman" w:eastAsia="Times New Roman"/>
          <w:spacing w:val="-2"/>
        </w:rPr>
        <w:t> </w:t>
      </w:r>
      <w:r>
        <w:rPr/>
        <w:t>辐射场的周围剂量当量率，</w:t>
      </w:r>
      <w:r>
        <w:rPr>
          <w:rFonts w:ascii="Times New Roman" w:hAnsi="Times New Roman" w:eastAsia="Times New Roman"/>
        </w:rPr>
        <w:t>µSv/h</w:t>
      </w:r>
      <w:r>
        <w:rPr/>
        <w:t>；</w:t>
      </w:r>
    </w:p>
    <w:p>
      <w:pPr>
        <w:spacing w:after="0"/>
        <w:sectPr>
          <w:type w:val="continuous"/>
          <w:pgSz w:w="11910" w:h="16840"/>
          <w:pgMar w:top="1580" w:bottom="280" w:left="1240" w:right="1040"/>
          <w:cols w:num="2" w:equalWidth="0">
            <w:col w:w="2563" w:space="40"/>
            <w:col w:w="7027"/>
          </w:cols>
        </w:sectPr>
      </w:pPr>
    </w:p>
    <w:p>
      <w:pPr>
        <w:pStyle w:val="BodyText"/>
        <w:spacing w:before="2"/>
        <w:rPr>
          <w:sz w:val="12"/>
        </w:rPr>
      </w:pPr>
      <w:r>
        <w:rPr/>
        <w:pict>
          <v:shape style="position:absolute;margin-left:70.410004pt;margin-top:72.000023pt;width:462.55pt;height:686.5pt;mso-position-horizontal-relative:page;mso-position-vertical-relative:page;z-index:-20133376" coordorigin="1408,1440" coordsize="9251,13730" path="m1408,1445l10659,1445m1408,15170l10659,15170m1413,1440l1413,15165m10654,1440l10654,15165e" filled="false" stroked="true" strokeweight=".48pt" strokecolor="#000000">
            <v:path arrowok="t"/>
            <v:stroke dashstyle="solid"/>
            <w10:wrap type="none"/>
          </v:shape>
        </w:pict>
      </w:r>
    </w:p>
    <w:p>
      <w:pPr>
        <w:pStyle w:val="BodyText"/>
        <w:spacing w:before="73"/>
        <w:ind w:left="2039"/>
      </w:pPr>
      <w:r>
        <w:rPr>
          <w:rFonts w:ascii="Times New Roman" w:hAnsi="Times New Roman" w:eastAsia="Times New Roman"/>
          <w:i/>
          <w:spacing w:val="-31"/>
          <w:w w:val="101"/>
          <w:position w:val="-6"/>
          <w:sz w:val="33"/>
        </w:rPr>
        <w:t>C</w:t>
      </w:r>
      <w:r>
        <w:rPr>
          <w:rFonts w:ascii="Times New Roman" w:hAnsi="Times New Roman" w:eastAsia="Times New Roman"/>
          <w:i/>
          <w:spacing w:val="-2"/>
          <w:w w:val="101"/>
          <w:position w:val="-12"/>
          <w:sz w:val="22"/>
        </w:rPr>
        <w:t>k</w:t>
      </w:r>
      <w:r>
        <w:rPr>
          <w:rFonts w:ascii="Times New Roman" w:hAnsi="Times New Roman" w:eastAsia="Times New Roman"/>
          <w:i/>
          <w:spacing w:val="-34"/>
          <w:w w:val="101"/>
          <w:position w:val="-12"/>
          <w:sz w:val="22"/>
        </w:rPr>
        <w:t>H</w:t>
      </w:r>
      <w:r>
        <w:rPr>
          <w:rFonts w:ascii="Symbol" w:hAnsi="Symbol" w:eastAsia="Symbol"/>
          <w:w w:val="103"/>
          <w:sz w:val="9"/>
        </w:rPr>
        <w:t></w:t>
      </w:r>
      <w:r>
        <w:rPr>
          <w:rFonts w:ascii="Times New Roman" w:hAnsi="Times New Roman" w:eastAsia="Times New Roman"/>
          <w:spacing w:val="3"/>
          <w:sz w:val="9"/>
        </w:rPr>
        <w:t> </w:t>
      </w:r>
      <w:r>
        <w:rPr>
          <w:rFonts w:ascii="Times New Roman" w:hAnsi="Times New Roman" w:eastAsia="Times New Roman"/>
          <w:position w:val="2"/>
        </w:rPr>
        <w:t>—</w:t>
      </w:r>
      <w:r>
        <w:rPr>
          <w:position w:val="2"/>
        </w:rPr>
        <w:t>空气比释动能到周围剂量当量的转化系数（</w:t>
      </w:r>
      <w:r>
        <w:rPr>
          <w:rFonts w:ascii="Times New Roman" w:hAnsi="Times New Roman" w:eastAsia="Times New Roman"/>
          <w:position w:val="2"/>
        </w:rPr>
        <w:t>Sv</w:t>
      </w:r>
      <w:r>
        <w:rPr>
          <w:rFonts w:ascii="Times New Roman" w:hAnsi="Times New Roman" w:eastAsia="Times New Roman"/>
          <w:spacing w:val="-2"/>
          <w:position w:val="2"/>
        </w:rPr>
        <w:t>/</w:t>
      </w:r>
      <w:r>
        <w:rPr>
          <w:rFonts w:ascii="Times New Roman" w:hAnsi="Times New Roman" w:eastAsia="Times New Roman"/>
          <w:spacing w:val="-1"/>
          <w:position w:val="2"/>
        </w:rPr>
        <w:t>G</w:t>
      </w:r>
      <w:r>
        <w:rPr>
          <w:rFonts w:ascii="Times New Roman" w:hAnsi="Times New Roman" w:eastAsia="Times New Roman"/>
          <w:position w:val="2"/>
        </w:rPr>
        <w:t>y</w:t>
      </w:r>
      <w:r>
        <w:rPr>
          <w:position w:val="2"/>
        </w:rPr>
        <w:t>）。</w:t>
      </w:r>
    </w:p>
    <w:p>
      <w:pPr>
        <w:pStyle w:val="BodyText"/>
        <w:spacing w:line="367" w:lineRule="auto" w:before="176"/>
        <w:ind w:left="281" w:right="318" w:firstLine="480"/>
      </w:pPr>
      <w:r>
        <w:rPr>
          <w:spacing w:val="-5"/>
        </w:rPr>
        <w:t>按照常用最大电流换算后，距靶 </w:t>
      </w:r>
      <w:r>
        <w:rPr>
          <w:rFonts w:ascii="Times New Roman" w:hAnsi="Times New Roman" w:eastAsia="Times New Roman"/>
          <w:spacing w:val="-1"/>
        </w:rPr>
        <w:t>1m</w:t>
      </w:r>
      <w:r>
        <w:rPr>
          <w:rFonts w:ascii="Times New Roman" w:hAnsi="Times New Roman" w:eastAsia="Times New Roman"/>
        </w:rPr>
        <w:t> </w:t>
      </w:r>
      <w:r>
        <w:rPr>
          <w:spacing w:val="-10"/>
        </w:rPr>
        <w:t>处的剂量率为 </w:t>
      </w:r>
      <w:r>
        <w:rPr>
          <w:rFonts w:ascii="Times New Roman" w:hAnsi="Times New Roman" w:eastAsia="Times New Roman"/>
        </w:rPr>
        <w:t>157.14mGy/min</w:t>
      </w:r>
      <w:r>
        <w:rPr/>
        <w:t>，医生操作时腕</w:t>
      </w:r>
      <w:r>
        <w:rPr>
          <w:spacing w:val="-7"/>
        </w:rPr>
        <w:t>部距主射束的距离取 </w:t>
      </w:r>
      <w:r>
        <w:rPr>
          <w:rFonts w:ascii="Times New Roman" w:hAnsi="Times New Roman" w:eastAsia="Times New Roman"/>
        </w:rPr>
        <w:t>0.3m</w:t>
      </w:r>
      <w:r>
        <w:rPr/>
        <w:t>，且不考虑任何防护，手术时腕部位置处的空气吸收剂量通</w:t>
      </w:r>
      <w:r>
        <w:rPr>
          <w:spacing w:val="-8"/>
        </w:rPr>
        <w:t>过计算可得到辐射剂量当量为 </w:t>
      </w:r>
      <w:r>
        <w:rPr>
          <w:rFonts w:ascii="Times New Roman" w:hAnsi="Times New Roman" w:eastAsia="Times New Roman"/>
          <w:spacing w:val="-2"/>
        </w:rPr>
        <w:t>1.05×10</w:t>
      </w:r>
      <w:r>
        <w:rPr>
          <w:rFonts w:ascii="Times New Roman" w:hAnsi="Times New Roman" w:eastAsia="Times New Roman"/>
          <w:spacing w:val="-2"/>
          <w:position w:val="8"/>
          <w:sz w:val="15"/>
        </w:rPr>
        <w:t>5</w:t>
      </w:r>
      <w:r>
        <w:rPr>
          <w:rFonts w:ascii="Times New Roman" w:hAnsi="Times New Roman" w:eastAsia="Times New Roman"/>
          <w:spacing w:val="-2"/>
        </w:rPr>
        <w:t>µGy/h</w:t>
      </w:r>
      <w:r>
        <w:rPr>
          <w:spacing w:val="-14"/>
        </w:rPr>
        <w:t>。本项目 </w:t>
      </w:r>
      <w:r>
        <w:rPr>
          <w:rFonts w:ascii="Times New Roman" w:hAnsi="Times New Roman" w:eastAsia="Times New Roman"/>
          <w:spacing w:val="-2"/>
        </w:rPr>
        <w:t>DSA</w:t>
      </w:r>
      <w:r>
        <w:rPr>
          <w:rFonts w:ascii="Times New Roman" w:hAnsi="Times New Roman" w:eastAsia="Times New Roman"/>
          <w:spacing w:val="-1"/>
        </w:rPr>
        <w:t> </w:t>
      </w:r>
      <w:r>
        <w:rPr>
          <w:spacing w:val="-2"/>
        </w:rPr>
        <w:t>可近似地视为垂直入射，而</w:t>
      </w:r>
      <w:r>
        <w:rPr>
          <w:spacing w:val="-21"/>
        </w:rPr>
        <w:t>且是 </w:t>
      </w:r>
      <w:r>
        <w:rPr>
          <w:rFonts w:ascii="Times New Roman" w:hAnsi="Times New Roman" w:eastAsia="Times New Roman"/>
          <w:spacing w:val="-1"/>
        </w:rPr>
        <w:t>AP</w:t>
      </w:r>
      <w:r>
        <w:rPr>
          <w:rFonts w:ascii="Times New Roman" w:hAnsi="Times New Roman" w:eastAsia="Times New Roman"/>
          <w:spacing w:val="-2"/>
        </w:rPr>
        <w:t> </w:t>
      </w:r>
      <w:r>
        <w:rPr>
          <w:spacing w:val="-20"/>
        </w:rPr>
        <w:t>入射方式。从表 </w:t>
      </w:r>
      <w:r>
        <w:rPr>
          <w:rFonts w:ascii="Times New Roman" w:hAnsi="Times New Roman" w:eastAsia="Times New Roman"/>
          <w:spacing w:val="-1"/>
        </w:rPr>
        <w:t>A.9</w:t>
      </w:r>
      <w:r>
        <w:rPr>
          <w:rFonts w:ascii="Times New Roman" w:hAnsi="Times New Roman" w:eastAsia="Times New Roman"/>
        </w:rPr>
        <w:t> </w:t>
      </w:r>
      <w:r>
        <w:rPr>
          <w:spacing w:val="-16"/>
        </w:rPr>
        <w:t>可查得 </w:t>
      </w:r>
      <w:r>
        <w:rPr>
          <w:rFonts w:ascii="Times New Roman" w:hAnsi="Times New Roman" w:eastAsia="Times New Roman"/>
          <w:spacing w:val="-1"/>
        </w:rPr>
        <w:t>X </w:t>
      </w:r>
      <w:r>
        <w:rPr/>
        <w:t>辐射场空气比释动能到周围剂量当量的转化系数</w:t>
      </w:r>
      <w:r>
        <w:rPr>
          <w:rFonts w:ascii="Times New Roman" w:hAnsi="Times New Roman" w:eastAsia="Times New Roman"/>
          <w:i/>
          <w:position w:val="-9"/>
          <w:sz w:val="29"/>
        </w:rPr>
        <w:t>C</w:t>
      </w:r>
      <w:r>
        <w:rPr>
          <w:rFonts w:ascii="Times New Roman" w:hAnsi="Times New Roman" w:eastAsia="Times New Roman"/>
          <w:i/>
          <w:position w:val="-15"/>
          <w:sz w:val="19"/>
        </w:rPr>
        <w:t>KH</w:t>
      </w:r>
      <w:r>
        <w:rPr>
          <w:rFonts w:ascii="Times New Roman" w:hAnsi="Times New Roman" w:eastAsia="Times New Roman"/>
          <w:i/>
          <w:spacing w:val="-24"/>
          <w:position w:val="-15"/>
          <w:sz w:val="19"/>
        </w:rPr>
        <w:t> </w:t>
      </w:r>
      <w:r>
        <w:rPr>
          <w:rFonts w:ascii="Symbol" w:hAnsi="Symbol" w:eastAsia="Symbol"/>
          <w:position w:val="-3"/>
          <w:sz w:val="8"/>
        </w:rPr>
        <w:t></w:t>
      </w:r>
      <w:r>
        <w:rPr>
          <w:rFonts w:ascii="Times New Roman" w:hAnsi="Times New Roman" w:eastAsia="Times New Roman"/>
          <w:spacing w:val="18"/>
          <w:position w:val="-3"/>
          <w:sz w:val="8"/>
        </w:rPr>
        <w:t> </w:t>
      </w:r>
      <w:r>
        <w:rPr>
          <w:rFonts w:ascii="Times New Roman" w:hAnsi="Times New Roman" w:eastAsia="Times New Roman"/>
        </w:rPr>
        <w:t>=1.72Sv/Gy</w:t>
      </w:r>
      <w:r>
        <w:rPr/>
        <w:t>，由（</w:t>
      </w:r>
      <w:r>
        <w:rPr>
          <w:spacing w:val="-19"/>
        </w:rPr>
        <w:t>公式 </w:t>
      </w:r>
      <w:r>
        <w:rPr>
          <w:rFonts w:ascii="Times New Roman" w:hAnsi="Times New Roman" w:eastAsia="Times New Roman"/>
        </w:rPr>
        <w:t>6</w:t>
      </w:r>
      <w:r>
        <w:rPr/>
        <w:t>）</w:t>
      </w:r>
      <w:r>
        <w:rPr>
          <w:spacing w:val="-4"/>
        </w:rPr>
        <w:t>计算出辐射场的空气比释动能为 </w:t>
      </w:r>
      <w:r>
        <w:rPr>
          <w:rFonts w:ascii="Times New Roman" w:hAnsi="Times New Roman" w:eastAsia="Times New Roman"/>
        </w:rPr>
        <w:t>6.10×10</w:t>
      </w:r>
      <w:r>
        <w:rPr>
          <w:rFonts w:ascii="Times New Roman" w:hAnsi="Times New Roman" w:eastAsia="Times New Roman"/>
          <w:position w:val="8"/>
          <w:sz w:val="15"/>
        </w:rPr>
        <w:t>4</w:t>
      </w:r>
      <w:r>
        <w:rPr>
          <w:rFonts w:ascii="Times New Roman" w:hAnsi="Times New Roman" w:eastAsia="Times New Roman"/>
        </w:rPr>
        <w:t>µGy/h</w:t>
      </w:r>
      <w:r>
        <w:rPr/>
        <w:t>。从表</w:t>
      </w:r>
    </w:p>
    <w:p>
      <w:pPr>
        <w:pStyle w:val="BodyText"/>
        <w:spacing w:line="367" w:lineRule="auto" w:before="39"/>
        <w:ind w:left="281" w:right="337"/>
      </w:pPr>
      <w:r>
        <w:rPr>
          <w:rFonts w:ascii="Times New Roman" w:eastAsia="Times New Roman"/>
          <w:spacing w:val="-1"/>
        </w:rPr>
        <w:t>A</w:t>
      </w:r>
      <w:r>
        <w:rPr>
          <w:rFonts w:ascii="Times New Roman" w:eastAsia="Times New Roman"/>
        </w:rPr>
        <w:t>.4 </w:t>
      </w:r>
      <w:r>
        <w:rPr/>
        <w:t>可查出空气比释动能到皮肤吸收剂量的转换系数</w:t>
      </w:r>
      <w:r>
        <w:rPr>
          <w:rFonts w:ascii="Times New Roman" w:eastAsia="Times New Roman"/>
          <w:i/>
          <w:spacing w:val="17"/>
          <w:w w:val="99"/>
          <w:position w:val="-8"/>
          <w:sz w:val="30"/>
        </w:rPr>
        <w:t>C</w:t>
      </w:r>
      <w:r>
        <w:rPr>
          <w:rFonts w:ascii="Times New Roman" w:eastAsia="Times New Roman"/>
          <w:i/>
          <w:spacing w:val="-1"/>
          <w:w w:val="105"/>
          <w:position w:val="-9"/>
          <w:sz w:val="11"/>
        </w:rPr>
        <w:t>K</w:t>
      </w:r>
      <w:r>
        <w:rPr>
          <w:rFonts w:ascii="Times New Roman" w:eastAsia="Times New Roman"/>
          <w:i/>
          <w:w w:val="105"/>
          <w:position w:val="-9"/>
          <w:sz w:val="11"/>
        </w:rPr>
        <w:t>S</w:t>
      </w:r>
      <w:r>
        <w:rPr>
          <w:rFonts w:ascii="Times New Roman" w:eastAsia="Times New Roman"/>
          <w:i/>
          <w:spacing w:val="11"/>
          <w:position w:val="-9"/>
          <w:sz w:val="11"/>
        </w:rPr>
        <w:t> </w:t>
      </w:r>
      <w:r>
        <w:rPr>
          <w:rFonts w:ascii="Times New Roman" w:eastAsia="Times New Roman"/>
          <w:spacing w:val="-1"/>
        </w:rPr>
        <w:t>=</w:t>
      </w:r>
      <w:r>
        <w:rPr>
          <w:rFonts w:ascii="Times New Roman" w:eastAsia="Times New Roman"/>
        </w:rPr>
        <w:t>1.134m</w:t>
      </w:r>
      <w:r>
        <w:rPr>
          <w:rFonts w:ascii="Times New Roman" w:eastAsia="Times New Roman"/>
          <w:spacing w:val="-1"/>
        </w:rPr>
        <w:t>G</w:t>
      </w:r>
      <w:r>
        <w:rPr>
          <w:rFonts w:ascii="Times New Roman" w:eastAsia="Times New Roman"/>
          <w:spacing w:val="-3"/>
        </w:rPr>
        <w:t>y</w:t>
      </w:r>
      <w:r>
        <w:rPr>
          <w:rFonts w:ascii="Times New Roman" w:eastAsia="Times New Roman"/>
        </w:rPr>
        <w:t>/m</w:t>
      </w:r>
      <w:r>
        <w:rPr>
          <w:rFonts w:ascii="Times New Roman" w:eastAsia="Times New Roman"/>
          <w:spacing w:val="-1"/>
        </w:rPr>
        <w:t>G</w:t>
      </w:r>
      <w:r>
        <w:rPr>
          <w:rFonts w:ascii="Times New Roman" w:eastAsia="Times New Roman"/>
          <w:spacing w:val="2"/>
        </w:rPr>
        <w:t>y</w:t>
      </w:r>
      <w:r>
        <w:rPr>
          <w:spacing w:val="-1"/>
        </w:rPr>
        <w:t>。皮肤按照组</w:t>
      </w:r>
      <w:r>
        <w:rPr>
          <w:spacing w:val="-11"/>
        </w:rPr>
        <w:t>织权重因子 </w:t>
      </w:r>
      <w:r>
        <w:rPr>
          <w:rFonts w:ascii="Times New Roman" w:eastAsia="Times New Roman"/>
        </w:rPr>
        <w:t>0.01 </w:t>
      </w:r>
      <w:r>
        <w:rPr>
          <w:spacing w:val="-3"/>
        </w:rPr>
        <w:t>考虑，则手术医生手术位腕部皮肤受照当量剂量为 </w:t>
      </w:r>
      <w:r>
        <w:rPr>
          <w:rFonts w:ascii="Times New Roman" w:eastAsia="Times New Roman"/>
        </w:rPr>
        <w:t>77.81mSv/a</w:t>
      </w:r>
      <w:r>
        <w:rPr/>
        <w:t>，满足</w:t>
      </w:r>
    </w:p>
    <w:p>
      <w:pPr>
        <w:pStyle w:val="BodyText"/>
        <w:spacing w:line="364" w:lineRule="auto" w:before="1"/>
        <w:ind w:left="281" w:right="318"/>
        <w:jc w:val="both"/>
      </w:pPr>
      <w:r>
        <w:rPr>
          <w:spacing w:val="-1"/>
        </w:rPr>
        <w:t>《电离辐射防护与辐射源安全基本标准》（</w:t>
      </w:r>
      <w:r>
        <w:rPr>
          <w:rFonts w:ascii="Times New Roman" w:eastAsia="Times New Roman"/>
          <w:spacing w:val="-1"/>
        </w:rPr>
        <w:t>GB18871-2002</w:t>
      </w:r>
      <w:r>
        <w:rPr>
          <w:spacing w:val="-1"/>
        </w:rPr>
        <w:t>）</w:t>
      </w:r>
      <w:r>
        <w:rPr>
          <w:spacing w:val="-31"/>
        </w:rPr>
        <w:t>第 </w:t>
      </w:r>
      <w:r>
        <w:rPr>
          <w:rFonts w:ascii="Times New Roman" w:eastAsia="Times New Roman"/>
          <w:spacing w:val="-1"/>
        </w:rPr>
        <w:t>4.3.2.1</w:t>
      </w:r>
      <w:r>
        <w:rPr>
          <w:rFonts w:ascii="Times New Roman" w:eastAsia="Times New Roman"/>
          <w:spacing w:val="2"/>
        </w:rPr>
        <w:t> </w:t>
      </w:r>
      <w:r>
        <w:rPr>
          <w:spacing w:val="-1"/>
        </w:rPr>
        <w:t>条的规定，对任何工作人员，四肢（手和足）</w:t>
      </w:r>
      <w:r>
        <w:rPr>
          <w:spacing w:val="-6"/>
        </w:rPr>
        <w:t>或皮肤的年当量剂量不超过 </w:t>
      </w:r>
      <w:r>
        <w:rPr>
          <w:rFonts w:ascii="Times New Roman" w:eastAsia="Times New Roman"/>
        </w:rPr>
        <w:t>500mSv</w:t>
      </w:r>
      <w:r>
        <w:rPr/>
        <w:t>，也满足本项目对于</w:t>
      </w:r>
      <w:r>
        <w:rPr>
          <w:spacing w:val="-1"/>
        </w:rPr>
        <w:t>放射工作人员四肢</w:t>
      </w:r>
      <w:r>
        <w:rPr/>
        <w:t>（手和足）</w:t>
      </w:r>
      <w:r>
        <w:rPr>
          <w:spacing w:val="-4"/>
        </w:rPr>
        <w:t>或皮肤当量剂量通常管理限值，即不超过 </w:t>
      </w:r>
      <w:r>
        <w:rPr>
          <w:rFonts w:ascii="Times New Roman" w:eastAsia="Times New Roman"/>
        </w:rPr>
        <w:t>125mSv/a</w:t>
      </w:r>
      <w:r>
        <w:rPr>
          <w:rFonts w:ascii="Times New Roman" w:eastAsia="Times New Roman"/>
          <w:spacing w:val="-1"/>
        </w:rPr>
        <w:t> </w:t>
      </w:r>
      <w:r>
        <w:rPr/>
        <w:t>的要求。</w:t>
      </w:r>
    </w:p>
    <w:p>
      <w:pPr>
        <w:pStyle w:val="BodyText"/>
        <w:spacing w:line="364" w:lineRule="auto" w:before="2"/>
        <w:ind w:left="281" w:right="428" w:firstLine="480"/>
        <w:jc w:val="both"/>
      </w:pPr>
      <w:r>
        <w:rPr/>
        <w:t>医院应严格落实辐射安全防护的各项规章制度，所有手术过程中机房内的医护人员均应按辐射工作人员进行管理，手术时医护人员穿戴好防护用品并严格遵守操作规程。对病人病灶进行照射时，应将病人病灶以外的部位用铅橡胶布进行遮盖或穿着铅服，以避免病人受到不必要的照射。</w:t>
      </w:r>
    </w:p>
    <w:p>
      <w:pPr>
        <w:pStyle w:val="BodyText"/>
        <w:spacing w:before="3"/>
        <w:ind w:left="701"/>
      </w:pPr>
      <w:r>
        <w:rPr>
          <w:rFonts w:ascii="Times New Roman" w:eastAsia="Times New Roman"/>
        </w:rPr>
        <w:t>3</w:t>
      </w:r>
      <w:r>
        <w:rPr/>
        <w:t>、介入治疗对医生和患者的辐射防护要求</w:t>
      </w:r>
    </w:p>
    <w:p>
      <w:pPr>
        <w:pStyle w:val="BodyText"/>
        <w:spacing w:line="364" w:lineRule="auto" w:before="160"/>
        <w:ind w:left="281" w:right="318" w:firstLine="480"/>
        <w:jc w:val="both"/>
      </w:pPr>
      <w:r>
        <w:rPr>
          <w:spacing w:val="-2"/>
        </w:rPr>
        <w:t>介入治疗是一种解决临床疑难病的新方法，但介入治疗时 </w:t>
      </w:r>
      <w:r>
        <w:rPr>
          <w:rFonts w:ascii="Times New Roman" w:eastAsia="Times New Roman"/>
        </w:rPr>
        <w:t>X</w:t>
      </w:r>
      <w:r>
        <w:rPr>
          <w:rFonts w:ascii="Times New Roman" w:eastAsia="Times New Roman"/>
          <w:spacing w:val="31"/>
        </w:rPr>
        <w:t> </w:t>
      </w:r>
      <w:r>
        <w:rPr/>
        <w:t>射线曝光量大，曝光</w:t>
      </w:r>
      <w:r>
        <w:rPr>
          <w:spacing w:val="-2"/>
        </w:rPr>
        <w:t>时间长，距球管和散射体近，使介入治疗操作者受到大剂量的 </w:t>
      </w:r>
      <w:r>
        <w:rPr>
          <w:rFonts w:ascii="Times New Roman" w:eastAsia="Times New Roman"/>
        </w:rPr>
        <w:t>X</w:t>
      </w:r>
      <w:r>
        <w:rPr>
          <w:rFonts w:ascii="Times New Roman" w:eastAsia="Times New Roman"/>
          <w:spacing w:val="33"/>
        </w:rPr>
        <w:t> </w:t>
      </w:r>
      <w:r>
        <w:rPr/>
        <w:t>射线照射。为了减少</w:t>
      </w:r>
      <w:r>
        <w:rPr>
          <w:spacing w:val="-6"/>
          <w:w w:val="95"/>
        </w:rPr>
        <w:t>介入治疗时 </w:t>
      </w:r>
      <w:r>
        <w:rPr>
          <w:rFonts w:ascii="Times New Roman" w:eastAsia="Times New Roman"/>
          <w:w w:val="95"/>
        </w:rPr>
        <w:t>X</w:t>
      </w:r>
      <w:r>
        <w:rPr>
          <w:rFonts w:ascii="Times New Roman" w:eastAsia="Times New Roman"/>
          <w:spacing w:val="21"/>
          <w:w w:val="95"/>
        </w:rPr>
        <w:t> </w:t>
      </w:r>
      <w:r>
        <w:rPr>
          <w:w w:val="95"/>
        </w:rPr>
        <w:t>射线对操作者和其他人员的影响，本评价提出以下几点要求：</w:t>
      </w:r>
    </w:p>
    <w:p>
      <w:pPr>
        <w:pStyle w:val="BodyText"/>
        <w:spacing w:line="364" w:lineRule="auto" w:before="2"/>
        <w:ind w:left="281" w:right="317" w:firstLine="480"/>
        <w:jc w:val="both"/>
      </w:pPr>
      <w:r>
        <w:rPr>
          <w:spacing w:val="-3"/>
        </w:rPr>
        <w:t>介入治疗医生自身的辐射防护要求：①加强教育和培训工作，提高辐射安全文化素养，全面掌握辐射防护法规和技术知识；②结合诊疗项目实际情况，综合运用时间、距离与屏蔽防护措施；③在介入手术期间，必须穿戴个人防护用品，并佩戴个人剂量报警</w:t>
      </w:r>
      <w:r>
        <w:rPr>
          <w:spacing w:val="-9"/>
        </w:rPr>
        <w:t>仪；④定期维护 </w:t>
      </w:r>
      <w:r>
        <w:rPr>
          <w:rFonts w:ascii="Times New Roman" w:hAnsi="Times New Roman" w:eastAsia="Times New Roman"/>
        </w:rPr>
        <w:t>DSA</w:t>
      </w:r>
      <w:r>
        <w:rPr>
          <w:rFonts w:ascii="Times New Roman" w:hAnsi="Times New Roman" w:eastAsia="Times New Roman"/>
          <w:spacing w:val="-1"/>
        </w:rPr>
        <w:t> </w:t>
      </w:r>
      <w:r>
        <w:rPr/>
        <w:t>系统设备，制定和执行介入治疗的质量保证计划。</w:t>
      </w:r>
    </w:p>
    <w:p>
      <w:pPr>
        <w:spacing w:after="0" w:line="364" w:lineRule="auto"/>
        <w:jc w:val="both"/>
        <w:sectPr>
          <w:type w:val="continuous"/>
          <w:pgSz w:w="11910" w:h="16840"/>
          <w:pgMar w:top="1580" w:bottom="280" w:left="1240" w:right="1040"/>
        </w:sectPr>
      </w:pPr>
    </w:p>
    <w:p>
      <w:pPr>
        <w:pStyle w:val="BodyText"/>
        <w:spacing w:line="364" w:lineRule="auto" w:before="92"/>
        <w:ind w:left="281" w:right="317" w:firstLine="480"/>
        <w:jc w:val="both"/>
      </w:pPr>
      <w:r>
        <w:rPr/>
        <w:pict>
          <v:shape style="position:absolute;margin-left:70.410004pt;margin-top:72.000023pt;width:462.55pt;height:686.5pt;mso-position-horizontal-relative:page;mso-position-vertical-relative:page;z-index:-20132864" coordorigin="1408,1440" coordsize="9251,13730" path="m1408,1445l10659,1445m1408,15170l10659,15170m1413,1440l1413,15165m10654,1440l10654,15165e" filled="false" stroked="true" strokeweight=".48pt" strokecolor="#000000">
            <v:path arrowok="t"/>
            <v:stroke dashstyle="solid"/>
            <w10:wrap type="none"/>
          </v:shape>
        </w:pict>
      </w:r>
      <w:r>
        <w:rPr>
          <w:spacing w:val="-5"/>
        </w:rPr>
        <w:t>患者的辐射防护要求：①严格执行国家标准 </w:t>
      </w:r>
      <w:r>
        <w:rPr>
          <w:rFonts w:ascii="Times New Roman" w:hAnsi="Times New Roman" w:eastAsia="Times New Roman"/>
          <w:spacing w:val="-1"/>
        </w:rPr>
        <w:t>GB18871-2002</w:t>
      </w:r>
      <w:r>
        <w:rPr>
          <w:rFonts w:ascii="Times New Roman" w:hAnsi="Times New Roman" w:eastAsia="Times New Roman"/>
          <w:spacing w:val="2"/>
        </w:rPr>
        <w:t> </w:t>
      </w:r>
      <w:r>
        <w:rPr>
          <w:spacing w:val="-1"/>
        </w:rPr>
        <w:t>中规定的介入诊疗指导</w:t>
      </w:r>
      <w:r>
        <w:rPr>
          <w:spacing w:val="-5"/>
        </w:rPr>
        <w:t>水平，保证患者的入射体表剂量率不超过 </w:t>
      </w:r>
      <w:r>
        <w:rPr>
          <w:rFonts w:ascii="Times New Roman" w:hAnsi="Times New Roman" w:eastAsia="Times New Roman"/>
        </w:rPr>
        <w:t>100mGy/min</w:t>
      </w:r>
      <w:r>
        <w:rPr/>
        <w:t>；②选择最优化的检查参数，为</w:t>
      </w:r>
      <w:r>
        <w:rPr>
          <w:spacing w:val="-3"/>
        </w:rPr>
        <w:t>保证影像质量可采用高电压、低电流、限制透视检查时间等措施；③采用剂量控制与分散措施，通过调整扫描架角度，移动扫描床等办法，分散患者的皮肤剂量，避免单一皮</w:t>
      </w:r>
      <w:r>
        <w:rPr/>
        <w:t>肤区域接受全部剂量；④作好患者非照射部位的保护工作。</w:t>
      </w:r>
    </w:p>
    <w:p>
      <w:pPr>
        <w:pStyle w:val="Heading2"/>
        <w:spacing w:before="56"/>
      </w:pPr>
      <w:r>
        <w:rPr/>
        <w:t>二、臭氧环境影响分析</w:t>
      </w:r>
    </w:p>
    <w:p>
      <w:pPr>
        <w:pStyle w:val="BodyText"/>
        <w:spacing w:line="364" w:lineRule="auto" w:before="212"/>
        <w:ind w:left="281" w:right="313" w:firstLine="460"/>
        <w:jc w:val="both"/>
      </w:pPr>
      <w:r>
        <w:rPr>
          <w:spacing w:val="-5"/>
        </w:rPr>
        <w:t>本项目在运行过程中，主要污染为 </w:t>
      </w:r>
      <w:r>
        <w:rPr>
          <w:rFonts w:ascii="Times New Roman" w:eastAsia="Times New Roman"/>
          <w:spacing w:val="-1"/>
        </w:rPr>
        <w:t>DSA </w:t>
      </w:r>
      <w:r>
        <w:rPr>
          <w:spacing w:val="-8"/>
        </w:rPr>
        <w:t>机房内空气中氧受 </w:t>
      </w:r>
      <w:r>
        <w:rPr>
          <w:rFonts w:ascii="Times New Roman" w:eastAsia="Times New Roman"/>
        </w:rPr>
        <w:t>X</w:t>
      </w:r>
      <w:r>
        <w:rPr>
          <w:rFonts w:ascii="Times New Roman" w:eastAsia="Times New Roman"/>
          <w:spacing w:val="1"/>
        </w:rPr>
        <w:t> </w:t>
      </w:r>
      <w:r>
        <w:rPr/>
        <w:t>射线电离而产生的臭氧，</w:t>
      </w:r>
      <w:r>
        <w:rPr>
          <w:rFonts w:ascii="Times New Roman" w:eastAsia="Times New Roman"/>
        </w:rPr>
        <w:t>DSA</w:t>
      </w:r>
      <w:r>
        <w:rPr>
          <w:rFonts w:ascii="Times New Roman" w:eastAsia="Times New Roman"/>
          <w:spacing w:val="8"/>
        </w:rPr>
        <w:t> </w:t>
      </w:r>
      <w:r>
        <w:rPr>
          <w:spacing w:val="-4"/>
        </w:rPr>
        <w:t>机房拟采用机械排风，风机功率 </w:t>
      </w:r>
      <w:r>
        <w:rPr>
          <w:rFonts w:ascii="Times New Roman" w:eastAsia="Times New Roman"/>
        </w:rPr>
        <w:t>150w/h</w:t>
      </w:r>
      <w:r>
        <w:rPr>
          <w:spacing w:val="-13"/>
        </w:rPr>
        <w:t>，风量 </w:t>
      </w:r>
      <w:r>
        <w:rPr>
          <w:rFonts w:ascii="Times New Roman" w:eastAsia="Times New Roman"/>
        </w:rPr>
        <w:t>350m</w:t>
      </w:r>
      <w:r>
        <w:rPr>
          <w:rFonts w:ascii="Times New Roman" w:eastAsia="Times New Roman"/>
          <w:position w:val="8"/>
          <w:sz w:val="15"/>
        </w:rPr>
        <w:t>3</w:t>
      </w:r>
      <w:r>
        <w:rPr>
          <w:rFonts w:ascii="Times New Roman" w:eastAsia="Times New Roman"/>
        </w:rPr>
        <w:t>/h</w:t>
      </w:r>
      <w:r>
        <w:rPr>
          <w:spacing w:val="-9"/>
        </w:rPr>
        <w:t>，管道直径 </w:t>
      </w:r>
      <w:r>
        <w:rPr>
          <w:rFonts w:ascii="Times New Roman" w:eastAsia="Times New Roman"/>
        </w:rPr>
        <w:t>160mm</w:t>
      </w:r>
      <w:r>
        <w:rPr/>
        <w:t>。</w:t>
      </w:r>
      <w:r>
        <w:rPr>
          <w:rFonts w:ascii="Times New Roman" w:eastAsia="Times New Roman"/>
          <w:spacing w:val="-2"/>
        </w:rPr>
        <w:t>DSA</w:t>
      </w:r>
      <w:r>
        <w:rPr>
          <w:rFonts w:ascii="Times New Roman" w:eastAsia="Times New Roman"/>
          <w:spacing w:val="-1"/>
        </w:rPr>
        <w:t> </w:t>
      </w:r>
      <w:r>
        <w:rPr>
          <w:spacing w:val="-5"/>
        </w:rPr>
        <w:t>在出束过程中，产生的臭氧通过通排风管道引至 </w:t>
      </w:r>
      <w:r>
        <w:rPr>
          <w:rFonts w:ascii="Times New Roman" w:eastAsia="Times New Roman"/>
          <w:spacing w:val="-1"/>
        </w:rPr>
        <w:t>DSA </w:t>
      </w:r>
      <w:r>
        <w:rPr>
          <w:spacing w:val="-1"/>
        </w:rPr>
        <w:t>机房外排放，室外大气扩散</w:t>
      </w:r>
      <w:r>
        <w:rPr>
          <w:spacing w:val="-5"/>
          <w:position w:val="2"/>
        </w:rPr>
        <w:t>条件良好，产生的 </w:t>
      </w:r>
      <w:r>
        <w:rPr>
          <w:rFonts w:ascii="Times New Roman" w:eastAsia="Times New Roman"/>
          <w:position w:val="2"/>
        </w:rPr>
        <w:t>O</w:t>
      </w:r>
      <w:r>
        <w:rPr>
          <w:rFonts w:ascii="Times New Roman" w:eastAsia="Times New Roman"/>
          <w:sz w:val="15"/>
        </w:rPr>
        <w:t>3</w:t>
      </w:r>
      <w:r>
        <w:rPr>
          <w:rFonts w:ascii="Times New Roman" w:eastAsia="Times New Roman"/>
          <w:spacing w:val="12"/>
          <w:sz w:val="15"/>
        </w:rPr>
        <w:t> </w:t>
      </w:r>
      <w:r>
        <w:rPr>
          <w:position w:val="2"/>
        </w:rPr>
        <w:t>气体经自然分解和稀释后，对周围大气环境的影响较小对环境影</w:t>
      </w:r>
      <w:r>
        <w:rPr>
          <w:spacing w:val="-1"/>
        </w:rPr>
        <w:t>响较小，符合《环境空气质量标准》</w:t>
      </w:r>
      <w:r>
        <w:rPr/>
        <w:t>（</w:t>
      </w:r>
      <w:r>
        <w:rPr>
          <w:rFonts w:ascii="Times New Roman" w:eastAsia="Times New Roman"/>
        </w:rPr>
        <w:t>GB3095-2012</w:t>
      </w:r>
      <w:r>
        <w:rPr/>
        <w:t>）的二级标准（</w:t>
      </w:r>
      <w:r>
        <w:rPr>
          <w:rFonts w:ascii="Times New Roman" w:eastAsia="Times New Roman"/>
        </w:rPr>
        <w:t>0.2mg/m</w:t>
      </w:r>
      <w:r>
        <w:rPr>
          <w:rFonts w:ascii="Times New Roman" w:eastAsia="Times New Roman"/>
          <w:position w:val="8"/>
          <w:sz w:val="15"/>
        </w:rPr>
        <w:t>3</w:t>
      </w:r>
      <w:r>
        <w:rPr/>
        <w:t>）要求。</w:t>
      </w:r>
    </w:p>
    <w:p>
      <w:pPr>
        <w:pStyle w:val="Heading2"/>
        <w:spacing w:before="56"/>
      </w:pPr>
      <w:r>
        <w:rPr/>
        <w:t>三、水环境影响分析</w:t>
      </w:r>
    </w:p>
    <w:p>
      <w:pPr>
        <w:pStyle w:val="BodyText"/>
        <w:spacing w:line="364" w:lineRule="auto" w:before="212"/>
        <w:ind w:left="281" w:right="318" w:firstLine="460"/>
      </w:pPr>
      <w:r>
        <w:rPr>
          <w:spacing w:val="-3"/>
        </w:rPr>
        <w:t>本项目运行后，废水主要为辐射工作人员的生活污水及项目产生的医疗废水。生活</w:t>
      </w:r>
      <w:r>
        <w:rPr>
          <w:spacing w:val="32"/>
        </w:rPr>
        <w:t>污水及医疗废水经医院污水处理站处理达到《医疗机构水污染物排放标准》</w:t>
      </w:r>
    </w:p>
    <w:p>
      <w:pPr>
        <w:pStyle w:val="BodyText"/>
        <w:spacing w:line="364" w:lineRule="auto" w:before="1"/>
        <w:ind w:left="281" w:right="318"/>
      </w:pPr>
      <w:r>
        <w:rPr/>
        <w:t>（</w:t>
      </w:r>
      <w:r>
        <w:rPr>
          <w:rFonts w:ascii="Times New Roman" w:eastAsia="Times New Roman"/>
        </w:rPr>
        <w:t>GB18466-2005</w:t>
      </w:r>
      <w:r>
        <w:rPr/>
        <w:t>）</w:t>
      </w:r>
      <w:r>
        <w:rPr>
          <w:spacing w:val="-9"/>
        </w:rPr>
        <w:t>中表 </w:t>
      </w:r>
      <w:r>
        <w:rPr>
          <w:rFonts w:ascii="Times New Roman" w:eastAsia="Times New Roman"/>
        </w:rPr>
        <w:t>2</w:t>
      </w:r>
      <w:r>
        <w:rPr>
          <w:rFonts w:ascii="Times New Roman" w:eastAsia="Times New Roman"/>
          <w:spacing w:val="30"/>
        </w:rPr>
        <w:t> </w:t>
      </w:r>
      <w:r>
        <w:rPr/>
        <w:t>预处理标准后排入市政管网，进入资阳市城市生活污水处理厂处理达标后排放。</w:t>
      </w:r>
    </w:p>
    <w:p>
      <w:pPr>
        <w:pStyle w:val="Heading2"/>
        <w:spacing w:before="55"/>
      </w:pPr>
      <w:r>
        <w:rPr/>
        <w:t>四、固体废物环境影响分析</w:t>
      </w:r>
    </w:p>
    <w:p>
      <w:pPr>
        <w:pStyle w:val="BodyText"/>
        <w:spacing w:before="135"/>
        <w:ind w:left="761"/>
        <w:jc w:val="both"/>
      </w:pPr>
      <w:r>
        <w:rPr>
          <w:spacing w:val="-13"/>
        </w:rPr>
        <w:t>①本项目 </w:t>
      </w:r>
      <w:r>
        <w:rPr>
          <w:rFonts w:ascii="Times New Roman" w:hAnsi="Times New Roman" w:eastAsia="Times New Roman"/>
        </w:rPr>
        <w:t>DSA</w:t>
      </w:r>
      <w:r>
        <w:rPr>
          <w:rFonts w:ascii="Times New Roman" w:hAnsi="Times New Roman" w:eastAsia="Times New Roman"/>
          <w:spacing w:val="-1"/>
        </w:rPr>
        <w:t> </w:t>
      </w:r>
      <w:r>
        <w:rPr/>
        <w:t>采用数字成像，不打印胶片，因此不会有废胶片产生。</w:t>
      </w:r>
    </w:p>
    <w:p>
      <w:pPr>
        <w:pStyle w:val="BodyText"/>
        <w:spacing w:line="364" w:lineRule="auto" w:before="158"/>
        <w:ind w:left="281" w:right="318" w:firstLine="480"/>
        <w:jc w:val="both"/>
      </w:pPr>
      <w:r>
        <w:rPr>
          <w:spacing w:val="-3"/>
        </w:rPr>
        <w:t>②手术时产生一定量的医用器具和药棉、纱布、手套、废造影剂、废造影剂瓶等医</w:t>
      </w:r>
      <w:r>
        <w:rPr/>
        <w:t>用辅料及手术垃圾，按每台手术产生约 </w:t>
      </w:r>
      <w:r>
        <w:rPr>
          <w:rFonts w:ascii="Times New Roman" w:hAnsi="Times New Roman" w:eastAsia="Times New Roman"/>
        </w:rPr>
        <w:t>2kg</w:t>
      </w:r>
      <w:r>
        <w:rPr>
          <w:rFonts w:ascii="Times New Roman" w:hAnsi="Times New Roman" w:eastAsia="Times New Roman"/>
          <w:spacing w:val="38"/>
        </w:rPr>
        <w:t> </w:t>
      </w:r>
      <w:r>
        <w:rPr>
          <w:spacing w:val="4"/>
        </w:rPr>
        <w:t>的医疗废物，每年固体废物产生量约为</w:t>
      </w:r>
      <w:r>
        <w:rPr>
          <w:rFonts w:ascii="Times New Roman" w:hAnsi="Times New Roman" w:eastAsia="Times New Roman"/>
          <w:spacing w:val="-3"/>
        </w:rPr>
        <w:t>4300kg</w:t>
      </w:r>
      <w:r>
        <w:rPr>
          <w:spacing w:val="-3"/>
        </w:rPr>
        <w:t>。这些医疗废物经分类收集打包好后暂存于污物处置间，为减少恶臭气体及病原</w:t>
      </w:r>
      <w:r>
        <w:rPr/>
        <w:t>体的产生，要求医疗废物日产日清，交由资质单位处理。</w:t>
      </w:r>
    </w:p>
    <w:p>
      <w:pPr>
        <w:pStyle w:val="BodyText"/>
        <w:spacing w:line="364" w:lineRule="auto"/>
        <w:ind w:left="281" w:right="222" w:firstLine="480"/>
      </w:pPr>
      <w:r>
        <w:rPr>
          <w:spacing w:val="-4"/>
        </w:rPr>
        <w:t>③工作人员产生的生活垃圾和办公垃圾不属于医疗废物，医院按照当地管理部门要</w:t>
      </w:r>
      <w:r>
        <w:rPr>
          <w:spacing w:val="-1"/>
        </w:rPr>
        <w:t>求，办公、生活垃圾经袋装依托医院已有的垃圾收集设施统一收集交由市政环卫清运，</w:t>
      </w:r>
      <w:r>
        <w:rPr>
          <w:spacing w:val="-117"/>
        </w:rPr>
        <w:t> </w:t>
      </w:r>
      <w:r>
        <w:rPr>
          <w:spacing w:val="-1"/>
        </w:rPr>
        <w:t>为防止蚊蝇滋生，要求生活垃圾暂存间日产日清。项目产生固废均得到合理处置，不会</w:t>
      </w:r>
      <w:r>
        <w:rPr/>
        <w:t>对周围环境产生明显影响。</w:t>
      </w:r>
    </w:p>
    <w:p>
      <w:pPr>
        <w:pStyle w:val="Heading2"/>
        <w:spacing w:before="126"/>
      </w:pPr>
      <w:r>
        <w:rPr/>
        <w:t>五、声环境影响分析</w:t>
      </w:r>
    </w:p>
    <w:p>
      <w:pPr>
        <w:spacing w:after="0"/>
        <w:sectPr>
          <w:pgSz w:w="11910" w:h="16840"/>
          <w:pgMar w:header="0" w:footer="1383" w:top="1420" w:bottom="1660" w:left="1240" w:right="1040"/>
        </w:sectPr>
      </w:pPr>
    </w:p>
    <w:p>
      <w:pPr>
        <w:pStyle w:val="BodyText"/>
        <w:spacing w:line="364" w:lineRule="auto" w:before="92"/>
        <w:ind w:left="281" w:right="222" w:firstLine="480"/>
      </w:pPr>
      <w:r>
        <w:rPr/>
        <w:pict>
          <v:shape style="position:absolute;margin-left:70.410004pt;margin-top:72.000023pt;width:462.55pt;height:686.5pt;mso-position-horizontal-relative:page;mso-position-vertical-relative:page;z-index:-20132352" coordorigin="1408,1440" coordsize="9251,13730" path="m1408,1445l10659,1445m1408,15170l10659,15170m1413,1440l1413,15165m10654,1440l10654,15165e" filled="false" stroked="true" strokeweight=".48pt" strokecolor="#000000">
            <v:path arrowok="t"/>
            <v:stroke dashstyle="solid"/>
            <w10:wrap type="none"/>
          </v:shape>
        </w:pict>
      </w:r>
      <w:r>
        <w:rPr>
          <w:spacing w:val="-1"/>
        </w:rPr>
        <w:t>本项目噪声源主要为风机噪声，所有设备选用低噪声设备，均处于室内，通过建筑墙体隔声及距离衰减后，运行期间厂界噪声可达到《工业企业厂界环境噪声排放标准》</w:t>
      </w:r>
    </w:p>
    <w:p>
      <w:pPr>
        <w:pStyle w:val="BodyText"/>
        <w:spacing w:before="1"/>
        <w:ind w:left="281"/>
      </w:pPr>
      <w:r>
        <w:rPr/>
        <w:t>（</w:t>
      </w:r>
      <w:r>
        <w:rPr>
          <w:rFonts w:ascii="Times New Roman" w:eastAsia="Times New Roman"/>
        </w:rPr>
        <w:t>GB12348-2008</w:t>
      </w:r>
      <w:r>
        <w:rPr/>
        <w:t>）</w:t>
      </w:r>
      <w:r>
        <w:rPr>
          <w:rFonts w:ascii="Times New Roman" w:eastAsia="Times New Roman"/>
        </w:rPr>
        <w:t>2</w:t>
      </w:r>
      <w:r>
        <w:rPr/>
        <w:t>类标准要求。</w:t>
      </w:r>
    </w:p>
    <w:p>
      <w:pPr>
        <w:pStyle w:val="Heading2"/>
        <w:spacing w:before="214"/>
      </w:pPr>
      <w:r>
        <w:rPr/>
        <w:t>环境影响风险分析</w:t>
      </w:r>
    </w:p>
    <w:p>
      <w:pPr>
        <w:pStyle w:val="BodyText"/>
        <w:spacing w:before="9"/>
        <w:rPr>
          <w:sz w:val="20"/>
        </w:rPr>
      </w:pPr>
    </w:p>
    <w:p>
      <w:pPr>
        <w:pStyle w:val="Heading2"/>
      </w:pPr>
      <w:r>
        <w:rPr/>
        <w:t>一、环境风险评价的目的</w:t>
      </w:r>
    </w:p>
    <w:p>
      <w:pPr>
        <w:pStyle w:val="BodyText"/>
        <w:spacing w:line="364" w:lineRule="auto" w:before="211"/>
        <w:ind w:left="281" w:right="318" w:firstLine="480"/>
        <w:jc w:val="both"/>
      </w:pPr>
      <w:r>
        <w:rPr>
          <w:spacing w:val="-4"/>
        </w:rPr>
        <w:t>环境风险评价的目的是分析和预测建设项目存在的潜在危害和有害因素，以及项目</w:t>
      </w:r>
      <w:r>
        <w:rPr>
          <w:spacing w:val="-3"/>
        </w:rPr>
        <w:t>在建设、运营期间可能发生的事故（一般不包括自然灾害与人为破坏</w:t>
      </w:r>
      <w:r>
        <w:rPr>
          <w:spacing w:val="-2"/>
        </w:rPr>
        <w:t>），引起有毒、有</w:t>
      </w:r>
      <w:r>
        <w:rPr>
          <w:spacing w:val="-3"/>
        </w:rPr>
        <w:t>害（本项目为电离辐射）物质泄漏，所造成的环境影响程度和人身安全损害程度，并提出合理可行的防范、应急与减缓措施，以使项目事故发生率、损失和环境影响达到可以</w:t>
      </w:r>
      <w:r>
        <w:rPr/>
        <w:t>接受的水平。</w:t>
      </w:r>
    </w:p>
    <w:p>
      <w:pPr>
        <w:pStyle w:val="Heading2"/>
        <w:spacing w:before="57"/>
      </w:pPr>
      <w:r>
        <w:rPr/>
        <w:t>二、风险识别</w:t>
      </w:r>
    </w:p>
    <w:p>
      <w:pPr>
        <w:pStyle w:val="BodyText"/>
        <w:spacing w:before="9"/>
        <w:rPr>
          <w:sz w:val="20"/>
        </w:rPr>
      </w:pPr>
    </w:p>
    <w:p>
      <w:pPr>
        <w:spacing w:before="0"/>
        <w:ind w:left="281" w:right="0" w:firstLine="0"/>
        <w:jc w:val="left"/>
        <w:rPr>
          <w:sz w:val="28"/>
        </w:rPr>
      </w:pPr>
      <w:r>
        <w:rPr>
          <w:sz w:val="28"/>
        </w:rPr>
        <w:t>（一）</w:t>
      </w:r>
      <w:r>
        <w:rPr>
          <w:rFonts w:ascii="Times New Roman" w:eastAsia="Times New Roman"/>
          <w:b/>
          <w:sz w:val="28"/>
        </w:rPr>
        <w:t>DSA</w:t>
      </w:r>
      <w:r>
        <w:rPr>
          <w:rFonts w:ascii="Times New Roman" w:eastAsia="Times New Roman"/>
          <w:b/>
          <w:spacing w:val="-1"/>
          <w:sz w:val="28"/>
        </w:rPr>
        <w:t> </w:t>
      </w:r>
      <w:r>
        <w:rPr>
          <w:sz w:val="28"/>
        </w:rPr>
        <w:t>可能发生的事故</w:t>
      </w:r>
    </w:p>
    <w:p>
      <w:pPr>
        <w:pStyle w:val="BodyText"/>
        <w:spacing w:line="364" w:lineRule="auto" w:before="212"/>
        <w:ind w:left="281" w:right="316" w:firstLine="480"/>
        <w:jc w:val="both"/>
      </w:pPr>
      <w:r>
        <w:rPr>
          <w:spacing w:val="-8"/>
        </w:rPr>
        <w:t>根据原国家环境保护总局公告 </w:t>
      </w:r>
      <w:r>
        <w:rPr>
          <w:rFonts w:ascii="Times New Roman" w:hAnsi="Times New Roman" w:eastAsia="Times New Roman"/>
          <w:spacing w:val="-3"/>
        </w:rPr>
        <w:t>2017</w:t>
      </w:r>
      <w:r>
        <w:rPr>
          <w:rFonts w:ascii="Times New Roman" w:hAnsi="Times New Roman" w:eastAsia="Times New Roman"/>
        </w:rPr>
        <w:t> </w:t>
      </w:r>
      <w:r>
        <w:rPr>
          <w:spacing w:val="-22"/>
        </w:rPr>
        <w:t>年第 </w:t>
      </w:r>
      <w:r>
        <w:rPr>
          <w:rFonts w:ascii="Times New Roman" w:hAnsi="Times New Roman" w:eastAsia="Times New Roman"/>
          <w:spacing w:val="-3"/>
        </w:rPr>
        <w:t>66</w:t>
      </w:r>
      <w:r>
        <w:rPr>
          <w:rFonts w:ascii="Times New Roman" w:hAnsi="Times New Roman" w:eastAsia="Times New Roman"/>
        </w:rPr>
        <w:t> </w:t>
      </w:r>
      <w:r>
        <w:rPr>
          <w:spacing w:val="-3"/>
        </w:rPr>
        <w:t>号《射线装置分类办法》规定，本项目</w:t>
      </w:r>
      <w:r>
        <w:rPr>
          <w:rFonts w:ascii="Times New Roman" w:hAnsi="Times New Roman" w:eastAsia="Times New Roman"/>
        </w:rPr>
        <w:t>DSA</w:t>
      </w:r>
      <w:r>
        <w:rPr>
          <w:rFonts w:ascii="Times New Roman" w:hAnsi="Times New Roman" w:eastAsia="Times New Roman"/>
          <w:spacing w:val="6"/>
        </w:rPr>
        <w:t> </w:t>
      </w:r>
      <w:r>
        <w:rPr/>
        <w:t>属</w:t>
      </w:r>
      <w:r>
        <w:rPr>
          <w:rFonts w:ascii="Times New Roman" w:hAnsi="Times New Roman" w:eastAsia="Times New Roman"/>
        </w:rPr>
        <w:t>Ⅱ</w:t>
      </w:r>
      <w:r>
        <w:rPr>
          <w:spacing w:val="-4"/>
        </w:rPr>
        <w:t>类射线装置，在运行时会产生 </w:t>
      </w:r>
      <w:r>
        <w:rPr>
          <w:rFonts w:ascii="Times New Roman" w:hAnsi="Times New Roman" w:eastAsia="Times New Roman"/>
        </w:rPr>
        <w:t>X</w:t>
      </w:r>
      <w:r>
        <w:rPr>
          <w:rFonts w:ascii="Times New Roman" w:hAnsi="Times New Roman" w:eastAsia="Times New Roman"/>
          <w:spacing w:val="13"/>
        </w:rPr>
        <w:t> </w:t>
      </w:r>
      <w:r>
        <w:rPr>
          <w:spacing w:val="-4"/>
        </w:rPr>
        <w:t>射线。本项目环境风险因子为 </w:t>
      </w:r>
      <w:r>
        <w:rPr>
          <w:rFonts w:ascii="Times New Roman" w:hAnsi="Times New Roman" w:eastAsia="Times New Roman"/>
        </w:rPr>
        <w:t>X</w:t>
      </w:r>
      <w:r>
        <w:rPr>
          <w:rFonts w:ascii="Times New Roman" w:hAnsi="Times New Roman" w:eastAsia="Times New Roman"/>
          <w:spacing w:val="9"/>
        </w:rPr>
        <w:t> </w:t>
      </w:r>
      <w:r>
        <w:rPr/>
        <w:t>射线，根据其工作原理分析，可能发生的事故工况主要有以下几种情况：</w:t>
      </w:r>
    </w:p>
    <w:p>
      <w:pPr>
        <w:pStyle w:val="BodyText"/>
        <w:spacing w:line="364" w:lineRule="auto" w:before="2"/>
        <w:ind w:left="281" w:right="318" w:firstLine="480"/>
        <w:jc w:val="both"/>
      </w:pPr>
      <w:r>
        <w:rPr>
          <w:spacing w:val="-10"/>
        </w:rPr>
        <w:t>①装置在运行时，介入手术人员在未采取任何防护的情况下位于非主射方向进行介</w:t>
      </w:r>
      <w:r>
        <w:rPr>
          <w:spacing w:val="-3"/>
        </w:rPr>
        <w:t>入手术操作；由于安全联锁系统失效，手术过程中，人员误入或滞留在机房内而造成非</w:t>
      </w:r>
      <w:r>
        <w:rPr/>
        <w:t>主射方向的误照射；</w:t>
      </w:r>
    </w:p>
    <w:p>
      <w:pPr>
        <w:pStyle w:val="BodyText"/>
        <w:spacing w:line="364" w:lineRule="auto" w:before="1"/>
        <w:ind w:left="281" w:right="318" w:firstLine="480"/>
        <w:jc w:val="both"/>
      </w:pPr>
      <w:r>
        <w:rPr>
          <w:spacing w:val="-3"/>
        </w:rPr>
        <w:t>②医用射线装置在检修、维护等过程中，检修、维护人员在未佩戴个人剂量报警仪或报警仪剂量阈值设置错误的情况下，检修、维护人员误操作，造成有关人员受到主射</w:t>
      </w:r>
      <w:r>
        <w:rPr/>
        <w:t>方向的误照射。</w:t>
      </w:r>
    </w:p>
    <w:p>
      <w:pPr>
        <w:pStyle w:val="Heading2"/>
        <w:spacing w:before="56"/>
      </w:pPr>
      <w:r>
        <w:rPr/>
        <w:t>三、源项分析及事故等级分析</w:t>
      </w:r>
    </w:p>
    <w:p>
      <w:pPr>
        <w:pStyle w:val="BodyText"/>
        <w:spacing w:line="364" w:lineRule="auto" w:before="205"/>
        <w:ind w:left="281" w:right="317" w:firstLine="480"/>
        <w:jc w:val="both"/>
      </w:pPr>
      <w:r>
        <w:rPr>
          <w:spacing w:val="-8"/>
        </w:rPr>
        <w:t>本项目新建的 </w:t>
      </w:r>
      <w:r>
        <w:rPr>
          <w:rFonts w:ascii="Times New Roman" w:eastAsia="Times New Roman"/>
        </w:rPr>
        <w:t>DSA</w:t>
      </w:r>
      <w:r>
        <w:rPr>
          <w:spacing w:val="-7"/>
        </w:rPr>
        <w:t>，其风险因子为 </w:t>
      </w:r>
      <w:r>
        <w:rPr>
          <w:rFonts w:ascii="Times New Roman" w:eastAsia="Times New Roman"/>
        </w:rPr>
        <w:t>X</w:t>
      </w:r>
      <w:r>
        <w:rPr>
          <w:rFonts w:ascii="Times New Roman" w:eastAsia="Times New Roman"/>
          <w:spacing w:val="3"/>
        </w:rPr>
        <w:t> </w:t>
      </w:r>
      <w:r>
        <w:rPr>
          <w:spacing w:val="-6"/>
        </w:rPr>
        <w:t>射线。按照国务院 </w:t>
      </w:r>
      <w:r>
        <w:rPr>
          <w:rFonts w:ascii="Times New Roman" w:eastAsia="Times New Roman"/>
        </w:rPr>
        <w:t>449</w:t>
      </w:r>
      <w:r>
        <w:rPr>
          <w:rFonts w:ascii="Times New Roman" w:eastAsia="Times New Roman"/>
          <w:spacing w:val="4"/>
        </w:rPr>
        <w:t> </w:t>
      </w:r>
      <w:r>
        <w:rPr/>
        <w:t>号令第四十条关于事</w:t>
      </w:r>
      <w:r>
        <w:rPr>
          <w:spacing w:val="-3"/>
        </w:rPr>
        <w:t>故的分级原则现将项目的风险物质、风险因子、潜在危害及可能发生的事故等级列于表</w:t>
      </w:r>
      <w:r>
        <w:rPr>
          <w:rFonts w:ascii="Times New Roman" w:eastAsia="Times New Roman"/>
        </w:rPr>
        <w:t>11-9</w:t>
      </w:r>
      <w:r>
        <w:rPr>
          <w:rFonts w:ascii="Times New Roman" w:eastAsia="Times New Roman"/>
          <w:spacing w:val="-1"/>
        </w:rPr>
        <w:t> </w:t>
      </w:r>
      <w:r>
        <w:rPr/>
        <w:t>中。</w:t>
      </w:r>
    </w:p>
    <w:p>
      <w:pPr>
        <w:tabs>
          <w:tab w:pos="1300" w:val="left" w:leader="none"/>
        </w:tabs>
        <w:spacing w:line="219" w:lineRule="exact" w:before="0" w:after="22"/>
        <w:ind w:left="453" w:right="0" w:firstLine="0"/>
        <w:jc w:val="center"/>
        <w:rPr>
          <w:sz w:val="21"/>
        </w:rPr>
      </w:pPr>
      <w:r>
        <w:rPr>
          <w:w w:val="95"/>
          <w:sz w:val="21"/>
        </w:rPr>
        <w:t>表</w:t>
      </w:r>
      <w:r>
        <w:rPr>
          <w:spacing w:val="-42"/>
          <w:w w:val="95"/>
          <w:sz w:val="21"/>
        </w:rPr>
        <w:t> </w:t>
      </w:r>
      <w:r>
        <w:rPr>
          <w:rFonts w:ascii="Times New Roman" w:eastAsia="Times New Roman"/>
          <w:b/>
          <w:w w:val="95"/>
          <w:sz w:val="21"/>
        </w:rPr>
        <w:t>11-9</w:t>
        <w:tab/>
      </w:r>
      <w:r>
        <w:rPr>
          <w:sz w:val="21"/>
        </w:rPr>
        <w:t>项目的环境风险物质、因子、潜在危害及事故等级表</w:t>
      </w:r>
    </w:p>
    <w:tbl>
      <w:tblPr>
        <w:tblW w:w="0" w:type="auto"/>
        <w:jc w:val="left"/>
        <w:tblInd w:w="2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4"/>
        <w:gridCol w:w="1494"/>
        <w:gridCol w:w="4603"/>
        <w:gridCol w:w="1668"/>
      </w:tblGrid>
      <w:tr>
        <w:trPr>
          <w:trHeight w:val="311" w:hRule="atLeast"/>
        </w:trPr>
        <w:tc>
          <w:tcPr>
            <w:tcW w:w="1094" w:type="dxa"/>
            <w:tcBorders>
              <w:left w:val="nil"/>
              <w:right w:val="single" w:sz="4" w:space="0" w:color="000000"/>
            </w:tcBorders>
          </w:tcPr>
          <w:p>
            <w:pPr>
              <w:pStyle w:val="TableParagraph"/>
              <w:spacing w:before="20"/>
              <w:ind w:left="121" w:right="88"/>
              <w:rPr>
                <w:sz w:val="21"/>
              </w:rPr>
            </w:pPr>
            <w:r>
              <w:rPr>
                <w:sz w:val="21"/>
              </w:rPr>
              <w:t>项目名称</w:t>
            </w:r>
          </w:p>
        </w:tc>
        <w:tc>
          <w:tcPr>
            <w:tcW w:w="1494" w:type="dxa"/>
            <w:tcBorders>
              <w:left w:val="single" w:sz="4" w:space="0" w:color="000000"/>
              <w:right w:val="single" w:sz="4" w:space="0" w:color="000000"/>
            </w:tcBorders>
          </w:tcPr>
          <w:p>
            <w:pPr>
              <w:pStyle w:val="TableParagraph"/>
              <w:spacing w:before="20"/>
              <w:ind w:left="104" w:right="80"/>
              <w:rPr>
                <w:sz w:val="21"/>
              </w:rPr>
            </w:pPr>
            <w:r>
              <w:rPr>
                <w:sz w:val="21"/>
              </w:rPr>
              <w:t>环境风险因子</w:t>
            </w:r>
          </w:p>
        </w:tc>
        <w:tc>
          <w:tcPr>
            <w:tcW w:w="4603" w:type="dxa"/>
            <w:tcBorders>
              <w:left w:val="single" w:sz="4" w:space="0" w:color="000000"/>
              <w:right w:val="single" w:sz="4" w:space="0" w:color="000000"/>
            </w:tcBorders>
          </w:tcPr>
          <w:p>
            <w:pPr>
              <w:pStyle w:val="TableParagraph"/>
              <w:spacing w:before="20"/>
              <w:ind w:left="137" w:right="111"/>
              <w:rPr>
                <w:sz w:val="21"/>
              </w:rPr>
            </w:pPr>
            <w:r>
              <w:rPr>
                <w:sz w:val="21"/>
              </w:rPr>
              <w:t>潜在危害</w:t>
            </w:r>
          </w:p>
        </w:tc>
        <w:tc>
          <w:tcPr>
            <w:tcW w:w="1668" w:type="dxa"/>
            <w:tcBorders>
              <w:left w:val="single" w:sz="4" w:space="0" w:color="000000"/>
              <w:right w:val="nil"/>
            </w:tcBorders>
          </w:tcPr>
          <w:p>
            <w:pPr>
              <w:pStyle w:val="TableParagraph"/>
              <w:spacing w:before="20"/>
              <w:ind w:left="182" w:right="163"/>
              <w:rPr>
                <w:sz w:val="21"/>
              </w:rPr>
            </w:pPr>
            <w:r>
              <w:rPr>
                <w:sz w:val="21"/>
              </w:rPr>
              <w:t>事故等级</w:t>
            </w:r>
          </w:p>
        </w:tc>
      </w:tr>
      <w:tr>
        <w:trPr>
          <w:trHeight w:val="310" w:hRule="atLeast"/>
        </w:trPr>
        <w:tc>
          <w:tcPr>
            <w:tcW w:w="1094" w:type="dxa"/>
            <w:tcBorders>
              <w:left w:val="nil"/>
              <w:right w:val="single" w:sz="4" w:space="0" w:color="000000"/>
            </w:tcBorders>
          </w:tcPr>
          <w:p>
            <w:pPr>
              <w:pStyle w:val="TableParagraph"/>
              <w:spacing w:before="35"/>
              <w:ind w:left="121" w:right="86"/>
              <w:rPr>
                <w:rFonts w:ascii="Times New Roman"/>
                <w:sz w:val="21"/>
              </w:rPr>
            </w:pPr>
            <w:r>
              <w:rPr>
                <w:rFonts w:ascii="Times New Roman"/>
                <w:sz w:val="21"/>
              </w:rPr>
              <w:t>DSA</w:t>
            </w:r>
          </w:p>
        </w:tc>
        <w:tc>
          <w:tcPr>
            <w:tcW w:w="1494" w:type="dxa"/>
            <w:tcBorders>
              <w:left w:val="single" w:sz="4" w:space="0" w:color="000000"/>
              <w:right w:val="single" w:sz="4" w:space="0" w:color="000000"/>
            </w:tcBorders>
          </w:tcPr>
          <w:p>
            <w:pPr>
              <w:pStyle w:val="TableParagraph"/>
              <w:spacing w:line="268" w:lineRule="exact" w:before="21"/>
              <w:ind w:left="104" w:right="77"/>
              <w:rPr>
                <w:sz w:val="21"/>
              </w:rPr>
            </w:pPr>
            <w:r>
              <w:rPr>
                <w:rFonts w:ascii="Times New Roman" w:eastAsia="Times New Roman"/>
                <w:sz w:val="21"/>
              </w:rPr>
              <w:t>X</w:t>
            </w:r>
            <w:r>
              <w:rPr>
                <w:rFonts w:ascii="Times New Roman" w:eastAsia="Times New Roman"/>
                <w:spacing w:val="-2"/>
                <w:sz w:val="21"/>
              </w:rPr>
              <w:t> </w:t>
            </w:r>
            <w:r>
              <w:rPr>
                <w:sz w:val="21"/>
              </w:rPr>
              <w:t>射线</w:t>
            </w:r>
          </w:p>
        </w:tc>
        <w:tc>
          <w:tcPr>
            <w:tcW w:w="4603" w:type="dxa"/>
            <w:tcBorders>
              <w:left w:val="single" w:sz="4" w:space="0" w:color="000000"/>
              <w:right w:val="single" w:sz="4" w:space="0" w:color="000000"/>
            </w:tcBorders>
          </w:tcPr>
          <w:p>
            <w:pPr>
              <w:pStyle w:val="TableParagraph"/>
              <w:spacing w:line="268" w:lineRule="exact" w:before="21"/>
              <w:ind w:left="137" w:right="111"/>
              <w:rPr>
                <w:sz w:val="21"/>
              </w:rPr>
            </w:pPr>
            <w:r>
              <w:rPr>
                <w:rFonts w:ascii="Times New Roman" w:eastAsia="Times New Roman"/>
                <w:w w:val="95"/>
                <w:sz w:val="21"/>
              </w:rPr>
              <w:t>X</w:t>
            </w:r>
            <w:r>
              <w:rPr>
                <w:rFonts w:ascii="Times New Roman" w:eastAsia="Times New Roman"/>
                <w:spacing w:val="117"/>
                <w:sz w:val="21"/>
              </w:rPr>
              <w:t> </w:t>
            </w:r>
            <w:r>
              <w:rPr>
                <w:w w:val="95"/>
                <w:sz w:val="21"/>
              </w:rPr>
              <w:t>射线装置失控导致人员受超年剂量限值的照射</w:t>
            </w:r>
          </w:p>
        </w:tc>
        <w:tc>
          <w:tcPr>
            <w:tcW w:w="1668" w:type="dxa"/>
            <w:tcBorders>
              <w:left w:val="single" w:sz="4" w:space="0" w:color="000000"/>
              <w:right w:val="nil"/>
            </w:tcBorders>
          </w:tcPr>
          <w:p>
            <w:pPr>
              <w:pStyle w:val="TableParagraph"/>
              <w:spacing w:line="268" w:lineRule="exact" w:before="21"/>
              <w:ind w:left="182" w:right="161"/>
              <w:rPr>
                <w:sz w:val="21"/>
              </w:rPr>
            </w:pPr>
            <w:r>
              <w:rPr>
                <w:sz w:val="21"/>
              </w:rPr>
              <w:t>一般辐射事故</w:t>
            </w:r>
          </w:p>
        </w:tc>
      </w:tr>
    </w:tbl>
    <w:p>
      <w:pPr>
        <w:spacing w:after="0" w:line="268" w:lineRule="exact"/>
        <w:rPr>
          <w:sz w:val="21"/>
        </w:rPr>
        <w:sectPr>
          <w:pgSz w:w="11910" w:h="16840"/>
          <w:pgMar w:header="0" w:footer="1383" w:top="1420" w:bottom="1660" w:left="1240" w:right="1040"/>
        </w:sectPr>
      </w:pPr>
    </w:p>
    <w:tbl>
      <w:tblPr>
        <w:tblW w:w="0" w:type="auto"/>
        <w:jc w:val="left"/>
        <w:tblInd w:w="1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02"/>
        <w:gridCol w:w="1494"/>
        <w:gridCol w:w="4603"/>
        <w:gridCol w:w="1668"/>
        <w:gridCol w:w="274"/>
      </w:tblGrid>
      <w:tr>
        <w:trPr>
          <w:trHeight w:val="611" w:hRule="atLeast"/>
        </w:trPr>
        <w:tc>
          <w:tcPr>
            <w:tcW w:w="1202" w:type="dxa"/>
            <w:vMerge w:val="restart"/>
            <w:tcBorders>
              <w:left w:val="single" w:sz="4" w:space="0" w:color="000000"/>
              <w:bottom w:val="single" w:sz="12" w:space="0" w:color="000000"/>
              <w:right w:val="single" w:sz="4" w:space="0" w:color="000000"/>
            </w:tcBorders>
          </w:tcPr>
          <w:p>
            <w:pPr>
              <w:pStyle w:val="TableParagraph"/>
              <w:jc w:val="left"/>
              <w:rPr>
                <w:rFonts w:ascii="Times New Roman"/>
                <w:sz w:val="22"/>
              </w:rPr>
            </w:pPr>
          </w:p>
        </w:tc>
        <w:tc>
          <w:tcPr>
            <w:tcW w:w="1494" w:type="dxa"/>
            <w:vMerge w:val="restart"/>
            <w:tcBorders>
              <w:left w:val="single" w:sz="4" w:space="0" w:color="000000"/>
              <w:bottom w:val="single" w:sz="12" w:space="0" w:color="000000"/>
              <w:right w:val="single" w:sz="4" w:space="0" w:color="000000"/>
            </w:tcBorders>
          </w:tcPr>
          <w:p>
            <w:pPr>
              <w:pStyle w:val="TableParagraph"/>
              <w:jc w:val="left"/>
              <w:rPr>
                <w:rFonts w:ascii="Times New Roman"/>
                <w:sz w:val="22"/>
              </w:rPr>
            </w:pPr>
          </w:p>
        </w:tc>
        <w:tc>
          <w:tcPr>
            <w:tcW w:w="4603" w:type="dxa"/>
            <w:tcBorders>
              <w:left w:val="single" w:sz="4" w:space="0" w:color="000000"/>
              <w:bottom w:val="single" w:sz="4" w:space="0" w:color="000000"/>
              <w:right w:val="single" w:sz="4" w:space="0" w:color="000000"/>
            </w:tcBorders>
          </w:tcPr>
          <w:p>
            <w:pPr>
              <w:pStyle w:val="TableParagraph"/>
              <w:spacing w:before="18"/>
              <w:ind w:left="107"/>
              <w:jc w:val="left"/>
              <w:rPr>
                <w:sz w:val="21"/>
              </w:rPr>
            </w:pPr>
            <w:r>
              <w:rPr>
                <w:rFonts w:ascii="Times New Roman" w:eastAsia="Times New Roman"/>
                <w:w w:val="95"/>
                <w:sz w:val="21"/>
              </w:rPr>
              <w:t>X</w:t>
            </w:r>
            <w:r>
              <w:rPr>
                <w:rFonts w:ascii="Times New Roman" w:eastAsia="Times New Roman"/>
                <w:spacing w:val="29"/>
                <w:w w:val="95"/>
                <w:sz w:val="21"/>
              </w:rPr>
              <w:t> </w:t>
            </w:r>
            <w:r>
              <w:rPr>
                <w:spacing w:val="-2"/>
                <w:w w:val="95"/>
                <w:sz w:val="21"/>
              </w:rPr>
              <w:t>射线装置失控导致 </w:t>
            </w:r>
            <w:r>
              <w:rPr>
                <w:rFonts w:ascii="Times New Roman" w:eastAsia="Times New Roman"/>
                <w:w w:val="95"/>
                <w:sz w:val="21"/>
              </w:rPr>
              <w:t>9</w:t>
            </w:r>
            <w:r>
              <w:rPr>
                <w:rFonts w:ascii="Times New Roman" w:eastAsia="Times New Roman"/>
                <w:spacing w:val="31"/>
                <w:w w:val="95"/>
                <w:sz w:val="21"/>
              </w:rPr>
              <w:t> </w:t>
            </w:r>
            <w:r>
              <w:rPr>
                <w:w w:val="95"/>
                <w:sz w:val="21"/>
              </w:rPr>
              <w:t>人以下（</w:t>
            </w:r>
            <w:r>
              <w:rPr>
                <w:spacing w:val="-11"/>
                <w:w w:val="95"/>
                <w:sz w:val="21"/>
              </w:rPr>
              <w:t>含 </w:t>
            </w:r>
            <w:r>
              <w:rPr>
                <w:rFonts w:ascii="Times New Roman" w:eastAsia="Times New Roman"/>
                <w:w w:val="95"/>
                <w:sz w:val="21"/>
              </w:rPr>
              <w:t>9</w:t>
            </w:r>
            <w:r>
              <w:rPr>
                <w:rFonts w:ascii="Times New Roman" w:eastAsia="Times New Roman"/>
                <w:spacing w:val="31"/>
                <w:w w:val="95"/>
                <w:sz w:val="21"/>
              </w:rPr>
              <w:t> </w:t>
            </w:r>
            <w:r>
              <w:rPr>
                <w:w w:val="95"/>
                <w:sz w:val="21"/>
              </w:rPr>
              <w:t>人）急性重</w:t>
            </w:r>
          </w:p>
          <w:p>
            <w:pPr>
              <w:pStyle w:val="TableParagraph"/>
              <w:spacing w:line="262" w:lineRule="exact" w:before="43"/>
              <w:ind w:left="107"/>
              <w:jc w:val="left"/>
              <w:rPr>
                <w:sz w:val="21"/>
              </w:rPr>
            </w:pPr>
            <w:r>
              <w:rPr>
                <w:sz w:val="21"/>
              </w:rPr>
              <w:t>度放射病、局部器官残疾</w:t>
            </w:r>
          </w:p>
        </w:tc>
        <w:tc>
          <w:tcPr>
            <w:tcW w:w="1668" w:type="dxa"/>
            <w:tcBorders>
              <w:left w:val="single" w:sz="4" w:space="0" w:color="000000"/>
              <w:bottom w:val="single" w:sz="4" w:space="0" w:color="000000"/>
              <w:right w:val="nil"/>
            </w:tcBorders>
          </w:tcPr>
          <w:p>
            <w:pPr>
              <w:pStyle w:val="TableParagraph"/>
              <w:spacing w:before="174"/>
              <w:ind w:left="203"/>
              <w:jc w:val="left"/>
              <w:rPr>
                <w:sz w:val="21"/>
              </w:rPr>
            </w:pPr>
            <w:r>
              <w:rPr>
                <w:sz w:val="21"/>
              </w:rPr>
              <w:t>较大辐射事故</w:t>
            </w:r>
          </w:p>
        </w:tc>
        <w:tc>
          <w:tcPr>
            <w:tcW w:w="274" w:type="dxa"/>
            <w:vMerge w:val="restart"/>
            <w:tcBorders>
              <w:top w:val="single" w:sz="4" w:space="0" w:color="000000"/>
              <w:left w:val="nil"/>
              <w:bottom w:val="nil"/>
              <w:right w:val="single" w:sz="4" w:space="0" w:color="000000"/>
            </w:tcBorders>
          </w:tcPr>
          <w:p>
            <w:pPr>
              <w:pStyle w:val="TableParagraph"/>
              <w:jc w:val="left"/>
              <w:rPr>
                <w:rFonts w:ascii="Times New Roman"/>
                <w:sz w:val="22"/>
              </w:rPr>
            </w:pPr>
          </w:p>
        </w:tc>
      </w:tr>
      <w:tr>
        <w:trPr>
          <w:trHeight w:val="916" w:hRule="atLeast"/>
        </w:trPr>
        <w:tc>
          <w:tcPr>
            <w:tcW w:w="1202" w:type="dxa"/>
            <w:vMerge/>
            <w:tcBorders>
              <w:top w:val="nil"/>
              <w:left w:val="single" w:sz="4" w:space="0" w:color="000000"/>
              <w:bottom w:val="single" w:sz="12" w:space="0" w:color="000000"/>
              <w:right w:val="single" w:sz="4" w:space="0" w:color="000000"/>
            </w:tcBorders>
          </w:tcPr>
          <w:p>
            <w:pPr>
              <w:rPr>
                <w:sz w:val="2"/>
                <w:szCs w:val="2"/>
              </w:rPr>
            </w:pPr>
          </w:p>
        </w:tc>
        <w:tc>
          <w:tcPr>
            <w:tcW w:w="1494" w:type="dxa"/>
            <w:vMerge/>
            <w:tcBorders>
              <w:top w:val="nil"/>
              <w:left w:val="single" w:sz="4" w:space="0" w:color="000000"/>
              <w:bottom w:val="single" w:sz="12" w:space="0" w:color="000000"/>
              <w:right w:val="single" w:sz="4" w:space="0" w:color="000000"/>
            </w:tcBorders>
          </w:tcPr>
          <w:p>
            <w:pPr>
              <w:rPr>
                <w:sz w:val="2"/>
                <w:szCs w:val="2"/>
              </w:rPr>
            </w:pPr>
          </w:p>
        </w:tc>
        <w:tc>
          <w:tcPr>
            <w:tcW w:w="4603" w:type="dxa"/>
            <w:tcBorders>
              <w:top w:val="single" w:sz="4" w:space="0" w:color="000000"/>
              <w:left w:val="single" w:sz="4" w:space="0" w:color="000000"/>
              <w:bottom w:val="single" w:sz="4" w:space="0" w:color="000000"/>
              <w:right w:val="single" w:sz="4" w:space="0" w:color="000000"/>
            </w:tcBorders>
          </w:tcPr>
          <w:p>
            <w:pPr>
              <w:pStyle w:val="TableParagraph"/>
              <w:spacing w:before="12"/>
              <w:ind w:left="107"/>
              <w:jc w:val="left"/>
              <w:rPr>
                <w:sz w:val="21"/>
              </w:rPr>
            </w:pPr>
            <w:r>
              <w:rPr>
                <w:rFonts w:ascii="Times New Roman" w:eastAsia="Times New Roman"/>
                <w:w w:val="95"/>
                <w:sz w:val="21"/>
              </w:rPr>
              <w:t>X</w:t>
            </w:r>
            <w:r>
              <w:rPr>
                <w:rFonts w:ascii="Times New Roman" w:eastAsia="Times New Roman"/>
                <w:spacing w:val="29"/>
                <w:w w:val="95"/>
                <w:sz w:val="21"/>
              </w:rPr>
              <w:t> </w:t>
            </w:r>
            <w:r>
              <w:rPr>
                <w:spacing w:val="-2"/>
                <w:w w:val="95"/>
                <w:sz w:val="21"/>
              </w:rPr>
              <w:t>射线装置失控导致 </w:t>
            </w:r>
            <w:r>
              <w:rPr>
                <w:rFonts w:ascii="Times New Roman" w:eastAsia="Times New Roman"/>
                <w:w w:val="95"/>
                <w:sz w:val="21"/>
              </w:rPr>
              <w:t>2</w:t>
            </w:r>
            <w:r>
              <w:rPr>
                <w:rFonts w:ascii="Times New Roman" w:eastAsia="Times New Roman"/>
                <w:spacing w:val="31"/>
                <w:w w:val="95"/>
                <w:sz w:val="21"/>
              </w:rPr>
              <w:t> </w:t>
            </w:r>
            <w:r>
              <w:rPr>
                <w:w w:val="95"/>
                <w:sz w:val="21"/>
              </w:rPr>
              <w:t>人以上（</w:t>
            </w:r>
            <w:r>
              <w:rPr>
                <w:spacing w:val="-11"/>
                <w:w w:val="95"/>
                <w:sz w:val="21"/>
              </w:rPr>
              <w:t>含 </w:t>
            </w:r>
            <w:r>
              <w:rPr>
                <w:rFonts w:ascii="Times New Roman" w:eastAsia="Times New Roman"/>
                <w:w w:val="95"/>
                <w:sz w:val="21"/>
              </w:rPr>
              <w:t>2</w:t>
            </w:r>
            <w:r>
              <w:rPr>
                <w:rFonts w:ascii="Times New Roman" w:eastAsia="Times New Roman"/>
                <w:spacing w:val="31"/>
                <w:w w:val="95"/>
                <w:sz w:val="21"/>
              </w:rPr>
              <w:t> </w:t>
            </w:r>
            <w:r>
              <w:rPr>
                <w:w w:val="95"/>
                <w:sz w:val="21"/>
              </w:rPr>
              <w:t>人）急性死</w:t>
            </w:r>
          </w:p>
          <w:p>
            <w:pPr>
              <w:pStyle w:val="TableParagraph"/>
              <w:spacing w:line="310" w:lineRule="atLeast"/>
              <w:ind w:left="107" w:right="74"/>
              <w:jc w:val="left"/>
              <w:rPr>
                <w:sz w:val="21"/>
              </w:rPr>
            </w:pPr>
            <w:r>
              <w:rPr>
                <w:spacing w:val="-1"/>
                <w:w w:val="95"/>
                <w:sz w:val="21"/>
              </w:rPr>
              <w:t>亡或者 </w:t>
            </w:r>
            <w:r>
              <w:rPr>
                <w:rFonts w:ascii="Times New Roman" w:eastAsia="Times New Roman"/>
                <w:w w:val="95"/>
                <w:sz w:val="21"/>
              </w:rPr>
              <w:t>10</w:t>
            </w:r>
            <w:r>
              <w:rPr>
                <w:rFonts w:ascii="Times New Roman" w:eastAsia="Times New Roman"/>
                <w:spacing w:val="2"/>
                <w:w w:val="95"/>
                <w:sz w:val="21"/>
              </w:rPr>
              <w:t> </w:t>
            </w:r>
            <w:r>
              <w:rPr>
                <w:w w:val="95"/>
                <w:sz w:val="21"/>
              </w:rPr>
              <w:t>人以上（</w:t>
            </w:r>
            <w:r>
              <w:rPr>
                <w:spacing w:val="-1"/>
                <w:w w:val="95"/>
                <w:sz w:val="21"/>
              </w:rPr>
              <w:t>含 </w:t>
            </w:r>
            <w:r>
              <w:rPr>
                <w:rFonts w:ascii="Times New Roman" w:eastAsia="Times New Roman"/>
                <w:w w:val="95"/>
                <w:sz w:val="21"/>
              </w:rPr>
              <w:t>10</w:t>
            </w:r>
            <w:r>
              <w:rPr>
                <w:rFonts w:ascii="Times New Roman" w:eastAsia="Times New Roman"/>
                <w:spacing w:val="2"/>
                <w:w w:val="95"/>
                <w:sz w:val="21"/>
              </w:rPr>
              <w:t> </w:t>
            </w:r>
            <w:r>
              <w:rPr>
                <w:w w:val="95"/>
                <w:sz w:val="21"/>
              </w:rPr>
              <w:t>人）急性重度放射病、</w:t>
            </w:r>
            <w:r>
              <w:rPr>
                <w:sz w:val="21"/>
              </w:rPr>
              <w:t>局部器官残疾</w:t>
            </w:r>
          </w:p>
        </w:tc>
        <w:tc>
          <w:tcPr>
            <w:tcW w:w="1668" w:type="dxa"/>
            <w:tcBorders>
              <w:top w:val="single" w:sz="4" w:space="0" w:color="000000"/>
              <w:left w:val="single" w:sz="4" w:space="0" w:color="000000"/>
              <w:bottom w:val="single" w:sz="4" w:space="0" w:color="000000"/>
              <w:right w:val="nil"/>
            </w:tcBorders>
          </w:tcPr>
          <w:p>
            <w:pPr>
              <w:pStyle w:val="TableParagraph"/>
              <w:spacing w:before="3"/>
              <w:jc w:val="left"/>
              <w:rPr>
                <w:sz w:val="25"/>
              </w:rPr>
            </w:pPr>
          </w:p>
          <w:p>
            <w:pPr>
              <w:pStyle w:val="TableParagraph"/>
              <w:ind w:left="203"/>
              <w:jc w:val="left"/>
              <w:rPr>
                <w:sz w:val="21"/>
              </w:rPr>
            </w:pPr>
            <w:r>
              <w:rPr>
                <w:sz w:val="21"/>
              </w:rPr>
              <w:t>重大辐射事故</w:t>
            </w:r>
          </w:p>
        </w:tc>
        <w:tc>
          <w:tcPr>
            <w:tcW w:w="274" w:type="dxa"/>
            <w:vMerge/>
            <w:tcBorders>
              <w:top w:val="nil"/>
              <w:left w:val="nil"/>
              <w:bottom w:val="nil"/>
              <w:right w:val="single" w:sz="4" w:space="0" w:color="000000"/>
            </w:tcBorders>
          </w:tcPr>
          <w:p>
            <w:pPr>
              <w:rPr>
                <w:sz w:val="2"/>
                <w:szCs w:val="2"/>
              </w:rPr>
            </w:pPr>
          </w:p>
        </w:tc>
      </w:tr>
      <w:tr>
        <w:trPr>
          <w:trHeight w:val="613" w:hRule="atLeast"/>
        </w:trPr>
        <w:tc>
          <w:tcPr>
            <w:tcW w:w="1202" w:type="dxa"/>
            <w:vMerge/>
            <w:tcBorders>
              <w:top w:val="nil"/>
              <w:left w:val="single" w:sz="4" w:space="0" w:color="000000"/>
              <w:bottom w:val="single" w:sz="12" w:space="0" w:color="000000"/>
              <w:right w:val="single" w:sz="4" w:space="0" w:color="000000"/>
            </w:tcBorders>
          </w:tcPr>
          <w:p>
            <w:pPr>
              <w:rPr>
                <w:sz w:val="2"/>
                <w:szCs w:val="2"/>
              </w:rPr>
            </w:pPr>
          </w:p>
        </w:tc>
        <w:tc>
          <w:tcPr>
            <w:tcW w:w="1494" w:type="dxa"/>
            <w:vMerge/>
            <w:tcBorders>
              <w:top w:val="nil"/>
              <w:left w:val="single" w:sz="4" w:space="0" w:color="000000"/>
              <w:bottom w:val="single" w:sz="12" w:space="0" w:color="000000"/>
              <w:right w:val="single" w:sz="4" w:space="0" w:color="000000"/>
            </w:tcBorders>
          </w:tcPr>
          <w:p>
            <w:pPr>
              <w:rPr>
                <w:sz w:val="2"/>
                <w:szCs w:val="2"/>
              </w:rPr>
            </w:pPr>
          </w:p>
        </w:tc>
        <w:tc>
          <w:tcPr>
            <w:tcW w:w="4603" w:type="dxa"/>
            <w:tcBorders>
              <w:top w:val="single" w:sz="4" w:space="0" w:color="000000"/>
              <w:left w:val="single" w:sz="4" w:space="0" w:color="000000"/>
              <w:bottom w:val="single" w:sz="12" w:space="0" w:color="000000"/>
              <w:right w:val="single" w:sz="4" w:space="0" w:color="000000"/>
            </w:tcBorders>
          </w:tcPr>
          <w:p>
            <w:pPr>
              <w:pStyle w:val="TableParagraph"/>
              <w:spacing w:before="11"/>
              <w:ind w:left="107"/>
              <w:jc w:val="left"/>
              <w:rPr>
                <w:sz w:val="21"/>
              </w:rPr>
            </w:pPr>
            <w:r>
              <w:rPr>
                <w:rFonts w:ascii="Times New Roman" w:eastAsia="Times New Roman"/>
                <w:w w:val="95"/>
                <w:sz w:val="21"/>
              </w:rPr>
              <w:t>X</w:t>
            </w:r>
            <w:r>
              <w:rPr>
                <w:rFonts w:ascii="Times New Roman" w:eastAsia="Times New Roman"/>
                <w:spacing w:val="29"/>
                <w:w w:val="95"/>
                <w:sz w:val="21"/>
              </w:rPr>
              <w:t> </w:t>
            </w:r>
            <w:r>
              <w:rPr>
                <w:spacing w:val="-2"/>
                <w:w w:val="95"/>
                <w:sz w:val="21"/>
              </w:rPr>
              <w:t>射线装置失控导致 </w:t>
            </w:r>
            <w:r>
              <w:rPr>
                <w:rFonts w:ascii="Times New Roman" w:eastAsia="Times New Roman"/>
                <w:w w:val="95"/>
                <w:sz w:val="21"/>
              </w:rPr>
              <w:t>3</w:t>
            </w:r>
            <w:r>
              <w:rPr>
                <w:rFonts w:ascii="Times New Roman" w:eastAsia="Times New Roman"/>
                <w:spacing w:val="31"/>
                <w:w w:val="95"/>
                <w:sz w:val="21"/>
              </w:rPr>
              <w:t> </w:t>
            </w:r>
            <w:r>
              <w:rPr>
                <w:w w:val="95"/>
                <w:sz w:val="21"/>
              </w:rPr>
              <w:t>人以上（</w:t>
            </w:r>
            <w:r>
              <w:rPr>
                <w:spacing w:val="-11"/>
                <w:w w:val="95"/>
                <w:sz w:val="21"/>
              </w:rPr>
              <w:t>含 </w:t>
            </w:r>
            <w:r>
              <w:rPr>
                <w:rFonts w:ascii="Times New Roman" w:eastAsia="Times New Roman"/>
                <w:w w:val="95"/>
                <w:sz w:val="21"/>
              </w:rPr>
              <w:t>3</w:t>
            </w:r>
            <w:r>
              <w:rPr>
                <w:rFonts w:ascii="Times New Roman" w:eastAsia="Times New Roman"/>
                <w:spacing w:val="31"/>
                <w:w w:val="95"/>
                <w:sz w:val="21"/>
              </w:rPr>
              <w:t> </w:t>
            </w:r>
            <w:r>
              <w:rPr>
                <w:w w:val="95"/>
                <w:sz w:val="21"/>
              </w:rPr>
              <w:t>人）急性死</w:t>
            </w:r>
          </w:p>
          <w:p>
            <w:pPr>
              <w:pStyle w:val="TableParagraph"/>
              <w:spacing w:before="43"/>
              <w:ind w:left="107"/>
              <w:jc w:val="left"/>
              <w:rPr>
                <w:sz w:val="21"/>
              </w:rPr>
            </w:pPr>
            <w:r>
              <w:rPr>
                <w:w w:val="99"/>
                <w:sz w:val="21"/>
              </w:rPr>
              <w:t>亡</w:t>
            </w:r>
          </w:p>
        </w:tc>
        <w:tc>
          <w:tcPr>
            <w:tcW w:w="1668" w:type="dxa"/>
            <w:tcBorders>
              <w:top w:val="single" w:sz="4" w:space="0" w:color="000000"/>
              <w:left w:val="single" w:sz="4" w:space="0" w:color="000000"/>
              <w:bottom w:val="single" w:sz="12" w:space="0" w:color="000000"/>
              <w:right w:val="nil"/>
            </w:tcBorders>
          </w:tcPr>
          <w:p>
            <w:pPr>
              <w:pStyle w:val="TableParagraph"/>
              <w:spacing w:before="11"/>
              <w:ind w:left="173" w:right="171"/>
              <w:rPr>
                <w:sz w:val="21"/>
              </w:rPr>
            </w:pPr>
            <w:r>
              <w:rPr>
                <w:sz w:val="21"/>
              </w:rPr>
              <w:t>特别重大辐射</w:t>
            </w:r>
          </w:p>
          <w:p>
            <w:pPr>
              <w:pStyle w:val="TableParagraph"/>
              <w:spacing w:before="43"/>
              <w:ind w:left="173" w:right="171"/>
              <w:rPr>
                <w:sz w:val="21"/>
              </w:rPr>
            </w:pPr>
            <w:r>
              <w:rPr>
                <w:sz w:val="21"/>
              </w:rPr>
              <w:t>事故</w:t>
            </w:r>
          </w:p>
        </w:tc>
        <w:tc>
          <w:tcPr>
            <w:tcW w:w="274" w:type="dxa"/>
            <w:vMerge/>
            <w:tcBorders>
              <w:top w:val="nil"/>
              <w:left w:val="nil"/>
              <w:bottom w:val="nil"/>
              <w:right w:val="single" w:sz="4" w:space="0" w:color="000000"/>
            </w:tcBorders>
          </w:tcPr>
          <w:p>
            <w:pPr>
              <w:rPr>
                <w:sz w:val="2"/>
                <w:szCs w:val="2"/>
              </w:rPr>
            </w:pPr>
          </w:p>
        </w:tc>
      </w:tr>
      <w:tr>
        <w:trPr>
          <w:trHeight w:val="11451" w:hRule="atLeast"/>
        </w:trPr>
        <w:tc>
          <w:tcPr>
            <w:tcW w:w="9241" w:type="dxa"/>
            <w:gridSpan w:val="5"/>
            <w:tcBorders>
              <w:top w:val="nil"/>
              <w:left w:val="single" w:sz="4" w:space="0" w:color="000000"/>
              <w:bottom w:val="single" w:sz="4" w:space="0" w:color="000000"/>
              <w:right w:val="single" w:sz="4" w:space="0" w:color="000000"/>
            </w:tcBorders>
          </w:tcPr>
          <w:p>
            <w:pPr>
              <w:pStyle w:val="TableParagraph"/>
              <w:spacing w:line="364" w:lineRule="auto" w:before="82"/>
              <w:ind w:left="108" w:right="96" w:firstLine="480"/>
              <w:jc w:val="both"/>
              <w:rPr>
                <w:sz w:val="24"/>
              </w:rPr>
            </w:pPr>
            <w:r>
              <w:rPr>
                <w:spacing w:val="-3"/>
                <w:sz w:val="24"/>
              </w:rPr>
              <w:t>根据《实用辐射安全手册》（第二版）（丛慧玲，北京：原子能出版社</w:t>
            </w:r>
            <w:r>
              <w:rPr>
                <w:spacing w:val="-2"/>
                <w:sz w:val="24"/>
              </w:rPr>
              <w:t>）急性放射</w:t>
            </w:r>
            <w:r>
              <w:rPr>
                <w:spacing w:val="-4"/>
                <w:sz w:val="24"/>
              </w:rPr>
              <w:t>病的发生率以及急性放射病的死亡率与辐射剂量的关系见表 </w:t>
            </w:r>
            <w:r>
              <w:rPr>
                <w:rFonts w:ascii="Times New Roman" w:eastAsia="Times New Roman"/>
                <w:sz w:val="24"/>
              </w:rPr>
              <w:t>11-10</w:t>
            </w:r>
            <w:r>
              <w:rPr>
                <w:sz w:val="24"/>
              </w:rPr>
              <w:t>：</w:t>
            </w:r>
          </w:p>
          <w:p>
            <w:pPr>
              <w:pStyle w:val="TableParagraph"/>
              <w:spacing w:before="10"/>
              <w:jc w:val="left"/>
              <w:rPr>
                <w:sz w:val="25"/>
              </w:rPr>
            </w:pPr>
          </w:p>
          <w:p>
            <w:pPr>
              <w:pStyle w:val="TableParagraph"/>
              <w:tabs>
                <w:tab w:pos="979" w:val="left" w:leader="none"/>
              </w:tabs>
              <w:spacing w:before="1"/>
              <w:ind w:left="26"/>
              <w:rPr>
                <w:sz w:val="21"/>
              </w:rPr>
            </w:pPr>
            <w:r>
              <w:rPr>
                <w:w w:val="95"/>
                <w:sz w:val="21"/>
              </w:rPr>
              <w:t>表</w:t>
            </w:r>
            <w:r>
              <w:rPr>
                <w:spacing w:val="-40"/>
                <w:w w:val="95"/>
                <w:sz w:val="21"/>
              </w:rPr>
              <w:t> </w:t>
            </w:r>
            <w:r>
              <w:rPr>
                <w:rFonts w:ascii="Times New Roman" w:eastAsia="Times New Roman"/>
                <w:b/>
                <w:w w:val="95"/>
                <w:sz w:val="21"/>
              </w:rPr>
              <w:t>11-10</w:t>
              <w:tab/>
            </w:r>
            <w:r>
              <w:rPr>
                <w:sz w:val="21"/>
              </w:rPr>
              <w:t>急性放射病的发生率、死亡率与辐射剂量的关系</w:t>
            </w: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4"/>
              <w:jc w:val="left"/>
              <w:rPr>
                <w:sz w:val="21"/>
              </w:rPr>
            </w:pPr>
          </w:p>
          <w:p>
            <w:pPr>
              <w:pStyle w:val="TableParagraph"/>
              <w:ind w:left="108"/>
              <w:jc w:val="left"/>
              <w:rPr>
                <w:sz w:val="28"/>
              </w:rPr>
            </w:pPr>
            <w:r>
              <w:rPr>
                <w:sz w:val="28"/>
              </w:rPr>
              <w:t>四、最大可能性事故分析</w:t>
            </w:r>
          </w:p>
          <w:p>
            <w:pPr>
              <w:pStyle w:val="TableParagraph"/>
              <w:spacing w:before="9"/>
              <w:jc w:val="left"/>
              <w:rPr>
                <w:sz w:val="20"/>
              </w:rPr>
            </w:pPr>
          </w:p>
          <w:p>
            <w:pPr>
              <w:pStyle w:val="TableParagraph"/>
              <w:ind w:left="108"/>
              <w:jc w:val="left"/>
              <w:rPr>
                <w:sz w:val="28"/>
              </w:rPr>
            </w:pPr>
            <w:bookmarkStart w:name="（一）DSA事故的后果计算" w:id="22"/>
            <w:bookmarkEnd w:id="22"/>
            <w:r>
              <w:rPr/>
            </w:r>
            <w:r>
              <w:rPr>
                <w:sz w:val="28"/>
              </w:rPr>
              <w:t>（一）</w:t>
            </w:r>
            <w:r>
              <w:rPr>
                <w:rFonts w:ascii="Times New Roman" w:eastAsia="Times New Roman"/>
                <w:b/>
                <w:sz w:val="28"/>
              </w:rPr>
              <w:t>DSA </w:t>
            </w:r>
            <w:r>
              <w:rPr>
                <w:sz w:val="28"/>
              </w:rPr>
              <w:t>事故的后果计算</w:t>
            </w:r>
          </w:p>
          <w:p>
            <w:pPr>
              <w:pStyle w:val="TableParagraph"/>
              <w:spacing w:before="214"/>
              <w:ind w:left="588"/>
              <w:jc w:val="left"/>
              <w:rPr>
                <w:sz w:val="24"/>
              </w:rPr>
            </w:pPr>
            <w:r>
              <w:rPr>
                <w:rFonts w:ascii="Times New Roman" w:eastAsia="Times New Roman"/>
                <w:sz w:val="24"/>
              </w:rPr>
              <w:t>1</w:t>
            </w:r>
            <w:r>
              <w:rPr>
                <w:sz w:val="24"/>
              </w:rPr>
              <w:t>、介入手术过程中，发生介入手术人员超剂量照射</w:t>
            </w:r>
          </w:p>
          <w:p>
            <w:pPr>
              <w:pStyle w:val="TableParagraph"/>
              <w:spacing w:before="161"/>
              <w:ind w:left="588"/>
              <w:jc w:val="left"/>
              <w:rPr>
                <w:sz w:val="24"/>
              </w:rPr>
            </w:pPr>
            <w:r>
              <w:rPr>
                <w:sz w:val="24"/>
              </w:rPr>
              <w:t>（</w:t>
            </w:r>
            <w:r>
              <w:rPr>
                <w:rFonts w:ascii="Times New Roman" w:eastAsia="Times New Roman"/>
                <w:b/>
                <w:sz w:val="24"/>
              </w:rPr>
              <w:t>1</w:t>
            </w:r>
            <w:r>
              <w:rPr>
                <w:sz w:val="24"/>
              </w:rPr>
              <w:t>）事故假设</w:t>
            </w:r>
          </w:p>
          <w:p>
            <w:pPr>
              <w:pStyle w:val="TableParagraph"/>
              <w:spacing w:line="364" w:lineRule="auto" w:before="160"/>
              <w:ind w:left="108" w:right="94" w:firstLine="480"/>
              <w:jc w:val="both"/>
              <w:rPr>
                <w:sz w:val="24"/>
              </w:rPr>
            </w:pPr>
            <w:r>
              <w:rPr>
                <w:spacing w:val="-10"/>
                <w:sz w:val="24"/>
              </w:rPr>
              <w:t>①装置在运行时，介入手术人员在未采取任何防护的情况下位于非主射方向进行介</w:t>
            </w:r>
            <w:r>
              <w:rPr>
                <w:spacing w:val="-3"/>
                <w:sz w:val="24"/>
              </w:rPr>
              <w:t>入手术操作；由于安全联锁系统失效，手术过程中，人员误入或滞留在机房内而造成非</w:t>
            </w:r>
            <w:r>
              <w:rPr>
                <w:sz w:val="24"/>
              </w:rPr>
              <w:t>主射方向的误照射。</w:t>
            </w:r>
          </w:p>
          <w:p>
            <w:pPr>
              <w:pStyle w:val="TableParagraph"/>
              <w:spacing w:line="364" w:lineRule="auto" w:before="2"/>
              <w:ind w:left="108" w:right="96" w:firstLine="480"/>
              <w:jc w:val="both"/>
              <w:rPr>
                <w:sz w:val="24"/>
              </w:rPr>
            </w:pPr>
            <w:r>
              <w:rPr>
                <w:spacing w:val="-7"/>
                <w:sz w:val="24"/>
              </w:rPr>
              <w:t>②设备维护人员在维护 </w:t>
            </w:r>
            <w:r>
              <w:rPr>
                <w:rFonts w:ascii="Times New Roman" w:hAnsi="Times New Roman" w:eastAsia="Times New Roman"/>
                <w:sz w:val="24"/>
              </w:rPr>
              <w:t>DSA</w:t>
            </w:r>
            <w:r>
              <w:rPr>
                <w:rFonts w:ascii="Times New Roman" w:hAnsi="Times New Roman" w:eastAsia="Times New Roman"/>
                <w:spacing w:val="-15"/>
                <w:sz w:val="24"/>
              </w:rPr>
              <w:t> </w:t>
            </w:r>
            <w:r>
              <w:rPr>
                <w:rFonts w:ascii="Times New Roman" w:hAnsi="Times New Roman" w:eastAsia="Times New Roman"/>
                <w:sz w:val="24"/>
              </w:rPr>
              <w:t>X</w:t>
            </w:r>
            <w:r>
              <w:rPr>
                <w:rFonts w:ascii="Times New Roman" w:hAnsi="Times New Roman" w:eastAsia="Times New Roman"/>
                <w:spacing w:val="-1"/>
                <w:sz w:val="24"/>
              </w:rPr>
              <w:t> </w:t>
            </w:r>
            <w:r>
              <w:rPr>
                <w:sz w:val="24"/>
              </w:rPr>
              <w:t>线机射线管或测量探测器时，维护人员未佩戴个人</w:t>
            </w:r>
            <w:r>
              <w:rPr>
                <w:spacing w:val="-3"/>
                <w:sz w:val="24"/>
              </w:rPr>
              <w:t>剂量报警仪或报警仪剂量阈值设置错误的情况下，射线管处于出束状态，维修人员处于</w:t>
            </w:r>
            <w:r>
              <w:rPr>
                <w:sz w:val="24"/>
              </w:rPr>
              <w:t>主射方向。</w:t>
            </w:r>
          </w:p>
        </w:tc>
      </w:tr>
    </w:tbl>
    <w:p>
      <w:pPr>
        <w:rPr>
          <w:sz w:val="2"/>
          <w:szCs w:val="2"/>
        </w:rPr>
      </w:pPr>
      <w:r>
        <w:rPr/>
        <w:pict>
          <v:shape style="position:absolute;margin-left:80.330002pt;margin-top:271.500031pt;width:443.4pt;height:213.45pt;mso-position-horizontal-relative:page;mso-position-vertical-relative:page;z-index:15755264"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09"/>
                    <w:gridCol w:w="2409"/>
                    <w:gridCol w:w="2259"/>
                    <w:gridCol w:w="2047"/>
                  </w:tblGrid>
                  <w:tr>
                    <w:trPr>
                      <w:trHeight w:val="340" w:hRule="atLeast"/>
                    </w:trPr>
                    <w:tc>
                      <w:tcPr>
                        <w:tcW w:w="2109" w:type="dxa"/>
                        <w:tcBorders>
                          <w:left w:val="nil"/>
                          <w:right w:val="single" w:sz="4" w:space="0" w:color="000000"/>
                        </w:tcBorders>
                      </w:tcPr>
                      <w:p>
                        <w:pPr>
                          <w:pStyle w:val="TableParagraph"/>
                          <w:spacing w:before="36"/>
                          <w:ind w:left="445" w:right="414"/>
                          <w:rPr>
                            <w:rFonts w:ascii="Times New Roman" w:eastAsia="Times New Roman"/>
                            <w:sz w:val="21"/>
                          </w:rPr>
                        </w:pPr>
                        <w:r>
                          <w:rPr>
                            <w:sz w:val="21"/>
                          </w:rPr>
                          <w:t>辐射剂量</w:t>
                        </w:r>
                        <w:r>
                          <w:rPr>
                            <w:rFonts w:ascii="Times New Roman" w:eastAsia="Times New Roman"/>
                            <w:spacing w:val="-2"/>
                            <w:sz w:val="21"/>
                          </w:rPr>
                          <w:t>/ </w:t>
                        </w:r>
                        <w:r>
                          <w:rPr>
                            <w:rFonts w:ascii="Times New Roman" w:eastAsia="Times New Roman"/>
                            <w:sz w:val="21"/>
                          </w:rPr>
                          <w:t>Gy</w:t>
                        </w:r>
                      </w:p>
                    </w:tc>
                    <w:tc>
                      <w:tcPr>
                        <w:tcW w:w="2409" w:type="dxa"/>
                        <w:tcBorders>
                          <w:left w:val="single" w:sz="4" w:space="0" w:color="000000"/>
                          <w:right w:val="single" w:sz="4" w:space="0" w:color="000000"/>
                        </w:tcBorders>
                      </w:tcPr>
                      <w:p>
                        <w:pPr>
                          <w:pStyle w:val="TableParagraph"/>
                          <w:spacing w:before="36"/>
                          <w:ind w:left="235" w:right="210"/>
                          <w:rPr>
                            <w:rFonts w:ascii="Times New Roman" w:eastAsia="Times New Roman"/>
                            <w:sz w:val="21"/>
                          </w:rPr>
                        </w:pPr>
                        <w:r>
                          <w:rPr>
                            <w:sz w:val="21"/>
                          </w:rPr>
                          <w:t>急性放射病发生率</w:t>
                        </w:r>
                        <w:r>
                          <w:rPr>
                            <w:rFonts w:ascii="Times New Roman" w:eastAsia="Times New Roman"/>
                            <w:sz w:val="21"/>
                          </w:rPr>
                          <w:t>/%</w:t>
                        </w:r>
                      </w:p>
                    </w:tc>
                    <w:tc>
                      <w:tcPr>
                        <w:tcW w:w="2259" w:type="dxa"/>
                        <w:tcBorders>
                          <w:left w:val="single" w:sz="4" w:space="0" w:color="000000"/>
                          <w:right w:val="single" w:sz="4" w:space="0" w:color="000000"/>
                        </w:tcBorders>
                      </w:tcPr>
                      <w:p>
                        <w:pPr>
                          <w:pStyle w:val="TableParagraph"/>
                          <w:spacing w:before="36"/>
                          <w:ind w:left="516" w:right="489"/>
                          <w:rPr>
                            <w:rFonts w:ascii="Times New Roman" w:eastAsia="Times New Roman"/>
                            <w:sz w:val="21"/>
                          </w:rPr>
                        </w:pPr>
                        <w:r>
                          <w:rPr>
                            <w:sz w:val="21"/>
                          </w:rPr>
                          <w:t>辐射剂量</w:t>
                        </w:r>
                        <w:r>
                          <w:rPr>
                            <w:rFonts w:ascii="Times New Roman" w:eastAsia="Times New Roman"/>
                            <w:spacing w:val="-2"/>
                            <w:sz w:val="21"/>
                          </w:rPr>
                          <w:t>/ </w:t>
                        </w:r>
                        <w:r>
                          <w:rPr>
                            <w:rFonts w:ascii="Times New Roman" w:eastAsia="Times New Roman"/>
                            <w:sz w:val="21"/>
                          </w:rPr>
                          <w:t>Gy</w:t>
                        </w:r>
                      </w:p>
                    </w:tc>
                    <w:tc>
                      <w:tcPr>
                        <w:tcW w:w="2047" w:type="dxa"/>
                        <w:tcBorders>
                          <w:left w:val="single" w:sz="4" w:space="0" w:color="000000"/>
                          <w:right w:val="nil"/>
                        </w:tcBorders>
                      </w:tcPr>
                      <w:p>
                        <w:pPr>
                          <w:pStyle w:val="TableParagraph"/>
                          <w:spacing w:before="36"/>
                          <w:ind w:left="580" w:right="558"/>
                          <w:rPr>
                            <w:rFonts w:ascii="Times New Roman" w:eastAsia="Times New Roman"/>
                            <w:sz w:val="21"/>
                          </w:rPr>
                        </w:pPr>
                        <w:r>
                          <w:rPr>
                            <w:sz w:val="21"/>
                          </w:rPr>
                          <w:t>死亡率</w:t>
                        </w:r>
                        <w:r>
                          <w:rPr>
                            <w:rFonts w:ascii="Times New Roman" w:eastAsia="Times New Roman"/>
                            <w:sz w:val="21"/>
                          </w:rPr>
                          <w:t>/%</w:t>
                        </w:r>
                      </w:p>
                    </w:tc>
                  </w:tr>
                  <w:tr>
                    <w:trPr>
                      <w:trHeight w:val="340" w:hRule="atLeast"/>
                    </w:trPr>
                    <w:tc>
                      <w:tcPr>
                        <w:tcW w:w="2109" w:type="dxa"/>
                        <w:tcBorders>
                          <w:left w:val="nil"/>
                          <w:bottom w:val="single" w:sz="4" w:space="0" w:color="000000"/>
                          <w:right w:val="single" w:sz="4" w:space="0" w:color="000000"/>
                        </w:tcBorders>
                      </w:tcPr>
                      <w:p>
                        <w:pPr>
                          <w:pStyle w:val="TableParagraph"/>
                          <w:spacing w:before="50"/>
                          <w:ind w:left="445" w:right="412"/>
                          <w:rPr>
                            <w:rFonts w:ascii="Times New Roman"/>
                            <w:sz w:val="21"/>
                          </w:rPr>
                        </w:pPr>
                        <w:r>
                          <w:rPr>
                            <w:rFonts w:ascii="Times New Roman"/>
                            <w:sz w:val="21"/>
                          </w:rPr>
                          <w:t>0.70</w:t>
                        </w:r>
                      </w:p>
                    </w:tc>
                    <w:tc>
                      <w:tcPr>
                        <w:tcW w:w="2409" w:type="dxa"/>
                        <w:tcBorders>
                          <w:left w:val="single" w:sz="4" w:space="0" w:color="000000"/>
                          <w:bottom w:val="single" w:sz="4" w:space="0" w:color="000000"/>
                          <w:right w:val="single" w:sz="4" w:space="0" w:color="000000"/>
                        </w:tcBorders>
                      </w:tcPr>
                      <w:p>
                        <w:pPr>
                          <w:pStyle w:val="TableParagraph"/>
                          <w:spacing w:before="50"/>
                          <w:ind w:left="27"/>
                          <w:rPr>
                            <w:rFonts w:ascii="Times New Roman"/>
                            <w:sz w:val="21"/>
                          </w:rPr>
                        </w:pPr>
                        <w:r>
                          <w:rPr>
                            <w:rFonts w:ascii="Times New Roman"/>
                            <w:w w:val="99"/>
                            <w:sz w:val="21"/>
                          </w:rPr>
                          <w:t>1</w:t>
                        </w:r>
                      </w:p>
                    </w:tc>
                    <w:tc>
                      <w:tcPr>
                        <w:tcW w:w="2259" w:type="dxa"/>
                        <w:tcBorders>
                          <w:left w:val="single" w:sz="4" w:space="0" w:color="000000"/>
                          <w:bottom w:val="single" w:sz="4" w:space="0" w:color="000000"/>
                          <w:right w:val="single" w:sz="4" w:space="0" w:color="000000"/>
                        </w:tcBorders>
                      </w:tcPr>
                      <w:p>
                        <w:pPr>
                          <w:pStyle w:val="TableParagraph"/>
                          <w:spacing w:before="50"/>
                          <w:ind w:left="516" w:right="487"/>
                          <w:rPr>
                            <w:rFonts w:ascii="Times New Roman"/>
                            <w:sz w:val="21"/>
                          </w:rPr>
                        </w:pPr>
                        <w:r>
                          <w:rPr>
                            <w:rFonts w:ascii="Times New Roman"/>
                            <w:sz w:val="21"/>
                          </w:rPr>
                          <w:t>2.00</w:t>
                        </w:r>
                      </w:p>
                    </w:tc>
                    <w:tc>
                      <w:tcPr>
                        <w:tcW w:w="2047" w:type="dxa"/>
                        <w:tcBorders>
                          <w:left w:val="single" w:sz="4" w:space="0" w:color="000000"/>
                          <w:bottom w:val="single" w:sz="4" w:space="0" w:color="000000"/>
                          <w:right w:val="nil"/>
                        </w:tcBorders>
                      </w:tcPr>
                      <w:p>
                        <w:pPr>
                          <w:pStyle w:val="TableParagraph"/>
                          <w:spacing w:before="50"/>
                          <w:ind w:left="24"/>
                          <w:rPr>
                            <w:rFonts w:ascii="Times New Roman"/>
                            <w:sz w:val="21"/>
                          </w:rPr>
                        </w:pPr>
                        <w:r>
                          <w:rPr>
                            <w:rFonts w:ascii="Times New Roman"/>
                            <w:w w:val="99"/>
                            <w:sz w:val="21"/>
                          </w:rPr>
                          <w:t>1</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50"/>
                          <w:ind w:left="445" w:right="412"/>
                          <w:rPr>
                            <w:rFonts w:ascii="Times New Roman"/>
                            <w:sz w:val="21"/>
                          </w:rPr>
                        </w:pPr>
                        <w:r>
                          <w:rPr>
                            <w:rFonts w:ascii="Times New Roman"/>
                            <w:sz w:val="21"/>
                          </w:rPr>
                          <w:t>0.90</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50"/>
                          <w:ind w:left="235" w:right="208"/>
                          <w:rPr>
                            <w:rFonts w:ascii="Times New Roman"/>
                            <w:sz w:val="21"/>
                          </w:rPr>
                        </w:pPr>
                        <w:r>
                          <w:rPr>
                            <w:rFonts w:ascii="Times New Roman"/>
                            <w:sz w:val="21"/>
                          </w:rPr>
                          <w:t>10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50"/>
                          <w:ind w:left="516" w:right="487"/>
                          <w:rPr>
                            <w:rFonts w:ascii="Times New Roman"/>
                            <w:sz w:val="21"/>
                          </w:rPr>
                        </w:pPr>
                        <w:r>
                          <w:rPr>
                            <w:rFonts w:ascii="Times New Roman"/>
                            <w:sz w:val="21"/>
                          </w:rPr>
                          <w:t>2.50</w:t>
                        </w:r>
                      </w:p>
                    </w:tc>
                    <w:tc>
                      <w:tcPr>
                        <w:tcW w:w="2047" w:type="dxa"/>
                        <w:tcBorders>
                          <w:top w:val="single" w:sz="4" w:space="0" w:color="000000"/>
                          <w:left w:val="single" w:sz="4" w:space="0" w:color="000000"/>
                          <w:bottom w:val="single" w:sz="4" w:space="0" w:color="000000"/>
                          <w:right w:val="nil"/>
                        </w:tcBorders>
                      </w:tcPr>
                      <w:p>
                        <w:pPr>
                          <w:pStyle w:val="TableParagraph"/>
                          <w:spacing w:before="50"/>
                          <w:ind w:left="580" w:right="556"/>
                          <w:rPr>
                            <w:rFonts w:ascii="Times New Roman"/>
                            <w:sz w:val="21"/>
                          </w:rPr>
                        </w:pPr>
                        <w:r>
                          <w:rPr>
                            <w:rFonts w:ascii="Times New Roman"/>
                            <w:sz w:val="21"/>
                          </w:rPr>
                          <w:t>10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8"/>
                          <w:ind w:left="445" w:right="412"/>
                          <w:rPr>
                            <w:rFonts w:ascii="Times New Roman"/>
                            <w:sz w:val="21"/>
                          </w:rPr>
                        </w:pPr>
                        <w:r>
                          <w:rPr>
                            <w:rFonts w:ascii="Times New Roman"/>
                            <w:sz w:val="21"/>
                          </w:rPr>
                          <w:t>1.00</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8"/>
                          <w:ind w:left="235" w:right="208"/>
                          <w:rPr>
                            <w:rFonts w:ascii="Times New Roman"/>
                            <w:sz w:val="21"/>
                          </w:rPr>
                        </w:pPr>
                        <w:r>
                          <w:rPr>
                            <w:rFonts w:ascii="Times New Roman"/>
                            <w:sz w:val="21"/>
                          </w:rPr>
                          <w:t>20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8"/>
                          <w:ind w:left="516" w:right="487"/>
                          <w:rPr>
                            <w:rFonts w:ascii="Times New Roman"/>
                            <w:sz w:val="21"/>
                          </w:rPr>
                        </w:pPr>
                        <w:r>
                          <w:rPr>
                            <w:rFonts w:ascii="Times New Roman"/>
                            <w:sz w:val="21"/>
                          </w:rPr>
                          <w:t>2.80</w:t>
                        </w:r>
                      </w:p>
                    </w:tc>
                    <w:tc>
                      <w:tcPr>
                        <w:tcW w:w="2047" w:type="dxa"/>
                        <w:tcBorders>
                          <w:top w:val="single" w:sz="4" w:space="0" w:color="000000"/>
                          <w:left w:val="single" w:sz="4" w:space="0" w:color="000000"/>
                          <w:bottom w:val="single" w:sz="4" w:space="0" w:color="000000"/>
                          <w:right w:val="nil"/>
                        </w:tcBorders>
                      </w:tcPr>
                      <w:p>
                        <w:pPr>
                          <w:pStyle w:val="TableParagraph"/>
                          <w:spacing w:before="48"/>
                          <w:ind w:left="580" w:right="556"/>
                          <w:rPr>
                            <w:rFonts w:ascii="Times New Roman"/>
                            <w:sz w:val="21"/>
                          </w:rPr>
                        </w:pPr>
                        <w:r>
                          <w:rPr>
                            <w:rFonts w:ascii="Times New Roman"/>
                            <w:sz w:val="21"/>
                          </w:rPr>
                          <w:t>20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8"/>
                          <w:ind w:left="445" w:right="412"/>
                          <w:rPr>
                            <w:rFonts w:ascii="Times New Roman"/>
                            <w:sz w:val="21"/>
                          </w:rPr>
                        </w:pPr>
                        <w:r>
                          <w:rPr>
                            <w:rFonts w:ascii="Times New Roman"/>
                            <w:sz w:val="21"/>
                          </w:rPr>
                          <w:t>1.05</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8"/>
                          <w:ind w:left="235" w:right="208"/>
                          <w:rPr>
                            <w:rFonts w:ascii="Times New Roman"/>
                            <w:sz w:val="21"/>
                          </w:rPr>
                        </w:pPr>
                        <w:r>
                          <w:rPr>
                            <w:rFonts w:ascii="Times New Roman"/>
                            <w:sz w:val="21"/>
                          </w:rPr>
                          <w:t>30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8"/>
                          <w:ind w:left="516" w:right="487"/>
                          <w:rPr>
                            <w:rFonts w:ascii="Times New Roman"/>
                            <w:sz w:val="21"/>
                          </w:rPr>
                        </w:pPr>
                        <w:r>
                          <w:rPr>
                            <w:rFonts w:ascii="Times New Roman"/>
                            <w:sz w:val="21"/>
                          </w:rPr>
                          <w:t>3.00</w:t>
                        </w:r>
                      </w:p>
                    </w:tc>
                    <w:tc>
                      <w:tcPr>
                        <w:tcW w:w="2047" w:type="dxa"/>
                        <w:tcBorders>
                          <w:top w:val="single" w:sz="4" w:space="0" w:color="000000"/>
                          <w:left w:val="single" w:sz="4" w:space="0" w:color="000000"/>
                          <w:bottom w:val="single" w:sz="4" w:space="0" w:color="000000"/>
                          <w:right w:val="nil"/>
                        </w:tcBorders>
                      </w:tcPr>
                      <w:p>
                        <w:pPr>
                          <w:pStyle w:val="TableParagraph"/>
                          <w:spacing w:before="48"/>
                          <w:ind w:left="580" w:right="556"/>
                          <w:rPr>
                            <w:rFonts w:ascii="Times New Roman"/>
                            <w:sz w:val="21"/>
                          </w:rPr>
                        </w:pPr>
                        <w:r>
                          <w:rPr>
                            <w:rFonts w:ascii="Times New Roman"/>
                            <w:sz w:val="21"/>
                          </w:rPr>
                          <w:t>30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8"/>
                          <w:ind w:left="445" w:right="412"/>
                          <w:rPr>
                            <w:rFonts w:ascii="Times New Roman"/>
                            <w:sz w:val="21"/>
                          </w:rPr>
                        </w:pPr>
                        <w:r>
                          <w:rPr>
                            <w:rFonts w:ascii="Times New Roman"/>
                            <w:sz w:val="21"/>
                          </w:rPr>
                          <w:t>1.10</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8"/>
                          <w:ind w:left="235" w:right="208"/>
                          <w:rPr>
                            <w:rFonts w:ascii="Times New Roman"/>
                            <w:sz w:val="21"/>
                          </w:rPr>
                        </w:pPr>
                        <w:r>
                          <w:rPr>
                            <w:rFonts w:ascii="Times New Roman"/>
                            <w:sz w:val="21"/>
                          </w:rPr>
                          <w:t>40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8"/>
                          <w:ind w:left="516" w:right="487"/>
                          <w:rPr>
                            <w:rFonts w:ascii="Times New Roman"/>
                            <w:sz w:val="21"/>
                          </w:rPr>
                        </w:pPr>
                        <w:r>
                          <w:rPr>
                            <w:rFonts w:ascii="Times New Roman"/>
                            <w:sz w:val="21"/>
                          </w:rPr>
                          <w:t>3.20</w:t>
                        </w:r>
                      </w:p>
                    </w:tc>
                    <w:tc>
                      <w:tcPr>
                        <w:tcW w:w="2047" w:type="dxa"/>
                        <w:tcBorders>
                          <w:top w:val="single" w:sz="4" w:space="0" w:color="000000"/>
                          <w:left w:val="single" w:sz="4" w:space="0" w:color="000000"/>
                          <w:bottom w:val="single" w:sz="4" w:space="0" w:color="000000"/>
                          <w:right w:val="nil"/>
                        </w:tcBorders>
                      </w:tcPr>
                      <w:p>
                        <w:pPr>
                          <w:pStyle w:val="TableParagraph"/>
                          <w:spacing w:before="48"/>
                          <w:ind w:left="580" w:right="556"/>
                          <w:rPr>
                            <w:rFonts w:ascii="Times New Roman"/>
                            <w:sz w:val="21"/>
                          </w:rPr>
                        </w:pPr>
                        <w:r>
                          <w:rPr>
                            <w:rFonts w:ascii="Times New Roman"/>
                            <w:sz w:val="21"/>
                          </w:rPr>
                          <w:t>40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9"/>
                          <w:ind w:left="445" w:right="412"/>
                          <w:rPr>
                            <w:rFonts w:ascii="Times New Roman"/>
                            <w:sz w:val="21"/>
                          </w:rPr>
                        </w:pPr>
                        <w:r>
                          <w:rPr>
                            <w:rFonts w:ascii="Times New Roman"/>
                            <w:sz w:val="21"/>
                          </w:rPr>
                          <w:t>1.20</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9"/>
                          <w:ind w:left="235" w:right="208"/>
                          <w:rPr>
                            <w:rFonts w:ascii="Times New Roman"/>
                            <w:sz w:val="21"/>
                          </w:rPr>
                        </w:pPr>
                        <w:r>
                          <w:rPr>
                            <w:rFonts w:ascii="Times New Roman"/>
                            <w:sz w:val="21"/>
                          </w:rPr>
                          <w:t>50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9"/>
                          <w:ind w:left="516" w:right="487"/>
                          <w:rPr>
                            <w:rFonts w:ascii="Times New Roman"/>
                            <w:sz w:val="21"/>
                          </w:rPr>
                        </w:pPr>
                        <w:r>
                          <w:rPr>
                            <w:rFonts w:ascii="Times New Roman"/>
                            <w:sz w:val="21"/>
                          </w:rPr>
                          <w:t>3.50</w:t>
                        </w:r>
                      </w:p>
                    </w:tc>
                    <w:tc>
                      <w:tcPr>
                        <w:tcW w:w="2047" w:type="dxa"/>
                        <w:tcBorders>
                          <w:top w:val="single" w:sz="4" w:space="0" w:color="000000"/>
                          <w:left w:val="single" w:sz="4" w:space="0" w:color="000000"/>
                          <w:bottom w:val="single" w:sz="4" w:space="0" w:color="000000"/>
                          <w:right w:val="nil"/>
                        </w:tcBorders>
                      </w:tcPr>
                      <w:p>
                        <w:pPr>
                          <w:pStyle w:val="TableParagraph"/>
                          <w:spacing w:before="49"/>
                          <w:ind w:left="580" w:right="556"/>
                          <w:rPr>
                            <w:rFonts w:ascii="Times New Roman"/>
                            <w:sz w:val="21"/>
                          </w:rPr>
                        </w:pPr>
                        <w:r>
                          <w:rPr>
                            <w:rFonts w:ascii="Times New Roman"/>
                            <w:sz w:val="21"/>
                          </w:rPr>
                          <w:t>50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9"/>
                          <w:ind w:left="445" w:right="412"/>
                          <w:rPr>
                            <w:rFonts w:ascii="Times New Roman"/>
                            <w:sz w:val="21"/>
                          </w:rPr>
                        </w:pPr>
                        <w:r>
                          <w:rPr>
                            <w:rFonts w:ascii="Times New Roman"/>
                            <w:sz w:val="21"/>
                          </w:rPr>
                          <w:t>1.25</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9"/>
                          <w:ind w:left="235" w:right="208"/>
                          <w:rPr>
                            <w:rFonts w:ascii="Times New Roman"/>
                            <w:sz w:val="21"/>
                          </w:rPr>
                        </w:pPr>
                        <w:r>
                          <w:rPr>
                            <w:rFonts w:ascii="Times New Roman"/>
                            <w:sz w:val="21"/>
                          </w:rPr>
                          <w:t>60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9"/>
                          <w:ind w:left="516" w:right="487"/>
                          <w:rPr>
                            <w:rFonts w:ascii="Times New Roman"/>
                            <w:sz w:val="21"/>
                          </w:rPr>
                        </w:pPr>
                        <w:r>
                          <w:rPr>
                            <w:rFonts w:ascii="Times New Roman"/>
                            <w:sz w:val="21"/>
                          </w:rPr>
                          <w:t>3.60</w:t>
                        </w:r>
                      </w:p>
                    </w:tc>
                    <w:tc>
                      <w:tcPr>
                        <w:tcW w:w="2047" w:type="dxa"/>
                        <w:tcBorders>
                          <w:top w:val="single" w:sz="4" w:space="0" w:color="000000"/>
                          <w:left w:val="single" w:sz="4" w:space="0" w:color="000000"/>
                          <w:bottom w:val="single" w:sz="4" w:space="0" w:color="000000"/>
                          <w:right w:val="nil"/>
                        </w:tcBorders>
                      </w:tcPr>
                      <w:p>
                        <w:pPr>
                          <w:pStyle w:val="TableParagraph"/>
                          <w:spacing w:before="49"/>
                          <w:ind w:left="580" w:right="556"/>
                          <w:rPr>
                            <w:rFonts w:ascii="Times New Roman"/>
                            <w:sz w:val="21"/>
                          </w:rPr>
                        </w:pPr>
                        <w:r>
                          <w:rPr>
                            <w:rFonts w:ascii="Times New Roman"/>
                            <w:sz w:val="21"/>
                          </w:rPr>
                          <w:t>60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50"/>
                          <w:ind w:left="445" w:right="412"/>
                          <w:rPr>
                            <w:rFonts w:ascii="Times New Roman"/>
                            <w:sz w:val="21"/>
                          </w:rPr>
                        </w:pPr>
                        <w:r>
                          <w:rPr>
                            <w:rFonts w:ascii="Times New Roman"/>
                            <w:sz w:val="21"/>
                          </w:rPr>
                          <w:t>1.35</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50"/>
                          <w:ind w:left="235" w:right="208"/>
                          <w:rPr>
                            <w:rFonts w:ascii="Times New Roman"/>
                            <w:sz w:val="21"/>
                          </w:rPr>
                        </w:pPr>
                        <w:r>
                          <w:rPr>
                            <w:rFonts w:ascii="Times New Roman"/>
                            <w:sz w:val="21"/>
                          </w:rPr>
                          <w:t>70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50"/>
                          <w:ind w:left="516" w:right="487"/>
                          <w:rPr>
                            <w:rFonts w:ascii="Times New Roman"/>
                            <w:sz w:val="21"/>
                          </w:rPr>
                        </w:pPr>
                        <w:r>
                          <w:rPr>
                            <w:rFonts w:ascii="Times New Roman"/>
                            <w:sz w:val="21"/>
                          </w:rPr>
                          <w:t>3.75</w:t>
                        </w:r>
                      </w:p>
                    </w:tc>
                    <w:tc>
                      <w:tcPr>
                        <w:tcW w:w="2047" w:type="dxa"/>
                        <w:tcBorders>
                          <w:top w:val="single" w:sz="4" w:space="0" w:color="000000"/>
                          <w:left w:val="single" w:sz="4" w:space="0" w:color="000000"/>
                          <w:bottom w:val="single" w:sz="4" w:space="0" w:color="000000"/>
                          <w:right w:val="nil"/>
                        </w:tcBorders>
                      </w:tcPr>
                      <w:p>
                        <w:pPr>
                          <w:pStyle w:val="TableParagraph"/>
                          <w:spacing w:before="50"/>
                          <w:ind w:left="580" w:right="556"/>
                          <w:rPr>
                            <w:rFonts w:ascii="Times New Roman"/>
                            <w:sz w:val="21"/>
                          </w:rPr>
                        </w:pPr>
                        <w:r>
                          <w:rPr>
                            <w:rFonts w:ascii="Times New Roman"/>
                            <w:sz w:val="21"/>
                          </w:rPr>
                          <w:t>70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8"/>
                          <w:ind w:left="445" w:right="412"/>
                          <w:rPr>
                            <w:rFonts w:ascii="Times New Roman"/>
                            <w:sz w:val="21"/>
                          </w:rPr>
                        </w:pPr>
                        <w:r>
                          <w:rPr>
                            <w:rFonts w:ascii="Times New Roman"/>
                            <w:sz w:val="21"/>
                          </w:rPr>
                          <w:t>1.40</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8"/>
                          <w:ind w:left="235" w:right="208"/>
                          <w:rPr>
                            <w:rFonts w:ascii="Times New Roman"/>
                            <w:sz w:val="21"/>
                          </w:rPr>
                        </w:pPr>
                        <w:r>
                          <w:rPr>
                            <w:rFonts w:ascii="Times New Roman"/>
                            <w:sz w:val="21"/>
                          </w:rPr>
                          <w:t>80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8"/>
                          <w:ind w:left="516" w:right="487"/>
                          <w:rPr>
                            <w:rFonts w:ascii="Times New Roman"/>
                            <w:sz w:val="21"/>
                          </w:rPr>
                        </w:pPr>
                        <w:r>
                          <w:rPr>
                            <w:rFonts w:ascii="Times New Roman"/>
                            <w:sz w:val="21"/>
                          </w:rPr>
                          <w:t>4.00</w:t>
                        </w:r>
                      </w:p>
                    </w:tc>
                    <w:tc>
                      <w:tcPr>
                        <w:tcW w:w="2047" w:type="dxa"/>
                        <w:tcBorders>
                          <w:top w:val="single" w:sz="4" w:space="0" w:color="000000"/>
                          <w:left w:val="single" w:sz="4" w:space="0" w:color="000000"/>
                          <w:bottom w:val="single" w:sz="4" w:space="0" w:color="000000"/>
                          <w:right w:val="nil"/>
                        </w:tcBorders>
                      </w:tcPr>
                      <w:p>
                        <w:pPr>
                          <w:pStyle w:val="TableParagraph"/>
                          <w:spacing w:before="48"/>
                          <w:ind w:left="580" w:right="556"/>
                          <w:rPr>
                            <w:rFonts w:ascii="Times New Roman"/>
                            <w:sz w:val="21"/>
                          </w:rPr>
                        </w:pPr>
                        <w:r>
                          <w:rPr>
                            <w:rFonts w:ascii="Times New Roman"/>
                            <w:sz w:val="21"/>
                          </w:rPr>
                          <w:t>80</w:t>
                        </w:r>
                      </w:p>
                    </w:tc>
                  </w:tr>
                  <w:tr>
                    <w:trPr>
                      <w:trHeight w:val="340" w:hRule="atLeast"/>
                    </w:trPr>
                    <w:tc>
                      <w:tcPr>
                        <w:tcW w:w="2109" w:type="dxa"/>
                        <w:tcBorders>
                          <w:top w:val="single" w:sz="4" w:space="0" w:color="000000"/>
                          <w:left w:val="nil"/>
                          <w:bottom w:val="single" w:sz="4" w:space="0" w:color="000000"/>
                          <w:right w:val="single" w:sz="4" w:space="0" w:color="000000"/>
                        </w:tcBorders>
                      </w:tcPr>
                      <w:p>
                        <w:pPr>
                          <w:pStyle w:val="TableParagraph"/>
                          <w:spacing w:before="48"/>
                          <w:ind w:left="445" w:right="412"/>
                          <w:rPr>
                            <w:rFonts w:ascii="Times New Roman"/>
                            <w:sz w:val="21"/>
                          </w:rPr>
                        </w:pPr>
                        <w:r>
                          <w:rPr>
                            <w:rFonts w:ascii="Times New Roman"/>
                            <w:sz w:val="21"/>
                          </w:rPr>
                          <w:t>1.60</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48"/>
                          <w:ind w:left="235" w:right="208"/>
                          <w:rPr>
                            <w:rFonts w:ascii="Times New Roman"/>
                            <w:sz w:val="21"/>
                          </w:rPr>
                        </w:pPr>
                        <w:r>
                          <w:rPr>
                            <w:rFonts w:ascii="Times New Roman"/>
                            <w:sz w:val="21"/>
                          </w:rPr>
                          <w:t>90</w:t>
                        </w:r>
                      </w:p>
                    </w:tc>
                    <w:tc>
                      <w:tcPr>
                        <w:tcW w:w="2259" w:type="dxa"/>
                        <w:tcBorders>
                          <w:top w:val="single" w:sz="4" w:space="0" w:color="000000"/>
                          <w:left w:val="single" w:sz="4" w:space="0" w:color="000000"/>
                          <w:bottom w:val="single" w:sz="4" w:space="0" w:color="000000"/>
                          <w:right w:val="single" w:sz="4" w:space="0" w:color="000000"/>
                        </w:tcBorders>
                      </w:tcPr>
                      <w:p>
                        <w:pPr>
                          <w:pStyle w:val="TableParagraph"/>
                          <w:spacing w:before="48"/>
                          <w:ind w:left="516" w:right="487"/>
                          <w:rPr>
                            <w:rFonts w:ascii="Times New Roman"/>
                            <w:sz w:val="21"/>
                          </w:rPr>
                        </w:pPr>
                        <w:r>
                          <w:rPr>
                            <w:rFonts w:ascii="Times New Roman"/>
                            <w:sz w:val="21"/>
                          </w:rPr>
                          <w:t>4.50</w:t>
                        </w:r>
                      </w:p>
                    </w:tc>
                    <w:tc>
                      <w:tcPr>
                        <w:tcW w:w="2047" w:type="dxa"/>
                        <w:tcBorders>
                          <w:top w:val="single" w:sz="4" w:space="0" w:color="000000"/>
                          <w:left w:val="single" w:sz="4" w:space="0" w:color="000000"/>
                          <w:bottom w:val="single" w:sz="4" w:space="0" w:color="000000"/>
                          <w:right w:val="nil"/>
                        </w:tcBorders>
                      </w:tcPr>
                      <w:p>
                        <w:pPr>
                          <w:pStyle w:val="TableParagraph"/>
                          <w:spacing w:before="48"/>
                          <w:ind w:left="580" w:right="556"/>
                          <w:rPr>
                            <w:rFonts w:ascii="Times New Roman"/>
                            <w:sz w:val="21"/>
                          </w:rPr>
                        </w:pPr>
                        <w:r>
                          <w:rPr>
                            <w:rFonts w:ascii="Times New Roman"/>
                            <w:sz w:val="21"/>
                          </w:rPr>
                          <w:t>90</w:t>
                        </w:r>
                      </w:p>
                    </w:tc>
                  </w:tr>
                  <w:tr>
                    <w:trPr>
                      <w:trHeight w:val="339" w:hRule="atLeast"/>
                    </w:trPr>
                    <w:tc>
                      <w:tcPr>
                        <w:tcW w:w="2109" w:type="dxa"/>
                        <w:tcBorders>
                          <w:top w:val="single" w:sz="4" w:space="0" w:color="000000"/>
                          <w:left w:val="nil"/>
                          <w:right w:val="single" w:sz="4" w:space="0" w:color="000000"/>
                        </w:tcBorders>
                      </w:tcPr>
                      <w:p>
                        <w:pPr>
                          <w:pStyle w:val="TableParagraph"/>
                          <w:spacing w:before="48"/>
                          <w:ind w:left="445" w:right="412"/>
                          <w:rPr>
                            <w:rFonts w:ascii="Times New Roman"/>
                            <w:sz w:val="21"/>
                          </w:rPr>
                        </w:pPr>
                        <w:r>
                          <w:rPr>
                            <w:rFonts w:ascii="Times New Roman"/>
                            <w:sz w:val="21"/>
                          </w:rPr>
                          <w:t>2.00</w:t>
                        </w:r>
                      </w:p>
                    </w:tc>
                    <w:tc>
                      <w:tcPr>
                        <w:tcW w:w="2409" w:type="dxa"/>
                        <w:tcBorders>
                          <w:top w:val="single" w:sz="4" w:space="0" w:color="000000"/>
                          <w:left w:val="single" w:sz="4" w:space="0" w:color="000000"/>
                          <w:right w:val="single" w:sz="4" w:space="0" w:color="000000"/>
                        </w:tcBorders>
                      </w:tcPr>
                      <w:p>
                        <w:pPr>
                          <w:pStyle w:val="TableParagraph"/>
                          <w:spacing w:before="48"/>
                          <w:ind w:left="235" w:right="208"/>
                          <w:rPr>
                            <w:rFonts w:ascii="Times New Roman"/>
                            <w:sz w:val="21"/>
                          </w:rPr>
                        </w:pPr>
                        <w:r>
                          <w:rPr>
                            <w:rFonts w:ascii="Times New Roman"/>
                            <w:sz w:val="21"/>
                          </w:rPr>
                          <w:t>99</w:t>
                        </w:r>
                      </w:p>
                    </w:tc>
                    <w:tc>
                      <w:tcPr>
                        <w:tcW w:w="2259" w:type="dxa"/>
                        <w:tcBorders>
                          <w:top w:val="single" w:sz="4" w:space="0" w:color="000000"/>
                          <w:left w:val="single" w:sz="4" w:space="0" w:color="000000"/>
                          <w:right w:val="single" w:sz="4" w:space="0" w:color="000000"/>
                        </w:tcBorders>
                      </w:tcPr>
                      <w:p>
                        <w:pPr>
                          <w:pStyle w:val="TableParagraph"/>
                          <w:spacing w:before="48"/>
                          <w:ind w:left="516" w:right="487"/>
                          <w:rPr>
                            <w:rFonts w:ascii="Times New Roman"/>
                            <w:sz w:val="21"/>
                          </w:rPr>
                        </w:pPr>
                        <w:r>
                          <w:rPr>
                            <w:rFonts w:ascii="Times New Roman"/>
                            <w:sz w:val="21"/>
                          </w:rPr>
                          <w:t>5.50</w:t>
                        </w:r>
                      </w:p>
                    </w:tc>
                    <w:tc>
                      <w:tcPr>
                        <w:tcW w:w="2047" w:type="dxa"/>
                        <w:tcBorders>
                          <w:top w:val="single" w:sz="4" w:space="0" w:color="000000"/>
                          <w:left w:val="single" w:sz="4" w:space="0" w:color="000000"/>
                          <w:right w:val="nil"/>
                        </w:tcBorders>
                      </w:tcPr>
                      <w:p>
                        <w:pPr>
                          <w:pStyle w:val="TableParagraph"/>
                          <w:spacing w:before="48"/>
                          <w:ind w:left="580" w:right="556"/>
                          <w:rPr>
                            <w:rFonts w:ascii="Times New Roman"/>
                            <w:sz w:val="21"/>
                          </w:rPr>
                        </w:pPr>
                        <w:r>
                          <w:rPr>
                            <w:rFonts w:ascii="Times New Roman"/>
                            <w:sz w:val="21"/>
                          </w:rPr>
                          <w:t>99</w:t>
                        </w:r>
                      </w:p>
                    </w:tc>
                  </w:tr>
                </w:tbl>
                <w:p>
                  <w:pPr>
                    <w:pStyle w:val="BodyText"/>
                  </w:pPr>
                </w:p>
              </w:txbxContent>
            </v:textbox>
            <w10:wrap type="none"/>
          </v:shape>
        </w:pict>
      </w:r>
    </w:p>
    <w:p>
      <w:pPr>
        <w:spacing w:after="0"/>
        <w:rPr>
          <w:sz w:val="2"/>
          <w:szCs w:val="2"/>
        </w:rPr>
        <w:sectPr>
          <w:pgSz w:w="11910" w:h="16840"/>
          <w:pgMar w:header="0" w:footer="1383" w:top="1420" w:bottom="1580" w:left="1240" w:right="1040"/>
        </w:sectPr>
      </w:pPr>
    </w:p>
    <w:p>
      <w:pPr>
        <w:pStyle w:val="ListParagraph"/>
        <w:numPr>
          <w:ilvl w:val="0"/>
          <w:numId w:val="8"/>
        </w:numPr>
        <w:tabs>
          <w:tab w:pos="1363" w:val="left" w:leader="none"/>
        </w:tabs>
        <w:spacing w:line="240" w:lineRule="auto" w:before="92" w:after="0"/>
        <w:ind w:left="1362" w:right="0" w:hanging="602"/>
        <w:jc w:val="left"/>
        <w:rPr>
          <w:sz w:val="24"/>
        </w:rPr>
      </w:pPr>
      <w:r>
        <w:rPr/>
        <w:pict>
          <v:shape style="position:absolute;margin-left:70.410004pt;margin-top:72.000023pt;width:462.55pt;height:686.5pt;mso-position-horizontal-relative:page;mso-position-vertical-relative:page;z-index:-20130816" coordorigin="1408,1440" coordsize="9251,13730" path="m1408,1445l10659,1445m1408,15170l10659,15170m1413,1440l1413,15165m10654,1440l10654,15165e" filled="false" stroked="true" strokeweight=".48pt" strokecolor="#000000">
            <v:path arrowok="t"/>
            <v:stroke dashstyle="solid"/>
            <w10:wrap type="none"/>
          </v:shape>
        </w:pict>
      </w:r>
      <w:r>
        <w:rPr>
          <w:sz w:val="24"/>
        </w:rPr>
        <w:t>剂量估算</w:t>
      </w:r>
    </w:p>
    <w:p>
      <w:pPr>
        <w:pStyle w:val="BodyText"/>
        <w:spacing w:line="364" w:lineRule="auto" w:before="160"/>
        <w:ind w:left="281" w:right="318" w:firstLine="480"/>
      </w:pPr>
      <w:r>
        <w:rPr>
          <w:spacing w:val="-4"/>
        </w:rPr>
        <w:t>①介入手术人员在未采取任何防护的情况下位于非主射方向进行介入手术操作，受</w:t>
      </w:r>
      <w:r>
        <w:rPr/>
        <w:t>到非主射方向的照射事故后果计算结果如下表所示：</w:t>
      </w:r>
    </w:p>
    <w:p>
      <w:pPr>
        <w:tabs>
          <w:tab w:pos="2532" w:val="left" w:leader="none"/>
        </w:tabs>
        <w:spacing w:before="19"/>
        <w:ind w:left="1594" w:right="0" w:firstLine="0"/>
        <w:jc w:val="left"/>
        <w:rPr>
          <w:sz w:val="21"/>
        </w:rPr>
      </w:pPr>
      <w:r>
        <w:rPr>
          <w:w w:val="95"/>
          <w:sz w:val="21"/>
        </w:rPr>
        <w:t>表</w:t>
      </w:r>
      <w:r>
        <w:rPr>
          <w:spacing w:val="-46"/>
          <w:w w:val="95"/>
          <w:sz w:val="21"/>
        </w:rPr>
        <w:t> </w:t>
      </w:r>
      <w:r>
        <w:rPr>
          <w:rFonts w:ascii="Times New Roman" w:eastAsia="Times New Roman"/>
          <w:b/>
          <w:w w:val="95"/>
          <w:sz w:val="21"/>
        </w:rPr>
        <w:t>11-11</w:t>
        <w:tab/>
      </w:r>
      <w:r>
        <w:rPr>
          <w:sz w:val="21"/>
        </w:rPr>
        <w:t>事故状态下非主射方向不同停留时间和距离人员受照剂量表</w:t>
      </w:r>
    </w:p>
    <w:p>
      <w:pPr>
        <w:pStyle w:val="BodyText"/>
        <w:spacing w:before="11" w:after="1"/>
        <w:rPr>
          <w:sz w:val="7"/>
        </w:rPr>
      </w:pPr>
    </w:p>
    <w:tbl>
      <w:tblPr>
        <w:tblW w:w="0" w:type="auto"/>
        <w:jc w:val="left"/>
        <w:tblInd w:w="2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17"/>
        <w:gridCol w:w="1527"/>
        <w:gridCol w:w="1881"/>
        <w:gridCol w:w="1913"/>
        <w:gridCol w:w="1757"/>
      </w:tblGrid>
      <w:tr>
        <w:trPr>
          <w:trHeight w:val="628" w:hRule="atLeast"/>
        </w:trPr>
        <w:tc>
          <w:tcPr>
            <w:tcW w:w="1817" w:type="dxa"/>
            <w:tcBorders>
              <w:left w:val="nil"/>
              <w:right w:val="single" w:sz="4" w:space="0" w:color="000000"/>
            </w:tcBorders>
          </w:tcPr>
          <w:p>
            <w:pPr>
              <w:pStyle w:val="TableParagraph"/>
              <w:spacing w:before="22"/>
              <w:ind w:left="106" w:right="69"/>
              <w:rPr>
                <w:sz w:val="21"/>
              </w:rPr>
            </w:pPr>
            <w:r>
              <w:rPr>
                <w:w w:val="95"/>
                <w:sz w:val="21"/>
              </w:rPr>
              <w:t>关注点与射线装置</w:t>
            </w:r>
          </w:p>
          <w:p>
            <w:pPr>
              <w:pStyle w:val="TableParagraph"/>
              <w:spacing w:before="43"/>
              <w:ind w:left="104" w:right="69"/>
              <w:rPr>
                <w:sz w:val="21"/>
              </w:rPr>
            </w:pPr>
            <w:r>
              <w:rPr>
                <w:w w:val="95"/>
                <w:sz w:val="21"/>
              </w:rPr>
              <w:t>的距离（</w:t>
            </w:r>
            <w:r>
              <w:rPr>
                <w:rFonts w:ascii="Times New Roman" w:eastAsia="Times New Roman"/>
                <w:b/>
                <w:w w:val="95"/>
                <w:sz w:val="21"/>
              </w:rPr>
              <w:t>m</w:t>
            </w:r>
            <w:r>
              <w:rPr>
                <w:w w:val="95"/>
                <w:sz w:val="21"/>
              </w:rPr>
              <w:t>）</w:t>
            </w:r>
          </w:p>
        </w:tc>
        <w:tc>
          <w:tcPr>
            <w:tcW w:w="1527" w:type="dxa"/>
            <w:tcBorders>
              <w:left w:val="single" w:sz="4" w:space="0" w:color="000000"/>
              <w:right w:val="single" w:sz="4" w:space="0" w:color="000000"/>
            </w:tcBorders>
          </w:tcPr>
          <w:p>
            <w:pPr>
              <w:pStyle w:val="TableParagraph"/>
              <w:spacing w:before="178"/>
              <w:ind w:left="187" w:right="158"/>
              <w:rPr>
                <w:sz w:val="21"/>
              </w:rPr>
            </w:pPr>
            <w:r>
              <w:rPr>
                <w:w w:val="95"/>
                <w:sz w:val="21"/>
              </w:rPr>
              <w:t>时间（</w:t>
            </w:r>
            <w:r>
              <w:rPr>
                <w:rFonts w:ascii="Times New Roman" w:eastAsia="Times New Roman"/>
                <w:b/>
                <w:w w:val="95"/>
                <w:sz w:val="21"/>
              </w:rPr>
              <w:t>min</w:t>
            </w:r>
            <w:r>
              <w:rPr>
                <w:w w:val="95"/>
                <w:sz w:val="21"/>
              </w:rPr>
              <w:t>）</w:t>
            </w:r>
          </w:p>
        </w:tc>
        <w:tc>
          <w:tcPr>
            <w:tcW w:w="1881" w:type="dxa"/>
            <w:tcBorders>
              <w:left w:val="single" w:sz="4" w:space="0" w:color="000000"/>
              <w:right w:val="single" w:sz="4" w:space="0" w:color="000000"/>
            </w:tcBorders>
          </w:tcPr>
          <w:p>
            <w:pPr>
              <w:pStyle w:val="TableParagraph"/>
              <w:spacing w:before="22"/>
              <w:ind w:left="331" w:right="302"/>
              <w:rPr>
                <w:sz w:val="21"/>
              </w:rPr>
            </w:pPr>
            <w:r>
              <w:rPr>
                <w:w w:val="95"/>
                <w:sz w:val="21"/>
              </w:rPr>
              <w:t>散射所致剂量</w:t>
            </w:r>
          </w:p>
          <w:p>
            <w:pPr>
              <w:pStyle w:val="TableParagraph"/>
              <w:spacing w:before="43"/>
              <w:ind w:left="331" w:right="302"/>
              <w:rPr>
                <w:sz w:val="21"/>
              </w:rPr>
            </w:pPr>
            <w:r>
              <w:rPr>
                <w:sz w:val="21"/>
              </w:rPr>
              <w:t>（</w:t>
            </w:r>
            <w:r>
              <w:rPr>
                <w:rFonts w:ascii="Times New Roman" w:eastAsia="Times New Roman"/>
                <w:b/>
                <w:sz w:val="21"/>
              </w:rPr>
              <w:t>mSv</w:t>
            </w:r>
            <w:r>
              <w:rPr>
                <w:sz w:val="21"/>
              </w:rPr>
              <w:t>）</w:t>
            </w:r>
          </w:p>
        </w:tc>
        <w:tc>
          <w:tcPr>
            <w:tcW w:w="1913" w:type="dxa"/>
            <w:tcBorders>
              <w:left w:val="single" w:sz="4" w:space="0" w:color="000000"/>
              <w:right w:val="single" w:sz="4" w:space="0" w:color="000000"/>
            </w:tcBorders>
          </w:tcPr>
          <w:p>
            <w:pPr>
              <w:pStyle w:val="TableParagraph"/>
              <w:spacing w:before="22"/>
              <w:ind w:left="348" w:right="317"/>
              <w:rPr>
                <w:sz w:val="21"/>
              </w:rPr>
            </w:pPr>
            <w:r>
              <w:rPr>
                <w:w w:val="95"/>
                <w:sz w:val="21"/>
              </w:rPr>
              <w:t>漏射所致剂量</w:t>
            </w:r>
          </w:p>
          <w:p>
            <w:pPr>
              <w:pStyle w:val="TableParagraph"/>
              <w:spacing w:before="43"/>
              <w:ind w:left="346" w:right="317"/>
              <w:rPr>
                <w:sz w:val="21"/>
              </w:rPr>
            </w:pPr>
            <w:r>
              <w:rPr>
                <w:sz w:val="21"/>
              </w:rPr>
              <w:t>（</w:t>
            </w:r>
            <w:r>
              <w:rPr>
                <w:rFonts w:ascii="Times New Roman" w:eastAsia="Times New Roman"/>
                <w:b/>
                <w:sz w:val="21"/>
              </w:rPr>
              <w:t>mSv</w:t>
            </w:r>
            <w:r>
              <w:rPr>
                <w:sz w:val="21"/>
              </w:rPr>
              <w:t>）</w:t>
            </w:r>
          </w:p>
        </w:tc>
        <w:tc>
          <w:tcPr>
            <w:tcW w:w="1757" w:type="dxa"/>
            <w:tcBorders>
              <w:left w:val="single" w:sz="4" w:space="0" w:color="000000"/>
              <w:right w:val="nil"/>
            </w:tcBorders>
          </w:tcPr>
          <w:p>
            <w:pPr>
              <w:pStyle w:val="TableParagraph"/>
              <w:spacing w:before="22"/>
              <w:ind w:left="571"/>
              <w:jc w:val="left"/>
              <w:rPr>
                <w:sz w:val="21"/>
              </w:rPr>
            </w:pPr>
            <w:r>
              <w:rPr>
                <w:w w:val="95"/>
                <w:sz w:val="21"/>
              </w:rPr>
              <w:t>总剂量</w:t>
            </w:r>
          </w:p>
          <w:p>
            <w:pPr>
              <w:pStyle w:val="TableParagraph"/>
              <w:spacing w:before="43"/>
              <w:ind w:left="480"/>
              <w:jc w:val="left"/>
              <w:rPr>
                <w:sz w:val="21"/>
              </w:rPr>
            </w:pPr>
            <w:r>
              <w:rPr>
                <w:sz w:val="21"/>
              </w:rPr>
              <w:t>（</w:t>
            </w:r>
            <w:r>
              <w:rPr>
                <w:rFonts w:ascii="Times New Roman" w:eastAsia="Times New Roman"/>
                <w:b/>
                <w:sz w:val="21"/>
              </w:rPr>
              <w:t>mSv</w:t>
            </w:r>
            <w:r>
              <w:rPr>
                <w:sz w:val="21"/>
              </w:rPr>
              <w:t>）</w:t>
            </w:r>
          </w:p>
        </w:tc>
      </w:tr>
      <w:tr>
        <w:trPr>
          <w:trHeight w:val="354" w:hRule="atLeast"/>
        </w:trPr>
        <w:tc>
          <w:tcPr>
            <w:tcW w:w="1817" w:type="dxa"/>
            <w:vMerge w:val="restart"/>
            <w:tcBorders>
              <w:left w:val="nil"/>
              <w:bottom w:val="single" w:sz="4" w:space="0" w:color="000000"/>
              <w:right w:val="single" w:sz="4" w:space="0" w:color="000000"/>
            </w:tcBorders>
          </w:tcPr>
          <w:p>
            <w:pPr>
              <w:pStyle w:val="TableParagraph"/>
              <w:spacing w:before="6"/>
              <w:jc w:val="left"/>
              <w:rPr>
                <w:sz w:val="29"/>
              </w:rPr>
            </w:pPr>
          </w:p>
          <w:p>
            <w:pPr>
              <w:pStyle w:val="TableParagraph"/>
              <w:spacing w:before="1"/>
              <w:ind w:left="100" w:right="69"/>
              <w:rPr>
                <w:rFonts w:ascii="Times New Roman"/>
                <w:sz w:val="21"/>
              </w:rPr>
            </w:pPr>
            <w:r>
              <w:rPr>
                <w:rFonts w:ascii="Times New Roman"/>
                <w:sz w:val="21"/>
              </w:rPr>
              <w:t>0.5</w:t>
            </w:r>
          </w:p>
        </w:tc>
        <w:tc>
          <w:tcPr>
            <w:tcW w:w="1527" w:type="dxa"/>
            <w:tcBorders>
              <w:left w:val="single" w:sz="4" w:space="0" w:color="000000"/>
              <w:bottom w:val="single" w:sz="4" w:space="0" w:color="000000"/>
              <w:right w:val="single" w:sz="4" w:space="0" w:color="000000"/>
            </w:tcBorders>
          </w:tcPr>
          <w:p>
            <w:pPr>
              <w:pStyle w:val="TableParagraph"/>
              <w:spacing w:before="57"/>
              <w:ind w:left="185" w:right="158"/>
              <w:rPr>
                <w:rFonts w:ascii="Times New Roman"/>
                <w:sz w:val="21"/>
              </w:rPr>
            </w:pPr>
            <w:r>
              <w:rPr>
                <w:rFonts w:ascii="Times New Roman"/>
                <w:sz w:val="21"/>
              </w:rPr>
              <w:t>0.5</w:t>
            </w:r>
          </w:p>
        </w:tc>
        <w:tc>
          <w:tcPr>
            <w:tcW w:w="1881" w:type="dxa"/>
            <w:tcBorders>
              <w:left w:val="single" w:sz="4" w:space="0" w:color="000000"/>
              <w:bottom w:val="single" w:sz="4" w:space="0" w:color="000000"/>
              <w:right w:val="single" w:sz="4" w:space="0" w:color="000000"/>
            </w:tcBorders>
          </w:tcPr>
          <w:p>
            <w:pPr>
              <w:pStyle w:val="TableParagraph"/>
              <w:spacing w:before="57"/>
              <w:ind w:left="329" w:right="302"/>
              <w:rPr>
                <w:rFonts w:ascii="Times New Roman" w:hAnsi="Times New Roman"/>
                <w:sz w:val="21"/>
              </w:rPr>
            </w:pPr>
            <w:r>
              <w:rPr>
                <w:rFonts w:ascii="Times New Roman" w:hAnsi="Times New Roman"/>
                <w:sz w:val="21"/>
              </w:rPr>
              <w:t>1.02×10</w:t>
            </w:r>
            <w:r>
              <w:rPr>
                <w:rFonts w:ascii="Times New Roman" w:hAnsi="Times New Roman"/>
                <w:sz w:val="21"/>
                <w:vertAlign w:val="superscript"/>
              </w:rPr>
              <w:t>-1</w:t>
            </w:r>
          </w:p>
        </w:tc>
        <w:tc>
          <w:tcPr>
            <w:tcW w:w="1913" w:type="dxa"/>
            <w:tcBorders>
              <w:left w:val="single" w:sz="4" w:space="0" w:color="000000"/>
              <w:bottom w:val="single" w:sz="4" w:space="0" w:color="000000"/>
              <w:right w:val="single" w:sz="4" w:space="0" w:color="000000"/>
            </w:tcBorders>
          </w:tcPr>
          <w:p>
            <w:pPr>
              <w:pStyle w:val="TableParagraph"/>
              <w:spacing w:before="57"/>
              <w:ind w:left="347" w:right="317"/>
              <w:rPr>
                <w:rFonts w:ascii="Times New Roman" w:hAnsi="Times New Roman"/>
                <w:sz w:val="21"/>
              </w:rPr>
            </w:pPr>
            <w:r>
              <w:rPr>
                <w:rFonts w:ascii="Times New Roman" w:hAnsi="Times New Roman"/>
                <w:sz w:val="21"/>
              </w:rPr>
              <w:t>3.14×10</w:t>
            </w:r>
            <w:r>
              <w:rPr>
                <w:rFonts w:ascii="Times New Roman" w:hAnsi="Times New Roman"/>
                <w:sz w:val="21"/>
                <w:vertAlign w:val="superscript"/>
              </w:rPr>
              <w:t>-1</w:t>
            </w:r>
          </w:p>
        </w:tc>
        <w:tc>
          <w:tcPr>
            <w:tcW w:w="1757" w:type="dxa"/>
            <w:tcBorders>
              <w:left w:val="single" w:sz="4" w:space="0" w:color="000000"/>
              <w:bottom w:val="single" w:sz="4" w:space="0" w:color="000000"/>
              <w:right w:val="nil"/>
            </w:tcBorders>
          </w:tcPr>
          <w:p>
            <w:pPr>
              <w:pStyle w:val="TableParagraph"/>
              <w:spacing w:before="57"/>
              <w:ind w:left="460" w:right="438"/>
              <w:rPr>
                <w:rFonts w:ascii="Times New Roman" w:hAnsi="Times New Roman"/>
                <w:sz w:val="21"/>
              </w:rPr>
            </w:pPr>
            <w:r>
              <w:rPr>
                <w:rFonts w:ascii="Times New Roman" w:hAnsi="Times New Roman"/>
                <w:sz w:val="21"/>
              </w:rPr>
              <w:t>4.16×10</w:t>
            </w:r>
            <w:r>
              <w:rPr>
                <w:rFonts w:ascii="Times New Roman" w:hAnsi="Times New Roman"/>
                <w:sz w:val="21"/>
                <w:vertAlign w:val="superscript"/>
              </w:rPr>
              <w:t>-1</w:t>
            </w:r>
          </w:p>
        </w:tc>
      </w:tr>
      <w:tr>
        <w:trPr>
          <w:trHeight w:val="312" w:hRule="atLeast"/>
        </w:trPr>
        <w:tc>
          <w:tcPr>
            <w:tcW w:w="1817" w:type="dxa"/>
            <w:vMerge/>
            <w:tcBorders>
              <w:top w:val="nil"/>
              <w:left w:val="nil"/>
              <w:bottom w:val="single" w:sz="4" w:space="0" w:color="000000"/>
              <w:right w:val="single" w:sz="4" w:space="0" w:color="000000"/>
            </w:tcBorders>
          </w:tcPr>
          <w:p>
            <w:pPr>
              <w:rPr>
                <w:sz w:val="2"/>
                <w:szCs w:val="2"/>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35"/>
              <w:ind w:left="27"/>
              <w:rPr>
                <w:rFonts w:ascii="Times New Roman"/>
                <w:sz w:val="21"/>
              </w:rPr>
            </w:pPr>
            <w:r>
              <w:rPr>
                <w:rFonts w:ascii="Times New Roman"/>
                <w:w w:val="99"/>
                <w:sz w:val="21"/>
              </w:rPr>
              <w:t>1</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35"/>
              <w:ind w:left="329" w:right="302"/>
              <w:rPr>
                <w:rFonts w:ascii="Times New Roman" w:hAnsi="Times New Roman"/>
                <w:sz w:val="21"/>
              </w:rPr>
            </w:pPr>
            <w:r>
              <w:rPr>
                <w:rFonts w:ascii="Times New Roman" w:hAnsi="Times New Roman"/>
                <w:sz w:val="21"/>
              </w:rPr>
              <w:t>2.04×10</w:t>
            </w:r>
            <w:r>
              <w:rPr>
                <w:rFonts w:ascii="Times New Roman" w:hAnsi="Times New Roman"/>
                <w:sz w:val="21"/>
                <w:vertAlign w:val="superscript"/>
              </w:rPr>
              <w:t>-1</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35"/>
              <w:ind w:left="347" w:right="317"/>
              <w:rPr>
                <w:rFonts w:ascii="Times New Roman" w:hAnsi="Times New Roman"/>
                <w:sz w:val="21"/>
              </w:rPr>
            </w:pPr>
            <w:r>
              <w:rPr>
                <w:rFonts w:ascii="Times New Roman" w:hAnsi="Times New Roman"/>
                <w:sz w:val="21"/>
              </w:rPr>
              <w:t>6.29×10</w:t>
            </w:r>
            <w:r>
              <w:rPr>
                <w:rFonts w:ascii="Times New Roman" w:hAnsi="Times New Roman"/>
                <w:sz w:val="21"/>
                <w:vertAlign w:val="superscript"/>
              </w:rPr>
              <w:t>-1</w:t>
            </w:r>
          </w:p>
        </w:tc>
        <w:tc>
          <w:tcPr>
            <w:tcW w:w="1757" w:type="dxa"/>
            <w:tcBorders>
              <w:top w:val="single" w:sz="4" w:space="0" w:color="000000"/>
              <w:left w:val="single" w:sz="4" w:space="0" w:color="000000"/>
              <w:bottom w:val="single" w:sz="4" w:space="0" w:color="000000"/>
              <w:right w:val="nil"/>
            </w:tcBorders>
          </w:tcPr>
          <w:p>
            <w:pPr>
              <w:pStyle w:val="TableParagraph"/>
              <w:spacing w:before="35"/>
              <w:ind w:left="460" w:right="438"/>
              <w:rPr>
                <w:rFonts w:ascii="Times New Roman" w:hAnsi="Times New Roman"/>
                <w:sz w:val="21"/>
              </w:rPr>
            </w:pPr>
            <w:r>
              <w:rPr>
                <w:rFonts w:ascii="Times New Roman" w:hAnsi="Times New Roman"/>
                <w:sz w:val="21"/>
              </w:rPr>
              <w:t>8.33×10</w:t>
            </w:r>
            <w:r>
              <w:rPr>
                <w:rFonts w:ascii="Times New Roman" w:hAnsi="Times New Roman"/>
                <w:sz w:val="21"/>
                <w:vertAlign w:val="superscript"/>
              </w:rPr>
              <w:t>-1</w:t>
            </w:r>
          </w:p>
        </w:tc>
      </w:tr>
      <w:tr>
        <w:trPr>
          <w:trHeight w:val="311" w:hRule="atLeast"/>
        </w:trPr>
        <w:tc>
          <w:tcPr>
            <w:tcW w:w="1817" w:type="dxa"/>
            <w:vMerge/>
            <w:tcBorders>
              <w:top w:val="nil"/>
              <w:left w:val="nil"/>
              <w:bottom w:val="single" w:sz="4" w:space="0" w:color="000000"/>
              <w:right w:val="single" w:sz="4" w:space="0" w:color="000000"/>
            </w:tcBorders>
          </w:tcPr>
          <w:p>
            <w:pPr>
              <w:rPr>
                <w:sz w:val="2"/>
                <w:szCs w:val="2"/>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35"/>
              <w:ind w:left="27"/>
              <w:rPr>
                <w:rFonts w:ascii="Times New Roman"/>
                <w:sz w:val="21"/>
              </w:rPr>
            </w:pPr>
            <w:r>
              <w:rPr>
                <w:rFonts w:ascii="Times New Roman"/>
                <w:w w:val="99"/>
                <w:sz w:val="21"/>
              </w:rPr>
              <w:t>5</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35"/>
              <w:ind w:left="329" w:right="302"/>
              <w:rPr>
                <w:rFonts w:ascii="Times New Roman"/>
                <w:sz w:val="21"/>
              </w:rPr>
            </w:pPr>
            <w:r>
              <w:rPr>
                <w:rFonts w:ascii="Times New Roman"/>
                <w:sz w:val="21"/>
              </w:rPr>
              <w:t>1.02</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35"/>
              <w:ind w:left="347" w:right="317"/>
              <w:rPr>
                <w:rFonts w:ascii="Times New Roman"/>
                <w:sz w:val="21"/>
              </w:rPr>
            </w:pPr>
            <w:r>
              <w:rPr>
                <w:rFonts w:ascii="Times New Roman"/>
                <w:sz w:val="21"/>
              </w:rPr>
              <w:t>3.14</w:t>
            </w:r>
          </w:p>
        </w:tc>
        <w:tc>
          <w:tcPr>
            <w:tcW w:w="1757" w:type="dxa"/>
            <w:tcBorders>
              <w:top w:val="single" w:sz="4" w:space="0" w:color="000000"/>
              <w:left w:val="single" w:sz="4" w:space="0" w:color="000000"/>
              <w:bottom w:val="single" w:sz="4" w:space="0" w:color="000000"/>
              <w:right w:val="nil"/>
            </w:tcBorders>
          </w:tcPr>
          <w:p>
            <w:pPr>
              <w:pStyle w:val="TableParagraph"/>
              <w:spacing w:before="35"/>
              <w:ind w:left="460" w:right="438"/>
              <w:rPr>
                <w:rFonts w:ascii="Times New Roman"/>
                <w:sz w:val="21"/>
              </w:rPr>
            </w:pPr>
            <w:r>
              <w:rPr>
                <w:rFonts w:ascii="Times New Roman"/>
                <w:sz w:val="21"/>
              </w:rPr>
              <w:t>4.16</w:t>
            </w:r>
          </w:p>
        </w:tc>
      </w:tr>
      <w:tr>
        <w:trPr>
          <w:trHeight w:val="312" w:hRule="atLeast"/>
        </w:trPr>
        <w:tc>
          <w:tcPr>
            <w:tcW w:w="1817" w:type="dxa"/>
            <w:vMerge w:val="restart"/>
            <w:tcBorders>
              <w:top w:val="single" w:sz="4" w:space="0" w:color="000000"/>
              <w:left w:val="nil"/>
              <w:bottom w:val="single" w:sz="4" w:space="0" w:color="000000"/>
              <w:right w:val="single" w:sz="4" w:space="0" w:color="000000"/>
            </w:tcBorders>
          </w:tcPr>
          <w:p>
            <w:pPr>
              <w:pStyle w:val="TableParagraph"/>
              <w:jc w:val="left"/>
              <w:rPr>
                <w:sz w:val="28"/>
              </w:rPr>
            </w:pPr>
          </w:p>
          <w:p>
            <w:pPr>
              <w:pStyle w:val="TableParagraph"/>
              <w:ind w:left="31"/>
              <w:rPr>
                <w:rFonts w:ascii="Times New Roman"/>
                <w:sz w:val="21"/>
              </w:rPr>
            </w:pPr>
            <w:r>
              <w:rPr>
                <w:rFonts w:ascii="Times New Roman"/>
                <w:w w:val="99"/>
                <w:sz w:val="21"/>
              </w:rPr>
              <w:t>1</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35"/>
              <w:ind w:left="185" w:right="158"/>
              <w:rPr>
                <w:rFonts w:ascii="Times New Roman"/>
                <w:sz w:val="21"/>
              </w:rPr>
            </w:pPr>
            <w:r>
              <w:rPr>
                <w:rFonts w:ascii="Times New Roman"/>
                <w:sz w:val="21"/>
              </w:rPr>
              <w:t>0.5</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35"/>
              <w:ind w:left="329" w:right="302"/>
              <w:rPr>
                <w:rFonts w:ascii="Times New Roman" w:hAnsi="Times New Roman"/>
                <w:sz w:val="13"/>
              </w:rPr>
            </w:pPr>
            <w:r>
              <w:rPr>
                <w:rFonts w:ascii="Times New Roman" w:hAnsi="Times New Roman"/>
                <w:sz w:val="21"/>
              </w:rPr>
              <w:t>2.55×10</w:t>
            </w:r>
            <w:r>
              <w:rPr>
                <w:rFonts w:ascii="Times New Roman" w:hAnsi="Times New Roman"/>
                <w:position w:val="7"/>
                <w:sz w:val="13"/>
              </w:rPr>
              <w:t>-2</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35"/>
              <w:ind w:left="347" w:right="317"/>
              <w:rPr>
                <w:rFonts w:ascii="Times New Roman" w:hAnsi="Times New Roman"/>
                <w:sz w:val="13"/>
              </w:rPr>
            </w:pPr>
            <w:r>
              <w:rPr>
                <w:rFonts w:ascii="Times New Roman" w:hAnsi="Times New Roman"/>
                <w:sz w:val="21"/>
              </w:rPr>
              <w:t>7.86×10</w:t>
            </w:r>
            <w:r>
              <w:rPr>
                <w:rFonts w:ascii="Times New Roman" w:hAnsi="Times New Roman"/>
                <w:position w:val="7"/>
                <w:sz w:val="13"/>
              </w:rPr>
              <w:t>-2</w:t>
            </w:r>
          </w:p>
        </w:tc>
        <w:tc>
          <w:tcPr>
            <w:tcW w:w="1757" w:type="dxa"/>
            <w:tcBorders>
              <w:top w:val="single" w:sz="4" w:space="0" w:color="000000"/>
              <w:left w:val="single" w:sz="4" w:space="0" w:color="000000"/>
              <w:bottom w:val="single" w:sz="4" w:space="0" w:color="000000"/>
              <w:right w:val="nil"/>
            </w:tcBorders>
          </w:tcPr>
          <w:p>
            <w:pPr>
              <w:pStyle w:val="TableParagraph"/>
              <w:spacing w:before="35"/>
              <w:ind w:left="460" w:right="438"/>
              <w:rPr>
                <w:rFonts w:ascii="Times New Roman" w:hAnsi="Times New Roman"/>
                <w:sz w:val="13"/>
              </w:rPr>
            </w:pPr>
            <w:r>
              <w:rPr>
                <w:rFonts w:ascii="Times New Roman" w:hAnsi="Times New Roman"/>
                <w:sz w:val="21"/>
              </w:rPr>
              <w:t>1.04×10</w:t>
            </w:r>
            <w:r>
              <w:rPr>
                <w:rFonts w:ascii="Times New Roman" w:hAnsi="Times New Roman"/>
                <w:position w:val="7"/>
                <w:sz w:val="13"/>
              </w:rPr>
              <w:t>-1</w:t>
            </w:r>
          </w:p>
        </w:tc>
      </w:tr>
      <w:tr>
        <w:trPr>
          <w:trHeight w:val="311" w:hRule="atLeast"/>
        </w:trPr>
        <w:tc>
          <w:tcPr>
            <w:tcW w:w="1817" w:type="dxa"/>
            <w:vMerge/>
            <w:tcBorders>
              <w:top w:val="nil"/>
              <w:left w:val="nil"/>
              <w:bottom w:val="single" w:sz="4" w:space="0" w:color="000000"/>
              <w:right w:val="single" w:sz="4" w:space="0" w:color="000000"/>
            </w:tcBorders>
          </w:tcPr>
          <w:p>
            <w:pPr>
              <w:rPr>
                <w:sz w:val="2"/>
                <w:szCs w:val="2"/>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37"/>
              <w:ind w:left="27"/>
              <w:rPr>
                <w:rFonts w:ascii="Times New Roman"/>
                <w:sz w:val="21"/>
              </w:rPr>
            </w:pPr>
            <w:r>
              <w:rPr>
                <w:rFonts w:ascii="Times New Roman"/>
                <w:w w:val="99"/>
                <w:sz w:val="21"/>
              </w:rPr>
              <w:t>1</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37"/>
              <w:ind w:left="329" w:right="302"/>
              <w:rPr>
                <w:rFonts w:ascii="Times New Roman" w:hAnsi="Times New Roman"/>
                <w:sz w:val="21"/>
              </w:rPr>
            </w:pPr>
            <w:r>
              <w:rPr>
                <w:rFonts w:ascii="Times New Roman" w:hAnsi="Times New Roman"/>
                <w:sz w:val="21"/>
              </w:rPr>
              <w:t>5.11×10</w:t>
            </w:r>
            <w:r>
              <w:rPr>
                <w:rFonts w:ascii="Times New Roman" w:hAnsi="Times New Roman"/>
                <w:sz w:val="21"/>
                <w:vertAlign w:val="superscript"/>
              </w:rPr>
              <w:t>-2</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37"/>
              <w:ind w:left="347" w:right="317"/>
              <w:rPr>
                <w:rFonts w:ascii="Times New Roman" w:hAnsi="Times New Roman"/>
                <w:sz w:val="21"/>
              </w:rPr>
            </w:pPr>
            <w:r>
              <w:rPr>
                <w:rFonts w:ascii="Times New Roman" w:hAnsi="Times New Roman"/>
                <w:sz w:val="21"/>
              </w:rPr>
              <w:t>1.57×10</w:t>
            </w:r>
            <w:r>
              <w:rPr>
                <w:rFonts w:ascii="Times New Roman" w:hAnsi="Times New Roman"/>
                <w:sz w:val="21"/>
                <w:vertAlign w:val="superscript"/>
              </w:rPr>
              <w:t>-1</w:t>
            </w:r>
          </w:p>
        </w:tc>
        <w:tc>
          <w:tcPr>
            <w:tcW w:w="1757" w:type="dxa"/>
            <w:tcBorders>
              <w:top w:val="single" w:sz="4" w:space="0" w:color="000000"/>
              <w:left w:val="single" w:sz="4" w:space="0" w:color="000000"/>
              <w:bottom w:val="single" w:sz="4" w:space="0" w:color="000000"/>
              <w:right w:val="nil"/>
            </w:tcBorders>
          </w:tcPr>
          <w:p>
            <w:pPr>
              <w:pStyle w:val="TableParagraph"/>
              <w:spacing w:before="37"/>
              <w:ind w:left="460" w:right="438"/>
              <w:rPr>
                <w:rFonts w:ascii="Times New Roman" w:hAnsi="Times New Roman"/>
                <w:sz w:val="21"/>
              </w:rPr>
            </w:pPr>
            <w:r>
              <w:rPr>
                <w:rFonts w:ascii="Times New Roman" w:hAnsi="Times New Roman"/>
                <w:sz w:val="21"/>
              </w:rPr>
              <w:t>2.08×10</w:t>
            </w:r>
            <w:r>
              <w:rPr>
                <w:rFonts w:ascii="Times New Roman" w:hAnsi="Times New Roman"/>
                <w:sz w:val="21"/>
                <w:vertAlign w:val="superscript"/>
              </w:rPr>
              <w:t>-1</w:t>
            </w:r>
          </w:p>
        </w:tc>
      </w:tr>
      <w:tr>
        <w:trPr>
          <w:trHeight w:val="312" w:hRule="atLeast"/>
        </w:trPr>
        <w:tc>
          <w:tcPr>
            <w:tcW w:w="1817" w:type="dxa"/>
            <w:vMerge/>
            <w:tcBorders>
              <w:top w:val="nil"/>
              <w:left w:val="nil"/>
              <w:bottom w:val="single" w:sz="4" w:space="0" w:color="000000"/>
              <w:right w:val="single" w:sz="4" w:space="0" w:color="000000"/>
            </w:tcBorders>
          </w:tcPr>
          <w:p>
            <w:pPr>
              <w:rPr>
                <w:sz w:val="2"/>
                <w:szCs w:val="2"/>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36"/>
              <w:ind w:left="27"/>
              <w:rPr>
                <w:rFonts w:ascii="Times New Roman"/>
                <w:sz w:val="21"/>
              </w:rPr>
            </w:pPr>
            <w:r>
              <w:rPr>
                <w:rFonts w:ascii="Times New Roman"/>
                <w:w w:val="99"/>
                <w:sz w:val="21"/>
              </w:rPr>
              <w:t>5</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36"/>
              <w:ind w:left="329" w:right="302"/>
              <w:rPr>
                <w:rFonts w:ascii="Times New Roman" w:hAnsi="Times New Roman"/>
                <w:sz w:val="21"/>
              </w:rPr>
            </w:pPr>
            <w:r>
              <w:rPr>
                <w:rFonts w:ascii="Times New Roman" w:hAnsi="Times New Roman"/>
                <w:sz w:val="21"/>
              </w:rPr>
              <w:t>2.55×10</w:t>
            </w:r>
            <w:r>
              <w:rPr>
                <w:rFonts w:ascii="Times New Roman" w:hAnsi="Times New Roman"/>
                <w:sz w:val="21"/>
                <w:vertAlign w:val="superscript"/>
              </w:rPr>
              <w:t>-1</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36"/>
              <w:ind w:left="347" w:right="317"/>
              <w:rPr>
                <w:rFonts w:ascii="Times New Roman" w:hAnsi="Times New Roman"/>
                <w:sz w:val="21"/>
              </w:rPr>
            </w:pPr>
            <w:r>
              <w:rPr>
                <w:rFonts w:ascii="Times New Roman" w:hAnsi="Times New Roman"/>
                <w:sz w:val="21"/>
              </w:rPr>
              <w:t>7.86×10</w:t>
            </w:r>
            <w:r>
              <w:rPr>
                <w:rFonts w:ascii="Times New Roman" w:hAnsi="Times New Roman"/>
                <w:sz w:val="21"/>
                <w:vertAlign w:val="superscript"/>
              </w:rPr>
              <w:t>-1</w:t>
            </w:r>
          </w:p>
        </w:tc>
        <w:tc>
          <w:tcPr>
            <w:tcW w:w="1757" w:type="dxa"/>
            <w:tcBorders>
              <w:top w:val="single" w:sz="4" w:space="0" w:color="000000"/>
              <w:left w:val="single" w:sz="4" w:space="0" w:color="000000"/>
              <w:bottom w:val="single" w:sz="4" w:space="0" w:color="000000"/>
              <w:right w:val="nil"/>
            </w:tcBorders>
          </w:tcPr>
          <w:p>
            <w:pPr>
              <w:pStyle w:val="TableParagraph"/>
              <w:spacing w:before="36"/>
              <w:ind w:left="460" w:right="438"/>
              <w:rPr>
                <w:rFonts w:ascii="Times New Roman"/>
                <w:sz w:val="21"/>
              </w:rPr>
            </w:pPr>
            <w:r>
              <w:rPr>
                <w:rFonts w:ascii="Times New Roman"/>
                <w:sz w:val="21"/>
              </w:rPr>
              <w:t>1.04</w:t>
            </w:r>
          </w:p>
        </w:tc>
      </w:tr>
      <w:tr>
        <w:trPr>
          <w:trHeight w:val="302" w:hRule="atLeast"/>
        </w:trPr>
        <w:tc>
          <w:tcPr>
            <w:tcW w:w="1817" w:type="dxa"/>
            <w:vMerge w:val="restart"/>
            <w:tcBorders>
              <w:top w:val="single" w:sz="4" w:space="0" w:color="000000"/>
              <w:left w:val="nil"/>
              <w:right w:val="single" w:sz="4" w:space="0" w:color="000000"/>
            </w:tcBorders>
          </w:tcPr>
          <w:p>
            <w:pPr>
              <w:pStyle w:val="TableParagraph"/>
              <w:spacing w:before="11"/>
              <w:jc w:val="left"/>
              <w:rPr>
                <w:sz w:val="27"/>
              </w:rPr>
            </w:pPr>
          </w:p>
          <w:p>
            <w:pPr>
              <w:pStyle w:val="TableParagraph"/>
              <w:spacing w:before="1"/>
              <w:ind w:left="31"/>
              <w:rPr>
                <w:rFonts w:ascii="Times New Roman"/>
                <w:sz w:val="21"/>
              </w:rPr>
            </w:pPr>
            <w:r>
              <w:rPr>
                <w:rFonts w:ascii="Times New Roman"/>
                <w:w w:val="99"/>
                <w:sz w:val="21"/>
              </w:rPr>
              <w:t>2</w:t>
            </w: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36"/>
              <w:ind w:left="185" w:right="158"/>
              <w:rPr>
                <w:rFonts w:ascii="Times New Roman"/>
                <w:sz w:val="21"/>
              </w:rPr>
            </w:pPr>
            <w:r>
              <w:rPr>
                <w:rFonts w:ascii="Times New Roman"/>
                <w:sz w:val="21"/>
              </w:rPr>
              <w:t>0.5</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36"/>
              <w:ind w:left="329" w:right="302"/>
              <w:rPr>
                <w:rFonts w:ascii="Times New Roman" w:hAnsi="Times New Roman"/>
                <w:sz w:val="21"/>
              </w:rPr>
            </w:pPr>
            <w:r>
              <w:rPr>
                <w:rFonts w:ascii="Times New Roman" w:hAnsi="Times New Roman"/>
                <w:sz w:val="21"/>
              </w:rPr>
              <w:t>6.38×10</w:t>
            </w:r>
            <w:r>
              <w:rPr>
                <w:rFonts w:ascii="Times New Roman" w:hAnsi="Times New Roman"/>
                <w:sz w:val="21"/>
                <w:vertAlign w:val="superscript"/>
              </w:rPr>
              <w:t>-3</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36"/>
              <w:ind w:left="347" w:right="317"/>
              <w:rPr>
                <w:rFonts w:ascii="Times New Roman" w:hAnsi="Times New Roman"/>
                <w:sz w:val="21"/>
              </w:rPr>
            </w:pPr>
            <w:r>
              <w:rPr>
                <w:rFonts w:ascii="Times New Roman" w:hAnsi="Times New Roman"/>
                <w:sz w:val="21"/>
              </w:rPr>
              <w:t>1.96×10</w:t>
            </w:r>
            <w:r>
              <w:rPr>
                <w:rFonts w:ascii="Times New Roman" w:hAnsi="Times New Roman"/>
                <w:sz w:val="21"/>
                <w:vertAlign w:val="superscript"/>
              </w:rPr>
              <w:t>-2</w:t>
            </w:r>
          </w:p>
        </w:tc>
        <w:tc>
          <w:tcPr>
            <w:tcW w:w="1757" w:type="dxa"/>
            <w:tcBorders>
              <w:top w:val="single" w:sz="4" w:space="0" w:color="000000"/>
              <w:left w:val="single" w:sz="4" w:space="0" w:color="000000"/>
              <w:bottom w:val="single" w:sz="4" w:space="0" w:color="000000"/>
              <w:right w:val="nil"/>
            </w:tcBorders>
          </w:tcPr>
          <w:p>
            <w:pPr>
              <w:pStyle w:val="TableParagraph"/>
              <w:spacing w:before="36"/>
              <w:ind w:left="460" w:right="438"/>
              <w:rPr>
                <w:rFonts w:ascii="Times New Roman" w:hAnsi="Times New Roman"/>
                <w:sz w:val="21"/>
              </w:rPr>
            </w:pPr>
            <w:r>
              <w:rPr>
                <w:rFonts w:ascii="Times New Roman" w:hAnsi="Times New Roman"/>
                <w:sz w:val="21"/>
              </w:rPr>
              <w:t>2.60×10</w:t>
            </w:r>
            <w:r>
              <w:rPr>
                <w:rFonts w:ascii="Times New Roman" w:hAnsi="Times New Roman"/>
                <w:sz w:val="21"/>
                <w:vertAlign w:val="superscript"/>
              </w:rPr>
              <w:t>-2</w:t>
            </w:r>
          </w:p>
        </w:tc>
      </w:tr>
      <w:tr>
        <w:trPr>
          <w:trHeight w:val="291" w:hRule="atLeast"/>
        </w:trPr>
        <w:tc>
          <w:tcPr>
            <w:tcW w:w="1817" w:type="dxa"/>
            <w:vMerge/>
            <w:tcBorders>
              <w:top w:val="nil"/>
              <w:left w:val="nil"/>
              <w:right w:val="single" w:sz="4" w:space="0" w:color="000000"/>
            </w:tcBorders>
          </w:tcPr>
          <w:p>
            <w:pPr>
              <w:rPr>
                <w:sz w:val="2"/>
                <w:szCs w:val="2"/>
              </w:rPr>
            </w:pPr>
          </w:p>
        </w:tc>
        <w:tc>
          <w:tcPr>
            <w:tcW w:w="1527" w:type="dxa"/>
            <w:tcBorders>
              <w:top w:val="single" w:sz="4" w:space="0" w:color="000000"/>
              <w:left w:val="single" w:sz="4" w:space="0" w:color="000000"/>
              <w:bottom w:val="single" w:sz="4" w:space="0" w:color="000000"/>
              <w:right w:val="single" w:sz="4" w:space="0" w:color="000000"/>
            </w:tcBorders>
          </w:tcPr>
          <w:p>
            <w:pPr>
              <w:pStyle w:val="TableParagraph"/>
              <w:spacing w:before="25"/>
              <w:ind w:left="27"/>
              <w:rPr>
                <w:rFonts w:ascii="Times New Roman"/>
                <w:sz w:val="21"/>
              </w:rPr>
            </w:pPr>
            <w:r>
              <w:rPr>
                <w:rFonts w:ascii="Times New Roman"/>
                <w:w w:val="99"/>
                <w:sz w:val="21"/>
              </w:rPr>
              <w:t>1</w:t>
            </w:r>
          </w:p>
        </w:tc>
        <w:tc>
          <w:tcPr>
            <w:tcW w:w="1881" w:type="dxa"/>
            <w:tcBorders>
              <w:top w:val="single" w:sz="4" w:space="0" w:color="000000"/>
              <w:left w:val="single" w:sz="4" w:space="0" w:color="000000"/>
              <w:bottom w:val="single" w:sz="4" w:space="0" w:color="000000"/>
              <w:right w:val="single" w:sz="4" w:space="0" w:color="000000"/>
            </w:tcBorders>
          </w:tcPr>
          <w:p>
            <w:pPr>
              <w:pStyle w:val="TableParagraph"/>
              <w:spacing w:before="25"/>
              <w:ind w:left="329" w:right="302"/>
              <w:rPr>
                <w:rFonts w:ascii="Times New Roman" w:hAnsi="Times New Roman"/>
                <w:sz w:val="21"/>
              </w:rPr>
            </w:pPr>
            <w:r>
              <w:rPr>
                <w:rFonts w:ascii="Times New Roman" w:hAnsi="Times New Roman"/>
                <w:sz w:val="21"/>
              </w:rPr>
              <w:t>1.28×10</w:t>
            </w:r>
            <w:r>
              <w:rPr>
                <w:rFonts w:ascii="Times New Roman" w:hAnsi="Times New Roman"/>
                <w:sz w:val="21"/>
                <w:vertAlign w:val="superscript"/>
              </w:rPr>
              <w:t>-2</w:t>
            </w:r>
          </w:p>
        </w:tc>
        <w:tc>
          <w:tcPr>
            <w:tcW w:w="1913" w:type="dxa"/>
            <w:tcBorders>
              <w:top w:val="single" w:sz="4" w:space="0" w:color="000000"/>
              <w:left w:val="single" w:sz="4" w:space="0" w:color="000000"/>
              <w:bottom w:val="single" w:sz="4" w:space="0" w:color="000000"/>
              <w:right w:val="single" w:sz="4" w:space="0" w:color="000000"/>
            </w:tcBorders>
          </w:tcPr>
          <w:p>
            <w:pPr>
              <w:pStyle w:val="TableParagraph"/>
              <w:spacing w:before="25"/>
              <w:ind w:left="347" w:right="317"/>
              <w:rPr>
                <w:rFonts w:ascii="Times New Roman" w:hAnsi="Times New Roman"/>
                <w:sz w:val="21"/>
              </w:rPr>
            </w:pPr>
            <w:r>
              <w:rPr>
                <w:rFonts w:ascii="Times New Roman" w:hAnsi="Times New Roman"/>
                <w:sz w:val="21"/>
              </w:rPr>
              <w:t>3.93×10</w:t>
            </w:r>
            <w:r>
              <w:rPr>
                <w:rFonts w:ascii="Times New Roman" w:hAnsi="Times New Roman"/>
                <w:sz w:val="21"/>
                <w:vertAlign w:val="superscript"/>
              </w:rPr>
              <w:t>-2</w:t>
            </w:r>
          </w:p>
        </w:tc>
        <w:tc>
          <w:tcPr>
            <w:tcW w:w="1757" w:type="dxa"/>
            <w:tcBorders>
              <w:top w:val="single" w:sz="4" w:space="0" w:color="000000"/>
              <w:left w:val="single" w:sz="4" w:space="0" w:color="000000"/>
              <w:bottom w:val="single" w:sz="4" w:space="0" w:color="000000"/>
              <w:right w:val="nil"/>
            </w:tcBorders>
          </w:tcPr>
          <w:p>
            <w:pPr>
              <w:pStyle w:val="TableParagraph"/>
              <w:spacing w:before="25"/>
              <w:ind w:left="460" w:right="438"/>
              <w:rPr>
                <w:rFonts w:ascii="Times New Roman" w:hAnsi="Times New Roman"/>
                <w:sz w:val="21"/>
              </w:rPr>
            </w:pPr>
            <w:r>
              <w:rPr>
                <w:rFonts w:ascii="Times New Roman" w:hAnsi="Times New Roman"/>
                <w:sz w:val="21"/>
              </w:rPr>
              <w:t>5.21×10</w:t>
            </w:r>
            <w:r>
              <w:rPr>
                <w:rFonts w:ascii="Times New Roman" w:hAnsi="Times New Roman"/>
                <w:sz w:val="21"/>
                <w:vertAlign w:val="superscript"/>
              </w:rPr>
              <w:t>-2</w:t>
            </w:r>
          </w:p>
        </w:tc>
      </w:tr>
      <w:tr>
        <w:trPr>
          <w:trHeight w:val="301" w:hRule="atLeast"/>
        </w:trPr>
        <w:tc>
          <w:tcPr>
            <w:tcW w:w="1817" w:type="dxa"/>
            <w:vMerge/>
            <w:tcBorders>
              <w:top w:val="nil"/>
              <w:left w:val="nil"/>
              <w:right w:val="single" w:sz="4" w:space="0" w:color="000000"/>
            </w:tcBorders>
          </w:tcPr>
          <w:p>
            <w:pPr>
              <w:rPr>
                <w:sz w:val="2"/>
                <w:szCs w:val="2"/>
              </w:rPr>
            </w:pPr>
          </w:p>
        </w:tc>
        <w:tc>
          <w:tcPr>
            <w:tcW w:w="1527" w:type="dxa"/>
            <w:tcBorders>
              <w:top w:val="single" w:sz="4" w:space="0" w:color="000000"/>
              <w:left w:val="single" w:sz="4" w:space="0" w:color="000000"/>
              <w:right w:val="single" w:sz="4" w:space="0" w:color="000000"/>
            </w:tcBorders>
          </w:tcPr>
          <w:p>
            <w:pPr>
              <w:pStyle w:val="TableParagraph"/>
              <w:spacing w:before="25"/>
              <w:ind w:left="27"/>
              <w:rPr>
                <w:rFonts w:ascii="Times New Roman"/>
                <w:sz w:val="21"/>
              </w:rPr>
            </w:pPr>
            <w:r>
              <w:rPr>
                <w:rFonts w:ascii="Times New Roman"/>
                <w:w w:val="99"/>
                <w:sz w:val="21"/>
              </w:rPr>
              <w:t>5</w:t>
            </w:r>
          </w:p>
        </w:tc>
        <w:tc>
          <w:tcPr>
            <w:tcW w:w="1881" w:type="dxa"/>
            <w:tcBorders>
              <w:top w:val="single" w:sz="4" w:space="0" w:color="000000"/>
              <w:left w:val="single" w:sz="4" w:space="0" w:color="000000"/>
              <w:right w:val="single" w:sz="4" w:space="0" w:color="000000"/>
            </w:tcBorders>
          </w:tcPr>
          <w:p>
            <w:pPr>
              <w:pStyle w:val="TableParagraph"/>
              <w:spacing w:before="25"/>
              <w:ind w:left="329" w:right="302"/>
              <w:rPr>
                <w:rFonts w:ascii="Times New Roman" w:hAnsi="Times New Roman"/>
                <w:sz w:val="13"/>
              </w:rPr>
            </w:pPr>
            <w:r>
              <w:rPr>
                <w:rFonts w:ascii="Times New Roman" w:hAnsi="Times New Roman"/>
                <w:sz w:val="21"/>
              </w:rPr>
              <w:t>6.38×10</w:t>
            </w:r>
            <w:r>
              <w:rPr>
                <w:rFonts w:ascii="Times New Roman" w:hAnsi="Times New Roman"/>
                <w:position w:val="7"/>
                <w:sz w:val="13"/>
              </w:rPr>
              <w:t>-2</w:t>
            </w:r>
          </w:p>
        </w:tc>
        <w:tc>
          <w:tcPr>
            <w:tcW w:w="1913" w:type="dxa"/>
            <w:tcBorders>
              <w:top w:val="single" w:sz="4" w:space="0" w:color="000000"/>
              <w:left w:val="single" w:sz="4" w:space="0" w:color="000000"/>
              <w:right w:val="single" w:sz="4" w:space="0" w:color="000000"/>
            </w:tcBorders>
          </w:tcPr>
          <w:p>
            <w:pPr>
              <w:pStyle w:val="TableParagraph"/>
              <w:spacing w:before="25"/>
              <w:ind w:left="347" w:right="317"/>
              <w:rPr>
                <w:rFonts w:ascii="Times New Roman" w:hAnsi="Times New Roman"/>
                <w:sz w:val="13"/>
              </w:rPr>
            </w:pPr>
            <w:r>
              <w:rPr>
                <w:rFonts w:ascii="Times New Roman" w:hAnsi="Times New Roman"/>
                <w:sz w:val="21"/>
              </w:rPr>
              <w:t>1.96×10</w:t>
            </w:r>
            <w:r>
              <w:rPr>
                <w:rFonts w:ascii="Times New Roman" w:hAnsi="Times New Roman"/>
                <w:position w:val="7"/>
                <w:sz w:val="13"/>
              </w:rPr>
              <w:t>-1</w:t>
            </w:r>
          </w:p>
        </w:tc>
        <w:tc>
          <w:tcPr>
            <w:tcW w:w="1757" w:type="dxa"/>
            <w:tcBorders>
              <w:top w:val="single" w:sz="4" w:space="0" w:color="000000"/>
              <w:left w:val="single" w:sz="4" w:space="0" w:color="000000"/>
              <w:right w:val="nil"/>
            </w:tcBorders>
          </w:tcPr>
          <w:p>
            <w:pPr>
              <w:pStyle w:val="TableParagraph"/>
              <w:spacing w:before="25"/>
              <w:ind w:left="460" w:right="438"/>
              <w:rPr>
                <w:rFonts w:ascii="Times New Roman" w:hAnsi="Times New Roman"/>
                <w:sz w:val="13"/>
              </w:rPr>
            </w:pPr>
            <w:r>
              <w:rPr>
                <w:rFonts w:ascii="Times New Roman" w:hAnsi="Times New Roman"/>
                <w:sz w:val="21"/>
              </w:rPr>
              <w:t>2.60×10</w:t>
            </w:r>
            <w:r>
              <w:rPr>
                <w:rFonts w:ascii="Times New Roman" w:hAnsi="Times New Roman"/>
                <w:position w:val="7"/>
                <w:sz w:val="13"/>
              </w:rPr>
              <w:t>-1</w:t>
            </w:r>
          </w:p>
        </w:tc>
      </w:tr>
    </w:tbl>
    <w:p>
      <w:pPr>
        <w:pStyle w:val="BodyText"/>
        <w:spacing w:line="364" w:lineRule="auto" w:before="82"/>
        <w:ind w:left="281" w:right="318" w:firstLine="480"/>
      </w:pPr>
      <w:r>
        <w:rPr>
          <w:spacing w:val="-11"/>
        </w:rPr>
        <w:t>②事故状态下，维修人员处于主射方向不同时间和距离所受剂量预测结果如下表所</w:t>
      </w:r>
      <w:r>
        <w:rPr/>
        <w:t>示：</w:t>
      </w:r>
    </w:p>
    <w:p>
      <w:pPr>
        <w:tabs>
          <w:tab w:pos="2434" w:val="left" w:leader="none"/>
        </w:tabs>
        <w:spacing w:before="19"/>
        <w:ind w:left="1483" w:right="0" w:firstLine="0"/>
        <w:jc w:val="left"/>
        <w:rPr>
          <w:sz w:val="21"/>
        </w:rPr>
      </w:pPr>
      <w:r>
        <w:rPr/>
        <w:pict>
          <v:shape style="position:absolute;margin-left:76.300003pt;margin-top:20.891003pt;width:110.05pt;height:56.7pt;mso-position-horizontal-relative:page;mso-position-vertical-relative:paragraph;z-index:-20131328" coordorigin="1526,418" coordsize="2201,1134" path="m1526,814l3727,1552m2604,418l3727,1552e" filled="false" stroked="true" strokeweight="1.5pt" strokecolor="#000000">
            <v:path arrowok="t"/>
            <v:stroke dashstyle="solid"/>
            <w10:wrap type="none"/>
          </v:shape>
        </w:pict>
      </w:r>
      <w:r>
        <w:rPr>
          <w:w w:val="95"/>
          <w:sz w:val="21"/>
        </w:rPr>
        <w:t>表</w:t>
      </w:r>
      <w:r>
        <w:rPr>
          <w:spacing w:val="-42"/>
          <w:w w:val="95"/>
          <w:sz w:val="21"/>
        </w:rPr>
        <w:t> </w:t>
      </w:r>
      <w:r>
        <w:rPr>
          <w:rFonts w:ascii="Times New Roman" w:eastAsia="Times New Roman"/>
          <w:b/>
          <w:w w:val="95"/>
          <w:sz w:val="21"/>
        </w:rPr>
        <w:t>11-12</w:t>
        <w:tab/>
      </w:r>
      <w:r>
        <w:rPr>
          <w:sz w:val="21"/>
        </w:rPr>
        <w:t>事故状态下主射方向不同停留时间和距离维修人员受照剂量表</w:t>
      </w:r>
    </w:p>
    <w:p>
      <w:pPr>
        <w:pStyle w:val="BodyText"/>
        <w:spacing w:before="10"/>
        <w:rPr>
          <w:sz w:val="7"/>
        </w:rPr>
      </w:pPr>
    </w:p>
    <w:tbl>
      <w:tblPr>
        <w:tblW w:w="0" w:type="auto"/>
        <w:jc w:val="left"/>
        <w:tblInd w:w="2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06"/>
        <w:gridCol w:w="2206"/>
        <w:gridCol w:w="2206"/>
        <w:gridCol w:w="2206"/>
      </w:tblGrid>
      <w:tr>
        <w:trPr>
          <w:trHeight w:val="1133" w:hRule="atLeast"/>
        </w:trPr>
        <w:tc>
          <w:tcPr>
            <w:tcW w:w="2206" w:type="dxa"/>
            <w:tcBorders>
              <w:left w:val="nil"/>
              <w:bottom w:val="single" w:sz="4" w:space="0" w:color="000000"/>
              <w:right w:val="single" w:sz="4" w:space="0" w:color="000000"/>
            </w:tcBorders>
          </w:tcPr>
          <w:p>
            <w:pPr>
              <w:pStyle w:val="TableParagraph"/>
              <w:tabs>
                <w:tab w:pos="1466" w:val="left" w:leader="none"/>
              </w:tabs>
              <w:spacing w:line="321" w:lineRule="exact"/>
              <w:ind w:left="420"/>
              <w:jc w:val="left"/>
              <w:rPr>
                <w:rFonts w:ascii="Times New Roman" w:eastAsia="Times New Roman"/>
                <w:b/>
                <w:sz w:val="21"/>
              </w:rPr>
            </w:pPr>
            <w:r>
              <w:rPr>
                <w:position w:val="10"/>
                <w:sz w:val="21"/>
              </w:rPr>
              <w:t>剂量</w:t>
              <w:tab/>
            </w:r>
            <w:r>
              <w:rPr>
                <w:w w:val="95"/>
                <w:sz w:val="21"/>
              </w:rPr>
              <w:t>距离</w:t>
            </w:r>
            <w:r>
              <w:rPr>
                <w:spacing w:val="-38"/>
                <w:w w:val="95"/>
                <w:sz w:val="21"/>
              </w:rPr>
              <w:t> </w:t>
            </w:r>
            <w:r>
              <w:rPr>
                <w:rFonts w:ascii="Times New Roman" w:eastAsia="Times New Roman"/>
                <w:b/>
                <w:w w:val="95"/>
                <w:sz w:val="21"/>
              </w:rPr>
              <w:t>m</w:t>
            </w:r>
          </w:p>
          <w:p>
            <w:pPr>
              <w:pStyle w:val="TableParagraph"/>
              <w:spacing w:line="204" w:lineRule="exact"/>
              <w:ind w:left="566"/>
              <w:jc w:val="left"/>
              <w:rPr>
                <w:sz w:val="21"/>
              </w:rPr>
            </w:pPr>
            <w:r>
              <w:rPr>
                <w:sz w:val="21"/>
              </w:rPr>
              <w:t>（</w:t>
            </w:r>
            <w:r>
              <w:rPr>
                <w:rFonts w:ascii="Times New Roman" w:eastAsia="Times New Roman"/>
                <w:b/>
                <w:sz w:val="21"/>
              </w:rPr>
              <w:t>mSv</w:t>
            </w:r>
            <w:r>
              <w:rPr>
                <w:sz w:val="21"/>
              </w:rPr>
              <w:t>）</w:t>
            </w:r>
          </w:p>
          <w:p>
            <w:pPr>
              <w:pStyle w:val="TableParagraph"/>
              <w:spacing w:line="251" w:lineRule="exact"/>
              <w:ind w:left="132"/>
              <w:jc w:val="left"/>
              <w:rPr>
                <w:sz w:val="21"/>
              </w:rPr>
            </w:pPr>
            <w:r>
              <w:rPr>
                <w:w w:val="99"/>
                <w:sz w:val="21"/>
              </w:rPr>
              <w:t>时</w:t>
            </w:r>
          </w:p>
          <w:p>
            <w:pPr>
              <w:pStyle w:val="TableParagraph"/>
              <w:spacing w:before="2"/>
              <w:ind w:left="295"/>
              <w:jc w:val="left"/>
              <w:rPr>
                <w:sz w:val="21"/>
              </w:rPr>
            </w:pPr>
            <w:r>
              <w:rPr>
                <w:sz w:val="21"/>
              </w:rPr>
              <w:t>间（</w:t>
            </w:r>
            <w:r>
              <w:rPr>
                <w:rFonts w:ascii="Times New Roman" w:eastAsia="Times New Roman"/>
                <w:b/>
                <w:sz w:val="21"/>
              </w:rPr>
              <w:t>s</w:t>
            </w:r>
            <w:r>
              <w:rPr>
                <w:sz w:val="21"/>
              </w:rPr>
              <w:t>）</w:t>
            </w:r>
          </w:p>
        </w:tc>
        <w:tc>
          <w:tcPr>
            <w:tcW w:w="2206" w:type="dxa"/>
            <w:tcBorders>
              <w:left w:val="single" w:sz="4" w:space="0" w:color="000000"/>
              <w:right w:val="single" w:sz="4" w:space="0" w:color="000000"/>
            </w:tcBorders>
          </w:tcPr>
          <w:p>
            <w:pPr>
              <w:pStyle w:val="TableParagraph"/>
              <w:jc w:val="left"/>
              <w:rPr>
                <w:sz w:val="22"/>
              </w:rPr>
            </w:pPr>
          </w:p>
          <w:p>
            <w:pPr>
              <w:pStyle w:val="TableParagraph"/>
              <w:spacing w:before="164"/>
              <w:ind w:left="24"/>
              <w:rPr>
                <w:rFonts w:ascii="Times New Roman"/>
                <w:b/>
                <w:sz w:val="21"/>
              </w:rPr>
            </w:pPr>
            <w:r>
              <w:rPr>
                <w:rFonts w:ascii="Times New Roman"/>
                <w:b/>
                <w:w w:val="99"/>
                <w:sz w:val="21"/>
              </w:rPr>
              <w:t>1</w:t>
            </w:r>
          </w:p>
        </w:tc>
        <w:tc>
          <w:tcPr>
            <w:tcW w:w="2206" w:type="dxa"/>
            <w:tcBorders>
              <w:left w:val="single" w:sz="4" w:space="0" w:color="000000"/>
              <w:right w:val="single" w:sz="4" w:space="0" w:color="000000"/>
            </w:tcBorders>
          </w:tcPr>
          <w:p>
            <w:pPr>
              <w:pStyle w:val="TableParagraph"/>
              <w:jc w:val="left"/>
              <w:rPr>
                <w:sz w:val="22"/>
              </w:rPr>
            </w:pPr>
          </w:p>
          <w:p>
            <w:pPr>
              <w:pStyle w:val="TableParagraph"/>
              <w:spacing w:before="164"/>
              <w:ind w:right="950"/>
              <w:jc w:val="right"/>
              <w:rPr>
                <w:rFonts w:ascii="Times New Roman"/>
                <w:b/>
                <w:sz w:val="21"/>
              </w:rPr>
            </w:pPr>
            <w:r>
              <w:rPr>
                <w:rFonts w:ascii="Times New Roman"/>
                <w:b/>
                <w:sz w:val="21"/>
              </w:rPr>
              <w:t>1.5</w:t>
            </w:r>
          </w:p>
        </w:tc>
        <w:tc>
          <w:tcPr>
            <w:tcW w:w="2206" w:type="dxa"/>
            <w:tcBorders>
              <w:left w:val="single" w:sz="4" w:space="0" w:color="000000"/>
              <w:right w:val="nil"/>
            </w:tcBorders>
          </w:tcPr>
          <w:p>
            <w:pPr>
              <w:pStyle w:val="TableParagraph"/>
              <w:jc w:val="left"/>
              <w:rPr>
                <w:sz w:val="22"/>
              </w:rPr>
            </w:pPr>
          </w:p>
          <w:p>
            <w:pPr>
              <w:pStyle w:val="TableParagraph"/>
              <w:spacing w:before="164"/>
              <w:ind w:left="23"/>
              <w:rPr>
                <w:rFonts w:ascii="Times New Roman"/>
                <w:b/>
                <w:sz w:val="21"/>
              </w:rPr>
            </w:pPr>
            <w:r>
              <w:rPr>
                <w:rFonts w:ascii="Times New Roman"/>
                <w:b/>
                <w:w w:val="99"/>
                <w:sz w:val="21"/>
              </w:rPr>
              <w:t>2</w:t>
            </w:r>
          </w:p>
        </w:tc>
      </w:tr>
      <w:tr>
        <w:trPr>
          <w:trHeight w:val="468" w:hRule="atLeast"/>
        </w:trPr>
        <w:tc>
          <w:tcPr>
            <w:tcW w:w="2206" w:type="dxa"/>
            <w:tcBorders>
              <w:top w:val="single" w:sz="4" w:space="0" w:color="000000"/>
              <w:left w:val="nil"/>
              <w:bottom w:val="single" w:sz="4" w:space="0" w:color="000000"/>
              <w:right w:val="single" w:sz="4" w:space="0" w:color="000000"/>
            </w:tcBorders>
          </w:tcPr>
          <w:p>
            <w:pPr>
              <w:pStyle w:val="TableParagraph"/>
              <w:spacing w:before="112"/>
              <w:ind w:right="949"/>
              <w:jc w:val="right"/>
              <w:rPr>
                <w:rFonts w:ascii="Times New Roman"/>
                <w:b/>
                <w:sz w:val="21"/>
              </w:rPr>
            </w:pPr>
            <w:r>
              <w:rPr>
                <w:rFonts w:ascii="Times New Roman"/>
                <w:b/>
                <w:sz w:val="21"/>
              </w:rPr>
              <w:t>0.5</w:t>
            </w:r>
          </w:p>
        </w:tc>
        <w:tc>
          <w:tcPr>
            <w:tcW w:w="2206" w:type="dxa"/>
            <w:tcBorders>
              <w:left w:val="single" w:sz="4" w:space="0" w:color="000000"/>
              <w:bottom w:val="single" w:sz="4" w:space="0" w:color="000000"/>
              <w:right w:val="single" w:sz="4" w:space="0" w:color="000000"/>
            </w:tcBorders>
          </w:tcPr>
          <w:p>
            <w:pPr>
              <w:pStyle w:val="TableParagraph"/>
              <w:spacing w:before="115"/>
              <w:ind w:right="896"/>
              <w:jc w:val="right"/>
              <w:rPr>
                <w:rFonts w:ascii="Times New Roman"/>
                <w:sz w:val="21"/>
              </w:rPr>
            </w:pPr>
            <w:r>
              <w:rPr>
                <w:rFonts w:ascii="Times New Roman"/>
                <w:sz w:val="21"/>
              </w:rPr>
              <w:t>2.62</w:t>
            </w:r>
          </w:p>
        </w:tc>
        <w:tc>
          <w:tcPr>
            <w:tcW w:w="2206" w:type="dxa"/>
            <w:tcBorders>
              <w:left w:val="single" w:sz="4" w:space="0" w:color="000000"/>
              <w:bottom w:val="single" w:sz="4" w:space="0" w:color="000000"/>
              <w:right w:val="single" w:sz="4" w:space="0" w:color="000000"/>
            </w:tcBorders>
          </w:tcPr>
          <w:p>
            <w:pPr>
              <w:pStyle w:val="TableParagraph"/>
              <w:spacing w:before="115"/>
              <w:ind w:right="950"/>
              <w:jc w:val="right"/>
              <w:rPr>
                <w:rFonts w:ascii="Times New Roman"/>
                <w:sz w:val="21"/>
              </w:rPr>
            </w:pPr>
            <w:r>
              <w:rPr>
                <w:rFonts w:ascii="Times New Roman"/>
                <w:sz w:val="21"/>
              </w:rPr>
              <w:t>1.2</w:t>
            </w:r>
          </w:p>
        </w:tc>
        <w:tc>
          <w:tcPr>
            <w:tcW w:w="2206" w:type="dxa"/>
            <w:tcBorders>
              <w:left w:val="single" w:sz="4" w:space="0" w:color="000000"/>
              <w:bottom w:val="single" w:sz="4" w:space="0" w:color="000000"/>
              <w:right w:val="nil"/>
            </w:tcBorders>
          </w:tcPr>
          <w:p>
            <w:pPr>
              <w:pStyle w:val="TableParagraph"/>
              <w:spacing w:before="115"/>
              <w:ind w:left="960" w:right="937"/>
              <w:rPr>
                <w:rFonts w:ascii="Times New Roman"/>
                <w:sz w:val="21"/>
              </w:rPr>
            </w:pPr>
            <w:r>
              <w:rPr>
                <w:rFonts w:ascii="Times New Roman"/>
                <w:sz w:val="21"/>
              </w:rPr>
              <w:t>0.7</w:t>
            </w:r>
          </w:p>
        </w:tc>
      </w:tr>
      <w:tr>
        <w:trPr>
          <w:trHeight w:val="468" w:hRule="atLeast"/>
        </w:trPr>
        <w:tc>
          <w:tcPr>
            <w:tcW w:w="2206" w:type="dxa"/>
            <w:tcBorders>
              <w:top w:val="single" w:sz="4" w:space="0" w:color="000000"/>
              <w:left w:val="nil"/>
              <w:bottom w:val="single" w:sz="4" w:space="0" w:color="000000"/>
              <w:right w:val="single" w:sz="4" w:space="0" w:color="000000"/>
            </w:tcBorders>
          </w:tcPr>
          <w:p>
            <w:pPr>
              <w:pStyle w:val="TableParagraph"/>
              <w:spacing w:before="114"/>
              <w:ind w:left="30"/>
              <w:rPr>
                <w:rFonts w:ascii="Times New Roman"/>
                <w:b/>
                <w:sz w:val="21"/>
              </w:rPr>
            </w:pPr>
            <w:r>
              <w:rPr>
                <w:rFonts w:ascii="Times New Roman"/>
                <w:b/>
                <w:w w:val="99"/>
                <w:sz w:val="21"/>
              </w:rPr>
              <w:t>1</w:t>
            </w:r>
          </w:p>
        </w:tc>
        <w:tc>
          <w:tcPr>
            <w:tcW w:w="2206" w:type="dxa"/>
            <w:tcBorders>
              <w:top w:val="single" w:sz="4" w:space="0" w:color="000000"/>
              <w:left w:val="single" w:sz="4" w:space="0" w:color="000000"/>
              <w:bottom w:val="single" w:sz="4" w:space="0" w:color="000000"/>
              <w:right w:val="single" w:sz="4" w:space="0" w:color="000000"/>
            </w:tcBorders>
          </w:tcPr>
          <w:p>
            <w:pPr>
              <w:pStyle w:val="TableParagraph"/>
              <w:spacing w:before="114"/>
              <w:ind w:right="896"/>
              <w:jc w:val="right"/>
              <w:rPr>
                <w:rFonts w:ascii="Times New Roman"/>
                <w:sz w:val="21"/>
              </w:rPr>
            </w:pPr>
            <w:r>
              <w:rPr>
                <w:rFonts w:ascii="Times New Roman"/>
                <w:sz w:val="21"/>
              </w:rPr>
              <w:t>13.1</w:t>
            </w:r>
          </w:p>
        </w:tc>
        <w:tc>
          <w:tcPr>
            <w:tcW w:w="2206" w:type="dxa"/>
            <w:tcBorders>
              <w:top w:val="single" w:sz="4" w:space="0" w:color="000000"/>
              <w:left w:val="single" w:sz="4" w:space="0" w:color="000000"/>
              <w:bottom w:val="single" w:sz="4" w:space="0" w:color="000000"/>
              <w:right w:val="single" w:sz="4" w:space="0" w:color="000000"/>
            </w:tcBorders>
          </w:tcPr>
          <w:p>
            <w:pPr>
              <w:pStyle w:val="TableParagraph"/>
              <w:spacing w:before="114"/>
              <w:ind w:right="1029"/>
              <w:jc w:val="right"/>
              <w:rPr>
                <w:rFonts w:ascii="Times New Roman"/>
                <w:sz w:val="21"/>
              </w:rPr>
            </w:pPr>
            <w:r>
              <w:rPr>
                <w:rFonts w:ascii="Times New Roman"/>
                <w:w w:val="99"/>
                <w:sz w:val="21"/>
              </w:rPr>
              <w:t>6</w:t>
            </w:r>
          </w:p>
        </w:tc>
        <w:tc>
          <w:tcPr>
            <w:tcW w:w="2206" w:type="dxa"/>
            <w:tcBorders>
              <w:top w:val="single" w:sz="4" w:space="0" w:color="000000"/>
              <w:left w:val="single" w:sz="4" w:space="0" w:color="000000"/>
              <w:bottom w:val="single" w:sz="4" w:space="0" w:color="000000"/>
              <w:right w:val="nil"/>
            </w:tcBorders>
          </w:tcPr>
          <w:p>
            <w:pPr>
              <w:pStyle w:val="TableParagraph"/>
              <w:spacing w:before="114"/>
              <w:ind w:left="960" w:right="937"/>
              <w:rPr>
                <w:rFonts w:ascii="Times New Roman"/>
                <w:sz w:val="21"/>
              </w:rPr>
            </w:pPr>
            <w:r>
              <w:rPr>
                <w:rFonts w:ascii="Times New Roman"/>
                <w:sz w:val="21"/>
              </w:rPr>
              <w:t>3.5</w:t>
            </w:r>
          </w:p>
        </w:tc>
      </w:tr>
      <w:tr>
        <w:trPr>
          <w:trHeight w:val="467" w:hRule="atLeast"/>
        </w:trPr>
        <w:tc>
          <w:tcPr>
            <w:tcW w:w="2206" w:type="dxa"/>
            <w:tcBorders>
              <w:top w:val="single" w:sz="4" w:space="0" w:color="000000"/>
              <w:left w:val="nil"/>
              <w:bottom w:val="single" w:sz="4" w:space="0" w:color="000000"/>
              <w:right w:val="single" w:sz="4" w:space="0" w:color="000000"/>
            </w:tcBorders>
          </w:tcPr>
          <w:p>
            <w:pPr>
              <w:pStyle w:val="TableParagraph"/>
              <w:spacing w:before="113"/>
              <w:ind w:left="30"/>
              <w:rPr>
                <w:rFonts w:ascii="Times New Roman"/>
                <w:b/>
                <w:sz w:val="21"/>
              </w:rPr>
            </w:pPr>
            <w:r>
              <w:rPr>
                <w:rFonts w:ascii="Times New Roman"/>
                <w:b/>
                <w:w w:val="99"/>
                <w:sz w:val="21"/>
              </w:rPr>
              <w:t>5</w:t>
            </w:r>
          </w:p>
        </w:tc>
        <w:tc>
          <w:tcPr>
            <w:tcW w:w="2206" w:type="dxa"/>
            <w:tcBorders>
              <w:top w:val="single" w:sz="4" w:space="0" w:color="000000"/>
              <w:left w:val="single" w:sz="4" w:space="0" w:color="000000"/>
              <w:bottom w:val="single" w:sz="4" w:space="0" w:color="000000"/>
              <w:right w:val="single" w:sz="4" w:space="0" w:color="000000"/>
            </w:tcBorders>
          </w:tcPr>
          <w:p>
            <w:pPr>
              <w:pStyle w:val="TableParagraph"/>
              <w:spacing w:before="113"/>
              <w:ind w:right="896"/>
              <w:jc w:val="right"/>
              <w:rPr>
                <w:rFonts w:ascii="Times New Roman"/>
                <w:sz w:val="21"/>
              </w:rPr>
            </w:pPr>
            <w:r>
              <w:rPr>
                <w:rFonts w:ascii="Times New Roman"/>
                <w:sz w:val="21"/>
              </w:rPr>
              <w:t>26.2</w:t>
            </w:r>
          </w:p>
        </w:tc>
        <w:tc>
          <w:tcPr>
            <w:tcW w:w="2206" w:type="dxa"/>
            <w:tcBorders>
              <w:top w:val="single" w:sz="4" w:space="0" w:color="000000"/>
              <w:left w:val="single" w:sz="4" w:space="0" w:color="000000"/>
              <w:bottom w:val="single" w:sz="4" w:space="0" w:color="000000"/>
              <w:right w:val="single" w:sz="4" w:space="0" w:color="000000"/>
            </w:tcBorders>
          </w:tcPr>
          <w:p>
            <w:pPr>
              <w:pStyle w:val="TableParagraph"/>
              <w:spacing w:before="113"/>
              <w:ind w:right="976"/>
              <w:jc w:val="right"/>
              <w:rPr>
                <w:rFonts w:ascii="Times New Roman"/>
                <w:sz w:val="21"/>
              </w:rPr>
            </w:pPr>
            <w:r>
              <w:rPr>
                <w:rFonts w:ascii="Times New Roman"/>
                <w:sz w:val="21"/>
              </w:rPr>
              <w:t>12</w:t>
            </w:r>
          </w:p>
        </w:tc>
        <w:tc>
          <w:tcPr>
            <w:tcW w:w="2206" w:type="dxa"/>
            <w:tcBorders>
              <w:top w:val="single" w:sz="4" w:space="0" w:color="000000"/>
              <w:left w:val="single" w:sz="4" w:space="0" w:color="000000"/>
              <w:bottom w:val="single" w:sz="4" w:space="0" w:color="000000"/>
              <w:right w:val="nil"/>
            </w:tcBorders>
          </w:tcPr>
          <w:p>
            <w:pPr>
              <w:pStyle w:val="TableParagraph"/>
              <w:spacing w:before="113"/>
              <w:ind w:left="23"/>
              <w:rPr>
                <w:rFonts w:ascii="Times New Roman"/>
                <w:sz w:val="21"/>
              </w:rPr>
            </w:pPr>
            <w:r>
              <w:rPr>
                <w:rFonts w:ascii="Times New Roman"/>
                <w:w w:val="99"/>
                <w:sz w:val="21"/>
              </w:rPr>
              <w:t>7</w:t>
            </w:r>
          </w:p>
        </w:tc>
      </w:tr>
      <w:tr>
        <w:trPr>
          <w:trHeight w:val="467" w:hRule="atLeast"/>
        </w:trPr>
        <w:tc>
          <w:tcPr>
            <w:tcW w:w="2206" w:type="dxa"/>
            <w:tcBorders>
              <w:top w:val="single" w:sz="4" w:space="0" w:color="000000"/>
              <w:left w:val="nil"/>
              <w:bottom w:val="single" w:sz="4" w:space="0" w:color="000000"/>
              <w:right w:val="single" w:sz="4" w:space="0" w:color="000000"/>
            </w:tcBorders>
          </w:tcPr>
          <w:p>
            <w:pPr>
              <w:pStyle w:val="TableParagraph"/>
              <w:spacing w:before="113"/>
              <w:ind w:right="975"/>
              <w:jc w:val="right"/>
              <w:rPr>
                <w:rFonts w:ascii="Times New Roman"/>
                <w:b/>
                <w:sz w:val="21"/>
              </w:rPr>
            </w:pPr>
            <w:r>
              <w:rPr>
                <w:rFonts w:ascii="Times New Roman"/>
                <w:b/>
                <w:sz w:val="21"/>
              </w:rPr>
              <w:t>30</w:t>
            </w:r>
          </w:p>
        </w:tc>
        <w:tc>
          <w:tcPr>
            <w:tcW w:w="2206" w:type="dxa"/>
            <w:tcBorders>
              <w:top w:val="single" w:sz="4" w:space="0" w:color="000000"/>
              <w:left w:val="single" w:sz="4" w:space="0" w:color="000000"/>
              <w:bottom w:val="single" w:sz="4" w:space="0" w:color="000000"/>
              <w:right w:val="single" w:sz="4" w:space="0" w:color="000000"/>
            </w:tcBorders>
          </w:tcPr>
          <w:p>
            <w:pPr>
              <w:pStyle w:val="TableParagraph"/>
              <w:spacing w:before="113"/>
              <w:ind w:right="896"/>
              <w:jc w:val="right"/>
              <w:rPr>
                <w:rFonts w:ascii="Times New Roman"/>
                <w:sz w:val="21"/>
              </w:rPr>
            </w:pPr>
            <w:r>
              <w:rPr>
                <w:rFonts w:ascii="Times New Roman"/>
                <w:sz w:val="21"/>
              </w:rPr>
              <w:t>78.6</w:t>
            </w:r>
          </w:p>
        </w:tc>
        <w:tc>
          <w:tcPr>
            <w:tcW w:w="2206" w:type="dxa"/>
            <w:tcBorders>
              <w:top w:val="single" w:sz="4" w:space="0" w:color="000000"/>
              <w:left w:val="single" w:sz="4" w:space="0" w:color="000000"/>
              <w:bottom w:val="single" w:sz="4" w:space="0" w:color="000000"/>
              <w:right w:val="single" w:sz="4" w:space="0" w:color="000000"/>
            </w:tcBorders>
          </w:tcPr>
          <w:p>
            <w:pPr>
              <w:pStyle w:val="TableParagraph"/>
              <w:spacing w:before="113"/>
              <w:ind w:right="976"/>
              <w:jc w:val="right"/>
              <w:rPr>
                <w:rFonts w:ascii="Times New Roman"/>
                <w:sz w:val="21"/>
              </w:rPr>
            </w:pPr>
            <w:r>
              <w:rPr>
                <w:rFonts w:ascii="Times New Roman"/>
                <w:sz w:val="21"/>
              </w:rPr>
              <w:t>36</w:t>
            </w:r>
          </w:p>
        </w:tc>
        <w:tc>
          <w:tcPr>
            <w:tcW w:w="2206" w:type="dxa"/>
            <w:tcBorders>
              <w:top w:val="single" w:sz="4" w:space="0" w:color="000000"/>
              <w:left w:val="single" w:sz="4" w:space="0" w:color="000000"/>
              <w:bottom w:val="single" w:sz="4" w:space="0" w:color="000000"/>
              <w:right w:val="nil"/>
            </w:tcBorders>
          </w:tcPr>
          <w:p>
            <w:pPr>
              <w:pStyle w:val="TableParagraph"/>
              <w:spacing w:before="113"/>
              <w:ind w:left="960" w:right="937"/>
              <w:rPr>
                <w:rFonts w:ascii="Times New Roman"/>
                <w:sz w:val="21"/>
              </w:rPr>
            </w:pPr>
            <w:r>
              <w:rPr>
                <w:rFonts w:ascii="Times New Roman"/>
                <w:sz w:val="21"/>
              </w:rPr>
              <w:t>21</w:t>
            </w:r>
          </w:p>
        </w:tc>
      </w:tr>
      <w:tr>
        <w:trPr>
          <w:trHeight w:val="467" w:hRule="atLeast"/>
        </w:trPr>
        <w:tc>
          <w:tcPr>
            <w:tcW w:w="2206" w:type="dxa"/>
            <w:tcBorders>
              <w:top w:val="single" w:sz="4" w:space="0" w:color="000000"/>
              <w:left w:val="nil"/>
              <w:right w:val="single" w:sz="4" w:space="0" w:color="000000"/>
            </w:tcBorders>
          </w:tcPr>
          <w:p>
            <w:pPr>
              <w:pStyle w:val="TableParagraph"/>
              <w:spacing w:before="113"/>
              <w:ind w:right="975"/>
              <w:jc w:val="right"/>
              <w:rPr>
                <w:rFonts w:ascii="Times New Roman"/>
                <w:b/>
                <w:sz w:val="21"/>
              </w:rPr>
            </w:pPr>
            <w:r>
              <w:rPr>
                <w:rFonts w:ascii="Times New Roman"/>
                <w:b/>
                <w:sz w:val="21"/>
              </w:rPr>
              <w:t>60</w:t>
            </w:r>
          </w:p>
        </w:tc>
        <w:tc>
          <w:tcPr>
            <w:tcW w:w="2206" w:type="dxa"/>
            <w:tcBorders>
              <w:top w:val="single" w:sz="4" w:space="0" w:color="000000"/>
              <w:left w:val="single" w:sz="4" w:space="0" w:color="000000"/>
              <w:right w:val="single" w:sz="4" w:space="0" w:color="000000"/>
            </w:tcBorders>
          </w:tcPr>
          <w:p>
            <w:pPr>
              <w:pStyle w:val="TableParagraph"/>
              <w:spacing w:before="113"/>
              <w:ind w:right="844"/>
              <w:jc w:val="right"/>
              <w:rPr>
                <w:rFonts w:ascii="Times New Roman"/>
                <w:sz w:val="21"/>
              </w:rPr>
            </w:pPr>
            <w:r>
              <w:rPr>
                <w:rFonts w:ascii="Times New Roman"/>
                <w:sz w:val="21"/>
              </w:rPr>
              <w:t>157.2</w:t>
            </w:r>
          </w:p>
        </w:tc>
        <w:tc>
          <w:tcPr>
            <w:tcW w:w="2206" w:type="dxa"/>
            <w:tcBorders>
              <w:top w:val="single" w:sz="4" w:space="0" w:color="000000"/>
              <w:left w:val="single" w:sz="4" w:space="0" w:color="000000"/>
              <w:right w:val="single" w:sz="4" w:space="0" w:color="000000"/>
            </w:tcBorders>
          </w:tcPr>
          <w:p>
            <w:pPr>
              <w:pStyle w:val="TableParagraph"/>
              <w:spacing w:before="113"/>
              <w:ind w:right="976"/>
              <w:jc w:val="right"/>
              <w:rPr>
                <w:rFonts w:ascii="Times New Roman"/>
                <w:sz w:val="21"/>
              </w:rPr>
            </w:pPr>
            <w:r>
              <w:rPr>
                <w:rFonts w:ascii="Times New Roman"/>
                <w:sz w:val="21"/>
              </w:rPr>
              <w:t>72</w:t>
            </w:r>
          </w:p>
        </w:tc>
        <w:tc>
          <w:tcPr>
            <w:tcW w:w="2206" w:type="dxa"/>
            <w:tcBorders>
              <w:top w:val="single" w:sz="4" w:space="0" w:color="000000"/>
              <w:left w:val="single" w:sz="4" w:space="0" w:color="000000"/>
              <w:right w:val="nil"/>
            </w:tcBorders>
          </w:tcPr>
          <w:p>
            <w:pPr>
              <w:pStyle w:val="TableParagraph"/>
              <w:spacing w:before="113"/>
              <w:ind w:left="960" w:right="937"/>
              <w:rPr>
                <w:rFonts w:ascii="Times New Roman"/>
                <w:sz w:val="21"/>
              </w:rPr>
            </w:pPr>
            <w:r>
              <w:rPr>
                <w:rFonts w:ascii="Times New Roman"/>
                <w:sz w:val="21"/>
              </w:rPr>
              <w:t>42</w:t>
            </w:r>
          </w:p>
        </w:tc>
      </w:tr>
    </w:tbl>
    <w:p>
      <w:pPr>
        <w:pStyle w:val="ListParagraph"/>
        <w:numPr>
          <w:ilvl w:val="0"/>
          <w:numId w:val="8"/>
        </w:numPr>
        <w:tabs>
          <w:tab w:pos="1363" w:val="left" w:leader="none"/>
        </w:tabs>
        <w:spacing w:line="240" w:lineRule="auto" w:before="83" w:after="0"/>
        <w:ind w:left="1362" w:right="0" w:hanging="602"/>
        <w:jc w:val="left"/>
        <w:rPr>
          <w:sz w:val="24"/>
        </w:rPr>
      </w:pPr>
      <w:r>
        <w:rPr>
          <w:sz w:val="24"/>
        </w:rPr>
        <w:t>事故后果</w:t>
      </w:r>
    </w:p>
    <w:p>
      <w:pPr>
        <w:pStyle w:val="BodyText"/>
        <w:spacing w:line="364" w:lineRule="auto" w:before="160"/>
        <w:ind w:left="281" w:right="318" w:firstLine="480"/>
      </w:pPr>
      <w:r>
        <w:rPr>
          <w:spacing w:val="-14"/>
        </w:rPr>
        <w:t>①根据表 </w:t>
      </w:r>
      <w:r>
        <w:rPr>
          <w:rFonts w:ascii="Times New Roman" w:hAnsi="Times New Roman" w:eastAsia="Times New Roman"/>
          <w:spacing w:val="-2"/>
        </w:rPr>
        <w:t>11-11</w:t>
      </w:r>
      <w:r>
        <w:rPr>
          <w:rFonts w:ascii="Times New Roman" w:hAnsi="Times New Roman" w:eastAsia="Times New Roman"/>
        </w:rPr>
        <w:t> </w:t>
      </w:r>
      <w:r>
        <w:rPr>
          <w:spacing w:val="-2"/>
        </w:rPr>
        <w:t>可知，本项目介入手术人员在不同位置随着时间的推移，非主射方</w:t>
      </w:r>
      <w:r>
        <w:rPr>
          <w:spacing w:val="-6"/>
        </w:rPr>
        <w:t>向上最大可能受照剂量为 </w:t>
      </w:r>
      <w:r>
        <w:rPr>
          <w:rFonts w:ascii="Times New Roman" w:hAnsi="Times New Roman" w:eastAsia="Times New Roman"/>
        </w:rPr>
        <w:t>4.16mSv/</w:t>
      </w:r>
      <w:r>
        <w:rPr/>
        <w:t>次，高于《电离辐射防护与辐射源安全基本标准》</w:t>
      </w:r>
    </w:p>
    <w:p>
      <w:pPr>
        <w:pStyle w:val="BodyText"/>
        <w:spacing w:line="364" w:lineRule="auto" w:before="2"/>
        <w:ind w:left="281" w:right="337"/>
      </w:pPr>
      <w:r>
        <w:rPr>
          <w:spacing w:val="-1"/>
        </w:rPr>
        <w:t>（</w:t>
      </w:r>
      <w:r>
        <w:rPr>
          <w:rFonts w:ascii="Times New Roman" w:eastAsia="Times New Roman"/>
          <w:spacing w:val="-1"/>
        </w:rPr>
        <w:t>GB18871-</w:t>
      </w:r>
      <w:r>
        <w:rPr>
          <w:rFonts w:ascii="Times New Roman" w:eastAsia="Times New Roman"/>
          <w:spacing w:val="1"/>
        </w:rPr>
        <w:t> </w:t>
      </w:r>
      <w:r>
        <w:rPr>
          <w:rFonts w:ascii="Times New Roman" w:eastAsia="Times New Roman"/>
        </w:rPr>
        <w:t>2002</w:t>
      </w:r>
      <w:r>
        <w:rPr/>
        <w:t>）</w:t>
      </w:r>
      <w:r>
        <w:rPr>
          <w:spacing w:val="-10"/>
        </w:rPr>
        <w:t>规定的公众 </w:t>
      </w:r>
      <w:r>
        <w:rPr>
          <w:rFonts w:ascii="Times New Roman" w:eastAsia="Times New Roman"/>
        </w:rPr>
        <w:t>1mSv/a</w:t>
      </w:r>
      <w:r>
        <w:rPr>
          <w:rFonts w:ascii="Times New Roman" w:eastAsia="Times New Roman"/>
          <w:spacing w:val="-3"/>
        </w:rPr>
        <w:t> </w:t>
      </w:r>
      <w:r>
        <w:rPr>
          <w:spacing w:val="-5"/>
        </w:rPr>
        <w:t>的剂量限值，因此，误入 </w:t>
      </w:r>
      <w:r>
        <w:rPr>
          <w:rFonts w:ascii="Times New Roman" w:eastAsia="Times New Roman"/>
        </w:rPr>
        <w:t>DSA</w:t>
      </w:r>
      <w:r>
        <w:rPr>
          <w:rFonts w:ascii="Times New Roman" w:eastAsia="Times New Roman"/>
          <w:spacing w:val="-1"/>
        </w:rPr>
        <w:t> </w:t>
      </w:r>
      <w:r>
        <w:rPr/>
        <w:t>机房人员单次滞留在机房内而造成非主射方向的误照射，构成一般辐射事故。</w:t>
      </w:r>
    </w:p>
    <w:p>
      <w:pPr>
        <w:pStyle w:val="BodyText"/>
        <w:spacing w:before="1"/>
        <w:ind w:left="761"/>
      </w:pPr>
      <w:r>
        <w:rPr>
          <w:spacing w:val="-13"/>
        </w:rPr>
        <w:t>②根据表 </w:t>
      </w:r>
      <w:r>
        <w:rPr>
          <w:rFonts w:ascii="Times New Roman" w:hAnsi="Times New Roman" w:eastAsia="Times New Roman"/>
          <w:b/>
          <w:spacing w:val="-1"/>
        </w:rPr>
        <w:t>11-12</w:t>
      </w:r>
      <w:r>
        <w:rPr>
          <w:rFonts w:ascii="Times New Roman" w:hAnsi="Times New Roman" w:eastAsia="Times New Roman"/>
          <w:b/>
        </w:rPr>
        <w:t> </w:t>
      </w:r>
      <w:r>
        <w:rPr>
          <w:spacing w:val="-1"/>
        </w:rPr>
        <w:t>可知，维修人员在不同位置随着时间的推移，最大可能受照剂量为</w:t>
      </w:r>
    </w:p>
    <w:p>
      <w:pPr>
        <w:spacing w:after="0"/>
        <w:sectPr>
          <w:pgSz w:w="11910" w:h="16840"/>
          <w:pgMar w:header="0" w:footer="1383" w:top="1420" w:bottom="1580" w:left="1240" w:right="1040"/>
        </w:sectPr>
      </w:pPr>
    </w:p>
    <w:p>
      <w:pPr>
        <w:pStyle w:val="ListParagraph"/>
        <w:numPr>
          <w:ilvl w:val="1"/>
          <w:numId w:val="13"/>
        </w:numPr>
        <w:tabs>
          <w:tab w:pos="823" w:val="left" w:leader="none"/>
        </w:tabs>
        <w:spacing w:line="364" w:lineRule="auto" w:before="92" w:after="0"/>
        <w:ind w:left="281" w:right="292" w:firstLine="0"/>
        <w:jc w:val="left"/>
        <w:rPr>
          <w:sz w:val="24"/>
        </w:rPr>
      </w:pPr>
      <w:r>
        <w:rPr/>
        <w:pict>
          <v:shape style="position:absolute;margin-left:70.410004pt;margin-top:72.000023pt;width:462.55pt;height:686.5pt;mso-position-horizontal-relative:page;mso-position-vertical-relative:page;z-index:-20130304" coordorigin="1408,1440" coordsize="9251,13730" path="m1408,1445l10659,1445m1408,15170l10659,15170m1413,1440l1413,15165m10654,1440l10654,15165e" filled="false" stroked="true" strokeweight=".48pt" strokecolor="#000000">
            <v:path arrowok="t"/>
            <v:stroke dashstyle="solid"/>
            <w10:wrap type="none"/>
          </v:shape>
        </w:pict>
      </w:r>
      <w:r>
        <w:rPr>
          <w:rFonts w:ascii="Times New Roman" w:eastAsia="Times New Roman"/>
          <w:b/>
          <w:spacing w:val="-2"/>
          <w:sz w:val="24"/>
        </w:rPr>
        <w:t>mSv/</w:t>
      </w:r>
      <w:r>
        <w:rPr>
          <w:spacing w:val="-2"/>
          <w:sz w:val="24"/>
        </w:rPr>
        <w:t>次，高于《电离辐射防护与辐射源安全基本标准》</w:t>
      </w:r>
      <w:r>
        <w:rPr>
          <w:spacing w:val="-1"/>
          <w:sz w:val="24"/>
        </w:rPr>
        <w:t>（</w:t>
      </w:r>
      <w:r>
        <w:rPr>
          <w:rFonts w:ascii="Times New Roman" w:eastAsia="Times New Roman"/>
          <w:b/>
          <w:spacing w:val="-1"/>
          <w:sz w:val="24"/>
        </w:rPr>
        <w:t>GB18871-</w:t>
      </w:r>
      <w:r>
        <w:rPr>
          <w:rFonts w:ascii="Times New Roman" w:eastAsia="Times New Roman"/>
          <w:b/>
          <w:spacing w:val="-14"/>
          <w:sz w:val="24"/>
        </w:rPr>
        <w:t> </w:t>
      </w:r>
      <w:r>
        <w:rPr>
          <w:rFonts w:ascii="Times New Roman" w:eastAsia="Times New Roman"/>
          <w:b/>
          <w:spacing w:val="-1"/>
          <w:sz w:val="24"/>
        </w:rPr>
        <w:t>2002</w:t>
      </w:r>
      <w:r>
        <w:rPr>
          <w:spacing w:val="-1"/>
          <w:sz w:val="24"/>
        </w:rPr>
        <w:t>）规定的</w:t>
      </w:r>
      <w:r>
        <w:rPr>
          <w:spacing w:val="-12"/>
          <w:sz w:val="24"/>
        </w:rPr>
        <w:t>职业人员 </w:t>
      </w:r>
      <w:r>
        <w:rPr>
          <w:rFonts w:ascii="Times New Roman" w:eastAsia="Times New Roman"/>
          <w:b/>
          <w:sz w:val="24"/>
        </w:rPr>
        <w:t>20mSv/a </w:t>
      </w:r>
      <w:r>
        <w:rPr>
          <w:sz w:val="24"/>
        </w:rPr>
        <w:t>的剂量限值，为一般辐射事故。</w:t>
      </w:r>
    </w:p>
    <w:p>
      <w:pPr>
        <w:pStyle w:val="Heading2"/>
        <w:spacing w:before="54"/>
      </w:pPr>
      <w:r>
        <w:rPr/>
        <w:t>五、事故情况下的环境影响分析与防范应对措施</w:t>
      </w:r>
    </w:p>
    <w:p>
      <w:pPr>
        <w:pStyle w:val="BodyText"/>
        <w:spacing w:line="364" w:lineRule="auto" w:before="212"/>
        <w:ind w:left="281" w:right="317" w:firstLine="480"/>
        <w:jc w:val="both"/>
      </w:pPr>
      <w:r>
        <w:rPr>
          <w:rFonts w:ascii="Times New Roman" w:hAnsi="Times New Roman" w:eastAsia="Times New Roman"/>
          <w:spacing w:val="-2"/>
        </w:rPr>
        <w:t>DSA</w:t>
      </w:r>
      <w:r>
        <w:rPr>
          <w:rFonts w:ascii="Times New Roman" w:hAnsi="Times New Roman" w:eastAsia="Times New Roman"/>
          <w:spacing w:val="-13"/>
        </w:rPr>
        <w:t> </w:t>
      </w:r>
      <w:r>
        <w:rPr>
          <w:spacing w:val="-2"/>
        </w:rPr>
        <w:t>用于介入治疗时属于</w:t>
      </w:r>
      <w:r>
        <w:rPr>
          <w:rFonts w:ascii="Times New Roman" w:hAnsi="Times New Roman" w:eastAsia="Times New Roman"/>
          <w:spacing w:val="-2"/>
        </w:rPr>
        <w:t>Ⅱ</w:t>
      </w:r>
      <w:r>
        <w:rPr>
          <w:spacing w:val="-2"/>
        </w:rPr>
        <w:t>类射线装置，为中危险射线装置，事故时可使受照人员</w:t>
      </w:r>
      <w:r>
        <w:rPr>
          <w:spacing w:val="-4"/>
        </w:rPr>
        <w:t>产生较严重的放射损伤，但由于 </w:t>
      </w:r>
      <w:r>
        <w:rPr>
          <w:rFonts w:ascii="Times New Roman" w:hAnsi="Times New Roman" w:eastAsia="Times New Roman"/>
        </w:rPr>
        <w:t>DSA</w:t>
      </w:r>
      <w:r>
        <w:rPr>
          <w:rFonts w:ascii="Times New Roman" w:hAnsi="Times New Roman" w:eastAsia="Times New Roman"/>
          <w:spacing w:val="3"/>
        </w:rPr>
        <w:t> </w:t>
      </w:r>
      <w:r>
        <w:rPr/>
        <w:t>的特殊性，事故时使受照人员受大剂量照射甚至导致死亡的几率很小。</w:t>
      </w:r>
      <w:r>
        <w:rPr>
          <w:rFonts w:ascii="Times New Roman" w:hAnsi="Times New Roman" w:eastAsia="Times New Roman"/>
        </w:rPr>
        <w:t>DSA</w:t>
      </w:r>
      <w:r>
        <w:rPr>
          <w:rFonts w:ascii="Times New Roman" w:hAnsi="Times New Roman" w:eastAsia="Times New Roman"/>
          <w:spacing w:val="7"/>
        </w:rPr>
        <w:t> </w:t>
      </w:r>
      <w:r>
        <w:rPr>
          <w:spacing w:val="-4"/>
        </w:rPr>
        <w:t>开机时，医生与病人同处一室，且距 </w:t>
      </w:r>
      <w:r>
        <w:rPr>
          <w:rFonts w:ascii="Times New Roman" w:hAnsi="Times New Roman" w:eastAsia="Times New Roman"/>
        </w:rPr>
        <w:t>X</w:t>
      </w:r>
      <w:r>
        <w:rPr>
          <w:rFonts w:ascii="Times New Roman" w:hAnsi="Times New Roman" w:eastAsia="Times New Roman"/>
          <w:spacing w:val="8"/>
        </w:rPr>
        <w:t> </w:t>
      </w:r>
      <w:r>
        <w:rPr/>
        <w:t>线机的管头组装体</w:t>
      </w:r>
      <w:r>
        <w:rPr>
          <w:spacing w:val="-31"/>
        </w:rPr>
        <w:t>约 </w:t>
      </w:r>
      <w:r>
        <w:rPr>
          <w:rFonts w:ascii="Times New Roman" w:hAnsi="Times New Roman" w:eastAsia="Times New Roman"/>
          <w:spacing w:val="-2"/>
        </w:rPr>
        <w:t>1m </w:t>
      </w:r>
      <w:r>
        <w:rPr>
          <w:spacing w:val="-2"/>
        </w:rPr>
        <w:t>左右，距病人很近，介入射线装置主要事故是因曝光时间较长，防护条件欠佳对</w:t>
      </w:r>
      <w:r>
        <w:rPr/>
        <w:t>医生和病人引起的超剂量照射，其级别构成一般辐射事故。</w:t>
      </w:r>
    </w:p>
    <w:p>
      <w:pPr>
        <w:pStyle w:val="ListParagraph"/>
        <w:numPr>
          <w:ilvl w:val="2"/>
          <w:numId w:val="13"/>
        </w:numPr>
        <w:tabs>
          <w:tab w:pos="1363" w:val="left" w:leader="none"/>
        </w:tabs>
        <w:spacing w:line="240" w:lineRule="auto" w:before="3" w:after="0"/>
        <w:ind w:left="1362" w:right="0" w:hanging="602"/>
        <w:jc w:val="left"/>
        <w:rPr>
          <w:sz w:val="24"/>
        </w:rPr>
      </w:pPr>
      <w:r>
        <w:rPr>
          <w:sz w:val="24"/>
        </w:rPr>
        <w:t>为了防止事故的发生，医院在辐射防护设施方面应做好以下工作：</w:t>
      </w:r>
    </w:p>
    <w:p>
      <w:pPr>
        <w:pStyle w:val="BodyText"/>
        <w:spacing w:before="160"/>
        <w:ind w:left="761"/>
      </w:pPr>
      <w:r>
        <w:rPr/>
        <w:t>①购置工作性能和防护条件均较好的介入诊疗设备；</w:t>
      </w:r>
    </w:p>
    <w:p>
      <w:pPr>
        <w:pStyle w:val="BodyText"/>
        <w:spacing w:before="161"/>
        <w:ind w:left="761"/>
      </w:pPr>
      <w:r>
        <w:rPr/>
        <w:t>②实施介入诊疗的质量保证；</w:t>
      </w:r>
    </w:p>
    <w:p>
      <w:pPr>
        <w:pStyle w:val="BodyText"/>
        <w:spacing w:before="160"/>
        <w:ind w:left="761"/>
      </w:pPr>
      <w:r>
        <w:rPr/>
        <w:t>③做好医生的个人防护；</w:t>
      </w:r>
    </w:p>
    <w:p>
      <w:pPr>
        <w:pStyle w:val="BodyText"/>
        <w:spacing w:before="161"/>
        <w:ind w:left="761"/>
      </w:pPr>
      <w:r>
        <w:rPr/>
        <w:t>④做好病人非投照部位的防护工作；</w:t>
      </w:r>
    </w:p>
    <w:p>
      <w:pPr>
        <w:pStyle w:val="BodyText"/>
        <w:spacing w:line="364" w:lineRule="auto" w:before="160"/>
        <w:ind w:left="281" w:right="318" w:firstLine="480"/>
        <w:jc w:val="both"/>
      </w:pPr>
      <w:r>
        <w:rPr>
          <w:spacing w:val="-3"/>
        </w:rPr>
        <w:t>⑤按照《放射性同位素与射线装置安全和防护条例》，当 </w:t>
      </w:r>
      <w:r>
        <w:rPr>
          <w:rFonts w:ascii="Times New Roman" w:hAnsi="Times New Roman" w:eastAsia="Times New Roman"/>
        </w:rPr>
        <w:t>DSA</w:t>
      </w:r>
      <w:r>
        <w:rPr>
          <w:rFonts w:ascii="Times New Roman" w:hAnsi="Times New Roman" w:eastAsia="Times New Roman"/>
          <w:spacing w:val="2"/>
        </w:rPr>
        <w:t> </w:t>
      </w:r>
      <w:r>
        <w:rPr/>
        <w:t>发生辐射事故时，</w:t>
      </w:r>
      <w:r>
        <w:rPr>
          <w:spacing w:val="-118"/>
        </w:rPr>
        <w:t> </w:t>
      </w:r>
      <w:r>
        <w:rPr>
          <w:spacing w:val="-3"/>
        </w:rPr>
        <w:t>工作人员应立即切断电源，将病人撤出机房，关闭机房门，及时向医院主管领导和当地</w:t>
      </w:r>
      <w:r>
        <w:rPr/>
        <w:t>生态环境主管部门报告。</w:t>
      </w:r>
    </w:p>
    <w:p>
      <w:pPr>
        <w:pStyle w:val="ListParagraph"/>
        <w:numPr>
          <w:ilvl w:val="2"/>
          <w:numId w:val="13"/>
        </w:numPr>
        <w:tabs>
          <w:tab w:pos="1363" w:val="left" w:leader="none"/>
        </w:tabs>
        <w:spacing w:line="364" w:lineRule="auto" w:before="2" w:after="0"/>
        <w:ind w:left="281" w:right="318" w:firstLine="480"/>
        <w:jc w:val="both"/>
        <w:rPr>
          <w:sz w:val="24"/>
        </w:rPr>
      </w:pPr>
      <w:r>
        <w:rPr>
          <w:sz w:val="24"/>
        </w:rPr>
        <w:t>对于上述可能发生的各种事故，医院方面除在硬件上配齐、完善各种防范措</w:t>
      </w:r>
      <w:r>
        <w:rPr>
          <w:spacing w:val="-3"/>
          <w:sz w:val="24"/>
        </w:rPr>
        <w:t>施外，在软件设施上也注意了建设、补充和完善，使之在安全工作中发挥约束和规范作</w:t>
      </w:r>
      <w:r>
        <w:rPr>
          <w:sz w:val="24"/>
        </w:rPr>
        <w:t>用，其主要内容有：</w:t>
      </w:r>
    </w:p>
    <w:p>
      <w:pPr>
        <w:pStyle w:val="BodyText"/>
        <w:spacing w:before="2"/>
        <w:ind w:left="751"/>
      </w:pPr>
      <w:r>
        <w:rPr/>
        <w:t>①建立全院安全管理领导小组，组织管理医院的安全工作；</w:t>
      </w:r>
    </w:p>
    <w:p>
      <w:pPr>
        <w:pStyle w:val="BodyText"/>
        <w:spacing w:before="161"/>
        <w:ind w:left="751"/>
      </w:pPr>
      <w:r>
        <w:rPr/>
        <w:t>②加强人员的培训，考试（核）合格、持证上岗；</w:t>
      </w:r>
    </w:p>
    <w:p>
      <w:pPr>
        <w:pStyle w:val="BodyText"/>
        <w:spacing w:line="364" w:lineRule="auto" w:before="160"/>
        <w:ind w:left="281" w:right="318" w:firstLine="470"/>
      </w:pPr>
      <w:r>
        <w:rPr/>
        <w:t>③</w:t>
      </w:r>
      <w:r>
        <w:rPr>
          <w:rFonts w:ascii="Times New Roman" w:hAnsi="Times New Roman" w:eastAsia="Times New Roman"/>
        </w:rPr>
        <w:t>DSA</w:t>
      </w:r>
      <w:r>
        <w:rPr>
          <w:rFonts w:ascii="Times New Roman" w:hAnsi="Times New Roman" w:eastAsia="Times New Roman"/>
          <w:spacing w:val="54"/>
        </w:rPr>
        <w:t> </w:t>
      </w:r>
      <w:r>
        <w:rPr/>
        <w:t>控制台及介入手术床旁安装“紧急止动”按钮，设备采取工作状态指示灯与机房门联锁等多重安全措施；</w:t>
      </w:r>
    </w:p>
    <w:p>
      <w:pPr>
        <w:pStyle w:val="BodyText"/>
        <w:spacing w:before="1"/>
        <w:ind w:left="751"/>
      </w:pPr>
      <w:r>
        <w:rPr/>
        <w:t>④建立岗位的安全操作规程和安全规章制度，注意检查考核，认真贯彻实施；</w:t>
      </w:r>
    </w:p>
    <w:p>
      <w:pPr>
        <w:pStyle w:val="BodyText"/>
        <w:spacing w:line="364" w:lineRule="auto" w:before="161"/>
        <w:ind w:left="281" w:right="317" w:firstLine="470"/>
      </w:pPr>
      <w:r>
        <w:rPr>
          <w:spacing w:val="-3"/>
        </w:rPr>
        <w:t>⑤制定全院重大事故处理预案、完善组织、落实经费、准备物资、加强演练、时刻</w:t>
      </w:r>
      <w:r>
        <w:rPr/>
        <w:t>准备应对可能发生的各种事故和突发事件。</w:t>
      </w:r>
    </w:p>
    <w:p>
      <w:pPr>
        <w:pStyle w:val="BodyText"/>
        <w:spacing w:line="364" w:lineRule="auto" w:before="1"/>
        <w:ind w:left="281" w:right="318" w:firstLine="480"/>
      </w:pPr>
      <w:r>
        <w:rPr>
          <w:spacing w:val="-3"/>
        </w:rPr>
        <w:t>以上各种事故的防范与对策措施，可减少或避免放射性事故的发生率，从而保证项</w:t>
      </w:r>
      <w:r>
        <w:rPr/>
        <w:t>目正常运营，也保障工作人员、公众的健康与安全。</w:t>
      </w:r>
    </w:p>
    <w:p>
      <w:pPr>
        <w:spacing w:after="0" w:line="364" w:lineRule="auto"/>
        <w:sectPr>
          <w:pgSz w:w="11910" w:h="16840"/>
          <w:pgMar w:header="0" w:footer="1383" w:top="1420" w:bottom="1660" w:left="1240" w:right="1040"/>
        </w:sectPr>
      </w:pPr>
    </w:p>
    <w:p>
      <w:pPr>
        <w:pStyle w:val="Heading2"/>
        <w:spacing w:before="145"/>
      </w:pPr>
      <w:r>
        <w:rPr/>
        <w:pict>
          <v:shape style="position:absolute;margin-left:70.410004pt;margin-top:72.000023pt;width:462.55pt;height:686.1pt;mso-position-horizontal-relative:page;mso-position-vertical-relative:page;z-index:-20129792" coordorigin="1408,1440" coordsize="9251,13722" path="m1408,1445l10659,1445m1408,15162l10659,15162m1413,1440l1413,15157m10654,1440l10654,15157e" filled="false" stroked="true" strokeweight=".48pt" strokecolor="#000000">
            <v:path arrowok="t"/>
            <v:stroke dashstyle="solid"/>
            <w10:wrap type="none"/>
          </v:shape>
        </w:pict>
      </w:r>
      <w:bookmarkStart w:name="表12  辐射安全管理" w:id="23"/>
      <w:bookmarkEnd w:id="23"/>
      <w:r>
        <w:rPr/>
      </w:r>
      <w:r>
        <w:rPr/>
        <w:t>六、其他环境风险分析</w:t>
      </w:r>
    </w:p>
    <w:p>
      <w:pPr>
        <w:pStyle w:val="BodyText"/>
        <w:spacing w:line="364" w:lineRule="auto" w:before="212"/>
        <w:ind w:left="281" w:right="197" w:firstLine="480"/>
      </w:pPr>
      <w:r>
        <w:rPr>
          <w:spacing w:val="-16"/>
        </w:rPr>
        <w:t>本项目 </w:t>
      </w:r>
      <w:r>
        <w:rPr>
          <w:rFonts w:ascii="Times New Roman" w:eastAsia="Times New Roman"/>
          <w:spacing w:val="-1"/>
        </w:rPr>
        <w:t>DSA </w:t>
      </w:r>
      <w:r>
        <w:rPr>
          <w:spacing w:val="-5"/>
        </w:rPr>
        <w:t>机房内贮存造影剂碘海醇注射液约 </w:t>
      </w:r>
      <w:r>
        <w:rPr>
          <w:rFonts w:ascii="Times New Roman" w:eastAsia="Times New Roman"/>
        </w:rPr>
        <w:t>100L</w:t>
      </w:r>
      <w:r>
        <w:rPr/>
        <w:t>（</w:t>
      </w:r>
      <w:r>
        <w:rPr>
          <w:spacing w:val="-20"/>
        </w:rPr>
        <w:t>每瓶 </w:t>
      </w:r>
      <w:r>
        <w:rPr>
          <w:rFonts w:ascii="Times New Roman" w:eastAsia="Times New Roman"/>
        </w:rPr>
        <w:t>100ml</w:t>
      </w:r>
      <w:r>
        <w:rPr/>
        <w:t>），未使用的药</w:t>
      </w:r>
      <w:r>
        <w:rPr>
          <w:spacing w:val="-16"/>
        </w:rPr>
        <w:t>品均密封保存，且储存量很小，未使用完和过期的造影剂均作为医疗废物统一收集处理。</w:t>
      </w:r>
      <w:r>
        <w:rPr>
          <w:spacing w:val="-1"/>
        </w:rPr>
        <w:t>储存造影剂的药品柜为不锈钢药品柜，药品柜均已上锁，钥匙由当班医生保管；进行介入手术时，使用带托盘的不锈钢推车对药品进行运送；造影剂的贮存、运输过程均采取</w:t>
      </w:r>
      <w:r>
        <w:rPr/>
        <w:t>了防造影剂泄露的防范与对策措施。</w:t>
      </w:r>
    </w:p>
    <w:p>
      <w:pPr>
        <w:spacing w:after="0" w:line="364" w:lineRule="auto"/>
        <w:sectPr>
          <w:pgSz w:w="11910" w:h="16840"/>
          <w:pgMar w:header="0" w:footer="1383" w:top="1420" w:bottom="1660" w:left="1240" w:right="1040"/>
        </w:sectPr>
      </w:pPr>
    </w:p>
    <w:p>
      <w:pPr>
        <w:tabs>
          <w:tab w:pos="1534" w:val="left" w:leader="none"/>
        </w:tabs>
        <w:spacing w:before="43"/>
        <w:ind w:left="560" w:right="0" w:firstLine="0"/>
        <w:jc w:val="left"/>
        <w:rPr>
          <w:sz w:val="30"/>
        </w:rPr>
      </w:pPr>
      <w:r>
        <w:rPr/>
        <w:pict>
          <v:shape style="position:absolute;margin-left:84.360001pt;margin-top:103.200027pt;width:426.6pt;height:627.4pt;mso-position-horizontal-relative:page;mso-position-vertical-relative:page;z-index:-20129280" coordorigin="1687,2064" coordsize="8532,12548" path="m1687,2069l10219,2069m1687,14612l10219,14612m1692,2064l1692,14607m10214,2064l10214,14607e" filled="false" stroked="true" strokeweight=".48pt" strokecolor="#000000">
            <v:path arrowok="t"/>
            <v:stroke dashstyle="solid"/>
            <w10:wrap type="none"/>
          </v:shape>
        </w:pict>
      </w:r>
      <w:bookmarkStart w:name="_bookmark10" w:id="24"/>
      <w:bookmarkEnd w:id="24"/>
      <w:r>
        <w:rPr/>
      </w:r>
      <w:r>
        <w:rPr>
          <w:sz w:val="30"/>
        </w:rPr>
        <w:t>表</w:t>
      </w:r>
      <w:r>
        <w:rPr>
          <w:spacing w:val="-76"/>
          <w:sz w:val="30"/>
        </w:rPr>
        <w:t> </w:t>
      </w:r>
      <w:r>
        <w:rPr>
          <w:rFonts w:ascii="Times New Roman" w:eastAsia="Times New Roman"/>
          <w:sz w:val="30"/>
        </w:rPr>
        <w:t>12</w:t>
        <w:tab/>
      </w:r>
      <w:r>
        <w:rPr>
          <w:sz w:val="30"/>
        </w:rPr>
        <w:t>辐射安全管理</w:t>
      </w:r>
    </w:p>
    <w:p>
      <w:pPr>
        <w:pStyle w:val="BodyText"/>
        <w:spacing w:before="12"/>
      </w:pPr>
    </w:p>
    <w:p>
      <w:pPr>
        <w:pStyle w:val="Heading2"/>
        <w:spacing w:line="417" w:lineRule="auto"/>
        <w:ind w:left="560" w:right="4583"/>
      </w:pPr>
      <w:bookmarkStart w:name="辐射安全与环境保护管理机构的设置" w:id="25"/>
      <w:bookmarkEnd w:id="25"/>
      <w:r>
        <w:rPr/>
      </w:r>
      <w:r>
        <w:rPr/>
        <w:t>辐射安全与环境保护管理机构的设置一、辐射防护与安全管理机构</w:t>
      </w:r>
    </w:p>
    <w:p>
      <w:pPr>
        <w:pStyle w:val="BodyText"/>
        <w:spacing w:line="253" w:lineRule="exact"/>
        <w:ind w:left="1008"/>
      </w:pPr>
      <w:r>
        <w:rPr>
          <w:spacing w:val="-3"/>
        </w:rPr>
        <w:t>资阳市第一人民医院已成立辐射安全管理领导小组，负责全院的辐射安全管</w:t>
      </w:r>
    </w:p>
    <w:p>
      <w:pPr>
        <w:pStyle w:val="BodyText"/>
        <w:spacing w:line="364" w:lineRule="auto" w:before="160"/>
        <w:ind w:left="560" w:right="757"/>
      </w:pPr>
      <w:r>
        <w:rPr>
          <w:spacing w:val="-3"/>
        </w:rPr>
        <w:t>理工作。根据医院现辐射工作管理要求，特调整辐射安全和防护管理委员会</w:t>
      </w:r>
      <w:r>
        <w:rPr>
          <w:spacing w:val="-2"/>
        </w:rPr>
        <w:t>（资</w:t>
      </w:r>
      <w:r>
        <w:rPr/>
        <w:t>一医发【</w:t>
      </w:r>
      <w:r>
        <w:rPr>
          <w:rFonts w:ascii="Times New Roman" w:eastAsia="Times New Roman"/>
        </w:rPr>
        <w:t>2021</w:t>
      </w:r>
      <w:r>
        <w:rPr/>
        <w:t>】</w:t>
      </w:r>
      <w:r>
        <w:rPr>
          <w:rFonts w:ascii="Times New Roman" w:eastAsia="Times New Roman"/>
        </w:rPr>
        <w:t>148 </w:t>
      </w:r>
      <w:r>
        <w:rPr/>
        <w:t>号）。</w:t>
      </w:r>
    </w:p>
    <w:p>
      <w:pPr>
        <w:pStyle w:val="BodyText"/>
        <w:spacing w:line="400" w:lineRule="auto" w:before="2"/>
        <w:ind w:left="1008" w:right="4055"/>
        <w:rPr>
          <w:rFonts w:ascii="Times New Roman" w:eastAsia="Times New Roman"/>
          <w:b/>
          <w:sz w:val="32"/>
        </w:rPr>
      </w:pPr>
      <w:r>
        <w:rPr>
          <w:spacing w:val="-1"/>
        </w:rPr>
        <w:t>辐射安全和防护管理委员会的人员组成为：</w:t>
      </w:r>
      <w:r>
        <w:rPr>
          <w:spacing w:val="-117"/>
        </w:rPr>
        <w:t> </w:t>
      </w:r>
      <w:r>
        <w:rPr/>
        <w:t>组长：</w:t>
      </w:r>
      <w:r>
        <w:rPr>
          <w:rFonts w:ascii="Times New Roman" w:eastAsia="Times New Roman"/>
          <w:b/>
          <w:sz w:val="32"/>
        </w:rPr>
        <w:t>***</w:t>
      </w:r>
    </w:p>
    <w:p>
      <w:pPr>
        <w:spacing w:line="408" w:lineRule="auto" w:before="10"/>
        <w:ind w:left="1008" w:right="7174" w:firstLine="0"/>
        <w:jc w:val="left"/>
        <w:rPr>
          <w:rFonts w:ascii="Times New Roman" w:eastAsia="Times New Roman"/>
          <w:b/>
          <w:sz w:val="32"/>
        </w:rPr>
      </w:pPr>
      <w:r>
        <w:rPr>
          <w:sz w:val="24"/>
        </w:rPr>
        <w:t>副组长：</w:t>
      </w:r>
      <w:r>
        <w:rPr>
          <w:rFonts w:ascii="Times New Roman" w:eastAsia="Times New Roman"/>
          <w:b/>
          <w:sz w:val="32"/>
        </w:rPr>
        <w:t>***</w:t>
      </w:r>
      <w:r>
        <w:rPr>
          <w:rFonts w:ascii="Times New Roman" w:eastAsia="Times New Roman"/>
          <w:b/>
          <w:spacing w:val="-77"/>
          <w:sz w:val="32"/>
        </w:rPr>
        <w:t> </w:t>
      </w:r>
      <w:r>
        <w:rPr>
          <w:sz w:val="24"/>
        </w:rPr>
        <w:t>成员：</w:t>
      </w:r>
      <w:r>
        <w:rPr>
          <w:rFonts w:ascii="Times New Roman" w:eastAsia="Times New Roman"/>
          <w:b/>
          <w:sz w:val="32"/>
        </w:rPr>
        <w:t>***</w:t>
      </w:r>
    </w:p>
    <w:p>
      <w:pPr>
        <w:pStyle w:val="BodyText"/>
        <w:spacing w:line="258" w:lineRule="exact"/>
        <w:ind w:left="1008"/>
      </w:pPr>
      <w:r>
        <w:rPr>
          <w:spacing w:val="-2"/>
        </w:rPr>
        <w:t>委员会下设办公室，办公室设置在医教部，负责全院辐射安全与防护工作的</w:t>
      </w:r>
    </w:p>
    <w:p>
      <w:pPr>
        <w:pStyle w:val="BodyText"/>
        <w:spacing w:line="364" w:lineRule="auto" w:before="161"/>
        <w:ind w:left="560" w:right="757"/>
        <w:jc w:val="both"/>
      </w:pPr>
      <w:r>
        <w:rPr>
          <w:spacing w:val="-3"/>
        </w:rPr>
        <w:t>具体组织、协调、督查和指导工作，具体职责如下：医教部负责放射工作人员健</w:t>
      </w:r>
      <w:r>
        <w:rPr/>
        <w:t>康管理工作</w:t>
      </w:r>
      <w:r>
        <w:rPr>
          <w:rFonts w:ascii="Times New Roman" w:eastAsia="Times New Roman"/>
        </w:rPr>
        <w:t>(</w:t>
      </w:r>
      <w:r>
        <w:rPr/>
        <w:t>包含人员健康档案、辐射安全培训等具体涉及职业放射工作人员健康管理的工作</w:t>
      </w:r>
      <w:r>
        <w:rPr>
          <w:rFonts w:ascii="Times New Roman" w:eastAsia="Times New Roman"/>
        </w:rPr>
        <w:t>)</w:t>
      </w:r>
      <w:r>
        <w:rPr/>
        <w:t>，统筹放辐射安全防护工作。组织开展辐射安全应急演练、辐射</w:t>
      </w:r>
      <w:r>
        <w:rPr>
          <w:spacing w:val="-3"/>
        </w:rPr>
        <w:t>危害的预防、控制工作，质控部、护理部、安全保卫部、信息部、后勤保障部共同协作配合。医学工程部负责放射设备的设备管理、个人剂量管理、环境评价相</w:t>
      </w:r>
      <w:r>
        <w:rPr/>
        <w:t>关工作。基建部负责放射设备所在场所的放射防护建设工作。</w:t>
      </w:r>
    </w:p>
    <w:p>
      <w:pPr>
        <w:pStyle w:val="BodyText"/>
        <w:spacing w:line="232" w:lineRule="exact"/>
        <w:ind w:left="1040"/>
      </w:pPr>
      <w:r>
        <w:rPr/>
        <w:t>根据医院辐射安全管理领导小组文件，医院还需在以下几个方面对文件进</w:t>
      </w:r>
    </w:p>
    <w:p>
      <w:pPr>
        <w:pStyle w:val="BodyText"/>
        <w:spacing w:before="158"/>
        <w:ind w:left="560"/>
      </w:pPr>
      <w:r>
        <w:rPr/>
        <w:t>行完善：</w:t>
      </w:r>
    </w:p>
    <w:p>
      <w:pPr>
        <w:pStyle w:val="BodyText"/>
        <w:spacing w:before="9"/>
        <w:rPr>
          <w:sz w:val="18"/>
        </w:rPr>
      </w:pPr>
    </w:p>
    <w:p>
      <w:pPr>
        <w:pStyle w:val="BodyText"/>
        <w:spacing w:line="364" w:lineRule="auto"/>
        <w:ind w:left="560" w:right="757" w:firstLine="573"/>
      </w:pPr>
      <w:r>
        <w:rPr/>
        <w:t>①细化医院辐射管理领导小组成员职能分工，明确日常辐射安全管理执行部门；</w:t>
      </w:r>
    </w:p>
    <w:p>
      <w:pPr>
        <w:pStyle w:val="BodyText"/>
        <w:spacing w:before="1"/>
        <w:ind w:left="1133"/>
      </w:pPr>
      <w:r>
        <w:rPr/>
        <w:t>②增加应急处置、上级生态环境主管部门联系电话；</w:t>
      </w:r>
    </w:p>
    <w:p>
      <w:pPr>
        <w:pStyle w:val="BodyText"/>
        <w:spacing w:line="364" w:lineRule="auto" w:before="161"/>
        <w:ind w:left="560" w:right="760" w:firstLine="573"/>
      </w:pPr>
      <w:r>
        <w:rPr/>
        <w:t>③落实辐射工作场所安全设施设备的定期维护管理，并严格执行日常维护工作；</w:t>
      </w:r>
    </w:p>
    <w:p>
      <w:pPr>
        <w:pStyle w:val="BodyText"/>
        <w:spacing w:line="364" w:lineRule="auto" w:before="1"/>
        <w:ind w:left="560" w:right="760" w:firstLine="573"/>
      </w:pPr>
      <w:r>
        <w:rPr/>
        <w:t>④定期对辐射工作人员个人剂量档案进行监督检查，发现个人剂量异常进行调查和处置。</w:t>
      </w:r>
    </w:p>
    <w:p>
      <w:pPr>
        <w:spacing w:after="0" w:line="364" w:lineRule="auto"/>
        <w:sectPr>
          <w:pgSz w:w="11910" w:h="16840"/>
          <w:pgMar w:header="0" w:footer="1383" w:top="1500" w:bottom="1660" w:left="1240" w:right="1040"/>
        </w:sectPr>
      </w:pPr>
    </w:p>
    <w:p>
      <w:pPr>
        <w:pStyle w:val="BodyText"/>
        <w:rPr>
          <w:sz w:val="11"/>
        </w:rPr>
      </w:pPr>
      <w:r>
        <w:rPr/>
        <w:pict>
          <v:shape style="position:absolute;margin-left:84.360001pt;margin-top:72.000023pt;width:426.6pt;height:685.45pt;mso-position-horizontal-relative:page;mso-position-vertical-relative:page;z-index:-20128768" coordorigin="1687,1440" coordsize="8532,13709" path="m1687,1445l10219,1445m1687,12588l10219,12588m1687,15149l10219,15149m1692,1440l1692,15144m10214,1440l10214,15144e" filled="false" stroked="true" strokeweight=".48pt" strokecolor="#000000">
            <v:path arrowok="t"/>
            <v:stroke dashstyle="solid"/>
            <w10:wrap type="none"/>
          </v:shape>
        </w:pict>
      </w:r>
    </w:p>
    <w:p>
      <w:pPr>
        <w:pStyle w:val="Heading2"/>
        <w:spacing w:before="62"/>
        <w:ind w:left="560"/>
      </w:pPr>
      <w:r>
        <w:rPr/>
        <w:t>二、辐射工作人员配置</w:t>
      </w:r>
    </w:p>
    <w:p>
      <w:pPr>
        <w:pStyle w:val="BodyText"/>
        <w:spacing w:before="211"/>
        <w:ind w:left="1040"/>
      </w:pPr>
      <w:r>
        <w:rPr>
          <w:rFonts w:ascii="Times New Roman" w:eastAsia="Times New Roman"/>
        </w:rPr>
        <w:t>1</w:t>
      </w:r>
      <w:r>
        <w:rPr/>
        <w:t>、辐射工作岗位人员配置和能力现状分析</w:t>
      </w:r>
    </w:p>
    <w:p>
      <w:pPr>
        <w:pStyle w:val="BodyText"/>
        <w:spacing w:line="364" w:lineRule="auto" w:before="161"/>
        <w:ind w:left="560" w:right="757" w:firstLine="480"/>
        <w:jc w:val="both"/>
      </w:pPr>
      <w:r>
        <w:rPr/>
        <w:t>①人员配置：医院辐射工作人员配置情况：本项目拟配置辐射工作人员</w:t>
      </w:r>
      <w:r>
        <w:rPr>
          <w:rFonts w:ascii="Times New Roman" w:hAnsi="Times New Roman" w:eastAsia="Times New Roman"/>
        </w:rPr>
        <w:t>16</w:t>
      </w:r>
      <w:r>
        <w:rPr>
          <w:rFonts w:ascii="Times New Roman" w:hAnsi="Times New Roman" w:eastAsia="Times New Roman"/>
          <w:spacing w:val="1"/>
        </w:rPr>
        <w:t> </w:t>
      </w:r>
      <w:r>
        <w:rPr>
          <w:spacing w:val="-3"/>
        </w:rPr>
        <w:t>名，</w:t>
      </w:r>
      <w:r>
        <w:rPr>
          <w:rFonts w:ascii="Times New Roman" w:hAnsi="Times New Roman" w:eastAsia="Times New Roman"/>
          <w:spacing w:val="-3"/>
        </w:rPr>
        <w:t>10</w:t>
      </w:r>
      <w:r>
        <w:rPr>
          <w:spacing w:val="-3"/>
        </w:rPr>
        <w:t>名医生、</w:t>
      </w:r>
      <w:r>
        <w:rPr>
          <w:rFonts w:ascii="Times New Roman" w:hAnsi="Times New Roman" w:eastAsia="Times New Roman"/>
          <w:spacing w:val="-3"/>
        </w:rPr>
        <w:t>3</w:t>
      </w:r>
      <w:r>
        <w:rPr>
          <w:spacing w:val="-3"/>
        </w:rPr>
        <w:t>名护士、</w:t>
      </w:r>
      <w:r>
        <w:rPr>
          <w:rFonts w:ascii="Times New Roman" w:hAnsi="Times New Roman" w:eastAsia="Times New Roman"/>
          <w:spacing w:val="-3"/>
        </w:rPr>
        <w:t>3</w:t>
      </w:r>
      <w:r>
        <w:rPr>
          <w:spacing w:val="-3"/>
        </w:rPr>
        <w:t>名技师。本项目医生和技师需兼任之前岗位；护士定岗定责，不再兼任之前的岗位。医院可根据设备数量，承担诊疗、科研任务，开</w:t>
      </w:r>
      <w:r>
        <w:rPr/>
        <w:t>展的项目和工作量等实际情况适当增减人员编制。</w:t>
      </w:r>
    </w:p>
    <w:p>
      <w:pPr>
        <w:pStyle w:val="BodyText"/>
        <w:spacing w:before="2"/>
        <w:ind w:left="1040"/>
      </w:pPr>
      <w:r>
        <w:rPr/>
        <w:t>②射线装置操作人员均需取得射线装置操作证书，熟悉专业技术。</w:t>
      </w:r>
    </w:p>
    <w:p>
      <w:pPr>
        <w:pStyle w:val="BodyText"/>
        <w:spacing w:line="364" w:lineRule="auto" w:before="161"/>
        <w:ind w:left="560" w:right="757" w:firstLine="480"/>
      </w:pPr>
      <w:r>
        <w:rPr>
          <w:spacing w:val="-5"/>
        </w:rPr>
        <w:t>③医院应定期委托有资质的单位对辐射工作人员个人剂量进行检测，且应建</w:t>
      </w:r>
      <w:r>
        <w:rPr/>
        <w:t>立辐射工作人员个人剂量档案管理。</w:t>
      </w:r>
    </w:p>
    <w:p>
      <w:pPr>
        <w:pStyle w:val="BodyText"/>
        <w:spacing w:before="1"/>
        <w:ind w:left="1040"/>
      </w:pPr>
      <w:r>
        <w:rPr>
          <w:rFonts w:ascii="Times New Roman" w:eastAsia="Times New Roman"/>
        </w:rPr>
        <w:t>2</w:t>
      </w:r>
      <w:r>
        <w:rPr/>
        <w:t>、辐射工作人员能力培养方面还需从以下几个方面加强</w:t>
      </w:r>
    </w:p>
    <w:p>
      <w:pPr>
        <w:pStyle w:val="BodyText"/>
        <w:spacing w:line="364" w:lineRule="auto" w:before="160"/>
        <w:ind w:left="560" w:right="750" w:firstLine="480"/>
        <w:jc w:val="both"/>
      </w:pPr>
      <w:r>
        <w:rPr>
          <w:spacing w:val="-5"/>
        </w:rPr>
        <w:t>①建设单位应严格执行辐射工作人员培训制度，组织辐射工作人员及相关管理人员在国家核技术利用辐射安全与防护培训平台</w:t>
      </w:r>
      <w:r>
        <w:rPr>
          <w:spacing w:val="-1"/>
        </w:rPr>
        <w:t>（</w:t>
      </w:r>
      <w:r>
        <w:rPr>
          <w:rFonts w:ascii="Times New Roman" w:hAnsi="Times New Roman" w:eastAsia="Times New Roman"/>
          <w:spacing w:val="-1"/>
        </w:rPr>
        <w:t>http:/fushe.mee.gov.cn</w:t>
      </w:r>
      <w:r>
        <w:rPr>
          <w:spacing w:val="-1"/>
        </w:rPr>
        <w:t>）上参</w:t>
      </w:r>
      <w:r>
        <w:rPr/>
        <w:t>加辐射安全与防护专业知识的学习、考核，考核通过后方可上岗。</w:t>
      </w:r>
    </w:p>
    <w:p>
      <w:pPr>
        <w:pStyle w:val="BodyText"/>
        <w:spacing w:line="364" w:lineRule="auto" w:before="2"/>
        <w:ind w:left="560" w:right="757" w:firstLine="480"/>
      </w:pPr>
      <w:r>
        <w:rPr>
          <w:spacing w:val="-5"/>
        </w:rPr>
        <w:t>②个人剂量档案管理人员应将每季度的检测结果告知辐射工作人员，如发现</w:t>
      </w:r>
      <w:r>
        <w:rPr/>
        <w:t>结果异常，将在第一时间通知相关人员，查明原因并解决发现的问题。</w:t>
      </w:r>
    </w:p>
    <w:p>
      <w:pPr>
        <w:pStyle w:val="BodyText"/>
        <w:spacing w:line="364" w:lineRule="auto" w:before="1"/>
        <w:ind w:left="560" w:right="757" w:firstLine="480"/>
        <w:jc w:val="both"/>
      </w:pPr>
      <w:r>
        <w:rPr>
          <w:spacing w:val="-3"/>
        </w:rPr>
        <w:t>③正确佩戴个人剂量计，采用双剂量计监测方法（在铅围裙内躯干上再佩戴另一个剂量计），且宜在身体可能受到较大照射的部位佩戴局部剂量计</w:t>
      </w:r>
      <w:r>
        <w:rPr>
          <w:spacing w:val="-2"/>
        </w:rPr>
        <w:t>（如头箍</w:t>
      </w:r>
      <w:r>
        <w:rPr>
          <w:spacing w:val="-3"/>
        </w:rPr>
        <w:t>剂量计、腕部剂量计、指环剂量计等）。铅衣外剂量计一般佩戴在左胸前或衣领</w:t>
      </w:r>
      <w:r>
        <w:rPr/>
        <w:t>前面，并将有标签的一面朝外，穿戴铅围裙时，应戴在铅围裙里面。</w:t>
      </w:r>
    </w:p>
    <w:p>
      <w:pPr>
        <w:pStyle w:val="Heading2"/>
        <w:spacing w:before="57"/>
        <w:ind w:left="560"/>
      </w:pPr>
      <w:r>
        <w:rPr/>
        <w:t>三、报废射线装置处理</w:t>
      </w:r>
    </w:p>
    <w:p>
      <w:pPr>
        <w:pStyle w:val="BodyText"/>
        <w:spacing w:before="211"/>
        <w:ind w:left="1040"/>
      </w:pPr>
      <w:r>
        <w:rPr>
          <w:spacing w:val="-5"/>
        </w:rPr>
        <w:t>医院报废的射线装置在报废前必须做去功能化处理，应采取去功能化的措施</w:t>
      </w:r>
    </w:p>
    <w:p>
      <w:pPr>
        <w:pStyle w:val="BodyText"/>
        <w:spacing w:line="364" w:lineRule="auto" w:before="161"/>
        <w:ind w:left="560" w:right="757"/>
      </w:pPr>
      <w:r>
        <w:rPr>
          <w:spacing w:val="-3"/>
        </w:rPr>
        <w:t>（如拆除电源或拆除高压零部件），确保装置无法再次通电使用，并上报到生态</w:t>
      </w:r>
      <w:r>
        <w:rPr/>
        <w:t>环境主管部门作备案登记。</w:t>
      </w:r>
    </w:p>
    <w:p>
      <w:pPr>
        <w:spacing w:before="106"/>
        <w:ind w:left="560" w:right="0" w:firstLine="0"/>
        <w:jc w:val="left"/>
        <w:rPr>
          <w:sz w:val="30"/>
        </w:rPr>
      </w:pPr>
      <w:bookmarkStart w:name="辐射安全档案资料管理和规章管理制度" w:id="26"/>
      <w:bookmarkEnd w:id="26"/>
      <w:r>
        <w:rPr/>
      </w:r>
      <w:r>
        <w:rPr>
          <w:sz w:val="30"/>
        </w:rPr>
        <w:t>辐射安全档案资料管理和规章管理制度</w:t>
      </w:r>
    </w:p>
    <w:p>
      <w:pPr>
        <w:pStyle w:val="BodyText"/>
        <w:spacing w:line="364" w:lineRule="auto" w:before="202"/>
        <w:ind w:left="560" w:right="757" w:firstLine="480"/>
      </w:pPr>
      <w:r>
        <w:rPr/>
        <w:t>根据《放射性同位素与射线装置安全许可管理办法》（</w:t>
      </w:r>
      <w:r>
        <w:rPr>
          <w:rFonts w:ascii="Times New Roman" w:eastAsia="Times New Roman"/>
        </w:rPr>
        <w:t>2008</w:t>
      </w:r>
      <w:r>
        <w:rPr>
          <w:rFonts w:ascii="Times New Roman" w:eastAsia="Times New Roman"/>
          <w:spacing w:val="55"/>
        </w:rPr>
        <w:t> </w:t>
      </w:r>
      <w:r>
        <w:rPr/>
        <w:t>年修改）（环</w:t>
      </w:r>
      <w:r>
        <w:rPr>
          <w:spacing w:val="16"/>
          <w:w w:val="95"/>
        </w:rPr>
        <w:t>境保护部第 </w:t>
      </w:r>
      <w:r>
        <w:rPr>
          <w:rFonts w:ascii="Times New Roman" w:eastAsia="Times New Roman"/>
          <w:w w:val="95"/>
        </w:rPr>
        <w:t>3</w:t>
      </w:r>
      <w:r>
        <w:rPr>
          <w:rFonts w:ascii="Times New Roman" w:eastAsia="Times New Roman"/>
          <w:spacing w:val="151"/>
        </w:rPr>
        <w:t> </w:t>
      </w:r>
      <w:r>
        <w:rPr>
          <w:w w:val="95"/>
        </w:rPr>
        <w:t>号令）和《放射性同位素与射线装置安全和防护管理办法》（环保</w:t>
      </w:r>
    </w:p>
    <w:p>
      <w:pPr>
        <w:pStyle w:val="BodyText"/>
        <w:spacing w:line="364" w:lineRule="auto" w:before="1"/>
        <w:ind w:left="560" w:right="665"/>
      </w:pPr>
      <w:r>
        <w:rPr>
          <w:spacing w:val="-19"/>
        </w:rPr>
        <w:t>部第 </w:t>
      </w:r>
      <w:r>
        <w:rPr>
          <w:rFonts w:ascii="Times New Roman" w:eastAsia="Times New Roman"/>
        </w:rPr>
        <w:t>18</w:t>
      </w:r>
      <w:r>
        <w:rPr>
          <w:rFonts w:ascii="Times New Roman" w:eastAsia="Times New Roman"/>
          <w:spacing w:val="7"/>
        </w:rPr>
        <w:t> </w:t>
      </w:r>
      <w:r>
        <w:rPr/>
        <w:t>号令）的相关管理要求，射线装置的使用单位应当具备有健全的操作规</w:t>
      </w:r>
      <w:r>
        <w:rPr>
          <w:spacing w:val="-1"/>
        </w:rPr>
        <w:t>程、岗位职责、辐射防护和安全保卫制度、设备检修维护制度、人员培训计划、</w:t>
      </w:r>
    </w:p>
    <w:p>
      <w:pPr>
        <w:spacing w:after="0" w:line="364" w:lineRule="auto"/>
        <w:sectPr>
          <w:pgSz w:w="11910" w:h="16840"/>
          <w:pgMar w:header="0" w:footer="1383" w:top="1420" w:bottom="1600" w:left="1240" w:right="1040"/>
        </w:sectPr>
      </w:pPr>
    </w:p>
    <w:p>
      <w:pPr>
        <w:pStyle w:val="BodyText"/>
        <w:spacing w:line="364" w:lineRule="auto" w:before="149"/>
        <w:ind w:left="559" w:right="757"/>
        <w:jc w:val="center"/>
      </w:pPr>
      <w:r>
        <w:rPr/>
        <w:pict>
          <v:shape style="position:absolute;margin-left:84.360001pt;margin-top:72.000023pt;width:426.6pt;height:674.5pt;mso-position-horizontal-relative:page;mso-position-vertical-relative:page;z-index:-20128256" coordorigin="1687,1440" coordsize="8532,13490" path="m1687,1445l10219,1445m1687,14930l10219,14930m1692,1440l1692,14925m10214,1440l10214,14925e" filled="false" stroked="true" strokeweight=".48pt" strokecolor="#000000">
            <v:path arrowok="t"/>
            <v:stroke dashstyle="solid"/>
            <w10:wrap type="none"/>
          </v:shape>
        </w:pict>
      </w:r>
      <w:r>
        <w:rPr>
          <w:spacing w:val="-3"/>
        </w:rPr>
        <w:t>监测方案等，并根据《四川省核技术利用辐射安全监督检查大纲</w:t>
      </w:r>
      <w:r>
        <w:rPr>
          <w:spacing w:val="-2"/>
        </w:rPr>
        <w:t>（</w:t>
      </w:r>
      <w:r>
        <w:rPr>
          <w:rFonts w:ascii="Times New Roman" w:eastAsia="Times New Roman"/>
          <w:spacing w:val="-2"/>
        </w:rPr>
        <w:t>2016</w:t>
      </w:r>
      <w:r>
        <w:rPr>
          <w:spacing w:val="-2"/>
        </w:rPr>
        <w:t>）》的通</w:t>
      </w:r>
      <w:r>
        <w:rPr/>
        <w:t>知（川环函</w:t>
      </w:r>
      <w:r>
        <w:rPr>
          <w:rFonts w:ascii="Times New Roman" w:eastAsia="Times New Roman"/>
        </w:rPr>
        <w:t>[2016]1400</w:t>
      </w:r>
      <w:r>
        <w:rPr>
          <w:rFonts w:ascii="Times New Roman" w:eastAsia="Times New Roman"/>
          <w:spacing w:val="-3"/>
        </w:rPr>
        <w:t> </w:t>
      </w:r>
      <w:r>
        <w:rPr/>
        <w:t>号）</w:t>
      </w:r>
      <w:r>
        <w:rPr>
          <w:spacing w:val="-4"/>
        </w:rPr>
        <w:t>的相关要求，将建设单位需要制定的列于表 </w:t>
      </w:r>
      <w:r>
        <w:rPr>
          <w:rFonts w:ascii="Times New Roman" w:eastAsia="Times New Roman"/>
        </w:rPr>
        <w:t>12-2</w:t>
      </w:r>
      <w:r>
        <w:rPr/>
        <w:t>。</w:t>
      </w:r>
    </w:p>
    <w:p>
      <w:pPr>
        <w:spacing w:before="99"/>
        <w:ind w:left="0" w:right="199" w:firstLine="0"/>
        <w:jc w:val="center"/>
        <w:rPr>
          <w:sz w:val="21"/>
        </w:rPr>
      </w:pPr>
      <w:r>
        <w:rPr/>
        <w:pict>
          <v:shape style="position:absolute;margin-left:89.330002pt;margin-top:27.269995pt;width:417.4pt;height:351.15pt;mso-position-horizontal-relative:page;mso-position-vertical-relative:paragraph;z-index:15759360"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1218"/>
                    <w:gridCol w:w="3960"/>
                    <w:gridCol w:w="2543"/>
                  </w:tblGrid>
                  <w:tr>
                    <w:trPr>
                      <w:trHeight w:val="312" w:hRule="atLeast"/>
                    </w:trPr>
                    <w:tc>
                      <w:tcPr>
                        <w:tcW w:w="583" w:type="dxa"/>
                        <w:tcBorders>
                          <w:left w:val="nil"/>
                          <w:bottom w:val="single" w:sz="4" w:space="0" w:color="000000"/>
                          <w:right w:val="single" w:sz="4" w:space="0" w:color="000000"/>
                        </w:tcBorders>
                      </w:tcPr>
                      <w:p>
                        <w:pPr>
                          <w:pStyle w:val="TableParagraph"/>
                          <w:spacing w:before="21"/>
                          <w:ind w:left="72" w:right="45"/>
                          <w:rPr>
                            <w:sz w:val="21"/>
                          </w:rPr>
                        </w:pPr>
                        <w:r>
                          <w:rPr>
                            <w:sz w:val="21"/>
                          </w:rPr>
                          <w:t>序号</w:t>
                        </w:r>
                      </w:p>
                    </w:tc>
                    <w:tc>
                      <w:tcPr>
                        <w:tcW w:w="5178" w:type="dxa"/>
                        <w:gridSpan w:val="2"/>
                        <w:tcBorders>
                          <w:left w:val="single" w:sz="4" w:space="0" w:color="000000"/>
                          <w:bottom w:val="single" w:sz="4" w:space="0" w:color="000000"/>
                          <w:right w:val="single" w:sz="4" w:space="0" w:color="000000"/>
                        </w:tcBorders>
                      </w:tcPr>
                      <w:p>
                        <w:pPr>
                          <w:pStyle w:val="TableParagraph"/>
                          <w:spacing w:before="21"/>
                          <w:ind w:left="2180" w:right="2150"/>
                          <w:rPr>
                            <w:sz w:val="21"/>
                          </w:rPr>
                        </w:pPr>
                        <w:r>
                          <w:rPr>
                            <w:w w:val="95"/>
                            <w:sz w:val="21"/>
                          </w:rPr>
                          <w:t>检查项目</w:t>
                        </w:r>
                      </w:p>
                    </w:tc>
                    <w:tc>
                      <w:tcPr>
                        <w:tcW w:w="2543" w:type="dxa"/>
                        <w:tcBorders>
                          <w:left w:val="single" w:sz="4" w:space="0" w:color="000000"/>
                          <w:bottom w:val="single" w:sz="4" w:space="0" w:color="000000"/>
                          <w:right w:val="nil"/>
                        </w:tcBorders>
                      </w:tcPr>
                      <w:p>
                        <w:pPr>
                          <w:pStyle w:val="TableParagraph"/>
                          <w:spacing w:before="21"/>
                          <w:ind w:left="64" w:right="32"/>
                          <w:rPr>
                            <w:sz w:val="21"/>
                          </w:rPr>
                        </w:pPr>
                        <w:r>
                          <w:rPr>
                            <w:w w:val="95"/>
                            <w:sz w:val="21"/>
                          </w:rPr>
                          <w:t>落实情况</w:t>
                        </w:r>
                      </w:p>
                    </w:tc>
                  </w:tr>
                  <w:tr>
                    <w:trPr>
                      <w:trHeight w:val="936" w:hRule="atLeast"/>
                    </w:trPr>
                    <w:tc>
                      <w:tcPr>
                        <w:tcW w:w="583" w:type="dxa"/>
                        <w:tcBorders>
                          <w:top w:val="single" w:sz="4" w:space="0" w:color="000000"/>
                          <w:left w:val="nil"/>
                          <w:bottom w:val="single" w:sz="4" w:space="0" w:color="000000"/>
                          <w:right w:val="single" w:sz="4" w:space="0" w:color="000000"/>
                        </w:tcBorders>
                      </w:tcPr>
                      <w:p>
                        <w:pPr>
                          <w:pStyle w:val="TableParagraph"/>
                          <w:jc w:val="left"/>
                          <w:rPr>
                            <w:sz w:val="27"/>
                          </w:rPr>
                        </w:pPr>
                      </w:p>
                      <w:p>
                        <w:pPr>
                          <w:pStyle w:val="TableParagraph"/>
                          <w:ind w:left="28"/>
                          <w:rPr>
                            <w:rFonts w:ascii="Times New Roman"/>
                            <w:sz w:val="21"/>
                          </w:rPr>
                        </w:pPr>
                        <w:r>
                          <w:rPr>
                            <w:rFonts w:ascii="Times New Roman"/>
                            <w:w w:val="99"/>
                            <w:sz w:val="21"/>
                          </w:rPr>
                          <w:t>1</w:t>
                        </w:r>
                      </w:p>
                    </w:tc>
                    <w:tc>
                      <w:tcPr>
                        <w:tcW w:w="121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6"/>
                          <w:jc w:val="left"/>
                          <w:rPr>
                            <w:sz w:val="18"/>
                          </w:rPr>
                        </w:pPr>
                      </w:p>
                      <w:p>
                        <w:pPr>
                          <w:pStyle w:val="TableParagraph"/>
                          <w:ind w:left="409"/>
                          <w:jc w:val="left"/>
                          <w:rPr>
                            <w:sz w:val="21"/>
                          </w:rPr>
                        </w:pPr>
                        <w:r>
                          <w:rPr>
                            <w:sz w:val="21"/>
                          </w:rPr>
                          <w:t>综合</w:t>
                        </w: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11"/>
                          <w:jc w:val="left"/>
                          <w:rPr>
                            <w:sz w:val="25"/>
                          </w:rPr>
                        </w:pPr>
                      </w:p>
                      <w:p>
                        <w:pPr>
                          <w:pStyle w:val="TableParagraph"/>
                          <w:spacing w:before="1"/>
                          <w:ind w:left="14"/>
                          <w:jc w:val="left"/>
                          <w:rPr>
                            <w:sz w:val="21"/>
                          </w:rPr>
                        </w:pPr>
                        <w:r>
                          <w:rPr>
                            <w:sz w:val="21"/>
                          </w:rPr>
                          <w:t>辐射安全和防护管理规定（综合性文件）</w:t>
                        </w:r>
                      </w:p>
                    </w:tc>
                    <w:tc>
                      <w:tcPr>
                        <w:tcW w:w="2543" w:type="dxa"/>
                        <w:tcBorders>
                          <w:top w:val="single" w:sz="4" w:space="0" w:color="000000"/>
                          <w:left w:val="single" w:sz="4" w:space="0" w:color="000000"/>
                          <w:bottom w:val="single" w:sz="4" w:space="0" w:color="000000"/>
                          <w:right w:val="nil"/>
                        </w:tcBorders>
                      </w:tcPr>
                      <w:p>
                        <w:pPr>
                          <w:pStyle w:val="TableParagraph"/>
                          <w:spacing w:before="20"/>
                          <w:ind w:left="24" w:right="-15"/>
                          <w:jc w:val="left"/>
                          <w:rPr>
                            <w:sz w:val="21"/>
                          </w:rPr>
                        </w:pPr>
                        <w:r>
                          <w:rPr>
                            <w:w w:val="95"/>
                            <w:sz w:val="21"/>
                          </w:rPr>
                          <w:t>已制定，辐射工作场所安全</w:t>
                        </w:r>
                      </w:p>
                      <w:p>
                        <w:pPr>
                          <w:pStyle w:val="TableParagraph"/>
                          <w:spacing w:line="310" w:lineRule="atLeast" w:before="2"/>
                          <w:ind w:left="864" w:right="-15" w:hanging="840"/>
                          <w:jc w:val="left"/>
                          <w:rPr>
                            <w:sz w:val="21"/>
                          </w:rPr>
                        </w:pPr>
                        <w:r>
                          <w:rPr>
                            <w:w w:val="95"/>
                            <w:sz w:val="21"/>
                          </w:rPr>
                          <w:t>管理要求需悬挂于辐射工作</w:t>
                        </w:r>
                        <w:r>
                          <w:rPr>
                            <w:sz w:val="21"/>
                          </w:rPr>
                          <w:t>场所墙上</w:t>
                        </w:r>
                      </w:p>
                    </w:tc>
                  </w:tr>
                  <w:tr>
                    <w:trPr>
                      <w:trHeight w:val="312" w:hRule="atLeast"/>
                    </w:trPr>
                    <w:tc>
                      <w:tcPr>
                        <w:tcW w:w="583" w:type="dxa"/>
                        <w:tcBorders>
                          <w:top w:val="single" w:sz="4" w:space="0" w:color="000000"/>
                          <w:left w:val="nil"/>
                          <w:bottom w:val="single" w:sz="4" w:space="0" w:color="000000"/>
                          <w:right w:val="single" w:sz="4" w:space="0" w:color="000000"/>
                        </w:tcBorders>
                      </w:tcPr>
                      <w:p>
                        <w:pPr>
                          <w:pStyle w:val="TableParagraph"/>
                          <w:spacing w:before="36"/>
                          <w:ind w:left="28"/>
                          <w:rPr>
                            <w:rFonts w:ascii="Times New Roman"/>
                            <w:sz w:val="21"/>
                          </w:rPr>
                        </w:pPr>
                        <w:r>
                          <w:rPr>
                            <w:rFonts w:ascii="Times New Roman"/>
                            <w:w w:val="99"/>
                            <w:sz w:val="21"/>
                          </w:rPr>
                          <w:t>2</w:t>
                        </w:r>
                      </w:p>
                    </w:tc>
                    <w:tc>
                      <w:tcPr>
                        <w:tcW w:w="1218" w:type="dxa"/>
                        <w:vMerge/>
                        <w:tcBorders>
                          <w:top w:val="nil"/>
                          <w:left w:val="single" w:sz="4" w:space="0" w:color="000000"/>
                          <w:bottom w:val="single" w:sz="4" w:space="0" w:color="000000"/>
                          <w:right w:val="single" w:sz="4" w:space="0" w:color="000000"/>
                        </w:tcBorders>
                      </w:tcPr>
                      <w:p>
                        <w:pPr>
                          <w:rPr>
                            <w:sz w:val="2"/>
                            <w:szCs w:val="2"/>
                          </w:rPr>
                        </w:pP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22"/>
                          <w:ind w:left="14"/>
                          <w:jc w:val="left"/>
                          <w:rPr>
                            <w:sz w:val="21"/>
                          </w:rPr>
                        </w:pPr>
                        <w:r>
                          <w:rPr>
                            <w:sz w:val="21"/>
                          </w:rPr>
                          <w:t>辐射工作场所安全保卫制度</w:t>
                        </w:r>
                      </w:p>
                    </w:tc>
                    <w:tc>
                      <w:tcPr>
                        <w:tcW w:w="2543" w:type="dxa"/>
                        <w:tcBorders>
                          <w:top w:val="single" w:sz="4" w:space="0" w:color="000000"/>
                          <w:left w:val="single" w:sz="4" w:space="0" w:color="000000"/>
                          <w:bottom w:val="single" w:sz="4" w:space="0" w:color="000000"/>
                          <w:right w:val="nil"/>
                        </w:tcBorders>
                      </w:tcPr>
                      <w:p>
                        <w:pPr>
                          <w:pStyle w:val="TableParagraph"/>
                          <w:spacing w:before="22"/>
                          <w:ind w:left="57" w:right="32"/>
                          <w:rPr>
                            <w:sz w:val="21"/>
                          </w:rPr>
                        </w:pPr>
                        <w:r>
                          <w:rPr>
                            <w:sz w:val="21"/>
                          </w:rPr>
                          <w:t>已制定</w:t>
                        </w:r>
                      </w:p>
                    </w:tc>
                  </w:tr>
                  <w:tr>
                    <w:trPr>
                      <w:trHeight w:val="624" w:hRule="atLeast"/>
                    </w:trPr>
                    <w:tc>
                      <w:tcPr>
                        <w:tcW w:w="583" w:type="dxa"/>
                        <w:tcBorders>
                          <w:top w:val="single" w:sz="4" w:space="0" w:color="000000"/>
                          <w:left w:val="nil"/>
                          <w:bottom w:val="single" w:sz="4" w:space="0" w:color="000000"/>
                          <w:right w:val="single" w:sz="4" w:space="0" w:color="000000"/>
                        </w:tcBorders>
                      </w:tcPr>
                      <w:p>
                        <w:pPr>
                          <w:pStyle w:val="TableParagraph"/>
                          <w:spacing w:before="191"/>
                          <w:ind w:left="28"/>
                          <w:rPr>
                            <w:rFonts w:ascii="Times New Roman"/>
                            <w:sz w:val="21"/>
                          </w:rPr>
                        </w:pPr>
                        <w:r>
                          <w:rPr>
                            <w:rFonts w:ascii="Times New Roman"/>
                            <w:w w:val="99"/>
                            <w:sz w:val="21"/>
                          </w:rPr>
                          <w:t>3</w:t>
                        </w:r>
                      </w:p>
                    </w:tc>
                    <w:tc>
                      <w:tcPr>
                        <w:tcW w:w="121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spacing w:before="7"/>
                          <w:jc w:val="left"/>
                          <w:rPr>
                            <w:sz w:val="18"/>
                          </w:rPr>
                        </w:pPr>
                      </w:p>
                      <w:p>
                        <w:pPr>
                          <w:pStyle w:val="TableParagraph"/>
                          <w:ind w:left="198"/>
                          <w:jc w:val="left"/>
                          <w:rPr>
                            <w:sz w:val="21"/>
                          </w:rPr>
                        </w:pPr>
                        <w:r>
                          <w:rPr>
                            <w:sz w:val="21"/>
                          </w:rPr>
                          <w:t>场所设施</w:t>
                        </w: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178"/>
                          <w:ind w:left="14"/>
                          <w:jc w:val="left"/>
                          <w:rPr>
                            <w:sz w:val="21"/>
                          </w:rPr>
                        </w:pPr>
                        <w:r>
                          <w:rPr>
                            <w:rFonts w:ascii="Times New Roman" w:eastAsia="Times New Roman"/>
                            <w:sz w:val="21"/>
                          </w:rPr>
                          <w:t>DSA</w:t>
                        </w:r>
                        <w:r>
                          <w:rPr>
                            <w:rFonts w:ascii="Times New Roman" w:eastAsia="Times New Roman"/>
                            <w:spacing w:val="-1"/>
                            <w:sz w:val="21"/>
                          </w:rPr>
                          <w:t> </w:t>
                        </w:r>
                        <w:r>
                          <w:rPr>
                            <w:sz w:val="21"/>
                          </w:rPr>
                          <w:t>操作规程</w:t>
                        </w:r>
                      </w:p>
                    </w:tc>
                    <w:tc>
                      <w:tcPr>
                        <w:tcW w:w="2543" w:type="dxa"/>
                        <w:tcBorders>
                          <w:top w:val="single" w:sz="4" w:space="0" w:color="000000"/>
                          <w:left w:val="single" w:sz="4" w:space="0" w:color="000000"/>
                          <w:bottom w:val="single" w:sz="4" w:space="0" w:color="000000"/>
                          <w:right w:val="nil"/>
                        </w:tcBorders>
                      </w:tcPr>
                      <w:p>
                        <w:pPr>
                          <w:pStyle w:val="TableParagraph"/>
                          <w:spacing w:before="22"/>
                          <w:ind w:left="71" w:right="32"/>
                          <w:rPr>
                            <w:sz w:val="21"/>
                          </w:rPr>
                        </w:pPr>
                        <w:r>
                          <w:rPr>
                            <w:w w:val="95"/>
                            <w:sz w:val="21"/>
                          </w:rPr>
                          <w:t>需制定，内容挂于辐射工作</w:t>
                        </w:r>
                      </w:p>
                      <w:p>
                        <w:pPr>
                          <w:pStyle w:val="TableParagraph"/>
                          <w:spacing w:before="42"/>
                          <w:ind w:left="60" w:right="32"/>
                          <w:rPr>
                            <w:sz w:val="21"/>
                          </w:rPr>
                        </w:pPr>
                        <w:r>
                          <w:rPr>
                            <w:sz w:val="21"/>
                          </w:rPr>
                          <w:t>场所墙上</w:t>
                        </w:r>
                      </w:p>
                    </w:tc>
                  </w:tr>
                  <w:tr>
                    <w:trPr>
                      <w:trHeight w:val="623" w:hRule="atLeast"/>
                    </w:trPr>
                    <w:tc>
                      <w:tcPr>
                        <w:tcW w:w="583" w:type="dxa"/>
                        <w:tcBorders>
                          <w:top w:val="single" w:sz="4" w:space="0" w:color="000000"/>
                          <w:left w:val="nil"/>
                          <w:bottom w:val="single" w:sz="4" w:space="0" w:color="000000"/>
                          <w:right w:val="single" w:sz="4" w:space="0" w:color="000000"/>
                        </w:tcBorders>
                      </w:tcPr>
                      <w:p>
                        <w:pPr>
                          <w:pStyle w:val="TableParagraph"/>
                          <w:spacing w:before="191"/>
                          <w:ind w:left="28"/>
                          <w:rPr>
                            <w:rFonts w:ascii="Times New Roman"/>
                            <w:sz w:val="21"/>
                          </w:rPr>
                        </w:pPr>
                        <w:r>
                          <w:rPr>
                            <w:rFonts w:ascii="Times New Roman"/>
                            <w:w w:val="99"/>
                            <w:sz w:val="21"/>
                          </w:rPr>
                          <w:t>4</w:t>
                        </w:r>
                      </w:p>
                    </w:tc>
                    <w:tc>
                      <w:tcPr>
                        <w:tcW w:w="1218" w:type="dxa"/>
                        <w:vMerge/>
                        <w:tcBorders>
                          <w:top w:val="nil"/>
                          <w:left w:val="single" w:sz="4" w:space="0" w:color="000000"/>
                          <w:bottom w:val="single" w:sz="4" w:space="0" w:color="000000"/>
                          <w:right w:val="single" w:sz="4" w:space="0" w:color="000000"/>
                        </w:tcBorders>
                      </w:tcPr>
                      <w:p>
                        <w:pPr>
                          <w:rPr>
                            <w:sz w:val="2"/>
                            <w:szCs w:val="2"/>
                          </w:rPr>
                        </w:pP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21"/>
                          <w:ind w:left="14" w:right="-15"/>
                          <w:jc w:val="left"/>
                          <w:rPr>
                            <w:sz w:val="21"/>
                          </w:rPr>
                        </w:pPr>
                        <w:r>
                          <w:rPr>
                            <w:w w:val="95"/>
                            <w:sz w:val="21"/>
                          </w:rPr>
                          <w:t>辐射安全和防护设施维护维修制度（包括机</w:t>
                        </w:r>
                      </w:p>
                      <w:p>
                        <w:pPr>
                          <w:pStyle w:val="TableParagraph"/>
                          <w:spacing w:before="43"/>
                          <w:ind w:left="14"/>
                          <w:jc w:val="left"/>
                          <w:rPr>
                            <w:sz w:val="21"/>
                          </w:rPr>
                        </w:pPr>
                        <w:r>
                          <w:rPr>
                            <w:sz w:val="21"/>
                          </w:rPr>
                          <w:t>构人员、维护维修内容与频度）</w:t>
                        </w:r>
                      </w:p>
                    </w:tc>
                    <w:tc>
                      <w:tcPr>
                        <w:tcW w:w="2543" w:type="dxa"/>
                        <w:tcBorders>
                          <w:top w:val="single" w:sz="4" w:space="0" w:color="000000"/>
                          <w:left w:val="single" w:sz="4" w:space="0" w:color="000000"/>
                          <w:bottom w:val="single" w:sz="4" w:space="0" w:color="000000"/>
                          <w:right w:val="nil"/>
                        </w:tcBorders>
                      </w:tcPr>
                      <w:p>
                        <w:pPr>
                          <w:pStyle w:val="TableParagraph"/>
                          <w:spacing w:before="177"/>
                          <w:ind w:left="57" w:right="32"/>
                          <w:rPr>
                            <w:sz w:val="21"/>
                          </w:rPr>
                        </w:pPr>
                        <w:r>
                          <w:rPr>
                            <w:sz w:val="21"/>
                          </w:rPr>
                          <w:t>已制定</w:t>
                        </w:r>
                      </w:p>
                    </w:tc>
                  </w:tr>
                  <w:tr>
                    <w:trPr>
                      <w:trHeight w:val="312" w:hRule="atLeast"/>
                    </w:trPr>
                    <w:tc>
                      <w:tcPr>
                        <w:tcW w:w="583" w:type="dxa"/>
                        <w:tcBorders>
                          <w:top w:val="single" w:sz="4" w:space="0" w:color="000000"/>
                          <w:left w:val="nil"/>
                          <w:bottom w:val="single" w:sz="4" w:space="0" w:color="000000"/>
                          <w:right w:val="single" w:sz="4" w:space="0" w:color="000000"/>
                        </w:tcBorders>
                      </w:tcPr>
                      <w:p>
                        <w:pPr>
                          <w:pStyle w:val="TableParagraph"/>
                          <w:spacing w:before="35"/>
                          <w:ind w:left="28"/>
                          <w:rPr>
                            <w:rFonts w:ascii="Times New Roman"/>
                            <w:sz w:val="21"/>
                          </w:rPr>
                        </w:pPr>
                        <w:r>
                          <w:rPr>
                            <w:rFonts w:ascii="Times New Roman"/>
                            <w:w w:val="99"/>
                            <w:sz w:val="21"/>
                          </w:rPr>
                          <w:t>5</w:t>
                        </w:r>
                      </w:p>
                    </w:tc>
                    <w:tc>
                      <w:tcPr>
                        <w:tcW w:w="121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14"/>
                          </w:rPr>
                        </w:pPr>
                      </w:p>
                      <w:p>
                        <w:pPr>
                          <w:pStyle w:val="TableParagraph"/>
                          <w:ind w:left="409"/>
                          <w:jc w:val="left"/>
                          <w:rPr>
                            <w:sz w:val="21"/>
                          </w:rPr>
                        </w:pPr>
                        <w:r>
                          <w:rPr>
                            <w:sz w:val="21"/>
                          </w:rPr>
                          <w:t>监测</w:t>
                        </w: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21"/>
                          <w:ind w:left="14"/>
                          <w:jc w:val="left"/>
                          <w:rPr>
                            <w:sz w:val="21"/>
                          </w:rPr>
                        </w:pPr>
                        <w:r>
                          <w:rPr>
                            <w:sz w:val="21"/>
                          </w:rPr>
                          <w:t>监测方案</w:t>
                        </w:r>
                      </w:p>
                    </w:tc>
                    <w:tc>
                      <w:tcPr>
                        <w:tcW w:w="2543" w:type="dxa"/>
                        <w:tcBorders>
                          <w:top w:val="single" w:sz="4" w:space="0" w:color="000000"/>
                          <w:left w:val="single" w:sz="4" w:space="0" w:color="000000"/>
                          <w:bottom w:val="single" w:sz="4" w:space="0" w:color="000000"/>
                          <w:right w:val="nil"/>
                        </w:tcBorders>
                      </w:tcPr>
                      <w:p>
                        <w:pPr>
                          <w:pStyle w:val="TableParagraph"/>
                          <w:spacing w:before="21"/>
                          <w:ind w:left="57" w:right="32"/>
                          <w:rPr>
                            <w:sz w:val="21"/>
                          </w:rPr>
                        </w:pPr>
                        <w:r>
                          <w:rPr>
                            <w:sz w:val="21"/>
                          </w:rPr>
                          <w:t>已制定</w:t>
                        </w:r>
                      </w:p>
                    </w:tc>
                  </w:tr>
                  <w:tr>
                    <w:trPr>
                      <w:trHeight w:val="311" w:hRule="atLeast"/>
                    </w:trPr>
                    <w:tc>
                      <w:tcPr>
                        <w:tcW w:w="583" w:type="dxa"/>
                        <w:tcBorders>
                          <w:top w:val="single" w:sz="4" w:space="0" w:color="000000"/>
                          <w:left w:val="nil"/>
                          <w:bottom w:val="single" w:sz="4" w:space="0" w:color="000000"/>
                          <w:right w:val="single" w:sz="4" w:space="0" w:color="000000"/>
                        </w:tcBorders>
                      </w:tcPr>
                      <w:p>
                        <w:pPr>
                          <w:pStyle w:val="TableParagraph"/>
                          <w:spacing w:before="34"/>
                          <w:ind w:left="28"/>
                          <w:rPr>
                            <w:rFonts w:ascii="Times New Roman"/>
                            <w:sz w:val="21"/>
                          </w:rPr>
                        </w:pPr>
                        <w:r>
                          <w:rPr>
                            <w:rFonts w:ascii="Times New Roman"/>
                            <w:w w:val="99"/>
                            <w:sz w:val="21"/>
                          </w:rPr>
                          <w:t>6</w:t>
                        </w:r>
                      </w:p>
                    </w:tc>
                    <w:tc>
                      <w:tcPr>
                        <w:tcW w:w="1218" w:type="dxa"/>
                        <w:vMerge/>
                        <w:tcBorders>
                          <w:top w:val="nil"/>
                          <w:left w:val="single" w:sz="4" w:space="0" w:color="000000"/>
                          <w:bottom w:val="single" w:sz="4" w:space="0" w:color="000000"/>
                          <w:right w:val="single" w:sz="4" w:space="0" w:color="000000"/>
                        </w:tcBorders>
                      </w:tcPr>
                      <w:p>
                        <w:pPr>
                          <w:rPr>
                            <w:sz w:val="2"/>
                            <w:szCs w:val="2"/>
                          </w:rPr>
                        </w:pP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20"/>
                          <w:ind w:left="14"/>
                          <w:jc w:val="left"/>
                          <w:rPr>
                            <w:sz w:val="21"/>
                          </w:rPr>
                        </w:pPr>
                        <w:r>
                          <w:rPr>
                            <w:sz w:val="21"/>
                          </w:rPr>
                          <w:t>监测仪表使用与校验管理制度</w:t>
                        </w:r>
                      </w:p>
                    </w:tc>
                    <w:tc>
                      <w:tcPr>
                        <w:tcW w:w="2543" w:type="dxa"/>
                        <w:tcBorders>
                          <w:top w:val="single" w:sz="4" w:space="0" w:color="000000"/>
                          <w:left w:val="single" w:sz="4" w:space="0" w:color="000000"/>
                          <w:bottom w:val="single" w:sz="4" w:space="0" w:color="000000"/>
                          <w:right w:val="nil"/>
                        </w:tcBorders>
                      </w:tcPr>
                      <w:p>
                        <w:pPr>
                          <w:pStyle w:val="TableParagraph"/>
                          <w:spacing w:before="20"/>
                          <w:ind w:left="57" w:right="32"/>
                          <w:rPr>
                            <w:sz w:val="21"/>
                          </w:rPr>
                        </w:pPr>
                        <w:r>
                          <w:rPr>
                            <w:sz w:val="21"/>
                          </w:rPr>
                          <w:t>已制定</w:t>
                        </w:r>
                      </w:p>
                    </w:tc>
                  </w:tr>
                  <w:tr>
                    <w:trPr>
                      <w:trHeight w:val="1248" w:hRule="atLeast"/>
                    </w:trPr>
                    <w:tc>
                      <w:tcPr>
                        <w:tcW w:w="583" w:type="dxa"/>
                        <w:tcBorders>
                          <w:top w:val="single" w:sz="4" w:space="0" w:color="000000"/>
                          <w:left w:val="nil"/>
                          <w:bottom w:val="single" w:sz="4" w:space="0" w:color="000000"/>
                          <w:right w:val="single" w:sz="4" w:space="0" w:color="000000"/>
                        </w:tcBorders>
                      </w:tcPr>
                      <w:p>
                        <w:pPr>
                          <w:pStyle w:val="TableParagraph"/>
                          <w:jc w:val="left"/>
                          <w:rPr>
                            <w:sz w:val="22"/>
                          </w:rPr>
                        </w:pPr>
                      </w:p>
                      <w:p>
                        <w:pPr>
                          <w:pStyle w:val="TableParagraph"/>
                          <w:spacing w:before="2"/>
                          <w:jc w:val="left"/>
                          <w:rPr>
                            <w:sz w:val="17"/>
                          </w:rPr>
                        </w:pPr>
                      </w:p>
                      <w:p>
                        <w:pPr>
                          <w:pStyle w:val="TableParagraph"/>
                          <w:ind w:left="28"/>
                          <w:rPr>
                            <w:rFonts w:ascii="Times New Roman"/>
                            <w:sz w:val="21"/>
                          </w:rPr>
                        </w:pPr>
                        <w:r>
                          <w:rPr>
                            <w:rFonts w:ascii="Times New Roman"/>
                            <w:w w:val="99"/>
                            <w:sz w:val="21"/>
                          </w:rPr>
                          <w:t>7</w:t>
                        </w:r>
                      </w:p>
                    </w:tc>
                    <w:tc>
                      <w:tcPr>
                        <w:tcW w:w="1218"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0"/>
                          </w:rPr>
                        </w:pPr>
                      </w:p>
                      <w:p>
                        <w:pPr>
                          <w:pStyle w:val="TableParagraph"/>
                          <w:jc w:val="left"/>
                          <w:rPr>
                            <w:sz w:val="20"/>
                          </w:rPr>
                        </w:pPr>
                      </w:p>
                      <w:p>
                        <w:pPr>
                          <w:pStyle w:val="TableParagraph"/>
                          <w:spacing w:before="10"/>
                          <w:jc w:val="left"/>
                          <w:rPr>
                            <w:sz w:val="22"/>
                          </w:rPr>
                        </w:pPr>
                      </w:p>
                      <w:p>
                        <w:pPr>
                          <w:pStyle w:val="TableParagraph"/>
                          <w:ind w:left="409"/>
                          <w:jc w:val="left"/>
                          <w:rPr>
                            <w:sz w:val="21"/>
                          </w:rPr>
                        </w:pPr>
                        <w:r>
                          <w:rPr>
                            <w:sz w:val="21"/>
                          </w:rPr>
                          <w:t>人员</w:t>
                        </w:r>
                      </w:p>
                    </w:tc>
                    <w:tc>
                      <w:tcPr>
                        <w:tcW w:w="3960" w:type="dxa"/>
                        <w:tcBorders>
                          <w:top w:val="single" w:sz="4" w:space="0" w:color="000000"/>
                          <w:left w:val="single" w:sz="4" w:space="0" w:color="000000"/>
                          <w:bottom w:val="single" w:sz="4" w:space="0" w:color="000000"/>
                          <w:right w:val="single" w:sz="4" w:space="0" w:color="000000"/>
                        </w:tcBorders>
                      </w:tcPr>
                      <w:p>
                        <w:pPr>
                          <w:pStyle w:val="TableParagraph"/>
                          <w:jc w:val="left"/>
                          <w:rPr>
                            <w:sz w:val="22"/>
                          </w:rPr>
                        </w:pPr>
                      </w:p>
                      <w:p>
                        <w:pPr>
                          <w:pStyle w:val="TableParagraph"/>
                          <w:spacing w:before="1"/>
                          <w:jc w:val="left"/>
                          <w:rPr>
                            <w:sz w:val="16"/>
                          </w:rPr>
                        </w:pPr>
                      </w:p>
                      <w:p>
                        <w:pPr>
                          <w:pStyle w:val="TableParagraph"/>
                          <w:ind w:left="14"/>
                          <w:jc w:val="left"/>
                          <w:rPr>
                            <w:sz w:val="21"/>
                          </w:rPr>
                        </w:pPr>
                        <w:r>
                          <w:rPr>
                            <w:sz w:val="21"/>
                          </w:rPr>
                          <w:t>辐射工作人员培训</w:t>
                        </w:r>
                        <w:r>
                          <w:rPr>
                            <w:rFonts w:ascii="Times New Roman" w:eastAsia="Times New Roman"/>
                            <w:sz w:val="21"/>
                          </w:rPr>
                          <w:t>/</w:t>
                        </w:r>
                        <w:r>
                          <w:rPr>
                            <w:sz w:val="21"/>
                          </w:rPr>
                          <w:t>再培训管理制度</w:t>
                        </w:r>
                      </w:p>
                    </w:tc>
                    <w:tc>
                      <w:tcPr>
                        <w:tcW w:w="2543" w:type="dxa"/>
                        <w:tcBorders>
                          <w:top w:val="single" w:sz="4" w:space="0" w:color="000000"/>
                          <w:left w:val="single" w:sz="4" w:space="0" w:color="000000"/>
                          <w:bottom w:val="single" w:sz="4" w:space="0" w:color="000000"/>
                          <w:right w:val="nil"/>
                        </w:tcBorders>
                      </w:tcPr>
                      <w:p>
                        <w:pPr>
                          <w:pStyle w:val="TableParagraph"/>
                          <w:spacing w:line="278" w:lineRule="auto" w:before="20"/>
                          <w:ind w:left="24" w:right="-15"/>
                          <w:jc w:val="both"/>
                          <w:rPr>
                            <w:sz w:val="21"/>
                          </w:rPr>
                        </w:pPr>
                        <w:r>
                          <w:rPr>
                            <w:w w:val="95"/>
                            <w:sz w:val="21"/>
                          </w:rPr>
                          <w:t>已制定，内容包括参加生态环境部关于辐射安全防护培训学习和考核，到期前再考</w:t>
                        </w:r>
                      </w:p>
                      <w:p>
                        <w:pPr>
                          <w:pStyle w:val="TableParagraph"/>
                          <w:spacing w:line="269" w:lineRule="exact"/>
                          <w:ind w:left="864"/>
                          <w:jc w:val="left"/>
                          <w:rPr>
                            <w:sz w:val="21"/>
                          </w:rPr>
                        </w:pPr>
                        <w:r>
                          <w:rPr>
                            <w:sz w:val="21"/>
                          </w:rPr>
                          <w:t>核的内容</w:t>
                        </w:r>
                      </w:p>
                    </w:tc>
                  </w:tr>
                  <w:tr>
                    <w:trPr>
                      <w:trHeight w:val="624" w:hRule="atLeast"/>
                    </w:trPr>
                    <w:tc>
                      <w:tcPr>
                        <w:tcW w:w="583" w:type="dxa"/>
                        <w:tcBorders>
                          <w:top w:val="single" w:sz="4" w:space="0" w:color="000000"/>
                          <w:left w:val="nil"/>
                          <w:bottom w:val="single" w:sz="4" w:space="0" w:color="000000"/>
                          <w:right w:val="single" w:sz="4" w:space="0" w:color="000000"/>
                        </w:tcBorders>
                      </w:tcPr>
                      <w:p>
                        <w:pPr>
                          <w:pStyle w:val="TableParagraph"/>
                          <w:spacing w:before="192"/>
                          <w:ind w:left="28"/>
                          <w:rPr>
                            <w:rFonts w:ascii="Times New Roman"/>
                            <w:sz w:val="21"/>
                          </w:rPr>
                        </w:pPr>
                        <w:r>
                          <w:rPr>
                            <w:rFonts w:ascii="Times New Roman"/>
                            <w:w w:val="99"/>
                            <w:sz w:val="21"/>
                          </w:rPr>
                          <w:t>8</w:t>
                        </w:r>
                      </w:p>
                    </w:tc>
                    <w:tc>
                      <w:tcPr>
                        <w:tcW w:w="1218" w:type="dxa"/>
                        <w:vMerge/>
                        <w:tcBorders>
                          <w:top w:val="nil"/>
                          <w:left w:val="single" w:sz="4" w:space="0" w:color="000000"/>
                          <w:bottom w:val="single" w:sz="4" w:space="0" w:color="000000"/>
                          <w:right w:val="single" w:sz="4" w:space="0" w:color="000000"/>
                        </w:tcBorders>
                      </w:tcPr>
                      <w:p>
                        <w:pPr>
                          <w:rPr>
                            <w:sz w:val="2"/>
                            <w:szCs w:val="2"/>
                          </w:rPr>
                        </w:pPr>
                      </w:p>
                    </w:tc>
                    <w:tc>
                      <w:tcPr>
                        <w:tcW w:w="3960" w:type="dxa"/>
                        <w:tcBorders>
                          <w:top w:val="single" w:sz="4" w:space="0" w:color="000000"/>
                          <w:left w:val="single" w:sz="4" w:space="0" w:color="000000"/>
                          <w:bottom w:val="single" w:sz="4" w:space="0" w:color="000000"/>
                          <w:right w:val="single" w:sz="4" w:space="0" w:color="000000"/>
                        </w:tcBorders>
                      </w:tcPr>
                      <w:p>
                        <w:pPr>
                          <w:pStyle w:val="TableParagraph"/>
                          <w:spacing w:before="178"/>
                          <w:ind w:left="14"/>
                          <w:jc w:val="left"/>
                          <w:rPr>
                            <w:sz w:val="21"/>
                          </w:rPr>
                        </w:pPr>
                        <w:r>
                          <w:rPr>
                            <w:sz w:val="21"/>
                          </w:rPr>
                          <w:t>辐射工作人员个人剂量管理制度</w:t>
                        </w:r>
                      </w:p>
                    </w:tc>
                    <w:tc>
                      <w:tcPr>
                        <w:tcW w:w="2543" w:type="dxa"/>
                        <w:tcBorders>
                          <w:top w:val="single" w:sz="4" w:space="0" w:color="000000"/>
                          <w:left w:val="single" w:sz="4" w:space="0" w:color="000000"/>
                          <w:bottom w:val="single" w:sz="4" w:space="0" w:color="000000"/>
                          <w:right w:val="nil"/>
                        </w:tcBorders>
                      </w:tcPr>
                      <w:p>
                        <w:pPr>
                          <w:pStyle w:val="TableParagraph"/>
                          <w:spacing w:before="22"/>
                          <w:ind w:left="71" w:right="32"/>
                          <w:rPr>
                            <w:sz w:val="21"/>
                          </w:rPr>
                        </w:pPr>
                        <w:r>
                          <w:rPr>
                            <w:w w:val="95"/>
                            <w:sz w:val="21"/>
                          </w:rPr>
                          <w:t>已制定，包含“个人剂量档</w:t>
                        </w:r>
                      </w:p>
                      <w:p>
                        <w:pPr>
                          <w:pStyle w:val="TableParagraph"/>
                          <w:spacing w:before="43"/>
                          <w:ind w:left="60" w:right="32"/>
                          <w:rPr>
                            <w:sz w:val="21"/>
                          </w:rPr>
                        </w:pPr>
                        <w:r>
                          <w:rPr>
                            <w:sz w:val="21"/>
                          </w:rPr>
                          <w:t>案终生保存”的内容</w:t>
                        </w:r>
                      </w:p>
                    </w:tc>
                  </w:tr>
                  <w:tr>
                    <w:trPr>
                      <w:trHeight w:val="935" w:hRule="atLeast"/>
                    </w:trPr>
                    <w:tc>
                      <w:tcPr>
                        <w:tcW w:w="583" w:type="dxa"/>
                        <w:tcBorders>
                          <w:top w:val="single" w:sz="4" w:space="0" w:color="000000"/>
                          <w:left w:val="nil"/>
                          <w:bottom w:val="single" w:sz="4" w:space="0" w:color="000000"/>
                          <w:right w:val="single" w:sz="4" w:space="0" w:color="000000"/>
                        </w:tcBorders>
                      </w:tcPr>
                      <w:p>
                        <w:pPr>
                          <w:pStyle w:val="TableParagraph"/>
                          <w:spacing w:before="1"/>
                          <w:jc w:val="left"/>
                          <w:rPr>
                            <w:sz w:val="27"/>
                          </w:rPr>
                        </w:pPr>
                      </w:p>
                      <w:p>
                        <w:pPr>
                          <w:pStyle w:val="TableParagraph"/>
                          <w:spacing w:before="1"/>
                          <w:ind w:left="28"/>
                          <w:rPr>
                            <w:rFonts w:ascii="Times New Roman"/>
                            <w:sz w:val="21"/>
                          </w:rPr>
                        </w:pPr>
                        <w:r>
                          <w:rPr>
                            <w:rFonts w:ascii="Times New Roman"/>
                            <w:w w:val="99"/>
                            <w:sz w:val="21"/>
                          </w:rPr>
                          <w:t>9</w:t>
                        </w:r>
                      </w:p>
                    </w:tc>
                    <w:tc>
                      <w:tcPr>
                        <w:tcW w:w="1218"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ind w:left="388" w:right="360"/>
                          <w:rPr>
                            <w:sz w:val="21"/>
                          </w:rPr>
                        </w:pPr>
                        <w:r>
                          <w:rPr>
                            <w:sz w:val="21"/>
                          </w:rPr>
                          <w:t>应急</w:t>
                        </w:r>
                      </w:p>
                    </w:tc>
                    <w:tc>
                      <w:tcPr>
                        <w:tcW w:w="3960"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ind w:left="14"/>
                          <w:jc w:val="left"/>
                          <w:rPr>
                            <w:sz w:val="21"/>
                          </w:rPr>
                        </w:pPr>
                        <w:r>
                          <w:rPr>
                            <w:sz w:val="21"/>
                          </w:rPr>
                          <w:t>辐射事故</w:t>
                        </w:r>
                        <w:r>
                          <w:rPr>
                            <w:rFonts w:ascii="Times New Roman" w:eastAsia="Times New Roman"/>
                            <w:sz w:val="21"/>
                          </w:rPr>
                          <w:t>/</w:t>
                        </w:r>
                        <w:r>
                          <w:rPr>
                            <w:sz w:val="21"/>
                          </w:rPr>
                          <w:t>事件应急预案</w:t>
                        </w:r>
                      </w:p>
                    </w:tc>
                    <w:tc>
                      <w:tcPr>
                        <w:tcW w:w="2543" w:type="dxa"/>
                        <w:tcBorders>
                          <w:top w:val="single" w:sz="4" w:space="0" w:color="000000"/>
                          <w:left w:val="single" w:sz="4" w:space="0" w:color="000000"/>
                          <w:bottom w:val="single" w:sz="4" w:space="0" w:color="000000"/>
                          <w:right w:val="nil"/>
                        </w:tcBorders>
                      </w:tcPr>
                      <w:p>
                        <w:pPr>
                          <w:pStyle w:val="TableParagraph"/>
                          <w:spacing w:line="278" w:lineRule="auto" w:before="22"/>
                          <w:ind w:left="24" w:right="-15"/>
                          <w:rPr>
                            <w:sz w:val="21"/>
                          </w:rPr>
                        </w:pPr>
                        <w:r>
                          <w:rPr>
                            <w:w w:val="95"/>
                            <w:sz w:val="21"/>
                          </w:rPr>
                          <w:t>已制定，预案中“辐射事故应急响应程序”应悬挂于辐</w:t>
                        </w:r>
                      </w:p>
                      <w:p>
                        <w:pPr>
                          <w:pStyle w:val="TableParagraph"/>
                          <w:spacing w:line="269" w:lineRule="exact"/>
                          <w:ind w:left="57" w:right="32"/>
                          <w:rPr>
                            <w:sz w:val="21"/>
                          </w:rPr>
                        </w:pPr>
                        <w:r>
                          <w:rPr>
                            <w:sz w:val="21"/>
                          </w:rPr>
                          <w:t>射工作场所墙上</w:t>
                        </w:r>
                      </w:p>
                    </w:tc>
                  </w:tr>
                  <w:tr>
                    <w:trPr>
                      <w:trHeight w:val="623" w:hRule="atLeast"/>
                    </w:trPr>
                    <w:tc>
                      <w:tcPr>
                        <w:tcW w:w="583" w:type="dxa"/>
                        <w:tcBorders>
                          <w:top w:val="single" w:sz="4" w:space="0" w:color="000000"/>
                          <w:left w:val="nil"/>
                          <w:right w:val="single" w:sz="4" w:space="0" w:color="000000"/>
                        </w:tcBorders>
                      </w:tcPr>
                      <w:p>
                        <w:pPr>
                          <w:pStyle w:val="TableParagraph"/>
                          <w:spacing w:before="191"/>
                          <w:ind w:left="72" w:right="44"/>
                          <w:rPr>
                            <w:rFonts w:ascii="Times New Roman"/>
                            <w:sz w:val="21"/>
                          </w:rPr>
                        </w:pPr>
                        <w:r>
                          <w:rPr>
                            <w:rFonts w:ascii="Times New Roman"/>
                            <w:sz w:val="21"/>
                          </w:rPr>
                          <w:t>10</w:t>
                        </w:r>
                      </w:p>
                    </w:tc>
                    <w:tc>
                      <w:tcPr>
                        <w:tcW w:w="1218" w:type="dxa"/>
                        <w:tcBorders>
                          <w:top w:val="single" w:sz="4" w:space="0" w:color="000000"/>
                          <w:left w:val="single" w:sz="4" w:space="0" w:color="000000"/>
                          <w:right w:val="single" w:sz="4" w:space="0" w:color="000000"/>
                        </w:tcBorders>
                      </w:tcPr>
                      <w:p>
                        <w:pPr>
                          <w:pStyle w:val="TableParagraph"/>
                          <w:spacing w:before="177"/>
                          <w:ind w:left="388" w:right="360"/>
                          <w:rPr>
                            <w:sz w:val="21"/>
                          </w:rPr>
                        </w:pPr>
                        <w:r>
                          <w:rPr>
                            <w:sz w:val="21"/>
                          </w:rPr>
                          <w:t>大纲</w:t>
                        </w:r>
                      </w:p>
                    </w:tc>
                    <w:tc>
                      <w:tcPr>
                        <w:tcW w:w="3960" w:type="dxa"/>
                        <w:tcBorders>
                          <w:top w:val="single" w:sz="4" w:space="0" w:color="000000"/>
                          <w:left w:val="single" w:sz="4" w:space="0" w:color="000000"/>
                          <w:right w:val="single" w:sz="4" w:space="0" w:color="000000"/>
                        </w:tcBorders>
                      </w:tcPr>
                      <w:p>
                        <w:pPr>
                          <w:pStyle w:val="TableParagraph"/>
                          <w:spacing w:before="177"/>
                          <w:ind w:left="14"/>
                          <w:jc w:val="left"/>
                          <w:rPr>
                            <w:sz w:val="21"/>
                          </w:rPr>
                        </w:pPr>
                        <w:r>
                          <w:rPr>
                            <w:sz w:val="21"/>
                          </w:rPr>
                          <w:t>放射性治疗质量保证大纲及质量控制计划</w:t>
                        </w:r>
                      </w:p>
                    </w:tc>
                    <w:tc>
                      <w:tcPr>
                        <w:tcW w:w="2543" w:type="dxa"/>
                        <w:tcBorders>
                          <w:top w:val="single" w:sz="4" w:space="0" w:color="000000"/>
                          <w:left w:val="single" w:sz="4" w:space="0" w:color="000000"/>
                          <w:right w:val="nil"/>
                        </w:tcBorders>
                      </w:tcPr>
                      <w:p>
                        <w:pPr>
                          <w:pStyle w:val="TableParagraph"/>
                          <w:spacing w:before="21"/>
                          <w:ind w:left="14"/>
                          <w:jc w:val="left"/>
                          <w:rPr>
                            <w:sz w:val="21"/>
                          </w:rPr>
                        </w:pPr>
                        <w:r>
                          <w:rPr>
                            <w:spacing w:val="-4"/>
                            <w:sz w:val="21"/>
                          </w:rPr>
                          <w:t>已制定，包含人流、物流图</w:t>
                        </w:r>
                      </w:p>
                      <w:p>
                        <w:pPr>
                          <w:pStyle w:val="TableParagraph"/>
                          <w:spacing w:before="43"/>
                          <w:ind w:left="652"/>
                          <w:jc w:val="left"/>
                          <w:rPr>
                            <w:sz w:val="21"/>
                          </w:rPr>
                        </w:pPr>
                        <w:r>
                          <w:rPr>
                            <w:sz w:val="21"/>
                          </w:rPr>
                          <w:t>患者管理规定</w:t>
                        </w:r>
                      </w:p>
                    </w:tc>
                  </w:tr>
                </w:tbl>
                <w:p>
                  <w:pPr>
                    <w:pStyle w:val="BodyText"/>
                  </w:pPr>
                </w:p>
              </w:txbxContent>
            </v:textbox>
            <w10:wrap type="none"/>
          </v:shape>
        </w:pict>
      </w:r>
      <w:r>
        <w:rPr>
          <w:spacing w:val="-11"/>
          <w:w w:val="95"/>
          <w:sz w:val="21"/>
        </w:rPr>
        <w:t>表 </w:t>
      </w:r>
      <w:r>
        <w:rPr>
          <w:rFonts w:ascii="Times New Roman" w:eastAsia="Times New Roman"/>
          <w:w w:val="95"/>
          <w:sz w:val="21"/>
        </w:rPr>
        <w:t>12-2</w:t>
      </w:r>
      <w:r>
        <w:rPr>
          <w:rFonts w:ascii="Times New Roman" w:eastAsia="Times New Roman"/>
          <w:spacing w:val="107"/>
          <w:sz w:val="21"/>
        </w:rPr>
        <w:t> </w:t>
      </w:r>
      <w:r>
        <w:rPr>
          <w:w w:val="95"/>
          <w:sz w:val="21"/>
        </w:rPr>
        <w:t>管理制度汇总对照表</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8"/>
        </w:rPr>
      </w:pPr>
    </w:p>
    <w:p>
      <w:pPr>
        <w:spacing w:before="0"/>
        <w:ind w:left="0" w:right="654" w:firstLine="0"/>
        <w:jc w:val="right"/>
        <w:rPr>
          <w:sz w:val="21"/>
        </w:rPr>
      </w:pPr>
      <w:r>
        <w:rPr>
          <w:w w:val="99"/>
          <w:sz w:val="21"/>
        </w:rPr>
        <w:t>，</w:t>
      </w:r>
    </w:p>
    <w:p>
      <w:pPr>
        <w:pStyle w:val="BodyText"/>
        <w:rPr>
          <w:sz w:val="20"/>
        </w:rPr>
      </w:pPr>
    </w:p>
    <w:p>
      <w:pPr>
        <w:pStyle w:val="BodyText"/>
        <w:spacing w:before="9"/>
        <w:rPr>
          <w:sz w:val="14"/>
        </w:rPr>
      </w:pPr>
    </w:p>
    <w:p>
      <w:pPr>
        <w:pStyle w:val="BodyText"/>
        <w:spacing w:line="364" w:lineRule="auto"/>
        <w:ind w:left="560" w:right="757" w:firstLine="480"/>
        <w:jc w:val="both"/>
      </w:pPr>
      <w:r>
        <w:rPr>
          <w:spacing w:val="-5"/>
        </w:rPr>
        <w:t>建设单位应根据上表及时制定一整套辐射安全管理制度，并且指定专门的人</w:t>
      </w:r>
      <w:r>
        <w:rPr>
          <w:spacing w:val="-6"/>
        </w:rPr>
        <w:t>员监督各相关部门和人员对规章制度的执行情况。建设单位定期对设备操作人员</w:t>
      </w:r>
      <w:r>
        <w:rPr/>
        <w:t>进行培训，强化操作人员的辐射安全意识。</w:t>
      </w:r>
    </w:p>
    <w:p>
      <w:pPr>
        <w:pStyle w:val="BodyText"/>
        <w:spacing w:line="364" w:lineRule="auto" w:before="2"/>
        <w:ind w:left="560" w:right="757" w:firstLine="480"/>
        <w:jc w:val="both"/>
      </w:pPr>
      <w:r>
        <w:rPr>
          <w:spacing w:val="-3"/>
        </w:rPr>
        <w:t>根据《四川省核技术利用辐射安全监督检查大纲（</w:t>
      </w:r>
      <w:r>
        <w:rPr>
          <w:rFonts w:ascii="Times New Roman" w:eastAsia="Times New Roman"/>
          <w:spacing w:val="-3"/>
        </w:rPr>
        <w:t>2016</w:t>
      </w:r>
      <w:r>
        <w:rPr>
          <w:spacing w:val="-3"/>
        </w:rPr>
        <w:t>）</w:t>
      </w:r>
      <w:r>
        <w:rPr>
          <w:spacing w:val="-2"/>
        </w:rPr>
        <w:t>》的要求，核技术</w:t>
      </w:r>
      <w:r>
        <w:rPr/>
        <w:t>利用单位应根据使用放射性同位素和射线装置的情况，及时修订和完善规章制度，并按照档案管理的要求分类归档放置。</w:t>
      </w:r>
    </w:p>
    <w:p>
      <w:pPr>
        <w:pStyle w:val="Heading2"/>
        <w:spacing w:before="53"/>
        <w:ind w:left="560"/>
      </w:pPr>
      <w:r>
        <w:rPr/>
        <w:t>一、档案分类</w:t>
      </w:r>
    </w:p>
    <w:p>
      <w:pPr>
        <w:pStyle w:val="BodyText"/>
        <w:spacing w:line="364" w:lineRule="auto" w:before="214"/>
        <w:ind w:left="560" w:right="755" w:firstLine="480"/>
        <w:jc w:val="both"/>
      </w:pPr>
      <w:r>
        <w:rPr/>
        <w:t>辐射安全档案资料包括以下八大类：</w:t>
      </w:r>
      <w:r>
        <w:rPr>
          <w:rFonts w:ascii="Times New Roman" w:hAnsi="Times New Roman" w:eastAsia="Times New Roman"/>
        </w:rPr>
        <w:t>“</w:t>
      </w:r>
      <w:r>
        <w:rPr/>
        <w:t>制度文件</w:t>
      </w:r>
      <w:r>
        <w:rPr>
          <w:rFonts w:ascii="Times New Roman" w:hAnsi="Times New Roman" w:eastAsia="Times New Roman"/>
        </w:rPr>
        <w:t>”</w:t>
      </w:r>
      <w:r>
        <w:rPr/>
        <w:t>、</w:t>
      </w:r>
      <w:r>
        <w:rPr>
          <w:rFonts w:ascii="Times New Roman" w:hAnsi="Times New Roman" w:eastAsia="Times New Roman"/>
        </w:rPr>
        <w:t>“</w:t>
      </w:r>
      <w:r>
        <w:rPr/>
        <w:t>环评资料</w:t>
      </w:r>
      <w:r>
        <w:rPr>
          <w:rFonts w:ascii="Times New Roman" w:hAnsi="Times New Roman" w:eastAsia="Times New Roman"/>
        </w:rPr>
        <w:t>”</w:t>
      </w:r>
      <w:r>
        <w:rPr/>
        <w:t>、</w:t>
      </w:r>
      <w:r>
        <w:rPr>
          <w:rFonts w:ascii="Times New Roman" w:hAnsi="Times New Roman" w:eastAsia="Times New Roman"/>
        </w:rPr>
        <w:t>“</w:t>
      </w:r>
      <w:r>
        <w:rPr/>
        <w:t>许可证资料</w:t>
      </w:r>
      <w:r>
        <w:rPr>
          <w:rFonts w:ascii="Times New Roman" w:hAnsi="Times New Roman" w:eastAsia="Times New Roman"/>
        </w:rPr>
        <w:t>”</w:t>
      </w:r>
      <w:r>
        <w:rPr/>
        <w:t>、</w:t>
      </w:r>
      <w:r>
        <w:rPr>
          <w:rFonts w:ascii="Times New Roman" w:hAnsi="Times New Roman" w:eastAsia="Times New Roman"/>
        </w:rPr>
        <w:t>“</w:t>
      </w:r>
      <w:r>
        <w:rPr/>
        <w:t>放射源和射线装置台账</w:t>
      </w:r>
      <w:r>
        <w:rPr>
          <w:rFonts w:ascii="Times New Roman" w:hAnsi="Times New Roman" w:eastAsia="Times New Roman"/>
        </w:rPr>
        <w:t>”</w:t>
      </w:r>
      <w:r>
        <w:rPr/>
        <w:t>、</w:t>
      </w:r>
      <w:r>
        <w:rPr>
          <w:rFonts w:ascii="Times New Roman" w:hAnsi="Times New Roman" w:eastAsia="Times New Roman"/>
        </w:rPr>
        <w:t>“</w:t>
      </w:r>
      <w:r>
        <w:rPr/>
        <w:t>监测和检查记录</w:t>
      </w:r>
      <w:r>
        <w:rPr>
          <w:rFonts w:ascii="Times New Roman" w:hAnsi="Times New Roman" w:eastAsia="Times New Roman"/>
        </w:rPr>
        <w:t>”</w:t>
      </w:r>
      <w:r>
        <w:rPr/>
        <w:t>、</w:t>
      </w:r>
      <w:r>
        <w:rPr>
          <w:rFonts w:ascii="Times New Roman" w:hAnsi="Times New Roman" w:eastAsia="Times New Roman"/>
        </w:rPr>
        <w:t>“</w:t>
      </w:r>
      <w:r>
        <w:rPr/>
        <w:t>个人剂量档案</w:t>
      </w:r>
      <w:r>
        <w:rPr>
          <w:rFonts w:ascii="Times New Roman" w:hAnsi="Times New Roman" w:eastAsia="Times New Roman"/>
        </w:rPr>
        <w:t>”</w:t>
      </w:r>
      <w:r>
        <w:rPr/>
        <w:t>、</w:t>
      </w:r>
      <w:r>
        <w:rPr>
          <w:rFonts w:ascii="Times New Roman" w:hAnsi="Times New Roman" w:eastAsia="Times New Roman"/>
        </w:rPr>
        <w:t>“</w:t>
      </w:r>
      <w:r>
        <w:rPr/>
        <w:t>培训档案</w:t>
      </w:r>
      <w:r>
        <w:rPr>
          <w:rFonts w:ascii="Times New Roman" w:hAnsi="Times New Roman" w:eastAsia="Times New Roman"/>
        </w:rPr>
        <w:t>”</w:t>
      </w:r>
      <w:r>
        <w:rPr/>
        <w:t>、</w:t>
      </w:r>
      <w:r>
        <w:rPr>
          <w:rFonts w:ascii="Times New Roman" w:hAnsi="Times New Roman" w:eastAsia="Times New Roman"/>
        </w:rPr>
        <w:t>“</w:t>
      </w:r>
      <w:r>
        <w:rPr/>
        <w:t>辐射应急资料</w:t>
      </w:r>
      <w:r>
        <w:rPr>
          <w:rFonts w:ascii="Times New Roman" w:hAnsi="Times New Roman" w:eastAsia="Times New Roman"/>
        </w:rPr>
        <w:t>”</w:t>
      </w:r>
      <w:r>
        <w:rPr/>
        <w:t>。</w:t>
      </w:r>
    </w:p>
    <w:p>
      <w:pPr>
        <w:spacing w:after="0" w:line="364" w:lineRule="auto"/>
        <w:jc w:val="both"/>
        <w:sectPr>
          <w:pgSz w:w="11910" w:h="16840"/>
          <w:pgMar w:header="0" w:footer="1383" w:top="1420" w:bottom="1660" w:left="1240" w:right="1040"/>
        </w:sectPr>
      </w:pPr>
    </w:p>
    <w:p>
      <w:pPr>
        <w:pStyle w:val="BodyText"/>
        <w:rPr>
          <w:sz w:val="11"/>
        </w:rPr>
      </w:pPr>
      <w:r>
        <w:rPr/>
        <w:pict>
          <v:shape style="position:absolute;margin-left:84.360001pt;margin-top:72.000023pt;width:426.6pt;height:677.65pt;mso-position-horizontal-relative:page;mso-position-vertical-relative:page;z-index:-20127232" coordorigin="1687,1440" coordsize="8532,13553" path="m1687,1445l10219,1445m1687,6504l10219,6504m1687,14993l10219,14993m1692,1440l1692,14988m10214,1440l10214,14988e" filled="false" stroked="true" strokeweight=".48pt" strokecolor="#000000">
            <v:path arrowok="t"/>
            <v:stroke dashstyle="solid"/>
            <w10:wrap type="none"/>
          </v:shape>
        </w:pict>
      </w:r>
    </w:p>
    <w:p>
      <w:pPr>
        <w:pStyle w:val="Heading2"/>
        <w:spacing w:before="62"/>
        <w:ind w:left="560"/>
      </w:pPr>
      <w:r>
        <w:rPr/>
        <w:t>二、需上墙的规章制度</w:t>
      </w:r>
    </w:p>
    <w:p>
      <w:pPr>
        <w:pStyle w:val="BodyText"/>
        <w:spacing w:line="364" w:lineRule="auto" w:before="211"/>
        <w:ind w:left="560" w:right="635" w:firstLine="480"/>
      </w:pPr>
      <w:r>
        <w:rPr>
          <w:spacing w:val="-7"/>
        </w:rPr>
        <w:t>根据原四川省环境保护厅关于印发《四川省核技术利用辐射安全监督检查大</w:t>
      </w:r>
      <w:r>
        <w:rPr>
          <w:spacing w:val="-41"/>
        </w:rPr>
        <w:t>纲</w:t>
      </w:r>
      <w:r>
        <w:rPr>
          <w:spacing w:val="-8"/>
        </w:rPr>
        <w:t>（</w:t>
      </w:r>
      <w:r>
        <w:rPr>
          <w:rFonts w:ascii="Times New Roman" w:eastAsia="Times New Roman"/>
          <w:spacing w:val="-8"/>
        </w:rPr>
        <w:t>2016</w:t>
      </w:r>
      <w:r>
        <w:rPr>
          <w:spacing w:val="-8"/>
        </w:rPr>
        <w:t>）</w:t>
      </w:r>
      <w:r>
        <w:rPr>
          <w:spacing w:val="-22"/>
        </w:rPr>
        <w:t>》要求，《辐射工作场所安全管理要求》、《辐射工作人员岗位职责》、</w:t>
      </w:r>
    </w:p>
    <w:p>
      <w:pPr>
        <w:pStyle w:val="BodyText"/>
        <w:spacing w:line="364" w:lineRule="auto" w:before="2"/>
        <w:ind w:left="560" w:right="635"/>
      </w:pPr>
      <w:r>
        <w:rPr>
          <w:spacing w:val="-15"/>
        </w:rPr>
        <w:t>《辐射工作设备操作规程》和《辐射事故应急响应程序》应悬挂于辐射工作场所。</w:t>
      </w:r>
      <w:r>
        <w:rPr>
          <w:spacing w:val="-1"/>
        </w:rPr>
        <w:t>医院对于各项制度在日常工作中要加强检查督促，认真组织实施。上墙制度的内</w:t>
      </w:r>
      <w:r>
        <w:rPr>
          <w:spacing w:val="-3"/>
        </w:rPr>
        <w:t>容应体现现场操作性和实用性，字体醒目，尺寸大小应不小于 </w:t>
      </w:r>
      <w:r>
        <w:rPr>
          <w:rFonts w:ascii="Times New Roman" w:hAnsi="Times New Roman" w:eastAsia="Times New Roman"/>
        </w:rPr>
        <w:t>400mm×600mm</w:t>
      </w:r>
      <w:r>
        <w:rPr/>
        <w:t>。</w:t>
      </w:r>
    </w:p>
    <w:p>
      <w:pPr>
        <w:pStyle w:val="Heading2"/>
        <w:spacing w:before="55"/>
        <w:ind w:left="560"/>
      </w:pPr>
      <w:r>
        <w:rPr/>
        <w:t>三、人员培训</w:t>
      </w:r>
    </w:p>
    <w:p>
      <w:pPr>
        <w:pStyle w:val="BodyText"/>
        <w:spacing w:line="364" w:lineRule="auto" w:before="212"/>
        <w:ind w:left="560" w:right="757" w:firstLine="480"/>
        <w:jc w:val="both"/>
      </w:pPr>
      <w:r>
        <w:rPr/>
        <w:t>建设单位应组织本项目培训证书已过期人员尽快进行国家核技术利用辐射</w:t>
      </w:r>
      <w:r>
        <w:rPr>
          <w:spacing w:val="-6"/>
        </w:rPr>
        <w:t>安全与防护培训平台学习相关知识并报名参加考核，考核合格并取得辐射安全培</w:t>
      </w:r>
      <w:r>
        <w:rPr/>
        <w:t>训合格证书后方可从事辐射活动。</w:t>
      </w:r>
    </w:p>
    <w:p>
      <w:pPr>
        <w:spacing w:before="107"/>
        <w:ind w:left="560" w:right="0" w:firstLine="0"/>
        <w:jc w:val="left"/>
        <w:rPr>
          <w:sz w:val="30"/>
        </w:rPr>
      </w:pPr>
      <w:bookmarkStart w:name="辐射监测" w:id="27"/>
      <w:bookmarkEnd w:id="27"/>
      <w:r>
        <w:rPr/>
      </w:r>
      <w:r>
        <w:rPr>
          <w:sz w:val="30"/>
        </w:rPr>
        <w:t>辐射监测</w:t>
      </w:r>
    </w:p>
    <w:p>
      <w:pPr>
        <w:pStyle w:val="BodyText"/>
        <w:spacing w:line="364" w:lineRule="auto" w:before="201"/>
        <w:ind w:left="560" w:right="755" w:firstLine="480"/>
        <w:jc w:val="both"/>
      </w:pPr>
      <w:r>
        <w:rPr/>
        <w:t>根据《四川省辐射污染防治条例》</w:t>
      </w:r>
      <w:r>
        <w:rPr>
          <w:rFonts w:ascii="Times New Roman" w:hAnsi="Times New Roman" w:eastAsia="Times New Roman"/>
        </w:rPr>
        <w:t>“</w:t>
      </w:r>
      <w:r>
        <w:rPr/>
        <w:t>使用射线装置的单位应当建立辐射监测</w:t>
      </w:r>
      <w:r>
        <w:rPr>
          <w:spacing w:val="-3"/>
        </w:rPr>
        <w:t>制度，组织对从业人员个人辐射剂量、工作场所及周围环境进行监测，并建立相</w:t>
      </w:r>
      <w:r>
        <w:rPr/>
        <w:t>应档案</w:t>
      </w:r>
      <w:r>
        <w:rPr>
          <w:rFonts w:ascii="Times New Roman" w:hAnsi="Times New Roman" w:eastAsia="Times New Roman"/>
        </w:rPr>
        <w:t>”</w:t>
      </w:r>
      <w:r>
        <w:rPr/>
        <w:t>。为了保证本项目运行过程的安全，为控制和评价辐射危害，设置了相</w:t>
      </w:r>
      <w:r>
        <w:rPr>
          <w:spacing w:val="-3"/>
        </w:rPr>
        <w:t>应的辐射剂量监测手段，使工作人员和公众所受照射尽可能低。根据《电离辐射</w:t>
      </w:r>
      <w:r>
        <w:rPr/>
        <w:t>防护与辐射源安全基本标准》（</w:t>
      </w:r>
      <w:r>
        <w:rPr>
          <w:rFonts w:ascii="Times New Roman" w:hAnsi="Times New Roman" w:eastAsia="Times New Roman"/>
        </w:rPr>
        <w:t>GB18871-2002</w:t>
      </w:r>
      <w:r>
        <w:rPr/>
        <w:t>）、《职业性外照射个人监测规范》（</w:t>
      </w:r>
      <w:r>
        <w:rPr>
          <w:rFonts w:ascii="Times New Roman" w:hAnsi="Times New Roman" w:eastAsia="Times New Roman"/>
        </w:rPr>
        <w:t>GBZ128-2019</w:t>
      </w:r>
      <w:r>
        <w:rPr/>
        <w:t>）、《辐射环境监测技术规范》（</w:t>
      </w:r>
      <w:r>
        <w:rPr>
          <w:rFonts w:ascii="Times New Roman" w:hAnsi="Times New Roman" w:eastAsia="Times New Roman"/>
        </w:rPr>
        <w:t>HJ61-2021</w:t>
      </w:r>
      <w:r>
        <w:rPr/>
        <w:t>）中的相关规定，本项目个人辐射剂量、工作场所及周围环境监测要求如下：</w:t>
      </w:r>
    </w:p>
    <w:p>
      <w:pPr>
        <w:pStyle w:val="Heading2"/>
        <w:spacing w:before="56"/>
        <w:ind w:left="560"/>
      </w:pPr>
      <w:bookmarkStart w:name="一、工作场所监测" w:id="28"/>
      <w:bookmarkEnd w:id="28"/>
      <w:r>
        <w:rPr/>
      </w:r>
      <w:r>
        <w:rPr>
          <w:spacing w:val="-1"/>
        </w:rPr>
        <w:t>一、工作场所监测</w:t>
      </w:r>
    </w:p>
    <w:p>
      <w:pPr>
        <w:pStyle w:val="BodyText"/>
        <w:spacing w:line="364" w:lineRule="auto" w:before="214"/>
        <w:ind w:left="560" w:right="760" w:firstLine="480"/>
        <w:jc w:val="both"/>
      </w:pPr>
      <w:r>
        <w:rPr>
          <w:rFonts w:ascii="Times New Roman" w:eastAsia="Times New Roman"/>
        </w:rPr>
        <w:t>1</w:t>
      </w:r>
      <w:r>
        <w:rPr/>
        <w:t>、年度监测：委托有资质的单位对辐射工作场所的剂量进行监测，监测周</w:t>
      </w:r>
      <w:r>
        <w:rPr>
          <w:spacing w:val="-11"/>
        </w:rPr>
        <w:t>期为 </w:t>
      </w:r>
      <w:r>
        <w:rPr>
          <w:rFonts w:ascii="Times New Roman" w:eastAsia="Times New Roman"/>
        </w:rPr>
        <w:t>1</w:t>
      </w:r>
      <w:r>
        <w:rPr>
          <w:rFonts w:ascii="Times New Roman" w:eastAsia="Times New Roman"/>
          <w:spacing w:val="28"/>
        </w:rPr>
        <w:t> </w:t>
      </w:r>
      <w:r>
        <w:rPr/>
        <w:t>次</w:t>
      </w:r>
      <w:r>
        <w:rPr>
          <w:rFonts w:ascii="Times New Roman" w:eastAsia="Times New Roman"/>
        </w:rPr>
        <w:t>/</w:t>
      </w:r>
      <w:r>
        <w:rPr/>
        <w:t>年；年度监测报告应作为《安全和防护状况年度评估报告》的重要组成内容一并提交给发证机关。</w:t>
      </w:r>
    </w:p>
    <w:p>
      <w:pPr>
        <w:pStyle w:val="BodyText"/>
        <w:spacing w:line="364" w:lineRule="auto" w:before="2"/>
        <w:ind w:left="560" w:right="637" w:firstLine="480"/>
      </w:pPr>
      <w:r>
        <w:rPr>
          <w:rFonts w:ascii="Times New Roman" w:eastAsia="Times New Roman"/>
          <w:spacing w:val="-3"/>
        </w:rPr>
        <w:t>2</w:t>
      </w:r>
      <w:r>
        <w:rPr>
          <w:spacing w:val="-3"/>
        </w:rPr>
        <w:t>、日常自我监测：定期自行监测（也可委托有资质的单位进行自行监测</w:t>
      </w:r>
      <w:r>
        <w:rPr>
          <w:spacing w:val="-2"/>
        </w:rPr>
        <w:t>），</w:t>
      </w:r>
      <w:r>
        <w:rPr>
          <w:spacing w:val="-117"/>
        </w:rPr>
        <w:t> </w:t>
      </w:r>
      <w:r>
        <w:rPr>
          <w:spacing w:val="-2"/>
        </w:rPr>
        <w:t>制定各工作场所的定期自行监测制度，监测数据应存档备案，监测周期为 </w:t>
      </w:r>
      <w:r>
        <w:rPr>
          <w:rFonts w:ascii="Times New Roman" w:eastAsia="Times New Roman"/>
        </w:rPr>
        <w:t>1</w:t>
      </w:r>
      <w:r>
        <w:rPr>
          <w:rFonts w:ascii="Times New Roman" w:eastAsia="Times New Roman"/>
          <w:spacing w:val="17"/>
        </w:rPr>
        <w:t> </w:t>
      </w:r>
      <w:r>
        <w:rPr/>
        <w:t>次</w:t>
      </w:r>
      <w:r>
        <w:rPr>
          <w:rFonts w:ascii="Times New Roman" w:eastAsia="Times New Roman"/>
        </w:rPr>
        <w:t>/</w:t>
      </w:r>
      <w:r>
        <w:rPr>
          <w:rFonts w:ascii="Times New Roman" w:eastAsia="Times New Roman"/>
          <w:spacing w:val="1"/>
        </w:rPr>
        <w:t> </w:t>
      </w:r>
      <w:r>
        <w:rPr/>
        <w:t>月。</w:t>
      </w:r>
    </w:p>
    <w:p>
      <w:pPr>
        <w:pStyle w:val="Heading2"/>
        <w:spacing w:line="475" w:lineRule="exact"/>
        <w:ind w:left="560"/>
      </w:pPr>
      <w:bookmarkStart w:name="二、个人剂量检测" w:id="29"/>
      <w:bookmarkEnd w:id="29"/>
      <w:r>
        <w:rPr/>
      </w:r>
      <w:r>
        <w:rPr>
          <w:rFonts w:ascii="Microsoft YaHei UI" w:eastAsia="Microsoft YaHei UI" w:hint="eastAsia"/>
          <w:b/>
          <w:spacing w:val="-1"/>
        </w:rPr>
        <w:t>二</w:t>
      </w:r>
      <w:r>
        <w:rPr>
          <w:spacing w:val="-1"/>
        </w:rPr>
        <w:t>、个人剂量检测</w:t>
      </w:r>
    </w:p>
    <w:p>
      <w:pPr>
        <w:pStyle w:val="BodyText"/>
        <w:spacing w:before="150"/>
        <w:ind w:left="1030"/>
      </w:pPr>
      <w:bookmarkStart w:name="个人监测主要是利用个人剂量计进行外照射个人累积剂量监测，每名辐射工作人员需佩戴个" w:id="30"/>
      <w:bookmarkEnd w:id="30"/>
      <w:r>
        <w:rPr/>
      </w:r>
      <w:r>
        <w:rPr>
          <w:spacing w:val="-3"/>
        </w:rPr>
        <w:t>个人监测主要是利用个人剂量计进行外照射个人累积剂量监测，每名辐射工</w:t>
      </w:r>
    </w:p>
    <w:p>
      <w:pPr>
        <w:spacing w:after="0"/>
        <w:sectPr>
          <w:pgSz w:w="11910" w:h="16840"/>
          <w:pgMar w:header="0" w:footer="1383" w:top="1420" w:bottom="1660" w:left="1240" w:right="1040"/>
        </w:sectPr>
      </w:pPr>
    </w:p>
    <w:p>
      <w:pPr>
        <w:pStyle w:val="BodyText"/>
        <w:spacing w:before="149"/>
        <w:ind w:left="560"/>
        <w:jc w:val="both"/>
      </w:pPr>
      <w:r>
        <w:rPr/>
        <w:pict>
          <v:shape style="position:absolute;margin-left:84.360001pt;margin-top:72.000023pt;width:426.6pt;height:666.5pt;mso-position-horizontal-relative:page;mso-position-vertical-relative:page;z-index:-20126720" coordorigin="1687,1440" coordsize="8532,13330" path="m1687,1445l10219,1445m1687,14770l10219,14770m1692,1440l1692,14765m10214,1440l10214,14765e" filled="false" stroked="true" strokeweight=".48pt" strokecolor="#000000">
            <v:path arrowok="t"/>
            <v:stroke dashstyle="solid"/>
            <w10:wrap type="none"/>
          </v:shape>
        </w:pict>
      </w:r>
      <w:r>
        <w:rPr>
          <w:spacing w:val="4"/>
          <w:w w:val="95"/>
        </w:rPr>
        <w:t>作人员需佩戴个人剂量计，个人剂量检测频率为 </w:t>
      </w:r>
      <w:r>
        <w:rPr>
          <w:rFonts w:ascii="Times New Roman" w:eastAsia="Times New Roman"/>
          <w:w w:val="95"/>
        </w:rPr>
        <w:t>1</w:t>
      </w:r>
      <w:r>
        <w:rPr>
          <w:rFonts w:ascii="Times New Roman" w:eastAsia="Times New Roman"/>
          <w:spacing w:val="154"/>
        </w:rPr>
        <w:t> </w:t>
      </w:r>
      <w:r>
        <w:rPr>
          <w:w w:val="95"/>
        </w:rPr>
        <w:t>次</w:t>
      </w:r>
      <w:r>
        <w:rPr>
          <w:rFonts w:ascii="Times New Roman" w:eastAsia="Times New Roman"/>
          <w:w w:val="95"/>
        </w:rPr>
        <w:t>/</w:t>
      </w:r>
      <w:r>
        <w:rPr>
          <w:w w:val="95"/>
        </w:rPr>
        <w:t>季度。</w:t>
      </w:r>
    </w:p>
    <w:p>
      <w:pPr>
        <w:pStyle w:val="BodyText"/>
        <w:spacing w:line="364" w:lineRule="auto" w:before="161"/>
        <w:ind w:left="560" w:right="757" w:firstLine="480"/>
        <w:jc w:val="both"/>
      </w:pPr>
      <w:r>
        <w:rPr>
          <w:spacing w:val="-10"/>
        </w:rPr>
        <w:t>本项目共有 </w:t>
      </w:r>
      <w:r>
        <w:rPr>
          <w:rFonts w:ascii="Times New Roman" w:eastAsia="Times New Roman"/>
        </w:rPr>
        <w:t>16</w:t>
      </w:r>
      <w:r>
        <w:rPr>
          <w:rFonts w:ascii="Times New Roman" w:eastAsia="Times New Roman"/>
          <w:spacing w:val="3"/>
        </w:rPr>
        <w:t> </w:t>
      </w:r>
      <w:r>
        <w:rPr/>
        <w:t>名辐射工作人员，均为现有辐射工作人员，无需新增个人剂</w:t>
      </w:r>
      <w:r>
        <w:rPr>
          <w:spacing w:val="-3"/>
        </w:rPr>
        <w:t>量计，医院需将个人剂量计定期（每季度一次）送有资质的单位进行检定，并做</w:t>
      </w:r>
      <w:r>
        <w:rPr/>
        <w:t>好个人剂量管理的工作。</w:t>
      </w:r>
    </w:p>
    <w:p>
      <w:pPr>
        <w:pStyle w:val="BodyText"/>
        <w:spacing w:before="1"/>
        <w:ind w:left="1040"/>
      </w:pPr>
      <w:r>
        <w:rPr/>
        <w:t>医院应按以下要求做好个人剂量档案的管理：</w:t>
      </w:r>
    </w:p>
    <w:p>
      <w:pPr>
        <w:pStyle w:val="ListParagraph"/>
        <w:numPr>
          <w:ilvl w:val="3"/>
          <w:numId w:val="13"/>
        </w:numPr>
        <w:tabs>
          <w:tab w:pos="1641" w:val="left" w:leader="none"/>
        </w:tabs>
        <w:spacing w:line="364" w:lineRule="auto" w:before="161" w:after="0"/>
        <w:ind w:left="560" w:right="755" w:firstLine="480"/>
        <w:jc w:val="both"/>
        <w:rPr>
          <w:sz w:val="24"/>
        </w:rPr>
      </w:pPr>
      <w:r>
        <w:rPr>
          <w:sz w:val="24"/>
        </w:rPr>
        <w:t>医院应于每季度将个人剂量计交由有资质的检测部门进行检测。对于</w:t>
      </w:r>
      <w:r>
        <w:rPr>
          <w:spacing w:val="-6"/>
          <w:sz w:val="24"/>
        </w:rPr>
        <w:t>每季度检测数值超过 </w:t>
      </w:r>
      <w:r>
        <w:rPr>
          <w:rFonts w:ascii="Times New Roman" w:eastAsia="Times New Roman"/>
          <w:sz w:val="24"/>
        </w:rPr>
        <w:t>1.25mSv </w:t>
      </w:r>
      <w:r>
        <w:rPr>
          <w:spacing w:val="-13"/>
          <w:sz w:val="24"/>
        </w:rPr>
        <w:t>的，医院要及时进行干预，查明原因，撰写调查报</w:t>
      </w:r>
      <w:r>
        <w:rPr>
          <w:spacing w:val="-3"/>
          <w:sz w:val="24"/>
        </w:rPr>
        <w:t>告并由当事人在调查报告上签字确认，采取防护措施减少或者避免过量照射；若</w:t>
      </w:r>
      <w:r>
        <w:rPr>
          <w:spacing w:val="-6"/>
          <w:sz w:val="24"/>
        </w:rPr>
        <w:t>全年个人积剂量检测数值超过 </w:t>
      </w:r>
      <w:r>
        <w:rPr>
          <w:rFonts w:ascii="Times New Roman" w:eastAsia="Times New Roman"/>
          <w:sz w:val="24"/>
        </w:rPr>
        <w:t>5mSv</w:t>
      </w:r>
      <w:r>
        <w:rPr>
          <w:sz w:val="24"/>
        </w:rPr>
        <w:t>，医院应当立即暂停该辐射工作人员继续从</w:t>
      </w:r>
      <w:r>
        <w:rPr>
          <w:spacing w:val="-3"/>
          <w:sz w:val="24"/>
        </w:rPr>
        <w:t>事放射诊疗作业，同时进行原因调查，撰写正式调查报告，经本人签字确认后上</w:t>
      </w:r>
      <w:r>
        <w:rPr>
          <w:spacing w:val="-13"/>
          <w:sz w:val="24"/>
        </w:rPr>
        <w:t>报《辐射安全许可证》发证机关；当单年个人累积剂量检测数值超过 </w:t>
      </w:r>
      <w:r>
        <w:rPr>
          <w:rFonts w:ascii="Times New Roman" w:eastAsia="Times New Roman"/>
          <w:spacing w:val="-5"/>
          <w:sz w:val="24"/>
        </w:rPr>
        <w:t>50mSv</w:t>
      </w:r>
      <w:r>
        <w:rPr>
          <w:spacing w:val="-10"/>
          <w:sz w:val="24"/>
        </w:rPr>
        <w:t>，应</w:t>
      </w:r>
      <w:r>
        <w:rPr>
          <w:spacing w:val="-3"/>
          <w:sz w:val="24"/>
        </w:rPr>
        <w:t>立即采取措施，开展调查处理并报告辐射安全许可证发证机关。检测报告及有关</w:t>
      </w:r>
      <w:r>
        <w:rPr>
          <w:sz w:val="24"/>
        </w:rPr>
        <w:t>调查报告应存档备查。</w:t>
      </w:r>
    </w:p>
    <w:p>
      <w:pPr>
        <w:pStyle w:val="ListParagraph"/>
        <w:numPr>
          <w:ilvl w:val="3"/>
          <w:numId w:val="13"/>
        </w:numPr>
        <w:tabs>
          <w:tab w:pos="1641" w:val="left" w:leader="none"/>
        </w:tabs>
        <w:spacing w:line="240" w:lineRule="auto" w:before="5" w:after="0"/>
        <w:ind w:left="1641" w:right="0" w:hanging="601"/>
        <w:jc w:val="left"/>
        <w:rPr>
          <w:sz w:val="24"/>
        </w:rPr>
      </w:pPr>
      <w:r>
        <w:rPr>
          <w:sz w:val="24"/>
        </w:rPr>
        <w:t>个人剂量检测报告（连续四个季度）应当连同年度监测报告一起作为</w:t>
      </w:r>
    </w:p>
    <w:p>
      <w:pPr>
        <w:pStyle w:val="BodyText"/>
        <w:spacing w:line="364" w:lineRule="auto" w:before="160"/>
        <w:ind w:left="560" w:right="757"/>
      </w:pPr>
      <w:r>
        <w:rPr>
          <w:spacing w:val="-3"/>
        </w:rPr>
        <w:t>《安全和防护状况年度评估报告》的重要组成内容一并在每年 </w:t>
      </w:r>
      <w:r>
        <w:rPr>
          <w:rFonts w:ascii="Times New Roman" w:eastAsia="Times New Roman"/>
        </w:rPr>
        <w:t>1</w:t>
      </w:r>
      <w:r>
        <w:rPr>
          <w:rFonts w:ascii="Times New Roman" w:eastAsia="Times New Roman"/>
          <w:spacing w:val="2"/>
        </w:rPr>
        <w:t> </w:t>
      </w:r>
      <w:r>
        <w:rPr>
          <w:spacing w:val="-30"/>
        </w:rPr>
        <w:t>月 </w:t>
      </w:r>
      <w:r>
        <w:rPr>
          <w:rFonts w:ascii="Times New Roman" w:eastAsia="Times New Roman"/>
        </w:rPr>
        <w:t>31</w:t>
      </w:r>
      <w:r>
        <w:rPr>
          <w:rFonts w:ascii="Times New Roman" w:eastAsia="Times New Roman"/>
          <w:spacing w:val="4"/>
        </w:rPr>
        <w:t> </w:t>
      </w:r>
      <w:r>
        <w:rPr/>
        <w:t>日前提交给发证机关。</w:t>
      </w:r>
    </w:p>
    <w:p>
      <w:pPr>
        <w:pStyle w:val="ListParagraph"/>
        <w:numPr>
          <w:ilvl w:val="3"/>
          <w:numId w:val="13"/>
        </w:numPr>
        <w:tabs>
          <w:tab w:pos="1648" w:val="left" w:leader="none"/>
        </w:tabs>
        <w:spacing w:line="364" w:lineRule="auto" w:before="1" w:after="0"/>
        <w:ind w:left="560" w:right="665" w:firstLine="480"/>
        <w:jc w:val="left"/>
        <w:rPr>
          <w:sz w:val="24"/>
        </w:rPr>
      </w:pPr>
      <w:r>
        <w:rPr>
          <w:sz w:val="24"/>
        </w:rPr>
        <w:t>根据《职业性外照射个人监测规范》（</w:t>
      </w:r>
      <w:r>
        <w:rPr>
          <w:rFonts w:ascii="Times New Roman" w:eastAsia="Times New Roman"/>
          <w:sz w:val="24"/>
        </w:rPr>
        <w:t>GBZ128-2019</w:t>
      </w:r>
      <w:r>
        <w:rPr>
          <w:sz w:val="24"/>
        </w:rPr>
        <w:t>），就本项目而</w:t>
      </w:r>
      <w:r>
        <w:rPr>
          <w:spacing w:val="-1"/>
          <w:sz w:val="24"/>
        </w:rPr>
        <w:t>言，辐射主要来自前方，剂量计应佩戴在人体躯干前方中部位置，一般左胸前；</w:t>
      </w:r>
      <w:r>
        <w:rPr>
          <w:spacing w:val="-117"/>
          <w:sz w:val="24"/>
        </w:rPr>
        <w:t> </w:t>
      </w:r>
      <w:r>
        <w:rPr>
          <w:spacing w:val="-1"/>
          <w:sz w:val="24"/>
        </w:rPr>
        <w:t>对于工作中穿戴铅衣（如放射科操作）的情况，通常应根据佩带在铅衣里面躯干上的剂量计估算工作人员的实际有效剂量，当受照剂量可能超过调查水平时</w:t>
      </w:r>
      <w:r>
        <w:rPr>
          <w:sz w:val="24"/>
        </w:rPr>
        <w:t>（如</w:t>
      </w:r>
      <w:r>
        <w:rPr>
          <w:spacing w:val="-1"/>
          <w:sz w:val="24"/>
        </w:rPr>
        <w:t>介入操作），则还需要在铅衣外面另外佩带一个剂量计，以估算人体未被屏蔽部</w:t>
      </w:r>
      <w:r>
        <w:rPr>
          <w:sz w:val="24"/>
        </w:rPr>
        <w:t>分的剂量；</w:t>
      </w:r>
    </w:p>
    <w:p>
      <w:pPr>
        <w:pStyle w:val="ListParagraph"/>
        <w:numPr>
          <w:ilvl w:val="3"/>
          <w:numId w:val="13"/>
        </w:numPr>
        <w:tabs>
          <w:tab w:pos="1641" w:val="left" w:leader="none"/>
        </w:tabs>
        <w:spacing w:line="386" w:lineRule="auto" w:before="4" w:after="0"/>
        <w:ind w:left="560" w:right="760" w:firstLine="480"/>
        <w:jc w:val="left"/>
        <w:rPr>
          <w:sz w:val="28"/>
        </w:rPr>
      </w:pPr>
      <w:r>
        <w:rPr>
          <w:sz w:val="24"/>
        </w:rPr>
        <w:t>辐射工作人员个人剂量档案内容应当包括个人基本信息、工作岗位、剂量监测结果等材料。医院应当将辐射工作人员的个人剂量档案终生保存。</w:t>
      </w:r>
      <w:bookmarkStart w:name="三、监测内容和要求" w:id="31"/>
      <w:bookmarkEnd w:id="31"/>
      <w:r>
        <w:rPr>
          <w:sz w:val="24"/>
        </w:rPr>
      </w:r>
      <w:r>
        <w:rPr>
          <w:spacing w:val="1"/>
          <w:sz w:val="24"/>
        </w:rPr>
        <w:t> </w:t>
      </w:r>
      <w:r>
        <w:rPr>
          <w:sz w:val="28"/>
        </w:rPr>
        <w:t>三、监测内容和要求</w:t>
      </w:r>
    </w:p>
    <w:p>
      <w:pPr>
        <w:pStyle w:val="ListParagraph"/>
        <w:numPr>
          <w:ilvl w:val="0"/>
          <w:numId w:val="14"/>
        </w:numPr>
        <w:tabs>
          <w:tab w:pos="1641" w:val="left" w:leader="none"/>
        </w:tabs>
        <w:spacing w:line="300" w:lineRule="exact" w:before="0" w:after="0"/>
        <w:ind w:left="1641" w:right="0" w:hanging="601"/>
        <w:jc w:val="left"/>
        <w:rPr>
          <w:sz w:val="24"/>
        </w:rPr>
      </w:pPr>
      <w:r>
        <w:rPr>
          <w:spacing w:val="-1"/>
          <w:sz w:val="24"/>
        </w:rPr>
        <w:t>监测内容：</w:t>
      </w:r>
      <w:r>
        <w:rPr>
          <w:rFonts w:ascii="Times New Roman" w:hAnsi="Times New Roman" w:eastAsia="Times New Roman"/>
          <w:sz w:val="24"/>
        </w:rPr>
        <w:t>X-γ</w:t>
      </w:r>
      <w:r>
        <w:rPr>
          <w:sz w:val="24"/>
        </w:rPr>
        <w:t>空气吸收剂量率。</w:t>
      </w:r>
    </w:p>
    <w:p>
      <w:pPr>
        <w:pStyle w:val="ListParagraph"/>
        <w:numPr>
          <w:ilvl w:val="0"/>
          <w:numId w:val="14"/>
        </w:numPr>
        <w:tabs>
          <w:tab w:pos="1641" w:val="left" w:leader="none"/>
        </w:tabs>
        <w:spacing w:line="240" w:lineRule="auto" w:before="160" w:after="0"/>
        <w:ind w:left="1641" w:right="0" w:hanging="601"/>
        <w:jc w:val="left"/>
        <w:rPr>
          <w:sz w:val="24"/>
        </w:rPr>
      </w:pPr>
      <w:r>
        <w:rPr>
          <w:spacing w:val="-11"/>
          <w:sz w:val="24"/>
        </w:rPr>
        <w:t>监测布点及数据管理：本项目监测布点应参考环评提出的监测计划</w:t>
      </w:r>
      <w:r>
        <w:rPr>
          <w:sz w:val="24"/>
        </w:rPr>
        <w:t>（表</w:t>
      </w:r>
    </w:p>
    <w:p>
      <w:pPr>
        <w:pStyle w:val="BodyText"/>
        <w:spacing w:before="161"/>
        <w:ind w:left="560"/>
      </w:pPr>
      <w:r>
        <w:rPr>
          <w:rFonts w:ascii="Times New Roman" w:eastAsia="Times New Roman"/>
        </w:rPr>
        <w:t>12-3</w:t>
      </w:r>
      <w:r>
        <w:rPr/>
        <w:t>）或验收监测布点方案。监测数据应记录完善，并将数据实时汇总，建立好</w:t>
      </w:r>
    </w:p>
    <w:p>
      <w:pPr>
        <w:spacing w:after="0"/>
        <w:sectPr>
          <w:pgSz w:w="11910" w:h="16840"/>
          <w:pgMar w:header="0" w:footer="1383" w:top="1420" w:bottom="1660" w:left="1240" w:right="1040"/>
        </w:sectPr>
      </w:pPr>
    </w:p>
    <w:p>
      <w:pPr>
        <w:pStyle w:val="BodyText"/>
        <w:spacing w:before="149"/>
        <w:ind w:left="560"/>
      </w:pPr>
      <w:r>
        <w:rPr/>
        <w:pict>
          <v:shape style="position:absolute;margin-left:84.360001pt;margin-top:72.000023pt;width:426.6pt;height:673.4pt;mso-position-horizontal-relative:page;mso-position-vertical-relative:page;z-index:-20126208" coordorigin="1687,1440" coordsize="8532,13468" path="m1687,1445l10219,1445m1687,12805l10219,12805m1687,14908l10219,14908m1692,1440l1692,14903m10214,1440l10214,14903e" filled="false" stroked="true" strokeweight=".48pt" strokecolor="#000000">
            <v:path arrowok="t"/>
            <v:stroke dashstyle="solid"/>
            <w10:wrap type="none"/>
          </v:shape>
        </w:pict>
      </w:r>
      <w:r>
        <w:rPr/>
        <w:t>监测数据台账以便核查。</w:t>
      </w:r>
    </w:p>
    <w:p>
      <w:pPr>
        <w:pStyle w:val="BodyText"/>
        <w:rPr>
          <w:sz w:val="8"/>
        </w:rPr>
      </w:pPr>
    </w:p>
    <w:p>
      <w:pPr>
        <w:tabs>
          <w:tab w:pos="859" w:val="left" w:leader="none"/>
        </w:tabs>
        <w:spacing w:before="76"/>
        <w:ind w:left="0" w:right="190" w:firstLine="0"/>
        <w:jc w:val="center"/>
        <w:rPr>
          <w:sz w:val="21"/>
        </w:rPr>
      </w:pPr>
      <w:r>
        <w:rPr>
          <w:w w:val="95"/>
          <w:sz w:val="21"/>
        </w:rPr>
        <w:t>表</w:t>
      </w:r>
      <w:r>
        <w:rPr>
          <w:spacing w:val="-37"/>
          <w:w w:val="95"/>
          <w:sz w:val="21"/>
        </w:rPr>
        <w:t> </w:t>
      </w:r>
      <w:r>
        <w:rPr>
          <w:rFonts w:ascii="Times New Roman" w:eastAsia="Times New Roman"/>
          <w:b/>
          <w:w w:val="95"/>
          <w:sz w:val="21"/>
        </w:rPr>
        <w:t>12-3</w:t>
        <w:tab/>
      </w:r>
      <w:r>
        <w:rPr>
          <w:sz w:val="21"/>
        </w:rPr>
        <w:t>工作场所监测计划建议</w:t>
      </w:r>
    </w:p>
    <w:p>
      <w:pPr>
        <w:pStyle w:val="BodyText"/>
        <w:spacing w:before="11"/>
        <w:rPr>
          <w:sz w:val="7"/>
        </w:rPr>
      </w:pPr>
    </w:p>
    <w:tbl>
      <w:tblPr>
        <w:tblW w:w="0" w:type="auto"/>
        <w:jc w:val="left"/>
        <w:tblInd w:w="5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7"/>
        <w:gridCol w:w="1141"/>
        <w:gridCol w:w="2321"/>
        <w:gridCol w:w="3717"/>
      </w:tblGrid>
      <w:tr>
        <w:trPr>
          <w:trHeight w:val="340" w:hRule="atLeast"/>
        </w:trPr>
        <w:tc>
          <w:tcPr>
            <w:tcW w:w="1127" w:type="dxa"/>
            <w:tcBorders>
              <w:left w:val="nil"/>
              <w:right w:val="single" w:sz="6" w:space="0" w:color="000000"/>
            </w:tcBorders>
          </w:tcPr>
          <w:p>
            <w:pPr>
              <w:pStyle w:val="TableParagraph"/>
              <w:spacing w:before="35"/>
              <w:ind w:left="158"/>
              <w:jc w:val="left"/>
              <w:rPr>
                <w:sz w:val="21"/>
              </w:rPr>
            </w:pPr>
            <w:r>
              <w:rPr>
                <w:sz w:val="21"/>
              </w:rPr>
              <w:t>场所名称</w:t>
            </w:r>
          </w:p>
        </w:tc>
        <w:tc>
          <w:tcPr>
            <w:tcW w:w="1141" w:type="dxa"/>
            <w:tcBorders>
              <w:left w:val="single" w:sz="6" w:space="0" w:color="000000"/>
              <w:right w:val="single" w:sz="6" w:space="0" w:color="000000"/>
            </w:tcBorders>
          </w:tcPr>
          <w:p>
            <w:pPr>
              <w:pStyle w:val="TableParagraph"/>
              <w:spacing w:before="35"/>
              <w:ind w:left="156"/>
              <w:jc w:val="left"/>
              <w:rPr>
                <w:sz w:val="21"/>
              </w:rPr>
            </w:pPr>
            <w:r>
              <w:rPr>
                <w:sz w:val="21"/>
              </w:rPr>
              <w:t>监测项目</w:t>
            </w:r>
          </w:p>
        </w:tc>
        <w:tc>
          <w:tcPr>
            <w:tcW w:w="2321" w:type="dxa"/>
            <w:tcBorders>
              <w:left w:val="single" w:sz="6" w:space="0" w:color="000000"/>
              <w:right w:val="single" w:sz="6" w:space="0" w:color="000000"/>
            </w:tcBorders>
          </w:tcPr>
          <w:p>
            <w:pPr>
              <w:pStyle w:val="TableParagraph"/>
              <w:spacing w:before="35"/>
              <w:ind w:left="746"/>
              <w:jc w:val="left"/>
              <w:rPr>
                <w:sz w:val="21"/>
              </w:rPr>
            </w:pPr>
            <w:r>
              <w:rPr>
                <w:sz w:val="21"/>
              </w:rPr>
              <w:t>监测周期</w:t>
            </w:r>
          </w:p>
        </w:tc>
        <w:tc>
          <w:tcPr>
            <w:tcW w:w="3717" w:type="dxa"/>
            <w:tcBorders>
              <w:left w:val="single" w:sz="6" w:space="0" w:color="000000"/>
              <w:right w:val="nil"/>
            </w:tcBorders>
          </w:tcPr>
          <w:p>
            <w:pPr>
              <w:pStyle w:val="TableParagraph"/>
              <w:spacing w:before="35"/>
              <w:ind w:left="1422" w:right="1406"/>
              <w:rPr>
                <w:sz w:val="21"/>
              </w:rPr>
            </w:pPr>
            <w:r>
              <w:rPr>
                <w:sz w:val="21"/>
              </w:rPr>
              <w:t>监测点位</w:t>
            </w:r>
          </w:p>
        </w:tc>
      </w:tr>
      <w:tr>
        <w:trPr>
          <w:trHeight w:val="879" w:hRule="atLeast"/>
        </w:trPr>
        <w:tc>
          <w:tcPr>
            <w:tcW w:w="1127" w:type="dxa"/>
            <w:tcBorders>
              <w:left w:val="nil"/>
              <w:right w:val="single" w:sz="4" w:space="0" w:color="000000"/>
            </w:tcBorders>
          </w:tcPr>
          <w:p>
            <w:pPr>
              <w:pStyle w:val="TableParagraph"/>
              <w:spacing w:before="9"/>
              <w:jc w:val="left"/>
              <w:rPr>
                <w:sz w:val="23"/>
              </w:rPr>
            </w:pPr>
          </w:p>
          <w:p>
            <w:pPr>
              <w:pStyle w:val="TableParagraph"/>
              <w:ind w:left="132"/>
              <w:jc w:val="left"/>
              <w:rPr>
                <w:sz w:val="21"/>
              </w:rPr>
            </w:pPr>
            <w:r>
              <w:rPr>
                <w:rFonts w:ascii="Times New Roman" w:eastAsia="Times New Roman"/>
                <w:sz w:val="21"/>
              </w:rPr>
              <w:t>DSA</w:t>
            </w:r>
            <w:r>
              <w:rPr>
                <w:rFonts w:ascii="Times New Roman" w:eastAsia="Times New Roman"/>
                <w:spacing w:val="-1"/>
                <w:sz w:val="21"/>
              </w:rPr>
              <w:t> </w:t>
            </w:r>
            <w:r>
              <w:rPr>
                <w:sz w:val="21"/>
              </w:rPr>
              <w:t>机房</w:t>
            </w:r>
          </w:p>
        </w:tc>
        <w:tc>
          <w:tcPr>
            <w:tcW w:w="1141" w:type="dxa"/>
            <w:tcBorders>
              <w:left w:val="single" w:sz="4" w:space="0" w:color="000000"/>
              <w:right w:val="single" w:sz="4" w:space="0" w:color="000000"/>
            </w:tcBorders>
          </w:tcPr>
          <w:p>
            <w:pPr>
              <w:pStyle w:val="TableParagraph"/>
              <w:spacing w:line="242" w:lineRule="auto" w:before="169"/>
              <w:ind w:left="159" w:right="76" w:hanging="51"/>
              <w:jc w:val="left"/>
              <w:rPr>
                <w:sz w:val="21"/>
              </w:rPr>
            </w:pPr>
            <w:r>
              <w:rPr>
                <w:rFonts w:ascii="Times New Roman" w:hAnsi="Times New Roman" w:eastAsia="Times New Roman"/>
                <w:spacing w:val="-1"/>
                <w:sz w:val="21"/>
              </w:rPr>
              <w:t>X-γ</w:t>
            </w:r>
            <w:r>
              <w:rPr>
                <w:spacing w:val="-1"/>
                <w:sz w:val="21"/>
              </w:rPr>
              <w:t>空气吸</w:t>
            </w:r>
            <w:r>
              <w:rPr>
                <w:sz w:val="21"/>
              </w:rPr>
              <w:t>收剂量率</w:t>
            </w:r>
          </w:p>
        </w:tc>
        <w:tc>
          <w:tcPr>
            <w:tcW w:w="2321" w:type="dxa"/>
            <w:tcBorders>
              <w:left w:val="single" w:sz="4" w:space="0" w:color="000000"/>
              <w:right w:val="single" w:sz="4" w:space="0" w:color="000000"/>
            </w:tcBorders>
          </w:tcPr>
          <w:p>
            <w:pPr>
              <w:pStyle w:val="TableParagraph"/>
              <w:spacing w:line="242" w:lineRule="auto" w:before="32"/>
              <w:ind w:left="38" w:right="-44"/>
              <w:rPr>
                <w:sz w:val="21"/>
              </w:rPr>
            </w:pPr>
            <w:r>
              <w:rPr>
                <w:w w:val="95"/>
                <w:sz w:val="21"/>
              </w:rPr>
              <w:t>委托有资质的单位监测，</w:t>
            </w:r>
            <w:r>
              <w:rPr>
                <w:spacing w:val="1"/>
                <w:w w:val="95"/>
                <w:sz w:val="21"/>
              </w:rPr>
              <w:t> </w:t>
            </w:r>
            <w:r>
              <w:rPr>
                <w:spacing w:val="-4"/>
                <w:w w:val="95"/>
                <w:sz w:val="21"/>
              </w:rPr>
              <w:t>频率为 </w:t>
            </w:r>
            <w:r>
              <w:rPr>
                <w:rFonts w:ascii="Times New Roman" w:eastAsia="Times New Roman"/>
                <w:w w:val="95"/>
                <w:sz w:val="21"/>
              </w:rPr>
              <w:t>1</w:t>
            </w:r>
            <w:r>
              <w:rPr>
                <w:rFonts w:ascii="Times New Roman" w:eastAsia="Times New Roman"/>
                <w:spacing w:val="38"/>
                <w:w w:val="95"/>
                <w:sz w:val="21"/>
              </w:rPr>
              <w:t> </w:t>
            </w:r>
            <w:r>
              <w:rPr>
                <w:w w:val="95"/>
                <w:sz w:val="21"/>
              </w:rPr>
              <w:t>次</w:t>
            </w:r>
            <w:r>
              <w:rPr>
                <w:rFonts w:ascii="Times New Roman" w:eastAsia="Times New Roman"/>
                <w:w w:val="95"/>
                <w:sz w:val="21"/>
              </w:rPr>
              <w:t>/</w:t>
            </w:r>
            <w:r>
              <w:rPr>
                <w:spacing w:val="-18"/>
                <w:w w:val="95"/>
                <w:sz w:val="21"/>
              </w:rPr>
              <w:t>年；定期自行</w:t>
            </w:r>
            <w:r>
              <w:rPr>
                <w:sz w:val="21"/>
              </w:rPr>
              <w:t>开展辐射监测</w:t>
            </w:r>
          </w:p>
        </w:tc>
        <w:tc>
          <w:tcPr>
            <w:tcW w:w="3717" w:type="dxa"/>
            <w:tcBorders>
              <w:left w:val="single" w:sz="4" w:space="0" w:color="000000"/>
              <w:right w:val="nil"/>
            </w:tcBorders>
          </w:tcPr>
          <w:p>
            <w:pPr>
              <w:pStyle w:val="TableParagraph"/>
              <w:spacing w:line="278" w:lineRule="auto" w:before="147"/>
              <w:ind w:left="38" w:right="104"/>
              <w:jc w:val="left"/>
              <w:rPr>
                <w:sz w:val="21"/>
              </w:rPr>
            </w:pPr>
            <w:r>
              <w:rPr>
                <w:w w:val="95"/>
                <w:sz w:val="21"/>
              </w:rPr>
              <w:t>铅窗、操作间、设备间等配套房间、机</w:t>
            </w:r>
            <w:r>
              <w:rPr>
                <w:sz w:val="21"/>
              </w:rPr>
              <w:t>房四周屏蔽墙外、门缝等。</w:t>
            </w:r>
          </w:p>
        </w:tc>
      </w:tr>
    </w:tbl>
    <w:p>
      <w:pPr>
        <w:pStyle w:val="ListParagraph"/>
        <w:numPr>
          <w:ilvl w:val="0"/>
          <w:numId w:val="14"/>
        </w:numPr>
        <w:tabs>
          <w:tab w:pos="1641" w:val="left" w:leader="none"/>
        </w:tabs>
        <w:spacing w:line="240" w:lineRule="auto" w:before="83" w:after="0"/>
        <w:ind w:left="1641" w:right="0" w:hanging="601"/>
        <w:jc w:val="left"/>
        <w:rPr>
          <w:sz w:val="24"/>
        </w:rPr>
      </w:pPr>
      <w:r>
        <w:rPr>
          <w:sz w:val="24"/>
        </w:rPr>
        <w:t>监测范围：控制区和监督区域及周围环境</w:t>
      </w:r>
    </w:p>
    <w:p>
      <w:pPr>
        <w:pStyle w:val="ListParagraph"/>
        <w:numPr>
          <w:ilvl w:val="0"/>
          <w:numId w:val="14"/>
        </w:numPr>
        <w:tabs>
          <w:tab w:pos="1641" w:val="left" w:leader="none"/>
        </w:tabs>
        <w:spacing w:line="240" w:lineRule="auto" w:before="160" w:after="0"/>
        <w:ind w:left="1641" w:right="0" w:hanging="601"/>
        <w:jc w:val="left"/>
        <w:rPr>
          <w:sz w:val="24"/>
        </w:rPr>
      </w:pPr>
      <w:r>
        <w:rPr>
          <w:sz w:val="24"/>
        </w:rPr>
        <w:t>监测质量保证</w:t>
      </w:r>
    </w:p>
    <w:p>
      <w:pPr>
        <w:pStyle w:val="BodyText"/>
        <w:spacing w:line="364" w:lineRule="auto" w:before="161"/>
        <w:ind w:left="560" w:right="757" w:firstLine="480"/>
        <w:jc w:val="both"/>
      </w:pPr>
      <w:r>
        <w:rPr>
          <w:spacing w:val="-3"/>
        </w:rPr>
        <w:t>①制定监测仪表使用、校验管理制度，并利用监测部门的监测数据与医院监测仪器的监测数据进行比对，建立监测仪器比对档案；也可到有资质的单位对监</w:t>
      </w:r>
      <w:r>
        <w:rPr/>
        <w:t>测仪器进行校核；</w:t>
      </w:r>
    </w:p>
    <w:p>
      <w:pPr>
        <w:pStyle w:val="BodyText"/>
        <w:spacing w:line="364" w:lineRule="auto" w:before="1"/>
        <w:ind w:left="560" w:right="757" w:firstLine="480"/>
      </w:pPr>
      <w:r>
        <w:rPr>
          <w:spacing w:val="-7"/>
        </w:rPr>
        <w:t>②采用国家颁布的标准方法或推荐方法，其中自我监测可参照有资质的监测</w:t>
      </w:r>
      <w:r>
        <w:rPr/>
        <w:t>机构出具的监测报告中的方法；</w:t>
      </w:r>
    </w:p>
    <w:p>
      <w:pPr>
        <w:pStyle w:val="BodyText"/>
        <w:spacing w:before="2"/>
        <w:ind w:left="1040"/>
      </w:pPr>
      <w:r>
        <w:rPr/>
        <w:t>③制定辐射环境监测管理制度。</w:t>
      </w:r>
    </w:p>
    <w:p>
      <w:pPr>
        <w:pStyle w:val="BodyText"/>
        <w:spacing w:line="364" w:lineRule="auto" w:before="160"/>
        <w:ind w:left="560" w:right="757" w:firstLine="480"/>
        <w:jc w:val="both"/>
      </w:pPr>
      <w:r>
        <w:rPr>
          <w:spacing w:val="-3"/>
        </w:rPr>
        <w:t>此外，医院需定期和不定期对辐射工作场所进行监测，随时掌握辐射工作场所剂量变化情况，发现问题及时维护、整改。做好监测数据的审核，制定相应的</w:t>
      </w:r>
      <w:r>
        <w:rPr/>
        <w:t>报送程序，监测数据及报送情况存档备查。</w:t>
      </w:r>
    </w:p>
    <w:p>
      <w:pPr>
        <w:spacing w:before="40"/>
        <w:ind w:left="560" w:right="0" w:firstLine="0"/>
        <w:jc w:val="left"/>
        <w:rPr>
          <w:sz w:val="30"/>
        </w:rPr>
      </w:pPr>
      <w:bookmarkStart w:name="年度监测报告情况" w:id="32"/>
      <w:bookmarkEnd w:id="32"/>
      <w:r>
        <w:rPr/>
      </w:r>
      <w:r>
        <w:rPr>
          <w:sz w:val="30"/>
        </w:rPr>
        <w:t>年度监测报告情况</w:t>
      </w:r>
    </w:p>
    <w:p>
      <w:pPr>
        <w:pStyle w:val="BodyText"/>
        <w:spacing w:line="364" w:lineRule="auto" w:before="202"/>
        <w:ind w:left="560" w:right="750" w:firstLine="480"/>
        <w:jc w:val="both"/>
      </w:pPr>
      <w:r>
        <w:rPr>
          <w:spacing w:val="-8"/>
        </w:rPr>
        <w:t>医院应于每年 </w:t>
      </w:r>
      <w:r>
        <w:rPr>
          <w:rFonts w:ascii="Times New Roman" w:hAnsi="Times New Roman" w:eastAsia="Times New Roman"/>
        </w:rPr>
        <w:t>1</w:t>
      </w:r>
      <w:r>
        <w:rPr>
          <w:rFonts w:ascii="Times New Roman" w:hAnsi="Times New Roman" w:eastAsia="Times New Roman"/>
          <w:spacing w:val="5"/>
        </w:rPr>
        <w:t> </w:t>
      </w:r>
      <w:r>
        <w:rPr>
          <w:spacing w:val="-28"/>
        </w:rPr>
        <w:t>月 </w:t>
      </w:r>
      <w:r>
        <w:rPr>
          <w:rFonts w:ascii="Times New Roman" w:hAnsi="Times New Roman" w:eastAsia="Times New Roman"/>
        </w:rPr>
        <w:t>31</w:t>
      </w:r>
      <w:r>
        <w:rPr>
          <w:rFonts w:ascii="Times New Roman" w:hAnsi="Times New Roman" w:eastAsia="Times New Roman"/>
          <w:spacing w:val="7"/>
        </w:rPr>
        <w:t> </w:t>
      </w:r>
      <w:r>
        <w:rPr/>
        <w:t>日前向发证机关提交上年度的《放射性同位素与射线</w:t>
      </w:r>
      <w:r>
        <w:rPr>
          <w:spacing w:val="-3"/>
        </w:rPr>
        <w:t>装置安全和防护状况年度评估报告》，近一年</w:t>
      </w:r>
      <w:r>
        <w:rPr>
          <w:spacing w:val="-2"/>
        </w:rPr>
        <w:t>（四个季度）个人剂量检测报告和</w:t>
      </w:r>
      <w:r>
        <w:rPr>
          <w:spacing w:val="-3"/>
        </w:rPr>
        <w:t>辐射工作场所年度监测报告应作为《安全和防护状况年度评估报告》的重要组成内容一并提交给发证机关。医院应按照《安全和防护状况年度评估报告》规定的</w:t>
      </w:r>
      <w:r>
        <w:rPr>
          <w:spacing w:val="33"/>
        </w:rPr>
        <w:t>格式编制报告。医院必须在</w:t>
      </w:r>
      <w:r>
        <w:rPr>
          <w:rFonts w:ascii="Times New Roman" w:hAnsi="Times New Roman" w:eastAsia="Times New Roman"/>
          <w:spacing w:val="-13"/>
        </w:rPr>
        <w:t>“ </w:t>
      </w:r>
      <w:r>
        <w:rPr>
          <w:spacing w:val="33"/>
        </w:rPr>
        <w:t>全国核技术利用辐射安全申报系统</w:t>
      </w:r>
      <w:r>
        <w:rPr>
          <w:rFonts w:ascii="Times New Roman" w:hAnsi="Times New Roman" w:eastAsia="Times New Roman"/>
          <w:spacing w:val="-9"/>
        </w:rPr>
        <w:t>”( </w:t>
      </w:r>
      <w:r>
        <w:rPr>
          <w:spacing w:val="16"/>
        </w:rPr>
        <w:t>网址</w:t>
      </w:r>
      <w:hyperlink r:id="rId16">
        <w:r>
          <w:rPr>
            <w:rFonts w:ascii="Times New Roman" w:hAnsi="Times New Roman" w:eastAsia="Times New Roman"/>
          </w:rPr>
          <w:t>http://rr.mee.gov.cn/</w:t>
        </w:r>
      </w:hyperlink>
      <w:r>
        <w:rPr>
          <w:rFonts w:ascii="Times New Roman" w:hAnsi="Times New Roman" w:eastAsia="Times New Roman"/>
        </w:rPr>
        <w:t>)</w:t>
      </w:r>
      <w:r>
        <w:rPr/>
        <w:t>中实施申报登记。延续、变更许可证，新增或注销射线装置以及单位信息变更、个人剂量、年度评估报告等信息均应及时在系统中申报。</w:t>
      </w:r>
    </w:p>
    <w:p>
      <w:pPr>
        <w:spacing w:before="109"/>
        <w:ind w:left="560" w:right="0" w:firstLine="0"/>
        <w:jc w:val="left"/>
        <w:rPr>
          <w:sz w:val="30"/>
        </w:rPr>
      </w:pPr>
      <w:bookmarkStart w:name="辐射事故应急" w:id="33"/>
      <w:bookmarkEnd w:id="33"/>
      <w:r>
        <w:rPr/>
      </w:r>
      <w:r>
        <w:rPr>
          <w:sz w:val="30"/>
        </w:rPr>
        <w:t>辐射事故应急</w:t>
      </w:r>
    </w:p>
    <w:p>
      <w:pPr>
        <w:pStyle w:val="BodyText"/>
        <w:spacing w:before="202"/>
        <w:ind w:left="560"/>
      </w:pPr>
      <w:r>
        <w:rPr>
          <w:rFonts w:ascii="Times New Roman" w:eastAsia="Times New Roman"/>
        </w:rPr>
        <w:t>1</w:t>
      </w:r>
      <w:r>
        <w:rPr/>
        <w:t>、应急预案</w:t>
      </w:r>
    </w:p>
    <w:p>
      <w:pPr>
        <w:pStyle w:val="BodyText"/>
        <w:spacing w:line="364" w:lineRule="auto" w:before="160"/>
        <w:ind w:left="560" w:right="757" w:firstLine="480"/>
      </w:pPr>
      <w:r>
        <w:rPr>
          <w:spacing w:val="-3"/>
        </w:rPr>
        <w:t>为了应对放射诊疗中的事故和突发事件，医院制订了辐射事故应急预案，包</w:t>
      </w:r>
      <w:r>
        <w:rPr/>
        <w:t>含以下内容。</w:t>
      </w:r>
    </w:p>
    <w:p>
      <w:pPr>
        <w:spacing w:after="0" w:line="364" w:lineRule="auto"/>
        <w:sectPr>
          <w:pgSz w:w="11910" w:h="16840"/>
          <w:pgMar w:header="0" w:footer="1383" w:top="1420" w:bottom="1660" w:left="1240" w:right="1040"/>
        </w:sectPr>
      </w:pPr>
    </w:p>
    <w:p>
      <w:pPr>
        <w:pStyle w:val="ListParagraph"/>
        <w:numPr>
          <w:ilvl w:val="0"/>
          <w:numId w:val="15"/>
        </w:numPr>
        <w:tabs>
          <w:tab w:pos="1505" w:val="left" w:leader="none"/>
        </w:tabs>
        <w:spacing w:line="364" w:lineRule="auto" w:before="149" w:after="0"/>
        <w:ind w:left="560" w:right="635" w:firstLine="420"/>
        <w:jc w:val="left"/>
        <w:rPr>
          <w:sz w:val="19"/>
        </w:rPr>
      </w:pPr>
      <w:r>
        <w:rPr/>
        <w:pict>
          <v:shape style="position:absolute;margin-left:84.360001pt;margin-top:72.000023pt;width:426.6pt;height:682.2pt;mso-position-horizontal-relative:page;mso-position-vertical-relative:page;z-index:-20125696" coordorigin="1687,1440" coordsize="8532,13644" path="m1687,1445l10219,1445m1687,15084l10219,15084m1692,1440l1692,15079m10214,1440l10214,15079e" filled="false" stroked="true" strokeweight=".48pt" strokecolor="#000000">
            <v:path arrowok="t"/>
            <v:stroke dashstyle="solid"/>
            <w10:wrap type="none"/>
          </v:shape>
        </w:pict>
      </w:r>
      <w:r>
        <w:rPr>
          <w:sz w:val="24"/>
        </w:rPr>
        <w:t>应急机构和职责分工，应急和救助的装备、资金、物资准备，辐射事故</w:t>
      </w:r>
      <w:r>
        <w:rPr>
          <w:spacing w:val="-15"/>
          <w:sz w:val="24"/>
        </w:rPr>
        <w:t>应急处理程序，辐射事故分级与应急响应措施，辐射事故调查、报告和处理程序，</w:t>
      </w:r>
      <w:r>
        <w:rPr>
          <w:spacing w:val="-117"/>
          <w:sz w:val="24"/>
        </w:rPr>
        <w:t> </w:t>
      </w:r>
      <w:r>
        <w:rPr>
          <w:sz w:val="24"/>
        </w:rPr>
        <w:t>辐射事故的调查、预案管理。</w:t>
      </w:r>
    </w:p>
    <w:p>
      <w:pPr>
        <w:pStyle w:val="ListParagraph"/>
        <w:numPr>
          <w:ilvl w:val="0"/>
          <w:numId w:val="15"/>
        </w:numPr>
        <w:tabs>
          <w:tab w:pos="1641" w:val="left" w:leader="none"/>
        </w:tabs>
        <w:spacing w:line="240" w:lineRule="auto" w:before="2" w:after="0"/>
        <w:ind w:left="1641" w:right="0" w:hanging="601"/>
        <w:jc w:val="left"/>
        <w:rPr>
          <w:sz w:val="22"/>
        </w:rPr>
      </w:pPr>
      <w:r>
        <w:rPr>
          <w:sz w:val="24"/>
        </w:rPr>
        <w:t>应急组织体系和职责、应急处理程序、上报电话。</w:t>
      </w:r>
    </w:p>
    <w:p>
      <w:pPr>
        <w:pStyle w:val="ListParagraph"/>
        <w:numPr>
          <w:ilvl w:val="0"/>
          <w:numId w:val="15"/>
        </w:numPr>
        <w:tabs>
          <w:tab w:pos="1641" w:val="left" w:leader="none"/>
        </w:tabs>
        <w:spacing w:line="240" w:lineRule="auto" w:before="160" w:after="0"/>
        <w:ind w:left="1641" w:right="0" w:hanging="601"/>
        <w:jc w:val="left"/>
        <w:rPr>
          <w:sz w:val="22"/>
        </w:rPr>
      </w:pPr>
      <w:r>
        <w:rPr>
          <w:sz w:val="24"/>
        </w:rPr>
        <w:t>应急人员的培训；</w:t>
      </w:r>
    </w:p>
    <w:p>
      <w:pPr>
        <w:pStyle w:val="ListParagraph"/>
        <w:numPr>
          <w:ilvl w:val="0"/>
          <w:numId w:val="15"/>
        </w:numPr>
        <w:tabs>
          <w:tab w:pos="1641" w:val="left" w:leader="none"/>
        </w:tabs>
        <w:spacing w:line="240" w:lineRule="auto" w:before="161" w:after="0"/>
        <w:ind w:left="1641" w:right="0" w:hanging="601"/>
        <w:jc w:val="left"/>
        <w:rPr>
          <w:sz w:val="22"/>
        </w:rPr>
      </w:pPr>
      <w:r>
        <w:rPr>
          <w:sz w:val="24"/>
        </w:rPr>
        <w:t>环境风险因子、潜在危害、事故等级等内容；</w:t>
      </w:r>
    </w:p>
    <w:p>
      <w:pPr>
        <w:pStyle w:val="ListParagraph"/>
        <w:numPr>
          <w:ilvl w:val="0"/>
          <w:numId w:val="15"/>
        </w:numPr>
        <w:tabs>
          <w:tab w:pos="1641" w:val="left" w:leader="none"/>
        </w:tabs>
        <w:spacing w:line="240" w:lineRule="auto" w:before="160" w:after="0"/>
        <w:ind w:left="1641" w:right="0" w:hanging="601"/>
        <w:jc w:val="left"/>
        <w:rPr>
          <w:sz w:val="22"/>
        </w:rPr>
      </w:pPr>
      <w:r>
        <w:rPr>
          <w:sz w:val="24"/>
        </w:rPr>
        <w:t>辐射事故调查、报告和处理程序中相关负责人员及联系电话；</w:t>
      </w:r>
    </w:p>
    <w:p>
      <w:pPr>
        <w:pStyle w:val="ListParagraph"/>
        <w:numPr>
          <w:ilvl w:val="0"/>
          <w:numId w:val="15"/>
        </w:numPr>
        <w:tabs>
          <w:tab w:pos="1643" w:val="left" w:leader="none"/>
        </w:tabs>
        <w:spacing w:line="364" w:lineRule="auto" w:before="161" w:after="0"/>
        <w:ind w:left="560" w:right="757" w:firstLine="480"/>
        <w:jc w:val="left"/>
        <w:rPr>
          <w:sz w:val="22"/>
        </w:rPr>
      </w:pPr>
      <w:r>
        <w:rPr>
          <w:sz w:val="24"/>
        </w:rPr>
        <w:t>发生辐射事故时，应当立即启动应急预案，采取应急措施，并按规定向所在地县级地方人民政府及其环境保护、公安、卫生计生等部门报告。</w:t>
      </w:r>
    </w:p>
    <w:p>
      <w:pPr>
        <w:pStyle w:val="BodyText"/>
        <w:spacing w:before="1"/>
        <w:ind w:left="560"/>
      </w:pPr>
      <w:r>
        <w:rPr>
          <w:rFonts w:ascii="Times New Roman" w:eastAsia="Times New Roman"/>
        </w:rPr>
        <w:t>2</w:t>
      </w:r>
      <w:r>
        <w:rPr/>
        <w:t>、应急措施</w:t>
      </w:r>
    </w:p>
    <w:p>
      <w:pPr>
        <w:pStyle w:val="BodyText"/>
        <w:spacing w:before="161"/>
        <w:ind w:left="1040"/>
      </w:pPr>
      <w:r>
        <w:rPr/>
        <w:t>若本项目发生了辐射事故，项目单位应迅速、有效采取以下应急措施：</w:t>
      </w:r>
    </w:p>
    <w:p>
      <w:pPr>
        <w:pStyle w:val="ListParagraph"/>
        <w:numPr>
          <w:ilvl w:val="0"/>
          <w:numId w:val="16"/>
        </w:numPr>
        <w:tabs>
          <w:tab w:pos="1643" w:val="left" w:leader="none"/>
        </w:tabs>
        <w:spacing w:line="364" w:lineRule="auto" w:before="160" w:after="0"/>
        <w:ind w:left="560" w:right="761" w:firstLine="480"/>
        <w:jc w:val="left"/>
        <w:rPr>
          <w:sz w:val="24"/>
        </w:rPr>
      </w:pPr>
      <w:r>
        <w:rPr>
          <w:sz w:val="24"/>
        </w:rPr>
        <w:t>发现误照射事故时，工作人员应立即切断电源，将病人撤出机房，关闭机房门，同时向医院主管领导报告。</w:t>
      </w:r>
    </w:p>
    <w:p>
      <w:pPr>
        <w:pStyle w:val="ListParagraph"/>
        <w:numPr>
          <w:ilvl w:val="0"/>
          <w:numId w:val="16"/>
        </w:numPr>
        <w:tabs>
          <w:tab w:pos="1643" w:val="left" w:leader="none"/>
        </w:tabs>
        <w:spacing w:line="364" w:lineRule="auto" w:before="1" w:after="0"/>
        <w:ind w:left="560" w:right="665" w:firstLine="480"/>
        <w:jc w:val="left"/>
        <w:rPr>
          <w:sz w:val="24"/>
        </w:rPr>
      </w:pPr>
      <w:r>
        <w:rPr>
          <w:sz w:val="24"/>
        </w:rPr>
        <w:t>医院根据估算的超剂量值，尽快安排误照人员进行检查或在指定的医</w:t>
      </w:r>
      <w:r>
        <w:rPr>
          <w:spacing w:val="-1"/>
          <w:sz w:val="24"/>
        </w:rPr>
        <w:t>疗机构救治；对可能受放射损伤的人员，应立即采取暂时隔离和应急救援措施。</w:t>
      </w:r>
    </w:p>
    <w:p>
      <w:pPr>
        <w:pStyle w:val="ListParagraph"/>
        <w:numPr>
          <w:ilvl w:val="0"/>
          <w:numId w:val="16"/>
        </w:numPr>
        <w:tabs>
          <w:tab w:pos="1634" w:val="left" w:leader="none"/>
        </w:tabs>
        <w:spacing w:line="364" w:lineRule="auto" w:before="2" w:after="0"/>
        <w:ind w:left="560" w:right="757" w:firstLine="470"/>
        <w:jc w:val="both"/>
        <w:rPr>
          <w:sz w:val="24"/>
        </w:rPr>
      </w:pPr>
      <w:r>
        <w:rPr>
          <w:spacing w:val="-7"/>
          <w:sz w:val="24"/>
        </w:rPr>
        <w:t>事故发生后的 </w:t>
      </w:r>
      <w:r>
        <w:rPr>
          <w:rFonts w:ascii="Times New Roman" w:eastAsia="Times New Roman"/>
          <w:sz w:val="24"/>
        </w:rPr>
        <w:t>2</w:t>
      </w:r>
      <w:r>
        <w:rPr>
          <w:rFonts w:ascii="Times New Roman" w:eastAsia="Times New Roman"/>
          <w:spacing w:val="11"/>
          <w:sz w:val="24"/>
        </w:rPr>
        <w:t> </w:t>
      </w:r>
      <w:r>
        <w:rPr>
          <w:sz w:val="24"/>
        </w:rPr>
        <w:t>小时内填写《辐射事故初始报告表》，向当地环境保</w:t>
      </w:r>
      <w:r>
        <w:rPr>
          <w:spacing w:val="-3"/>
          <w:sz w:val="24"/>
        </w:rPr>
        <w:t>护主管部门和公安部门报告。造成或可能造成超剂量照射的，还应同时向当地卫</w:t>
      </w:r>
      <w:r>
        <w:rPr>
          <w:sz w:val="24"/>
        </w:rPr>
        <w:t>生行政部门报告。</w:t>
      </w:r>
    </w:p>
    <w:p>
      <w:pPr>
        <w:pStyle w:val="ListParagraph"/>
        <w:numPr>
          <w:ilvl w:val="0"/>
          <w:numId w:val="16"/>
        </w:numPr>
        <w:tabs>
          <w:tab w:pos="1641" w:val="left" w:leader="none"/>
        </w:tabs>
        <w:spacing w:line="240" w:lineRule="auto" w:before="1" w:after="0"/>
        <w:ind w:left="1641" w:right="0" w:hanging="601"/>
        <w:jc w:val="left"/>
        <w:rPr>
          <w:sz w:val="24"/>
        </w:rPr>
      </w:pPr>
      <w:r>
        <w:rPr>
          <w:sz w:val="24"/>
        </w:rPr>
        <w:t>最后查清事故原因，分清责任，消除事故隐患。</w:t>
      </w:r>
    </w:p>
    <w:p>
      <w:pPr>
        <w:pStyle w:val="BodyText"/>
        <w:spacing w:before="161"/>
        <w:ind w:left="560"/>
      </w:pPr>
      <w:r>
        <w:rPr>
          <w:rFonts w:ascii="Times New Roman" w:eastAsia="Times New Roman"/>
        </w:rPr>
        <w:t>3</w:t>
      </w:r>
      <w:r>
        <w:rPr/>
        <w:t>、其他要求</w:t>
      </w:r>
    </w:p>
    <w:p>
      <w:pPr>
        <w:pStyle w:val="ListParagraph"/>
        <w:numPr>
          <w:ilvl w:val="0"/>
          <w:numId w:val="17"/>
        </w:numPr>
        <w:tabs>
          <w:tab w:pos="1596" w:val="left" w:leader="none"/>
        </w:tabs>
        <w:spacing w:line="364" w:lineRule="auto" w:before="160" w:after="0"/>
        <w:ind w:left="560" w:right="829" w:firstLine="480"/>
        <w:jc w:val="left"/>
        <w:rPr>
          <w:sz w:val="19"/>
        </w:rPr>
      </w:pPr>
      <w:r>
        <w:rPr>
          <w:spacing w:val="-1"/>
          <w:sz w:val="24"/>
        </w:rPr>
        <w:t>辐射事故风险评估和辐射事故应急预案，应报送所在地县级地方人民</w:t>
      </w:r>
      <w:r>
        <w:rPr>
          <w:sz w:val="24"/>
        </w:rPr>
        <w:t>政府生态环境主管部门备案。</w:t>
      </w:r>
    </w:p>
    <w:p>
      <w:pPr>
        <w:pStyle w:val="ListParagraph"/>
        <w:numPr>
          <w:ilvl w:val="0"/>
          <w:numId w:val="17"/>
        </w:numPr>
        <w:tabs>
          <w:tab w:pos="1641" w:val="left" w:leader="none"/>
        </w:tabs>
        <w:spacing w:line="364" w:lineRule="auto" w:before="1" w:after="0"/>
        <w:ind w:left="560" w:right="785" w:firstLine="480"/>
        <w:jc w:val="left"/>
        <w:rPr>
          <w:sz w:val="22"/>
        </w:rPr>
      </w:pPr>
      <w:r>
        <w:rPr>
          <w:spacing w:val="-1"/>
          <w:sz w:val="24"/>
        </w:rPr>
        <w:t>在预案的实施中，应根据国家发布新的相关法规内容，结合医院实际</w:t>
      </w:r>
      <w:r>
        <w:rPr>
          <w:sz w:val="24"/>
        </w:rPr>
        <w:t>及时对预案作补充修改，使之更能符合实际需要。</w:t>
      </w:r>
    </w:p>
    <w:p>
      <w:pPr>
        <w:spacing w:after="0" w:line="364" w:lineRule="auto"/>
        <w:jc w:val="left"/>
        <w:rPr>
          <w:sz w:val="22"/>
        </w:rPr>
        <w:sectPr>
          <w:pgSz w:w="11910" w:h="16840"/>
          <w:pgMar w:header="0" w:footer="1383" w:top="1420" w:bottom="1660" w:left="1240" w:right="1040"/>
        </w:sectPr>
      </w:pPr>
    </w:p>
    <w:p>
      <w:pPr>
        <w:pStyle w:val="Heading1"/>
        <w:ind w:left="560"/>
      </w:pPr>
      <w:r>
        <w:rPr/>
        <w:pict>
          <v:shape style="position:absolute;margin-left:77.760002pt;margin-top:103.200027pt;width:439.75pt;height:648.050pt;mso-position-horizontal-relative:page;mso-position-vertical-relative:page;z-index:-20125184" coordorigin="1555,2064" coordsize="8795,12961" path="m1555,2069l10350,2069m1555,15025l10350,15025m1560,2064l1560,15020m10345,2064l10345,15020e" filled="false" stroked="true" strokeweight=".48pt" strokecolor="#000000">
            <v:path arrowok="t"/>
            <v:stroke dashstyle="solid"/>
            <w10:wrap type="none"/>
          </v:shape>
        </w:pict>
      </w:r>
      <w:bookmarkStart w:name="_bookmark11" w:id="34"/>
      <w:bookmarkEnd w:id="34"/>
      <w:r>
        <w:rPr>
          <w:b w:val="0"/>
        </w:rPr>
      </w:r>
      <w:r>
        <w:rPr>
          <w:spacing w:val="-6"/>
        </w:rPr>
        <w:t>表 </w:t>
      </w:r>
      <w:r>
        <w:rPr>
          <w:rFonts w:ascii="Times New Roman" w:eastAsia="Times New Roman"/>
        </w:rPr>
        <w:t>13</w:t>
      </w:r>
      <w:r>
        <w:rPr>
          <w:rFonts w:ascii="Times New Roman" w:eastAsia="Times New Roman"/>
          <w:spacing w:val="76"/>
        </w:rPr>
        <w:t> </w:t>
      </w:r>
      <w:r>
        <w:rPr/>
        <w:t>结论与建议</w:t>
      </w:r>
    </w:p>
    <w:p>
      <w:pPr>
        <w:pStyle w:val="Heading2"/>
        <w:spacing w:before="193"/>
        <w:ind w:left="428"/>
      </w:pPr>
      <w:r>
        <w:rPr/>
        <w:t>结论</w:t>
      </w:r>
    </w:p>
    <w:p>
      <w:pPr>
        <w:pStyle w:val="BodyText"/>
        <w:spacing w:before="9"/>
        <w:rPr>
          <w:sz w:val="20"/>
        </w:rPr>
      </w:pPr>
    </w:p>
    <w:p>
      <w:pPr>
        <w:pStyle w:val="Heading2"/>
        <w:ind w:left="428"/>
      </w:pPr>
      <w:r>
        <w:rPr/>
        <w:t>一、项目概况</w:t>
      </w:r>
    </w:p>
    <w:p>
      <w:pPr>
        <w:pStyle w:val="BodyText"/>
        <w:spacing w:line="364" w:lineRule="auto" w:before="212"/>
        <w:ind w:left="908" w:right="2717"/>
      </w:pPr>
      <w:r>
        <w:rPr>
          <w:spacing w:val="-1"/>
        </w:rPr>
        <w:t>项目名称：医技楼新增数字减影血管造影机</w:t>
      </w:r>
      <w:r>
        <w:rPr/>
        <w:t>（</w:t>
      </w:r>
      <w:r>
        <w:rPr>
          <w:rFonts w:ascii="Times New Roman" w:eastAsia="Times New Roman"/>
        </w:rPr>
        <w:t>DSA</w:t>
      </w:r>
      <w:r>
        <w:rPr/>
        <w:t>）项目建设单位：资阳市第一人民医院</w:t>
      </w:r>
    </w:p>
    <w:p>
      <w:pPr>
        <w:pStyle w:val="BodyText"/>
        <w:spacing w:before="1"/>
        <w:ind w:left="908"/>
      </w:pPr>
      <w:r>
        <w:rPr/>
        <w:t>建设性质：改建</w:t>
      </w:r>
    </w:p>
    <w:p>
      <w:pPr>
        <w:pStyle w:val="BodyText"/>
        <w:spacing w:before="161"/>
        <w:ind w:left="908"/>
      </w:pPr>
      <w:r>
        <w:rPr>
          <w:w w:val="95"/>
        </w:rPr>
        <w:t>建设地点：资阳市雁江区仁德西路</w:t>
      </w:r>
      <w:r>
        <w:rPr>
          <w:spacing w:val="119"/>
        </w:rPr>
        <w:t> </w:t>
      </w:r>
      <w:r>
        <w:rPr>
          <w:w w:val="95"/>
        </w:rPr>
        <w:t>66</w:t>
      </w:r>
      <w:r>
        <w:rPr>
          <w:spacing w:val="120"/>
        </w:rPr>
        <w:t> </w:t>
      </w:r>
      <w:r>
        <w:rPr>
          <w:w w:val="95"/>
        </w:rPr>
        <w:t>号资阳市第一人民医院医技楼内</w:t>
      </w:r>
    </w:p>
    <w:p>
      <w:pPr>
        <w:pStyle w:val="BodyText"/>
        <w:spacing w:line="364" w:lineRule="auto" w:before="160"/>
        <w:ind w:left="428" w:right="551" w:firstLine="480"/>
      </w:pPr>
      <w:r>
        <w:rPr>
          <w:spacing w:val="-1"/>
        </w:rPr>
        <w:t>本次具体建设内容及规模为：拟在医技楼（</w:t>
      </w:r>
      <w:r>
        <w:rPr>
          <w:spacing w:val="-6"/>
        </w:rPr>
        <w:t>地面五层，地下一层，高约 </w:t>
      </w:r>
      <w:r>
        <w:rPr>
          <w:rFonts w:ascii="Times New Roman" w:hAnsi="Times New Roman" w:eastAsia="Times New Roman"/>
        </w:rPr>
        <w:t>21m</w:t>
      </w:r>
      <w:r>
        <w:rPr/>
        <w:t>）</w:t>
      </w:r>
      <w:r>
        <w:rPr>
          <w:spacing w:val="-117"/>
        </w:rPr>
        <w:t> </w:t>
      </w:r>
      <w:r>
        <w:rPr>
          <w:spacing w:val="-5"/>
        </w:rPr>
        <w:t>一层西北侧利用现有房间改造为 </w:t>
      </w:r>
      <w:r>
        <w:rPr>
          <w:rFonts w:ascii="Times New Roman" w:hAnsi="Times New Roman" w:eastAsia="Times New Roman"/>
        </w:rPr>
        <w:t>DSA</w:t>
      </w:r>
      <w:r>
        <w:rPr>
          <w:rFonts w:ascii="Times New Roman" w:hAnsi="Times New Roman" w:eastAsia="Times New Roman"/>
          <w:spacing w:val="-1"/>
        </w:rPr>
        <w:t> </w:t>
      </w:r>
      <w:r>
        <w:rPr>
          <w:spacing w:val="-12"/>
        </w:rPr>
        <w:t>机房及相关配套房间，在改造后的 </w:t>
      </w:r>
      <w:r>
        <w:rPr>
          <w:rFonts w:ascii="Times New Roman" w:hAnsi="Times New Roman" w:eastAsia="Times New Roman"/>
        </w:rPr>
        <w:t>DSA</w:t>
      </w:r>
      <w:r>
        <w:rPr>
          <w:rFonts w:ascii="Times New Roman" w:hAnsi="Times New Roman" w:eastAsia="Times New Roman"/>
          <w:spacing w:val="-1"/>
        </w:rPr>
        <w:t> </w:t>
      </w:r>
      <w:r>
        <w:rPr/>
        <w:t>机房</w:t>
      </w:r>
      <w:r>
        <w:rPr>
          <w:spacing w:val="-16"/>
        </w:rPr>
        <w:t>内新增 </w:t>
      </w:r>
      <w:r>
        <w:rPr>
          <w:rFonts w:ascii="Times New Roman" w:hAnsi="Times New Roman" w:eastAsia="Times New Roman"/>
          <w:spacing w:val="-1"/>
        </w:rPr>
        <w:t>1</w:t>
      </w:r>
      <w:r>
        <w:rPr>
          <w:rFonts w:ascii="Times New Roman" w:hAnsi="Times New Roman" w:eastAsia="Times New Roman"/>
        </w:rPr>
        <w:t> </w:t>
      </w:r>
      <w:r>
        <w:rPr>
          <w:spacing w:val="-4"/>
        </w:rPr>
        <w:t>台数字减影血管造影机，型号为 </w:t>
      </w:r>
      <w:r>
        <w:rPr>
          <w:rFonts w:ascii="Times New Roman" w:hAnsi="Times New Roman" w:eastAsia="Times New Roman"/>
        </w:rPr>
        <w:t>Azurion7M20</w:t>
      </w:r>
      <w:r>
        <w:rPr/>
        <w:t>，属于</w:t>
      </w:r>
      <w:r>
        <w:rPr>
          <w:rFonts w:ascii="Times New Roman" w:hAnsi="Times New Roman" w:eastAsia="Times New Roman"/>
        </w:rPr>
        <w:t>Ⅱ</w:t>
      </w:r>
      <w:r>
        <w:rPr/>
        <w:t>类射线装置，其额</w:t>
      </w:r>
      <w:r>
        <w:rPr>
          <w:spacing w:val="-11"/>
        </w:rPr>
        <w:t>定管电压为 </w:t>
      </w:r>
      <w:r>
        <w:rPr>
          <w:rFonts w:ascii="Times New Roman" w:hAnsi="Times New Roman" w:eastAsia="Times New Roman"/>
        </w:rPr>
        <w:t>125kV</w:t>
      </w:r>
      <w:r>
        <w:rPr>
          <w:spacing w:val="-8"/>
        </w:rPr>
        <w:t>，额定管电流为 </w:t>
      </w:r>
      <w:r>
        <w:rPr>
          <w:rFonts w:ascii="Times New Roman" w:hAnsi="Times New Roman" w:eastAsia="Times New Roman"/>
        </w:rPr>
        <w:t>1000mA</w:t>
      </w:r>
      <w:r>
        <w:rPr>
          <w:spacing w:val="-8"/>
        </w:rPr>
        <w:t>，年诊疗病例约 </w:t>
      </w:r>
      <w:r>
        <w:rPr>
          <w:rFonts w:ascii="Times New Roman" w:hAnsi="Times New Roman" w:eastAsia="Times New Roman"/>
        </w:rPr>
        <w:t>2150 </w:t>
      </w:r>
      <w:r>
        <w:rPr/>
        <w:t>例，按照每台手</w:t>
      </w:r>
      <w:r>
        <w:rPr>
          <w:spacing w:val="-11"/>
        </w:rPr>
        <w:t>术人均透视 </w:t>
      </w:r>
      <w:r>
        <w:rPr>
          <w:rFonts w:ascii="Times New Roman" w:hAnsi="Times New Roman" w:eastAsia="Times New Roman"/>
        </w:rPr>
        <w:t>9min</w:t>
      </w:r>
      <w:r>
        <w:rPr>
          <w:spacing w:val="-15"/>
        </w:rPr>
        <w:t>，拍片 </w:t>
      </w:r>
      <w:r>
        <w:rPr>
          <w:rFonts w:ascii="Times New Roman" w:hAnsi="Times New Roman" w:eastAsia="Times New Roman"/>
        </w:rPr>
        <w:t>1min </w:t>
      </w:r>
      <w:r>
        <w:rPr/>
        <w:t>计算，</w:t>
      </w:r>
      <w:r>
        <w:rPr>
          <w:rFonts w:ascii="Times New Roman" w:hAnsi="Times New Roman" w:eastAsia="Times New Roman"/>
        </w:rPr>
        <w:t>DSA</w:t>
      </w:r>
      <w:r>
        <w:rPr>
          <w:rFonts w:ascii="Times New Roman" w:hAnsi="Times New Roman" w:eastAsia="Times New Roman"/>
          <w:spacing w:val="-1"/>
        </w:rPr>
        <w:t> </w:t>
      </w:r>
      <w:r>
        <w:rPr>
          <w:spacing w:val="-7"/>
        </w:rPr>
        <w:t>年曝光时间累计约 </w:t>
      </w:r>
      <w:r>
        <w:rPr>
          <w:rFonts w:ascii="Times New Roman" w:hAnsi="Times New Roman" w:eastAsia="Times New Roman"/>
        </w:rPr>
        <w:t>216.6h</w:t>
      </w:r>
      <w:r>
        <w:rPr/>
        <w:t>（透视 </w:t>
      </w:r>
      <w:r>
        <w:rPr>
          <w:rFonts w:ascii="Times New Roman" w:hAnsi="Times New Roman" w:eastAsia="Times New Roman"/>
        </w:rPr>
        <w:t>195h</w:t>
      </w:r>
      <w:r>
        <w:rPr/>
        <w:t>，</w:t>
      </w:r>
      <w:r>
        <w:rPr>
          <w:spacing w:val="-117"/>
        </w:rPr>
        <w:t> </w:t>
      </w:r>
      <w:r>
        <w:rPr>
          <w:spacing w:val="-20"/>
        </w:rPr>
        <w:t>拍片 </w:t>
      </w:r>
      <w:r>
        <w:rPr>
          <w:rFonts w:ascii="Times New Roman" w:hAnsi="Times New Roman" w:eastAsia="Times New Roman"/>
        </w:rPr>
        <w:t>21.6h</w:t>
      </w:r>
      <w:r>
        <w:rPr/>
        <w:t>），曝光方向由下而上，主要用于介入治疗、血管造影等。</w:t>
      </w:r>
    </w:p>
    <w:p>
      <w:pPr>
        <w:pStyle w:val="Heading2"/>
        <w:spacing w:before="58"/>
        <w:ind w:left="428"/>
      </w:pPr>
      <w:r>
        <w:rPr/>
        <w:t>二、本项目产业政策符合性分析</w:t>
      </w:r>
    </w:p>
    <w:p>
      <w:pPr>
        <w:pStyle w:val="BodyText"/>
        <w:spacing w:before="211"/>
        <w:ind w:left="908"/>
      </w:pPr>
      <w:r>
        <w:rPr/>
        <w:t>根据中华人民共和国国家发展和改革委员会令第</w:t>
      </w:r>
      <w:r>
        <w:rPr>
          <w:rFonts w:ascii="Times New Roman" w:eastAsia="Times New Roman"/>
        </w:rPr>
        <w:t>29</w:t>
      </w:r>
      <w:r>
        <w:rPr>
          <w:spacing w:val="-9"/>
        </w:rPr>
        <w:t>号《产业结构调整指导目录</w:t>
      </w:r>
    </w:p>
    <w:p>
      <w:pPr>
        <w:pStyle w:val="BodyText"/>
        <w:spacing w:line="364" w:lineRule="auto" w:before="161"/>
        <w:ind w:left="428" w:right="553"/>
        <w:jc w:val="both"/>
      </w:pPr>
      <w:r>
        <w:rPr>
          <w:spacing w:val="-1"/>
        </w:rPr>
        <w:t>（</w:t>
      </w:r>
      <w:r>
        <w:rPr>
          <w:rFonts w:ascii="Times New Roman" w:hAnsi="Times New Roman" w:eastAsia="Times New Roman"/>
          <w:spacing w:val="-1"/>
        </w:rPr>
        <w:t>2019</w:t>
      </w:r>
      <w:r>
        <w:rPr>
          <w:spacing w:val="-1"/>
        </w:rPr>
        <w:t>年本）》（</w:t>
      </w:r>
      <w:r>
        <w:rPr>
          <w:rFonts w:ascii="Times New Roman" w:hAnsi="Times New Roman" w:eastAsia="Times New Roman"/>
          <w:spacing w:val="-1"/>
        </w:rPr>
        <w:t>2020</w:t>
      </w:r>
      <w:r>
        <w:rPr>
          <w:spacing w:val="-1"/>
        </w:rPr>
        <w:t>年</w:t>
      </w:r>
      <w:r>
        <w:rPr>
          <w:rFonts w:ascii="Times New Roman" w:hAnsi="Times New Roman" w:eastAsia="Times New Roman"/>
          <w:spacing w:val="-1"/>
        </w:rPr>
        <w:t>1</w:t>
      </w:r>
      <w:r>
        <w:rPr>
          <w:spacing w:val="-1"/>
        </w:rPr>
        <w:t>月</w:t>
      </w:r>
      <w:r>
        <w:rPr>
          <w:rFonts w:ascii="Times New Roman" w:hAnsi="Times New Roman" w:eastAsia="Times New Roman"/>
          <w:spacing w:val="-1"/>
        </w:rPr>
        <w:t>1</w:t>
      </w:r>
      <w:r>
        <w:rPr/>
        <w:t>日施行）的相关规定，本项目使用数字减影血管造影装置（</w:t>
      </w:r>
      <w:r>
        <w:rPr>
          <w:rFonts w:ascii="Times New Roman" w:hAnsi="Times New Roman" w:eastAsia="Times New Roman"/>
        </w:rPr>
        <w:t>DSA</w:t>
      </w:r>
      <w:r>
        <w:rPr/>
        <w:t>）为医院医疗基础建设内容，属该指导目录中第三十七项“卫生健康”</w:t>
      </w:r>
      <w:r>
        <w:rPr>
          <w:spacing w:val="-118"/>
        </w:rPr>
        <w:t> </w:t>
      </w:r>
      <w:r>
        <w:rPr/>
        <w:t>中第</w:t>
      </w:r>
      <w:r>
        <w:rPr>
          <w:rFonts w:ascii="Times New Roman" w:hAnsi="Times New Roman" w:eastAsia="Times New Roman"/>
        </w:rPr>
        <w:t>5</w:t>
      </w:r>
      <w:r>
        <w:rPr/>
        <w:t>款“医疗卫生服务设施建设”，属于国家鼓励类产业，符合国家产业政策。</w:t>
      </w:r>
    </w:p>
    <w:p>
      <w:pPr>
        <w:pStyle w:val="Heading2"/>
        <w:spacing w:before="55"/>
        <w:ind w:left="428"/>
      </w:pPr>
      <w:r>
        <w:rPr/>
        <w:t>三、本项目选址合理性分析</w:t>
      </w:r>
    </w:p>
    <w:p>
      <w:pPr>
        <w:pStyle w:val="BodyText"/>
        <w:spacing w:line="364" w:lineRule="auto" w:before="212"/>
        <w:ind w:left="428" w:right="625" w:firstLine="480"/>
        <w:jc w:val="both"/>
      </w:pPr>
      <w:r>
        <w:rPr>
          <w:spacing w:val="-2"/>
        </w:rPr>
        <w:t>本项目在医技楼一层西北侧利用现有房间改造为 </w:t>
      </w:r>
      <w:r>
        <w:rPr>
          <w:rFonts w:ascii="Times New Roman" w:eastAsia="Times New Roman"/>
        </w:rPr>
        <w:t>DSA</w:t>
      </w:r>
      <w:r>
        <w:rPr>
          <w:rFonts w:ascii="Times New Roman" w:eastAsia="Times New Roman"/>
          <w:spacing w:val="17"/>
        </w:rPr>
        <w:t> </w:t>
      </w:r>
      <w:r>
        <w:rPr/>
        <w:t>机房及相关配套房间，</w:t>
      </w:r>
      <w:r>
        <w:rPr>
          <w:spacing w:val="-118"/>
        </w:rPr>
        <w:t> </w:t>
      </w:r>
      <w:r>
        <w:rPr>
          <w:spacing w:val="-2"/>
        </w:rPr>
        <w:t>本项目所在医技楼已在进行了环境影响评价并取得批复（见附件）。本项目仅为其配套建设项目，不新增用地，且拟建的辐射工作场所有良好的实体屏蔽设施和防护措施，产生的辐射经屏蔽和防护后对辐射工作人员和公众的照射剂量满足《电离辐</w:t>
      </w:r>
      <w:r>
        <w:rPr/>
        <w:t>射防护与辐射源安全基本标准》（</w:t>
      </w:r>
      <w:r>
        <w:rPr>
          <w:rFonts w:ascii="Times New Roman" w:eastAsia="Times New Roman"/>
        </w:rPr>
        <w:t>GB18871-2002</w:t>
      </w:r>
      <w:r>
        <w:rPr/>
        <w:t>）中的剂量限值要求并满足报告</w:t>
      </w:r>
      <w:r>
        <w:rPr>
          <w:spacing w:val="-2"/>
        </w:rPr>
        <w:t>表确定的剂量管理约束值的要求，从辐射安全防护的角度分析，本项目选址是合理</w:t>
      </w:r>
      <w:r>
        <w:rPr/>
        <w:t>的。</w:t>
      </w:r>
    </w:p>
    <w:p>
      <w:pPr>
        <w:pStyle w:val="Heading2"/>
        <w:spacing w:before="57"/>
        <w:ind w:left="428"/>
      </w:pPr>
      <w:r>
        <w:rPr/>
        <w:t>四、工程所在地区环境质量现状</w:t>
      </w:r>
    </w:p>
    <w:p>
      <w:pPr>
        <w:spacing w:after="0"/>
        <w:sectPr>
          <w:pgSz w:w="11910" w:h="16840"/>
          <w:pgMar w:header="0" w:footer="1383" w:top="1500" w:bottom="1660" w:left="1240" w:right="1040"/>
        </w:sectPr>
      </w:pPr>
    </w:p>
    <w:p>
      <w:pPr>
        <w:pStyle w:val="BodyText"/>
        <w:spacing w:line="364" w:lineRule="auto" w:before="92"/>
        <w:ind w:left="428" w:right="625" w:firstLine="480"/>
      </w:pPr>
      <w:r>
        <w:rPr/>
        <w:pict>
          <v:shape style="position:absolute;margin-left:77.760002pt;margin-top:72.000023pt;width:439.75pt;height:663.25pt;mso-position-horizontal-relative:page;mso-position-vertical-relative:page;z-index:-20124672" coordorigin="1555,1440" coordsize="8795,13265" path="m1555,1445l10350,1445m1555,14705l10350,14705m1560,1440l1560,14700m10345,1440l10345,14700e" filled="false" stroked="true" strokeweight=".48pt" strokecolor="#000000">
            <v:path arrowok="t"/>
            <v:stroke dashstyle="solid"/>
            <w10:wrap type="none"/>
          </v:shape>
        </w:pict>
      </w:r>
      <w:r>
        <w:rPr>
          <w:spacing w:val="-3"/>
        </w:rPr>
        <w:t>根据四川中环康源卫生技术服务有限公司的监测报告，项目所在地的 </w:t>
      </w:r>
      <w:r>
        <w:rPr>
          <w:rFonts w:ascii="Times New Roman" w:hAnsi="Times New Roman" w:eastAsia="Times New Roman"/>
        </w:rPr>
        <w:t>X-γ</w:t>
      </w:r>
      <w:r>
        <w:rPr/>
        <w:t>辐射空气吸收剂量率背景值属于正常天然本底辐射水平。</w:t>
      </w:r>
    </w:p>
    <w:p>
      <w:pPr>
        <w:pStyle w:val="Heading2"/>
        <w:spacing w:before="54"/>
        <w:ind w:left="428"/>
      </w:pPr>
      <w:bookmarkStart w:name="五、环境影响评价分析结论" w:id="35"/>
      <w:bookmarkEnd w:id="35"/>
      <w:r>
        <w:rPr/>
      </w:r>
      <w:r>
        <w:rPr/>
        <w:t>五、环境影响评价分析结论</w:t>
      </w:r>
    </w:p>
    <w:p>
      <w:pPr>
        <w:pStyle w:val="BodyText"/>
        <w:spacing w:before="212"/>
        <w:ind w:left="428"/>
      </w:pPr>
      <w:r>
        <w:rPr/>
        <w:t>（一）施工期环境影响分析</w:t>
      </w:r>
    </w:p>
    <w:p>
      <w:pPr>
        <w:pStyle w:val="BodyText"/>
        <w:spacing w:line="364" w:lineRule="auto" w:before="160"/>
        <w:ind w:left="428" w:right="629" w:firstLine="480"/>
      </w:pPr>
      <w:r>
        <w:rPr>
          <w:spacing w:val="-3"/>
        </w:rPr>
        <w:t>医院强化施工期环境管理，严格落实施工期各项环保措施，采取有效措施，尽</w:t>
      </w:r>
      <w:r>
        <w:rPr/>
        <w:t>可能减缓施工期对环境产生的影响。</w:t>
      </w:r>
    </w:p>
    <w:p>
      <w:pPr>
        <w:pStyle w:val="BodyText"/>
        <w:spacing w:before="2"/>
        <w:ind w:left="428"/>
      </w:pPr>
      <w:r>
        <w:rPr/>
        <w:t>（三） 营运期环境影响分析</w:t>
      </w:r>
    </w:p>
    <w:p>
      <w:pPr>
        <w:pStyle w:val="BodyText"/>
        <w:spacing w:before="160"/>
        <w:ind w:left="908"/>
      </w:pPr>
      <w:r>
        <w:rPr>
          <w:rFonts w:ascii="Times New Roman" w:eastAsia="Times New Roman"/>
          <w:b/>
        </w:rPr>
        <w:t>1</w:t>
      </w:r>
      <w:r>
        <w:rPr/>
        <w:t>、辐射环境影响分析</w:t>
      </w:r>
    </w:p>
    <w:p>
      <w:pPr>
        <w:pStyle w:val="BodyText"/>
        <w:spacing w:line="364" w:lineRule="auto" w:before="161"/>
        <w:ind w:left="428" w:right="623" w:firstLine="480"/>
        <w:jc w:val="both"/>
      </w:pPr>
      <w:r>
        <w:rPr>
          <w:spacing w:val="-10"/>
        </w:rPr>
        <w:t>本项目 </w:t>
      </w:r>
      <w:r>
        <w:rPr>
          <w:rFonts w:ascii="Times New Roman" w:hAnsi="Times New Roman" w:eastAsia="Times New Roman"/>
        </w:rPr>
        <w:t>DSA</w:t>
      </w:r>
      <w:r>
        <w:rPr>
          <w:rFonts w:ascii="Times New Roman" w:hAnsi="Times New Roman" w:eastAsia="Times New Roman"/>
          <w:spacing w:val="20"/>
        </w:rPr>
        <w:t> </w:t>
      </w:r>
      <w:r>
        <w:rPr>
          <w:spacing w:val="-2"/>
        </w:rPr>
        <w:t>投入运行后，职业人员所受照射的年剂量最大值为 </w:t>
      </w:r>
      <w:r>
        <w:rPr>
          <w:rFonts w:ascii="Times New Roman" w:hAnsi="Times New Roman" w:eastAsia="Times New Roman"/>
        </w:rPr>
        <w:t>4.95mSv</w:t>
      </w:r>
      <w:r>
        <w:rPr/>
        <w:t>，小</w:t>
      </w:r>
      <w:r>
        <w:rPr>
          <w:spacing w:val="38"/>
        </w:rPr>
        <w:t>于职业人员年有效剂量约束值 </w:t>
      </w:r>
      <w:r>
        <w:rPr>
          <w:rFonts w:ascii="Times New Roman" w:hAnsi="Times New Roman" w:eastAsia="Times New Roman"/>
        </w:rPr>
        <w:t>5.0mSv</w:t>
      </w:r>
      <w:r>
        <w:rPr>
          <w:rFonts w:ascii="Times New Roman" w:hAnsi="Times New Roman" w:eastAsia="Times New Roman"/>
          <w:spacing w:val="-15"/>
        </w:rPr>
        <w:t> </w:t>
      </w:r>
      <w:r>
        <w:rPr>
          <w:spacing w:val="29"/>
        </w:rPr>
        <w:t>； 公众所受照射的年剂量最大为</w:t>
      </w:r>
      <w:r>
        <w:rPr>
          <w:rFonts w:ascii="Times New Roman" w:hAnsi="Times New Roman" w:eastAsia="Times New Roman"/>
          <w:spacing w:val="-2"/>
        </w:rPr>
        <w:t>4.19×10</w:t>
      </w:r>
      <w:r>
        <w:rPr>
          <w:rFonts w:ascii="Times New Roman" w:hAnsi="Times New Roman" w:eastAsia="Times New Roman"/>
          <w:spacing w:val="-2"/>
          <w:position w:val="8"/>
          <w:sz w:val="15"/>
        </w:rPr>
        <w:t>-2</w:t>
      </w:r>
      <w:r>
        <w:rPr>
          <w:rFonts w:ascii="Times New Roman" w:hAnsi="Times New Roman" w:eastAsia="Times New Roman"/>
          <w:spacing w:val="-2"/>
        </w:rPr>
        <w:t>mSv</w:t>
      </w:r>
      <w:r>
        <w:rPr>
          <w:spacing w:val="-7"/>
        </w:rPr>
        <w:t>，小于公众年有效剂量约束值 </w:t>
      </w:r>
      <w:r>
        <w:rPr>
          <w:rFonts w:ascii="Times New Roman" w:hAnsi="Times New Roman" w:eastAsia="Times New Roman"/>
          <w:spacing w:val="-2"/>
        </w:rPr>
        <w:t>0.1mSv</w:t>
      </w:r>
      <w:r>
        <w:rPr>
          <w:spacing w:val="-2"/>
        </w:rPr>
        <w:t>。从上述预测结果可以看出，本</w:t>
      </w:r>
      <w:r>
        <w:rPr/>
        <w:t>项目辐射工作场所的墙体、门、窗满足辐射防护的要求。</w:t>
      </w:r>
    </w:p>
    <w:p>
      <w:pPr>
        <w:pStyle w:val="BodyText"/>
        <w:spacing w:before="2"/>
        <w:ind w:left="908"/>
      </w:pPr>
      <w:r>
        <w:rPr>
          <w:rFonts w:ascii="Times New Roman" w:eastAsia="Times New Roman"/>
          <w:b/>
        </w:rPr>
        <w:t>2</w:t>
      </w:r>
      <w:r>
        <w:rPr/>
        <w:t>、大气的环境影响分析</w:t>
      </w:r>
    </w:p>
    <w:p>
      <w:pPr>
        <w:pStyle w:val="BodyText"/>
        <w:spacing w:before="161"/>
        <w:ind w:left="908"/>
        <w:rPr>
          <w:rFonts w:ascii="Times New Roman" w:eastAsia="Times New Roman"/>
        </w:rPr>
      </w:pPr>
      <w:r>
        <w:rPr>
          <w:rFonts w:ascii="Times New Roman" w:eastAsia="Times New Roman"/>
          <w:spacing w:val="-1"/>
        </w:rPr>
        <w:t>DSA </w:t>
      </w:r>
      <w:r>
        <w:rPr>
          <w:spacing w:val="-13"/>
        </w:rPr>
        <w:t>在曝光过程中臭氧产生量很小，经排风系统处理后，通过通排风管道 </w:t>
      </w:r>
      <w:r>
        <w:rPr>
          <w:rFonts w:ascii="Times New Roman" w:eastAsia="Times New Roman"/>
        </w:rPr>
        <w:t>DSA</w:t>
      </w:r>
    </w:p>
    <w:p>
      <w:pPr>
        <w:pStyle w:val="BodyText"/>
        <w:spacing w:before="160"/>
        <w:ind w:left="428"/>
      </w:pPr>
      <w:r>
        <w:rPr/>
        <w:t>机房外排放，对环境影响较小。</w:t>
      </w:r>
    </w:p>
    <w:p>
      <w:pPr>
        <w:pStyle w:val="BodyText"/>
        <w:spacing w:before="161"/>
        <w:ind w:left="908"/>
      </w:pPr>
      <w:r>
        <w:rPr>
          <w:rFonts w:ascii="Times New Roman" w:eastAsia="Times New Roman"/>
          <w:b/>
        </w:rPr>
        <w:t>3</w:t>
      </w:r>
      <w:r>
        <w:rPr/>
        <w:t>、声环境影响分析</w:t>
      </w:r>
    </w:p>
    <w:p>
      <w:pPr>
        <w:pStyle w:val="BodyText"/>
        <w:spacing w:line="364" w:lineRule="auto" w:before="160"/>
        <w:ind w:left="428" w:right="557" w:firstLine="480"/>
      </w:pPr>
      <w:r>
        <w:rPr>
          <w:spacing w:val="-1"/>
        </w:rPr>
        <w:t>本项目噪声源主要为风机噪声，所有设备选用低噪声设备，均处于室内，通过建筑墙体隔声及距离衰减后，运行期间厂界噪声可达到《工业企业厂界噪声标准》</w:t>
      </w:r>
    </w:p>
    <w:p>
      <w:pPr>
        <w:pStyle w:val="BodyText"/>
        <w:spacing w:before="1"/>
        <w:ind w:left="428"/>
      </w:pPr>
      <w:r>
        <w:rPr/>
        <w:t>（</w:t>
      </w:r>
      <w:r>
        <w:rPr>
          <w:rFonts w:ascii="Times New Roman" w:eastAsia="Times New Roman"/>
        </w:rPr>
        <w:t>GB12348-2008</w:t>
      </w:r>
      <w:r>
        <w:rPr/>
        <w:t>）</w:t>
      </w:r>
      <w:r>
        <w:rPr>
          <w:rFonts w:ascii="Times New Roman" w:eastAsia="Times New Roman"/>
        </w:rPr>
        <w:t>2</w:t>
      </w:r>
      <w:r>
        <w:rPr>
          <w:rFonts w:ascii="Times New Roman" w:eastAsia="Times New Roman"/>
          <w:spacing w:val="-1"/>
        </w:rPr>
        <w:t> </w:t>
      </w:r>
      <w:r>
        <w:rPr/>
        <w:t>类标准要求。</w:t>
      </w:r>
    </w:p>
    <w:p>
      <w:pPr>
        <w:pStyle w:val="BodyText"/>
        <w:spacing w:before="161"/>
        <w:ind w:left="908"/>
      </w:pPr>
      <w:r>
        <w:rPr>
          <w:rFonts w:ascii="Times New Roman" w:eastAsia="Times New Roman"/>
          <w:b/>
        </w:rPr>
        <w:t>4</w:t>
      </w:r>
      <w:r>
        <w:rPr/>
        <w:t>、水环境影响分析</w:t>
      </w:r>
    </w:p>
    <w:p>
      <w:pPr>
        <w:pStyle w:val="BodyText"/>
        <w:spacing w:line="362" w:lineRule="auto" w:before="83"/>
        <w:ind w:left="428" w:right="557" w:firstLine="480"/>
      </w:pPr>
      <w:r>
        <w:rPr>
          <w:spacing w:val="-1"/>
        </w:rPr>
        <w:t>本项目运行后，废水主要为辐射工作人员的生活污水及项目产生的医疗废水。</w:t>
      </w:r>
      <w:r>
        <w:rPr/>
        <w:t>生活污水及医疗废水经医院污水处理站处理达到《医疗机构水污染物排放标准》</w:t>
      </w:r>
    </w:p>
    <w:p>
      <w:pPr>
        <w:pStyle w:val="BodyText"/>
        <w:spacing w:line="364" w:lineRule="auto" w:before="3"/>
        <w:ind w:left="428" w:right="628"/>
      </w:pPr>
      <w:r>
        <w:rPr/>
        <w:t>（</w:t>
      </w:r>
      <w:r>
        <w:rPr>
          <w:rFonts w:ascii="Times New Roman" w:eastAsia="Times New Roman"/>
        </w:rPr>
        <w:t>GB18466-2005</w:t>
      </w:r>
      <w:r>
        <w:rPr/>
        <w:t>）</w:t>
      </w:r>
      <w:r>
        <w:rPr>
          <w:spacing w:val="-8"/>
        </w:rPr>
        <w:t>中表 </w:t>
      </w:r>
      <w:r>
        <w:rPr>
          <w:rFonts w:ascii="Times New Roman" w:eastAsia="Times New Roman"/>
        </w:rPr>
        <w:t>2</w:t>
      </w:r>
      <w:r>
        <w:rPr>
          <w:rFonts w:ascii="Times New Roman" w:eastAsia="Times New Roman"/>
          <w:spacing w:val="40"/>
        </w:rPr>
        <w:t> </w:t>
      </w:r>
      <w:r>
        <w:rPr/>
        <w:t>预处理标准后排入市政管网，进入资阳市城市生活污水处理厂处理达标后排放。</w:t>
      </w:r>
    </w:p>
    <w:p>
      <w:pPr>
        <w:pStyle w:val="BodyText"/>
        <w:spacing w:before="78"/>
        <w:ind w:left="908"/>
      </w:pPr>
      <w:r>
        <w:rPr>
          <w:rFonts w:ascii="Times New Roman" w:eastAsia="Times New Roman"/>
          <w:b/>
        </w:rPr>
        <w:t>5</w:t>
      </w:r>
      <w:r>
        <w:rPr/>
        <w:t>、固体废物影响分析</w:t>
      </w:r>
    </w:p>
    <w:p>
      <w:pPr>
        <w:pStyle w:val="BodyText"/>
        <w:spacing w:before="81"/>
        <w:ind w:left="908"/>
      </w:pPr>
      <w:r>
        <w:rPr>
          <w:spacing w:val="-13"/>
        </w:rPr>
        <w:t>①本项目 </w:t>
      </w:r>
      <w:r>
        <w:rPr>
          <w:rFonts w:ascii="Times New Roman" w:hAnsi="Times New Roman" w:eastAsia="Times New Roman"/>
        </w:rPr>
        <w:t>DSA</w:t>
      </w:r>
      <w:r>
        <w:rPr>
          <w:rFonts w:ascii="Times New Roman" w:hAnsi="Times New Roman" w:eastAsia="Times New Roman"/>
          <w:spacing w:val="-1"/>
        </w:rPr>
        <w:t> </w:t>
      </w:r>
      <w:r>
        <w:rPr/>
        <w:t>采用数字成像，不打印胶片，因此不会有废胶片产生。</w:t>
      </w:r>
    </w:p>
    <w:p>
      <w:pPr>
        <w:pStyle w:val="BodyText"/>
        <w:spacing w:line="364" w:lineRule="auto" w:before="161"/>
        <w:ind w:left="428" w:right="629" w:firstLine="480"/>
      </w:pPr>
      <w:r>
        <w:rPr>
          <w:spacing w:val="-3"/>
        </w:rPr>
        <w:t>②手术时产生一定量的医用器具和药棉、纱布、手套、废造影剂、废造影剂瓶</w:t>
      </w:r>
      <w:r>
        <w:rPr>
          <w:spacing w:val="-6"/>
        </w:rPr>
        <w:t>等医用辅料及手术垃圾，按每台手术产生约 </w:t>
      </w:r>
      <w:r>
        <w:rPr>
          <w:rFonts w:ascii="Times New Roman" w:hAnsi="Times New Roman" w:eastAsia="Times New Roman"/>
          <w:spacing w:val="-2"/>
        </w:rPr>
        <w:t>2kg</w:t>
      </w:r>
      <w:r>
        <w:rPr>
          <w:rFonts w:ascii="Times New Roman" w:hAnsi="Times New Roman" w:eastAsia="Times New Roman"/>
        </w:rPr>
        <w:t> </w:t>
      </w:r>
      <w:r>
        <w:rPr>
          <w:spacing w:val="-2"/>
        </w:rPr>
        <w:t>的医疗废物，每年固体废物产生量</w:t>
      </w:r>
    </w:p>
    <w:p>
      <w:pPr>
        <w:spacing w:after="0" w:line="364" w:lineRule="auto"/>
        <w:sectPr>
          <w:pgSz w:w="11910" w:h="16840"/>
          <w:pgMar w:header="0" w:footer="1383" w:top="1420" w:bottom="1660" w:left="1240" w:right="1040"/>
        </w:sectPr>
      </w:pPr>
    </w:p>
    <w:p>
      <w:pPr>
        <w:pStyle w:val="BodyText"/>
        <w:spacing w:line="362" w:lineRule="auto" w:before="55"/>
        <w:ind w:left="428" w:right="625"/>
        <w:jc w:val="both"/>
      </w:pPr>
      <w:r>
        <w:rPr/>
        <w:pict>
          <v:shape style="position:absolute;margin-left:77.760002pt;margin-top:72.000023pt;width:439.75pt;height:639.9pt;mso-position-horizontal-relative:page;mso-position-vertical-relative:page;z-index:-20124160" coordorigin="1555,1440" coordsize="8795,12798" path="m1555,1445l10350,1445m1555,14238l10350,14238m1560,1440l1560,14233m10345,1440l10345,14233e" filled="false" stroked="true" strokeweight=".48pt" strokecolor="#000000">
            <v:path arrowok="t"/>
            <v:stroke dashstyle="solid"/>
            <w10:wrap type="none"/>
          </v:shape>
        </w:pict>
      </w:r>
      <w:r>
        <w:rPr>
          <w:spacing w:val="1"/>
        </w:rPr>
        <w:t>约为 </w:t>
      </w:r>
      <w:r>
        <w:rPr>
          <w:rFonts w:ascii="Times New Roman" w:eastAsia="Times New Roman"/>
        </w:rPr>
        <w:t>4300kg</w:t>
      </w:r>
      <w:r>
        <w:rPr/>
        <w:t>。这些医疗废物经分类收集打包好后暂存于污物处置间，为减少恶臭气体及病原体的产生，要求医疗废物日产日清，交由资质单位处理。</w:t>
      </w:r>
    </w:p>
    <w:p>
      <w:pPr>
        <w:pStyle w:val="BodyText"/>
        <w:spacing w:line="364" w:lineRule="auto" w:before="2"/>
        <w:ind w:left="428" w:right="629" w:firstLine="480"/>
        <w:jc w:val="both"/>
      </w:pPr>
      <w:r>
        <w:rPr>
          <w:spacing w:val="-4"/>
        </w:rPr>
        <w:t>③工作人员产生的生活垃圾和办公垃圾不属于医疗废物，医院按照当地管理部</w:t>
      </w:r>
      <w:r>
        <w:rPr>
          <w:spacing w:val="-3"/>
        </w:rPr>
        <w:t>门要求，办公、生活垃圾经袋装依托医院已有的垃圾收集设施统一收集交由市政环卫清运，为防止蚊蝇滋生，要求生活垃圾暂存间日产日清。项目产生固废均得到合</w:t>
      </w:r>
      <w:r>
        <w:rPr/>
        <w:t>理处置，不会对周围环境产生明显影响。</w:t>
      </w:r>
    </w:p>
    <w:p>
      <w:pPr>
        <w:pStyle w:val="Heading2"/>
        <w:spacing w:before="131"/>
        <w:ind w:left="428"/>
      </w:pPr>
      <w:r>
        <w:rPr/>
        <w:t>六、事故风险与防范</w:t>
      </w:r>
    </w:p>
    <w:p>
      <w:pPr>
        <w:pStyle w:val="BodyText"/>
        <w:spacing w:line="364" w:lineRule="auto" w:before="214"/>
        <w:ind w:left="428" w:right="629" w:firstLine="480"/>
      </w:pPr>
      <w:r>
        <w:rPr>
          <w:spacing w:val="-3"/>
        </w:rPr>
        <w:t>医院已制订辐射事故应急预案和安全规章制度内容较全面、措施可行，应认真</w:t>
      </w:r>
      <w:r>
        <w:rPr/>
        <w:t>贯彻实施，以减少和避免发生辐射事故与突发事件。</w:t>
      </w:r>
    </w:p>
    <w:p>
      <w:pPr>
        <w:pStyle w:val="Heading2"/>
        <w:spacing w:before="52"/>
        <w:ind w:left="428"/>
      </w:pPr>
      <w:r>
        <w:rPr/>
        <w:t>七、环保设施与保护目标</w:t>
      </w:r>
    </w:p>
    <w:p>
      <w:pPr>
        <w:pStyle w:val="BodyText"/>
        <w:spacing w:line="364" w:lineRule="auto" w:before="214"/>
        <w:ind w:left="428" w:right="629" w:firstLine="480"/>
      </w:pPr>
      <w:r>
        <w:rPr>
          <w:spacing w:val="-3"/>
        </w:rPr>
        <w:t>医院现有环保设施配置较全，总体效能良好，可使本次环评中确定的所有保护</w:t>
      </w:r>
      <w:r>
        <w:rPr/>
        <w:t>目标，所受的辐射剂量，保持在合理的、可达到的尽可能低的水平。</w:t>
      </w:r>
    </w:p>
    <w:p>
      <w:pPr>
        <w:pStyle w:val="Heading2"/>
        <w:spacing w:before="53"/>
        <w:ind w:left="428"/>
      </w:pPr>
      <w:r>
        <w:rPr/>
        <w:t>八、医院辐射安全管理的综合能力</w:t>
      </w:r>
    </w:p>
    <w:p>
      <w:pPr>
        <w:pStyle w:val="BodyText"/>
        <w:spacing w:line="364" w:lineRule="auto" w:before="214"/>
        <w:ind w:left="428" w:right="629" w:firstLine="480"/>
      </w:pPr>
      <w:r>
        <w:rPr>
          <w:spacing w:val="-3"/>
        </w:rPr>
        <w:t>医院严格落实本报告提出的规章制度、环保措施，具备辐射安全管理的综合能</w:t>
      </w:r>
      <w:r>
        <w:rPr/>
        <w:t>力。</w:t>
      </w:r>
    </w:p>
    <w:p>
      <w:pPr>
        <w:pStyle w:val="Heading2"/>
        <w:spacing w:before="52"/>
        <w:ind w:left="428"/>
      </w:pPr>
      <w:r>
        <w:rPr/>
        <w:t>九、项目环保可行性结论</w:t>
      </w:r>
    </w:p>
    <w:p>
      <w:pPr>
        <w:pStyle w:val="BodyText"/>
        <w:spacing w:line="364" w:lineRule="auto" w:before="214"/>
        <w:ind w:left="428" w:right="625" w:firstLine="480"/>
      </w:pPr>
      <w:r>
        <w:rPr>
          <w:spacing w:val="-2"/>
        </w:rPr>
        <w:t>在坚持</w:t>
      </w:r>
      <w:r>
        <w:rPr>
          <w:rFonts w:ascii="Times New Roman" w:hAnsi="Times New Roman" w:eastAsia="Times New Roman"/>
          <w:spacing w:val="-2"/>
        </w:rPr>
        <w:t>“</w:t>
      </w:r>
      <w:r>
        <w:rPr>
          <w:spacing w:val="-2"/>
        </w:rPr>
        <w:t>三同时</w:t>
      </w:r>
      <w:r>
        <w:rPr>
          <w:rFonts w:ascii="Times New Roman" w:hAnsi="Times New Roman" w:eastAsia="Times New Roman"/>
          <w:spacing w:val="-2"/>
        </w:rPr>
        <w:t>”</w:t>
      </w:r>
      <w:r>
        <w:rPr>
          <w:spacing w:val="-2"/>
        </w:rPr>
        <w:t>的原则，采取切实可行的环保措施，落实本报告提出的各项污</w:t>
      </w:r>
      <w:r>
        <w:rPr/>
        <w:t>染防治措施，本评价认为在资阳市第一人民医院医技楼新增数字减影血管造影机</w:t>
      </w:r>
    </w:p>
    <w:p>
      <w:pPr>
        <w:pStyle w:val="BodyText"/>
        <w:spacing w:before="1"/>
        <w:ind w:left="428"/>
      </w:pPr>
      <w:r>
        <w:rPr/>
        <w:t>（</w:t>
      </w:r>
      <w:r>
        <w:rPr>
          <w:rFonts w:ascii="Times New Roman" w:eastAsia="Times New Roman"/>
        </w:rPr>
        <w:t>DSA</w:t>
      </w:r>
      <w:r>
        <w:rPr/>
        <w:t>）项目，从环境保护和辐射防护角度看项目建设是可行的。</w:t>
      </w:r>
    </w:p>
    <w:p>
      <w:pPr>
        <w:spacing w:after="0"/>
        <w:sectPr>
          <w:pgSz w:w="11910" w:h="16840"/>
          <w:pgMar w:header="0" w:footer="1383" w:top="1380" w:bottom="1660" w:left="1240" w:right="1040"/>
        </w:sectPr>
      </w:pPr>
    </w:p>
    <w:tbl>
      <w:tblPr>
        <w:tblW w:w="0" w:type="auto"/>
        <w:jc w:val="left"/>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946"/>
        <w:gridCol w:w="6848"/>
      </w:tblGrid>
      <w:tr>
        <w:trPr>
          <w:trHeight w:val="11855" w:hRule="atLeast"/>
        </w:trPr>
        <w:tc>
          <w:tcPr>
            <w:tcW w:w="8785" w:type="dxa"/>
            <w:gridSpan w:val="3"/>
            <w:tcBorders>
              <w:bottom w:val="single" w:sz="12" w:space="0" w:color="000000"/>
            </w:tcBorders>
          </w:tcPr>
          <w:p>
            <w:pPr>
              <w:pStyle w:val="TableParagraph"/>
              <w:spacing w:before="133"/>
              <w:ind w:left="107"/>
              <w:jc w:val="left"/>
              <w:rPr>
                <w:sz w:val="28"/>
              </w:rPr>
            </w:pPr>
            <w:r>
              <w:rPr>
                <w:sz w:val="28"/>
              </w:rPr>
              <w:t>建议和承诺</w:t>
            </w:r>
          </w:p>
          <w:p>
            <w:pPr>
              <w:pStyle w:val="TableParagraph"/>
              <w:spacing w:before="212"/>
              <w:ind w:left="107"/>
              <w:jc w:val="left"/>
              <w:rPr>
                <w:sz w:val="24"/>
              </w:rPr>
            </w:pPr>
            <w:r>
              <w:rPr>
                <w:sz w:val="24"/>
              </w:rPr>
              <w:t>一、要求</w:t>
            </w:r>
          </w:p>
          <w:p>
            <w:pPr>
              <w:pStyle w:val="TableParagraph"/>
              <w:spacing w:before="160"/>
              <w:ind w:left="587"/>
              <w:jc w:val="left"/>
              <w:rPr>
                <w:sz w:val="24"/>
              </w:rPr>
            </w:pPr>
            <w:r>
              <w:rPr>
                <w:rFonts w:ascii="Times New Roman" w:eastAsia="Times New Roman"/>
                <w:sz w:val="24"/>
              </w:rPr>
              <w:t>1</w:t>
            </w:r>
            <w:r>
              <w:rPr>
                <w:sz w:val="24"/>
              </w:rPr>
              <w:t>、落实本报告中的各项辐射防护措施和安全管理制度。</w:t>
            </w:r>
          </w:p>
          <w:p>
            <w:pPr>
              <w:pStyle w:val="TableParagraph"/>
              <w:spacing w:before="161"/>
              <w:ind w:left="587"/>
              <w:jc w:val="left"/>
              <w:rPr>
                <w:sz w:val="24"/>
              </w:rPr>
            </w:pPr>
            <w:r>
              <w:rPr>
                <w:rFonts w:ascii="Times New Roman" w:eastAsia="Times New Roman"/>
                <w:sz w:val="24"/>
              </w:rPr>
              <w:t>2</w:t>
            </w:r>
            <w:r>
              <w:rPr>
                <w:sz w:val="24"/>
              </w:rPr>
              <w:t>、建设单位须重视控制区和监督区的管理。</w:t>
            </w:r>
          </w:p>
          <w:p>
            <w:pPr>
              <w:pStyle w:val="TableParagraph"/>
              <w:spacing w:line="364" w:lineRule="auto" w:before="160"/>
              <w:ind w:left="107" w:right="97" w:firstLine="480"/>
              <w:jc w:val="left"/>
              <w:rPr>
                <w:sz w:val="24"/>
              </w:rPr>
            </w:pPr>
            <w:r>
              <w:rPr>
                <w:rFonts w:ascii="Times New Roman" w:eastAsia="Times New Roman"/>
                <w:spacing w:val="-1"/>
                <w:sz w:val="24"/>
              </w:rPr>
              <w:t>3</w:t>
            </w:r>
            <w:r>
              <w:rPr>
                <w:spacing w:val="-12"/>
                <w:sz w:val="24"/>
              </w:rPr>
              <w:t>、按照规定组织辐射工作人员和管理人员在网站</w:t>
            </w:r>
            <w:hyperlink r:id="rId17">
              <w:r>
                <w:rPr>
                  <w:rFonts w:ascii="Times New Roman" w:eastAsia="Times New Roman"/>
                  <w:sz w:val="24"/>
                </w:rPr>
                <w:t>http://fushe.mee.gov.cn/</w:t>
              </w:r>
              <w:r>
                <w:rPr>
                  <w:sz w:val="24"/>
                </w:rPr>
                <w:t>学习辐</w:t>
              </w:r>
            </w:hyperlink>
            <w:r>
              <w:rPr>
                <w:sz w:val="24"/>
              </w:rPr>
              <w:t>射安全与防护知识并进行考核取证，持证上岗，证书到期前在网上复训。</w:t>
            </w:r>
          </w:p>
          <w:p>
            <w:pPr>
              <w:pStyle w:val="TableParagraph"/>
              <w:spacing w:line="364" w:lineRule="auto" w:before="2"/>
              <w:ind w:left="107" w:right="-29" w:firstLine="480"/>
              <w:jc w:val="both"/>
              <w:rPr>
                <w:sz w:val="24"/>
              </w:rPr>
            </w:pPr>
            <w:r>
              <w:rPr>
                <w:rFonts w:ascii="Times New Roman" w:hAnsi="Times New Roman" w:eastAsia="Times New Roman"/>
                <w:sz w:val="24"/>
              </w:rPr>
              <w:t>4</w:t>
            </w:r>
            <w:r>
              <w:rPr>
                <w:sz w:val="24"/>
              </w:rPr>
              <w:t>、定期开展场所和环境的辐射监测，据此对所用的射线装置的安全和防护状况进行年度评估，编写辐射安全和防护状况年度自查评估报告，并于每年</w:t>
            </w:r>
            <w:r>
              <w:rPr>
                <w:rFonts w:ascii="Times New Roman" w:hAnsi="Times New Roman" w:eastAsia="Times New Roman"/>
                <w:sz w:val="24"/>
              </w:rPr>
              <w:t>1</w:t>
            </w:r>
            <w:r>
              <w:rPr>
                <w:sz w:val="24"/>
              </w:rPr>
              <w:t>月</w:t>
            </w:r>
            <w:r>
              <w:rPr>
                <w:rFonts w:ascii="Times New Roman" w:hAnsi="Times New Roman" w:eastAsia="Times New Roman"/>
                <w:sz w:val="24"/>
              </w:rPr>
              <w:t>31</w:t>
            </w:r>
            <w:r>
              <w:rPr>
                <w:sz w:val="24"/>
              </w:rPr>
              <w:t>日前上报生态环境主管部门，报送内容包括：①辐射安全和防护设施的运行与维护情况；②辐射安全和防护制度及措施的制定与落实情况；③辐射工作人员变动及接受辐射安全和防护知识教育培训情况；④场所辐射环境监测报告和个人剂量监测情况监测数据；⑤辐射事故及应急响应情况；⑥核技术利用项目新建、改建、扩建和退</w:t>
            </w:r>
            <w:r>
              <w:rPr>
                <w:spacing w:val="-15"/>
                <w:sz w:val="24"/>
              </w:rPr>
              <w:t>役情况；⑦存在的安全隐患及其整改情况；⑧其他有关法律、法规规定的落实情况。</w:t>
            </w:r>
          </w:p>
          <w:p>
            <w:pPr>
              <w:pStyle w:val="TableParagraph"/>
              <w:spacing w:line="364" w:lineRule="auto" w:before="4"/>
              <w:ind w:left="107" w:right="145" w:firstLine="480"/>
              <w:jc w:val="left"/>
              <w:rPr>
                <w:sz w:val="24"/>
              </w:rPr>
            </w:pPr>
            <w:r>
              <w:rPr>
                <w:rFonts w:ascii="Times New Roman" w:eastAsia="Times New Roman"/>
                <w:spacing w:val="-1"/>
                <w:sz w:val="24"/>
              </w:rPr>
              <w:t>5</w:t>
            </w:r>
            <w:r>
              <w:rPr>
                <w:spacing w:val="-1"/>
                <w:sz w:val="24"/>
              </w:rPr>
              <w:t>、按照《四川省辐射污染防治条例》，射线装置在报废处置时，使用单位应</w:t>
            </w:r>
            <w:r>
              <w:rPr>
                <w:sz w:val="24"/>
              </w:rPr>
              <w:t>当对射线装置内的高压射线管进行拆解和去功能化处理。</w:t>
            </w:r>
          </w:p>
          <w:p>
            <w:pPr>
              <w:pStyle w:val="TableParagraph"/>
              <w:spacing w:before="1"/>
              <w:ind w:left="587"/>
              <w:jc w:val="left"/>
              <w:rPr>
                <w:sz w:val="24"/>
              </w:rPr>
            </w:pPr>
            <w:r>
              <w:rPr>
                <w:rFonts w:ascii="Times New Roman" w:eastAsia="Times New Roman"/>
                <w:sz w:val="24"/>
              </w:rPr>
              <w:t>6</w:t>
            </w:r>
            <w:r>
              <w:rPr>
                <w:rFonts w:ascii="Times New Roman" w:eastAsia="Times New Roman"/>
                <w:spacing w:val="-32"/>
                <w:sz w:val="24"/>
              </w:rPr>
              <w:t> </w:t>
            </w:r>
            <w:r>
              <w:rPr>
                <w:spacing w:val="28"/>
                <w:sz w:val="24"/>
              </w:rPr>
              <w:t>、建设单位必须在全国核技术利用辐射安全申报系统</w:t>
            </w:r>
            <w:r>
              <w:rPr>
                <w:sz w:val="24"/>
              </w:rPr>
              <w:t>（</w:t>
            </w:r>
            <w:r>
              <w:rPr>
                <w:spacing w:val="-26"/>
                <w:sz w:val="24"/>
              </w:rPr>
              <w:t> 网址： </w:t>
            </w:r>
            <w:hyperlink r:id="rId16">
              <w:r>
                <w:rPr>
                  <w:rFonts w:ascii="Times New Roman" w:eastAsia="Times New Roman"/>
                  <w:sz w:val="24"/>
                </w:rPr>
                <w:t>http</w:t>
              </w:r>
              <w:r>
                <w:rPr>
                  <w:rFonts w:ascii="Times New Roman" w:eastAsia="Times New Roman"/>
                  <w:spacing w:val="-29"/>
                  <w:sz w:val="24"/>
                </w:rPr>
                <w:t> </w:t>
              </w:r>
              <w:r>
                <w:rPr>
                  <w:sz w:val="24"/>
                </w:rPr>
                <w:t>：</w:t>
              </w:r>
            </w:hyperlink>
          </w:p>
          <w:p>
            <w:pPr>
              <w:pStyle w:val="TableParagraph"/>
              <w:spacing w:line="364" w:lineRule="auto" w:before="161"/>
              <w:ind w:left="107" w:right="90"/>
              <w:jc w:val="both"/>
              <w:rPr>
                <w:sz w:val="24"/>
              </w:rPr>
            </w:pPr>
            <w:r>
              <w:rPr>
                <w:rFonts w:ascii="Times New Roman" w:eastAsia="Times New Roman"/>
                <w:spacing w:val="-2"/>
                <w:sz w:val="24"/>
              </w:rPr>
              <w:t>//rr.mee.gov.cn</w:t>
            </w:r>
            <w:r>
              <w:rPr>
                <w:spacing w:val="-2"/>
                <w:sz w:val="24"/>
              </w:rPr>
              <w:t>）中实施申报登记。申领、延续、更换《辐射安全许可证》、新增或注销射线装置以及单位信息变更、个人剂量、年度评估报告等信息均应及时在系统</w:t>
            </w:r>
            <w:r>
              <w:rPr>
                <w:sz w:val="24"/>
              </w:rPr>
              <w:t>中申报。</w:t>
            </w:r>
          </w:p>
          <w:p>
            <w:pPr>
              <w:pStyle w:val="TableParagraph"/>
              <w:spacing w:before="1"/>
              <w:ind w:left="107"/>
              <w:jc w:val="left"/>
              <w:rPr>
                <w:sz w:val="24"/>
              </w:rPr>
            </w:pPr>
            <w:r>
              <w:rPr>
                <w:sz w:val="24"/>
              </w:rPr>
              <w:t>二、项目竣工验收检查内容</w:t>
            </w:r>
          </w:p>
          <w:p>
            <w:pPr>
              <w:pStyle w:val="TableParagraph"/>
              <w:spacing w:line="364" w:lineRule="auto" w:before="161"/>
              <w:ind w:left="107" w:right="51" w:firstLine="480"/>
              <w:jc w:val="left"/>
              <w:rPr>
                <w:sz w:val="24"/>
              </w:rPr>
            </w:pPr>
            <w:r>
              <w:rPr>
                <w:spacing w:val="-2"/>
                <w:sz w:val="24"/>
              </w:rPr>
              <w:t>根据《建设项目环境保护管理条例》，工程建设执行污染治理设施与主体工程</w:t>
            </w:r>
            <w:r>
              <w:rPr>
                <w:spacing w:val="-1"/>
                <w:sz w:val="24"/>
              </w:rPr>
              <w:t>同时设计、同时施工、同时投产使用的</w:t>
            </w:r>
            <w:r>
              <w:rPr>
                <w:rFonts w:ascii="Times New Roman" w:hAnsi="Times New Roman" w:eastAsia="Times New Roman"/>
                <w:sz w:val="24"/>
              </w:rPr>
              <w:t>“</w:t>
            </w:r>
            <w:r>
              <w:rPr>
                <w:sz w:val="24"/>
              </w:rPr>
              <w:t>三同时</w:t>
            </w:r>
            <w:r>
              <w:rPr>
                <w:rFonts w:ascii="Times New Roman" w:hAnsi="Times New Roman" w:eastAsia="Times New Roman"/>
                <w:sz w:val="24"/>
              </w:rPr>
              <w:t>”</w:t>
            </w:r>
            <w:r>
              <w:rPr>
                <w:sz w:val="24"/>
              </w:rPr>
              <w:t>制度。建设项目正式投产运行前，</w:t>
            </w:r>
            <w:r>
              <w:rPr>
                <w:spacing w:val="-117"/>
                <w:sz w:val="24"/>
              </w:rPr>
              <w:t> </w:t>
            </w:r>
            <w:r>
              <w:rPr>
                <w:sz w:val="24"/>
              </w:rPr>
              <w:t>建设单位应组织专家完成自主环保验收。本工程竣工环境保护验收一览表见下表</w:t>
            </w:r>
            <w:r>
              <w:rPr>
                <w:rFonts w:ascii="Times New Roman" w:hAnsi="Times New Roman" w:eastAsia="Times New Roman"/>
                <w:sz w:val="24"/>
              </w:rPr>
              <w:t>13-1</w:t>
            </w:r>
            <w:r>
              <w:rPr>
                <w:sz w:val="24"/>
              </w:rPr>
              <w:t>。</w:t>
            </w:r>
          </w:p>
          <w:p>
            <w:pPr>
              <w:pStyle w:val="TableParagraph"/>
              <w:tabs>
                <w:tab w:pos="3458" w:val="left" w:leader="none"/>
              </w:tabs>
              <w:spacing w:before="20"/>
              <w:ind w:left="2598"/>
              <w:jc w:val="left"/>
              <w:rPr>
                <w:sz w:val="21"/>
              </w:rPr>
            </w:pPr>
            <w:r>
              <w:rPr>
                <w:w w:val="95"/>
                <w:sz w:val="21"/>
              </w:rPr>
              <w:t>表</w:t>
            </w:r>
            <w:r>
              <w:rPr>
                <w:spacing w:val="-41"/>
                <w:w w:val="95"/>
                <w:sz w:val="21"/>
              </w:rPr>
              <w:t> </w:t>
            </w:r>
            <w:r>
              <w:rPr>
                <w:rFonts w:ascii="Times New Roman" w:eastAsia="Times New Roman"/>
                <w:b/>
                <w:w w:val="95"/>
                <w:sz w:val="21"/>
              </w:rPr>
              <w:t>13-1</w:t>
              <w:tab/>
            </w:r>
            <w:r>
              <w:rPr>
                <w:sz w:val="21"/>
              </w:rPr>
              <w:t>项目环保竣工验收检查一览表</w:t>
            </w:r>
          </w:p>
        </w:tc>
      </w:tr>
      <w:tr>
        <w:trPr>
          <w:trHeight w:val="335" w:hRule="atLeast"/>
        </w:trPr>
        <w:tc>
          <w:tcPr>
            <w:tcW w:w="1937" w:type="dxa"/>
            <w:gridSpan w:val="2"/>
            <w:tcBorders>
              <w:top w:val="single" w:sz="12" w:space="0" w:color="000000"/>
              <w:bottom w:val="single" w:sz="12" w:space="0" w:color="000000"/>
            </w:tcBorders>
          </w:tcPr>
          <w:p>
            <w:pPr>
              <w:pStyle w:val="TableParagraph"/>
              <w:spacing w:before="32"/>
              <w:ind w:left="801" w:right="665"/>
              <w:rPr>
                <w:sz w:val="21"/>
              </w:rPr>
            </w:pPr>
            <w:r>
              <w:rPr>
                <w:sz w:val="21"/>
              </w:rPr>
              <w:t>项目</w:t>
            </w:r>
          </w:p>
        </w:tc>
        <w:tc>
          <w:tcPr>
            <w:tcW w:w="6848" w:type="dxa"/>
            <w:tcBorders>
              <w:top w:val="single" w:sz="12" w:space="0" w:color="000000"/>
              <w:bottom w:val="single" w:sz="12" w:space="0" w:color="000000"/>
            </w:tcBorders>
          </w:tcPr>
          <w:p>
            <w:pPr>
              <w:pStyle w:val="TableParagraph"/>
              <w:spacing w:before="32"/>
              <w:ind w:left="130" w:right="256"/>
              <w:rPr>
                <w:sz w:val="21"/>
              </w:rPr>
            </w:pPr>
            <w:r>
              <w:rPr>
                <w:sz w:val="21"/>
              </w:rPr>
              <w:t>设施</w:t>
            </w:r>
          </w:p>
        </w:tc>
      </w:tr>
      <w:tr>
        <w:trPr>
          <w:trHeight w:val="325" w:hRule="atLeast"/>
        </w:trPr>
        <w:tc>
          <w:tcPr>
            <w:tcW w:w="991" w:type="dxa"/>
            <w:vMerge w:val="restart"/>
            <w:tcBorders>
              <w:top w:val="single" w:sz="12" w:space="0" w:color="000000"/>
              <w:bottom w:val="single" w:sz="12" w:space="0" w:color="000000"/>
            </w:tcBorders>
          </w:tcPr>
          <w:p>
            <w:pPr>
              <w:pStyle w:val="TableParagraph"/>
              <w:jc w:val="left"/>
              <w:rPr>
                <w:sz w:val="22"/>
              </w:rPr>
            </w:pPr>
          </w:p>
          <w:p>
            <w:pPr>
              <w:pStyle w:val="TableParagraph"/>
              <w:spacing w:before="11"/>
              <w:jc w:val="left"/>
              <w:rPr>
                <w:sz w:val="15"/>
              </w:rPr>
            </w:pPr>
          </w:p>
          <w:p>
            <w:pPr>
              <w:pStyle w:val="TableParagraph"/>
              <w:ind w:left="352"/>
              <w:jc w:val="left"/>
              <w:rPr>
                <w:rFonts w:ascii="Times New Roman"/>
                <w:sz w:val="21"/>
              </w:rPr>
            </w:pPr>
            <w:r>
              <w:rPr>
                <w:rFonts w:ascii="Times New Roman"/>
                <w:sz w:val="21"/>
              </w:rPr>
              <w:t>DSA</w:t>
            </w:r>
          </w:p>
          <w:p>
            <w:pPr>
              <w:pStyle w:val="TableParagraph"/>
              <w:spacing w:before="57"/>
              <w:ind w:left="350"/>
              <w:jc w:val="left"/>
              <w:rPr>
                <w:sz w:val="21"/>
              </w:rPr>
            </w:pPr>
            <w:r>
              <w:rPr>
                <w:w w:val="95"/>
                <w:sz w:val="21"/>
              </w:rPr>
              <w:t>机房</w:t>
            </w:r>
          </w:p>
        </w:tc>
        <w:tc>
          <w:tcPr>
            <w:tcW w:w="946" w:type="dxa"/>
            <w:vMerge w:val="restart"/>
            <w:tcBorders>
              <w:top w:val="single" w:sz="12" w:space="0" w:color="000000"/>
              <w:bottom w:val="single" w:sz="12" w:space="0" w:color="000000"/>
            </w:tcBorders>
          </w:tcPr>
          <w:p>
            <w:pPr>
              <w:pStyle w:val="TableParagraph"/>
              <w:spacing w:before="7"/>
              <w:jc w:val="left"/>
              <w:rPr>
                <w:sz w:val="24"/>
              </w:rPr>
            </w:pPr>
          </w:p>
          <w:p>
            <w:pPr>
              <w:pStyle w:val="TableParagraph"/>
              <w:spacing w:line="278" w:lineRule="auto" w:before="1"/>
              <w:ind w:left="158" w:right="146"/>
              <w:jc w:val="left"/>
              <w:rPr>
                <w:sz w:val="21"/>
              </w:rPr>
            </w:pPr>
            <w:r>
              <w:rPr>
                <w:spacing w:val="-2"/>
                <w:sz w:val="21"/>
              </w:rPr>
              <w:t>辐射屏蔽措施</w:t>
            </w:r>
          </w:p>
        </w:tc>
        <w:tc>
          <w:tcPr>
            <w:tcW w:w="6848" w:type="dxa"/>
            <w:tcBorders>
              <w:top w:val="single" w:sz="12" w:space="0" w:color="000000"/>
            </w:tcBorders>
          </w:tcPr>
          <w:p>
            <w:pPr>
              <w:pStyle w:val="TableParagraph"/>
              <w:spacing w:before="32"/>
              <w:ind w:left="134" w:right="255"/>
              <w:rPr>
                <w:sz w:val="21"/>
              </w:rPr>
            </w:pPr>
            <w:r>
              <w:rPr>
                <w:spacing w:val="-6"/>
                <w:w w:val="95"/>
                <w:sz w:val="21"/>
              </w:rPr>
              <w:t>观察窗 </w:t>
            </w:r>
            <w:r>
              <w:rPr>
                <w:rFonts w:ascii="Times New Roman" w:eastAsia="Times New Roman"/>
                <w:w w:val="95"/>
                <w:sz w:val="21"/>
              </w:rPr>
              <w:t>1</w:t>
            </w:r>
            <w:r>
              <w:rPr>
                <w:rFonts w:ascii="Times New Roman" w:eastAsia="Times New Roman"/>
                <w:spacing w:val="29"/>
                <w:w w:val="95"/>
                <w:sz w:val="21"/>
              </w:rPr>
              <w:t> </w:t>
            </w:r>
            <w:r>
              <w:rPr>
                <w:w w:val="95"/>
                <w:sz w:val="21"/>
              </w:rPr>
              <w:t>扇（</w:t>
            </w:r>
            <w:r>
              <w:rPr>
                <w:rFonts w:ascii="Times New Roman" w:eastAsia="Times New Roman"/>
                <w:w w:val="95"/>
                <w:sz w:val="21"/>
              </w:rPr>
              <w:t>4mm</w:t>
            </w:r>
            <w:r>
              <w:rPr>
                <w:rFonts w:ascii="Times New Roman" w:eastAsia="Times New Roman"/>
                <w:spacing w:val="32"/>
                <w:w w:val="95"/>
                <w:sz w:val="21"/>
              </w:rPr>
              <w:t> </w:t>
            </w:r>
            <w:r>
              <w:rPr>
                <w:w w:val="95"/>
                <w:sz w:val="21"/>
              </w:rPr>
              <w:t>铅当量）</w:t>
            </w:r>
          </w:p>
        </w:tc>
      </w:tr>
      <w:tr>
        <w:trPr>
          <w:trHeight w:val="295" w:hRule="atLeast"/>
        </w:trPr>
        <w:tc>
          <w:tcPr>
            <w:tcW w:w="991" w:type="dxa"/>
            <w:vMerge/>
            <w:tcBorders>
              <w:top w:val="nil"/>
              <w:bottom w:val="single" w:sz="12" w:space="0" w:color="000000"/>
            </w:tcBorders>
          </w:tcPr>
          <w:p>
            <w:pPr>
              <w:rPr>
                <w:sz w:val="2"/>
                <w:szCs w:val="2"/>
              </w:rPr>
            </w:pPr>
          </w:p>
        </w:tc>
        <w:tc>
          <w:tcPr>
            <w:tcW w:w="946" w:type="dxa"/>
            <w:vMerge/>
            <w:tcBorders>
              <w:top w:val="nil"/>
              <w:bottom w:val="single" w:sz="12" w:space="0" w:color="000000"/>
            </w:tcBorders>
          </w:tcPr>
          <w:p>
            <w:pPr>
              <w:rPr>
                <w:sz w:val="2"/>
                <w:szCs w:val="2"/>
              </w:rPr>
            </w:pPr>
          </w:p>
        </w:tc>
        <w:tc>
          <w:tcPr>
            <w:tcW w:w="6848" w:type="dxa"/>
          </w:tcPr>
          <w:p>
            <w:pPr>
              <w:pStyle w:val="TableParagraph"/>
              <w:spacing w:line="262" w:lineRule="exact" w:before="12"/>
              <w:ind w:left="133" w:right="256"/>
              <w:rPr>
                <w:sz w:val="21"/>
              </w:rPr>
            </w:pPr>
            <w:r>
              <w:rPr>
                <w:spacing w:val="-4"/>
                <w:w w:val="95"/>
                <w:sz w:val="21"/>
              </w:rPr>
              <w:t>铅防护门 </w:t>
            </w:r>
            <w:r>
              <w:rPr>
                <w:rFonts w:ascii="Times New Roman" w:eastAsia="Times New Roman"/>
                <w:w w:val="95"/>
                <w:sz w:val="21"/>
              </w:rPr>
              <w:t>4</w:t>
            </w:r>
            <w:r>
              <w:rPr>
                <w:rFonts w:ascii="Times New Roman" w:eastAsia="Times New Roman"/>
                <w:spacing w:val="31"/>
                <w:w w:val="95"/>
                <w:sz w:val="21"/>
              </w:rPr>
              <w:t> </w:t>
            </w:r>
            <w:r>
              <w:rPr>
                <w:w w:val="95"/>
                <w:sz w:val="21"/>
              </w:rPr>
              <w:t>扇（</w:t>
            </w:r>
            <w:r>
              <w:rPr>
                <w:rFonts w:ascii="Times New Roman" w:eastAsia="Times New Roman"/>
                <w:w w:val="95"/>
                <w:sz w:val="21"/>
              </w:rPr>
              <w:t>4mm</w:t>
            </w:r>
            <w:r>
              <w:rPr>
                <w:rFonts w:ascii="Times New Roman" w:eastAsia="Times New Roman"/>
                <w:spacing w:val="29"/>
                <w:w w:val="95"/>
                <w:sz w:val="21"/>
              </w:rPr>
              <w:t> </w:t>
            </w:r>
            <w:r>
              <w:rPr>
                <w:w w:val="95"/>
                <w:sz w:val="21"/>
              </w:rPr>
              <w:t>铅当量）</w:t>
            </w:r>
          </w:p>
        </w:tc>
      </w:tr>
      <w:tr>
        <w:trPr>
          <w:trHeight w:val="528" w:hRule="atLeast"/>
        </w:trPr>
        <w:tc>
          <w:tcPr>
            <w:tcW w:w="991" w:type="dxa"/>
            <w:vMerge/>
            <w:tcBorders>
              <w:top w:val="nil"/>
              <w:bottom w:val="single" w:sz="12" w:space="0" w:color="000000"/>
            </w:tcBorders>
          </w:tcPr>
          <w:p>
            <w:pPr>
              <w:rPr>
                <w:sz w:val="2"/>
                <w:szCs w:val="2"/>
              </w:rPr>
            </w:pPr>
          </w:p>
        </w:tc>
        <w:tc>
          <w:tcPr>
            <w:tcW w:w="946" w:type="dxa"/>
            <w:vMerge/>
            <w:tcBorders>
              <w:top w:val="nil"/>
              <w:bottom w:val="single" w:sz="12" w:space="0" w:color="000000"/>
            </w:tcBorders>
          </w:tcPr>
          <w:p>
            <w:pPr>
              <w:rPr>
                <w:sz w:val="2"/>
                <w:szCs w:val="2"/>
              </w:rPr>
            </w:pPr>
          </w:p>
        </w:tc>
        <w:tc>
          <w:tcPr>
            <w:tcW w:w="6848" w:type="dxa"/>
            <w:tcBorders>
              <w:bottom w:val="single" w:sz="8" w:space="0" w:color="000000"/>
            </w:tcBorders>
          </w:tcPr>
          <w:p>
            <w:pPr>
              <w:pStyle w:val="TableParagraph"/>
              <w:spacing w:line="259" w:lineRule="exact"/>
              <w:ind w:left="93" w:right="256"/>
              <w:rPr>
                <w:rFonts w:ascii="Times New Roman" w:eastAsia="Times New Roman"/>
                <w:sz w:val="21"/>
              </w:rPr>
            </w:pPr>
            <w:r>
              <w:rPr>
                <w:w w:val="95"/>
                <w:sz w:val="21"/>
              </w:rPr>
              <w:t>屋顶：</w:t>
            </w:r>
            <w:r>
              <w:rPr>
                <w:rFonts w:ascii="Times New Roman" w:eastAsia="Times New Roman"/>
                <w:w w:val="95"/>
                <w:sz w:val="21"/>
              </w:rPr>
              <w:t>150mm</w:t>
            </w:r>
            <w:r>
              <w:rPr>
                <w:rFonts w:ascii="Times New Roman" w:eastAsia="Times New Roman"/>
                <w:spacing w:val="78"/>
                <w:sz w:val="21"/>
              </w:rPr>
              <w:t> </w:t>
            </w:r>
            <w:r>
              <w:rPr>
                <w:w w:val="95"/>
                <w:sz w:val="21"/>
              </w:rPr>
              <w:t>厚混凝土</w:t>
            </w:r>
            <w:r>
              <w:rPr>
                <w:rFonts w:ascii="Times New Roman" w:eastAsia="Times New Roman"/>
                <w:w w:val="95"/>
                <w:sz w:val="21"/>
              </w:rPr>
              <w:t>+20mm</w:t>
            </w:r>
            <w:r>
              <w:rPr>
                <w:rFonts w:ascii="Times New Roman" w:eastAsia="Times New Roman"/>
                <w:spacing w:val="72"/>
                <w:sz w:val="21"/>
              </w:rPr>
              <w:t> </w:t>
            </w:r>
            <w:r>
              <w:rPr>
                <w:w w:val="95"/>
                <w:sz w:val="21"/>
              </w:rPr>
              <w:t>厚射线防护复合微晶石板（</w:t>
            </w:r>
            <w:r>
              <w:rPr>
                <w:spacing w:val="10"/>
                <w:w w:val="95"/>
                <w:sz w:val="21"/>
              </w:rPr>
              <w:t>折合 </w:t>
            </w:r>
            <w:r>
              <w:rPr>
                <w:rFonts w:ascii="Times New Roman" w:eastAsia="Times New Roman"/>
                <w:w w:val="95"/>
                <w:sz w:val="21"/>
              </w:rPr>
              <w:t>4.5mm</w:t>
            </w:r>
          </w:p>
          <w:p>
            <w:pPr>
              <w:pStyle w:val="TableParagraph"/>
              <w:spacing w:line="244" w:lineRule="exact" w:before="4"/>
              <w:ind w:left="133" w:right="256"/>
              <w:rPr>
                <w:sz w:val="21"/>
              </w:rPr>
            </w:pPr>
            <w:r>
              <w:rPr>
                <w:sz w:val="21"/>
              </w:rPr>
              <w:t>铅当量）</w:t>
            </w:r>
          </w:p>
        </w:tc>
      </w:tr>
    </w:tbl>
    <w:p>
      <w:pPr>
        <w:spacing w:after="0" w:line="244" w:lineRule="exact"/>
        <w:rPr>
          <w:sz w:val="21"/>
        </w:rPr>
        <w:sectPr>
          <w:pgSz w:w="11910" w:h="16840"/>
          <w:pgMar w:header="0" w:footer="1383" w:top="1420" w:bottom="1580" w:left="1240" w:right="1040"/>
        </w:sectPr>
      </w:pPr>
    </w:p>
    <w:tbl>
      <w:tblPr>
        <w:tblW w:w="0" w:type="auto"/>
        <w:jc w:val="left"/>
        <w:tblInd w:w="3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91"/>
        <w:gridCol w:w="946"/>
        <w:gridCol w:w="651"/>
        <w:gridCol w:w="6197"/>
      </w:tblGrid>
      <w:tr>
        <w:trPr>
          <w:trHeight w:val="861" w:hRule="atLeast"/>
        </w:trPr>
        <w:tc>
          <w:tcPr>
            <w:tcW w:w="991" w:type="dxa"/>
            <w:tcBorders>
              <w:left w:val="single" w:sz="4" w:space="0" w:color="000000"/>
              <w:bottom w:val="nil"/>
              <w:right w:val="single" w:sz="4" w:space="0" w:color="000000"/>
            </w:tcBorders>
          </w:tcPr>
          <w:p>
            <w:pPr>
              <w:pStyle w:val="TableParagraph"/>
              <w:jc w:val="left"/>
              <w:rPr>
                <w:rFonts w:ascii="Times New Roman"/>
                <w:sz w:val="22"/>
              </w:rPr>
            </w:pPr>
          </w:p>
        </w:tc>
        <w:tc>
          <w:tcPr>
            <w:tcW w:w="946" w:type="dxa"/>
            <w:vMerge w:val="restart"/>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651" w:type="dxa"/>
            <w:tcBorders>
              <w:top w:val="single" w:sz="8" w:space="0" w:color="000000"/>
              <w:left w:val="single" w:sz="4" w:space="0" w:color="000000"/>
              <w:bottom w:val="single" w:sz="4" w:space="0" w:color="000000"/>
              <w:right w:val="single" w:sz="4" w:space="0" w:color="000000"/>
            </w:tcBorders>
          </w:tcPr>
          <w:p>
            <w:pPr>
              <w:pStyle w:val="TableParagraph"/>
              <w:spacing w:line="242" w:lineRule="auto" w:before="144"/>
              <w:ind w:left="114" w:right="106"/>
              <w:jc w:val="left"/>
              <w:rPr>
                <w:sz w:val="21"/>
              </w:rPr>
            </w:pPr>
            <w:r>
              <w:rPr>
                <w:spacing w:val="-3"/>
                <w:sz w:val="21"/>
              </w:rPr>
              <w:t>四周墙体</w:t>
            </w:r>
          </w:p>
        </w:tc>
        <w:tc>
          <w:tcPr>
            <w:tcW w:w="6197" w:type="dxa"/>
            <w:tcBorders>
              <w:top w:val="single" w:sz="8" w:space="0" w:color="000000"/>
              <w:left w:val="single" w:sz="4" w:space="0" w:color="000000"/>
              <w:bottom w:val="single" w:sz="4" w:space="0" w:color="000000"/>
              <w:right w:val="single" w:sz="4" w:space="0" w:color="000000"/>
            </w:tcBorders>
          </w:tcPr>
          <w:p>
            <w:pPr>
              <w:pStyle w:val="TableParagraph"/>
              <w:spacing w:before="144"/>
              <w:ind w:left="321" w:right="444"/>
              <w:rPr>
                <w:sz w:val="21"/>
              </w:rPr>
            </w:pPr>
            <w:r>
              <w:rPr>
                <w:rFonts w:ascii="Times New Roman" w:eastAsia="Times New Roman"/>
                <w:sz w:val="21"/>
              </w:rPr>
              <w:t>240mm</w:t>
            </w:r>
            <w:r>
              <w:rPr>
                <w:rFonts w:ascii="Times New Roman" w:eastAsia="Times New Roman"/>
                <w:spacing w:val="-6"/>
                <w:sz w:val="21"/>
              </w:rPr>
              <w:t> </w:t>
            </w:r>
            <w:r>
              <w:rPr>
                <w:sz w:val="21"/>
              </w:rPr>
              <w:t>厚实心砖墙</w:t>
            </w:r>
            <w:r>
              <w:rPr>
                <w:rFonts w:ascii="Times New Roman" w:eastAsia="Times New Roman"/>
                <w:sz w:val="21"/>
              </w:rPr>
              <w:t>+20mm</w:t>
            </w:r>
            <w:r>
              <w:rPr>
                <w:rFonts w:ascii="Times New Roman" w:eastAsia="Times New Roman"/>
                <w:spacing w:val="-4"/>
                <w:sz w:val="21"/>
              </w:rPr>
              <w:t> </w:t>
            </w:r>
            <w:r>
              <w:rPr>
                <w:sz w:val="21"/>
              </w:rPr>
              <w:t>厚射线防护复合微晶石板（折合</w:t>
            </w:r>
          </w:p>
          <w:p>
            <w:pPr>
              <w:pStyle w:val="TableParagraph"/>
              <w:spacing w:before="3"/>
              <w:ind w:left="320" w:right="444"/>
              <w:rPr>
                <w:sz w:val="21"/>
              </w:rPr>
            </w:pPr>
            <w:r>
              <w:rPr>
                <w:rFonts w:ascii="Times New Roman" w:eastAsia="Times New Roman"/>
                <w:sz w:val="21"/>
              </w:rPr>
              <w:t>4.9mm</w:t>
            </w:r>
            <w:r>
              <w:rPr>
                <w:rFonts w:ascii="Times New Roman" w:eastAsia="Times New Roman"/>
                <w:spacing w:val="-3"/>
                <w:sz w:val="21"/>
              </w:rPr>
              <w:t> </w:t>
            </w:r>
            <w:r>
              <w:rPr>
                <w:sz w:val="21"/>
              </w:rPr>
              <w:t>铅当量）</w:t>
            </w:r>
          </w:p>
        </w:tc>
      </w:tr>
      <w:tr>
        <w:trPr>
          <w:trHeight w:val="545"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vMerge/>
            <w:tcBorders>
              <w:top w:val="nil"/>
              <w:left w:val="single" w:sz="4" w:space="0" w:color="000000"/>
              <w:bottom w:val="single" w:sz="4" w:space="0" w:color="000000"/>
              <w:right w:val="single" w:sz="4" w:space="0" w:color="000000"/>
            </w:tcBorders>
          </w:tcPr>
          <w:p>
            <w:pPr>
              <w:rPr>
                <w:sz w:val="2"/>
                <w:szCs w:val="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line="262" w:lineRule="exact"/>
              <w:ind w:left="134" w:right="255"/>
              <w:rPr>
                <w:sz w:val="21"/>
              </w:rPr>
            </w:pPr>
            <w:r>
              <w:rPr>
                <w:w w:val="95"/>
                <w:sz w:val="21"/>
              </w:rPr>
              <w:t>地面：</w:t>
            </w:r>
            <w:r>
              <w:rPr>
                <w:rFonts w:ascii="Times New Roman" w:eastAsia="Times New Roman"/>
                <w:w w:val="95"/>
                <w:sz w:val="21"/>
              </w:rPr>
              <w:t>150mm</w:t>
            </w:r>
            <w:r>
              <w:rPr>
                <w:rFonts w:ascii="Times New Roman" w:eastAsia="Times New Roman"/>
                <w:spacing w:val="55"/>
                <w:sz w:val="21"/>
              </w:rPr>
              <w:t> </w:t>
            </w:r>
            <w:r>
              <w:rPr>
                <w:w w:val="95"/>
                <w:sz w:val="21"/>
              </w:rPr>
              <w:t>厚混凝土</w:t>
            </w:r>
            <w:r>
              <w:rPr>
                <w:rFonts w:ascii="Times New Roman" w:eastAsia="Times New Roman"/>
                <w:w w:val="95"/>
                <w:sz w:val="21"/>
              </w:rPr>
              <w:t>+30mm</w:t>
            </w:r>
            <w:r>
              <w:rPr>
                <w:rFonts w:ascii="Times New Roman" w:eastAsia="Times New Roman"/>
                <w:spacing w:val="61"/>
                <w:sz w:val="21"/>
              </w:rPr>
              <w:t> </w:t>
            </w:r>
            <w:r>
              <w:rPr>
                <w:spacing w:val="1"/>
                <w:w w:val="95"/>
                <w:sz w:val="21"/>
              </w:rPr>
              <w:t>厚、密度为 </w:t>
            </w:r>
            <w:r>
              <w:rPr>
                <w:rFonts w:ascii="Times New Roman" w:eastAsia="Times New Roman"/>
                <w:w w:val="95"/>
                <w:sz w:val="21"/>
              </w:rPr>
              <w:t>3.2g/cm3</w:t>
            </w:r>
            <w:r>
              <w:rPr>
                <w:rFonts w:ascii="Times New Roman" w:eastAsia="Times New Roman"/>
                <w:spacing w:val="57"/>
                <w:sz w:val="21"/>
              </w:rPr>
              <w:t> </w:t>
            </w:r>
            <w:r>
              <w:rPr>
                <w:w w:val="95"/>
                <w:sz w:val="21"/>
              </w:rPr>
              <w:t>硫酸钡砂浆（折合</w:t>
            </w:r>
          </w:p>
          <w:p>
            <w:pPr>
              <w:pStyle w:val="TableParagraph"/>
              <w:spacing w:line="261" w:lineRule="exact" w:before="2"/>
              <w:ind w:left="133" w:right="256"/>
              <w:rPr>
                <w:sz w:val="21"/>
              </w:rPr>
            </w:pPr>
            <w:r>
              <w:rPr>
                <w:rFonts w:ascii="Times New Roman" w:eastAsia="Times New Roman"/>
                <w:sz w:val="21"/>
              </w:rPr>
              <w:t>3.6mm </w:t>
            </w:r>
            <w:r>
              <w:rPr>
                <w:sz w:val="21"/>
              </w:rPr>
              <w:t>铅当量）</w:t>
            </w:r>
          </w:p>
        </w:tc>
      </w:tr>
      <w:tr>
        <w:trPr>
          <w:trHeight w:val="360"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tcBorders>
              <w:top w:val="single" w:sz="4" w:space="0" w:color="000000"/>
              <w:left w:val="single" w:sz="4" w:space="0" w:color="000000"/>
              <w:bottom w:val="nil"/>
              <w:right w:val="single" w:sz="4" w:space="0" w:color="000000"/>
            </w:tcBorders>
          </w:tcPr>
          <w:p>
            <w:pPr>
              <w:pStyle w:val="TableParagraph"/>
              <w:jc w:val="left"/>
              <w:rPr>
                <w:rFonts w:ascii="Times New Roman"/>
                <w:sz w:val="2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5"/>
              <w:ind w:left="134" w:right="255"/>
              <w:rPr>
                <w:sz w:val="21"/>
              </w:rPr>
            </w:pPr>
            <w:r>
              <w:rPr>
                <w:spacing w:val="-3"/>
                <w:w w:val="95"/>
                <w:sz w:val="21"/>
              </w:rPr>
              <w:t>工作状态指示灯箱 </w:t>
            </w:r>
            <w:r>
              <w:rPr>
                <w:rFonts w:ascii="Times New Roman" w:eastAsia="Times New Roman"/>
                <w:w w:val="95"/>
                <w:sz w:val="21"/>
              </w:rPr>
              <w:t>2</w:t>
            </w:r>
            <w:r>
              <w:rPr>
                <w:rFonts w:ascii="Times New Roman" w:eastAsia="Times New Roman"/>
                <w:spacing w:val="32"/>
                <w:w w:val="95"/>
                <w:sz w:val="21"/>
              </w:rPr>
              <w:t> </w:t>
            </w:r>
            <w:r>
              <w:rPr>
                <w:w w:val="95"/>
                <w:sz w:val="21"/>
              </w:rPr>
              <w:t>个</w:t>
            </w:r>
          </w:p>
        </w:tc>
      </w:tr>
      <w:tr>
        <w:trPr>
          <w:trHeight w:val="360" w:hRule="atLeast"/>
        </w:trPr>
        <w:tc>
          <w:tcPr>
            <w:tcW w:w="991" w:type="dxa"/>
            <w:tcBorders>
              <w:top w:val="nil"/>
              <w:left w:val="single" w:sz="4" w:space="0" w:color="000000"/>
              <w:bottom w:val="nil"/>
              <w:right w:val="single" w:sz="4" w:space="0" w:color="000000"/>
            </w:tcBorders>
          </w:tcPr>
          <w:p>
            <w:pPr>
              <w:pStyle w:val="TableParagraph"/>
              <w:spacing w:line="231" w:lineRule="exact" w:before="109"/>
              <w:ind w:left="239"/>
              <w:jc w:val="left"/>
              <w:rPr>
                <w:rFonts w:ascii="Times New Roman"/>
                <w:sz w:val="21"/>
              </w:rPr>
            </w:pPr>
            <w:r>
              <w:rPr>
                <w:rFonts w:ascii="Times New Roman"/>
                <w:sz w:val="21"/>
              </w:rPr>
              <w:t>DSA</w:t>
            </w:r>
          </w:p>
        </w:tc>
        <w:tc>
          <w:tcPr>
            <w:tcW w:w="946"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5"/>
              <w:ind w:left="134" w:right="255"/>
              <w:rPr>
                <w:sz w:val="21"/>
              </w:rPr>
            </w:pPr>
            <w:r>
              <w:rPr>
                <w:spacing w:val="-3"/>
                <w:w w:val="95"/>
                <w:sz w:val="21"/>
              </w:rPr>
              <w:t>电离辐射警告标志 </w:t>
            </w:r>
            <w:r>
              <w:rPr>
                <w:rFonts w:ascii="Times New Roman" w:eastAsia="Times New Roman"/>
                <w:w w:val="95"/>
                <w:sz w:val="21"/>
              </w:rPr>
              <w:t>2</w:t>
            </w:r>
            <w:r>
              <w:rPr>
                <w:rFonts w:ascii="Times New Roman" w:eastAsia="Times New Roman"/>
                <w:spacing w:val="32"/>
                <w:w w:val="95"/>
                <w:sz w:val="21"/>
              </w:rPr>
              <w:t> </w:t>
            </w:r>
            <w:r>
              <w:rPr>
                <w:w w:val="95"/>
                <w:sz w:val="21"/>
              </w:rPr>
              <w:t>个</w:t>
            </w:r>
          </w:p>
        </w:tc>
      </w:tr>
      <w:tr>
        <w:trPr>
          <w:trHeight w:val="316" w:hRule="atLeast"/>
        </w:trPr>
        <w:tc>
          <w:tcPr>
            <w:tcW w:w="991" w:type="dxa"/>
            <w:vMerge w:val="restart"/>
            <w:tcBorders>
              <w:top w:val="nil"/>
              <w:left w:val="single" w:sz="4" w:space="0" w:color="000000"/>
              <w:bottom w:val="nil"/>
              <w:right w:val="single" w:sz="4" w:space="0" w:color="000000"/>
            </w:tcBorders>
          </w:tcPr>
          <w:p>
            <w:pPr>
              <w:pStyle w:val="TableParagraph"/>
              <w:spacing w:before="37"/>
              <w:ind w:left="239"/>
              <w:jc w:val="left"/>
              <w:rPr>
                <w:sz w:val="21"/>
              </w:rPr>
            </w:pPr>
            <w:r>
              <w:rPr>
                <w:sz w:val="21"/>
              </w:rPr>
              <w:t>机房</w:t>
            </w:r>
          </w:p>
        </w:tc>
        <w:tc>
          <w:tcPr>
            <w:tcW w:w="946" w:type="dxa"/>
            <w:vMerge w:val="restart"/>
            <w:tcBorders>
              <w:top w:val="nil"/>
              <w:left w:val="single" w:sz="4" w:space="0" w:color="000000"/>
              <w:bottom w:val="nil"/>
              <w:right w:val="single" w:sz="4" w:space="0" w:color="000000"/>
            </w:tcBorders>
          </w:tcPr>
          <w:p>
            <w:pPr>
              <w:pStyle w:val="TableParagraph"/>
              <w:spacing w:before="147"/>
              <w:ind w:left="158"/>
              <w:jc w:val="left"/>
              <w:rPr>
                <w:sz w:val="21"/>
              </w:rPr>
            </w:pPr>
            <w:r>
              <w:rPr>
                <w:sz w:val="21"/>
              </w:rPr>
              <w:t>安全装</w:t>
            </w: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line="263" w:lineRule="exact"/>
              <w:ind w:left="1883"/>
              <w:jc w:val="left"/>
              <w:rPr>
                <w:sz w:val="21"/>
              </w:rPr>
            </w:pPr>
            <w:r>
              <w:rPr>
                <w:spacing w:val="-4"/>
                <w:w w:val="95"/>
                <w:sz w:val="21"/>
              </w:rPr>
              <w:t>床下铅帘 </w:t>
            </w:r>
            <w:r>
              <w:rPr>
                <w:rFonts w:ascii="Times New Roman" w:eastAsia="Times New Roman"/>
                <w:w w:val="95"/>
                <w:sz w:val="21"/>
              </w:rPr>
              <w:t>1</w:t>
            </w:r>
            <w:r>
              <w:rPr>
                <w:rFonts w:ascii="Times New Roman" w:eastAsia="Times New Roman"/>
                <w:spacing w:val="33"/>
                <w:w w:val="95"/>
                <w:sz w:val="21"/>
              </w:rPr>
              <w:t> </w:t>
            </w:r>
            <w:r>
              <w:rPr>
                <w:w w:val="95"/>
                <w:sz w:val="21"/>
              </w:rPr>
              <w:t>副（</w:t>
            </w:r>
            <w:r>
              <w:rPr>
                <w:rFonts w:ascii="Times New Roman" w:eastAsia="Times New Roman"/>
                <w:w w:val="95"/>
                <w:sz w:val="21"/>
              </w:rPr>
              <w:t>0.5mm</w:t>
            </w:r>
            <w:r>
              <w:rPr>
                <w:rFonts w:ascii="Times New Roman" w:eastAsia="Times New Roman"/>
                <w:spacing w:val="32"/>
                <w:w w:val="95"/>
                <w:sz w:val="21"/>
              </w:rPr>
              <w:t> </w:t>
            </w:r>
            <w:r>
              <w:rPr>
                <w:w w:val="95"/>
                <w:sz w:val="21"/>
              </w:rPr>
              <w:t>铅当量）</w:t>
            </w:r>
          </w:p>
        </w:tc>
      </w:tr>
      <w:tr>
        <w:trPr>
          <w:trHeight w:val="115" w:hRule="atLeast"/>
        </w:trPr>
        <w:tc>
          <w:tcPr>
            <w:tcW w:w="991" w:type="dxa"/>
            <w:vMerge/>
            <w:tcBorders>
              <w:top w:val="nil"/>
              <w:left w:val="single" w:sz="4" w:space="0" w:color="000000"/>
              <w:bottom w:val="nil"/>
              <w:right w:val="single" w:sz="4" w:space="0" w:color="000000"/>
            </w:tcBorders>
          </w:tcPr>
          <w:p>
            <w:pPr>
              <w:rPr>
                <w:sz w:val="2"/>
                <w:szCs w:val="2"/>
              </w:rPr>
            </w:pPr>
          </w:p>
        </w:tc>
        <w:tc>
          <w:tcPr>
            <w:tcW w:w="946" w:type="dxa"/>
            <w:vMerge/>
            <w:tcBorders>
              <w:top w:val="nil"/>
              <w:left w:val="single" w:sz="4" w:space="0" w:color="000000"/>
              <w:bottom w:val="nil"/>
              <w:right w:val="single" w:sz="4" w:space="0" w:color="000000"/>
            </w:tcBorders>
          </w:tcPr>
          <w:p>
            <w:pPr>
              <w:rPr>
                <w:sz w:val="2"/>
                <w:szCs w:val="2"/>
              </w:rPr>
            </w:pPr>
          </w:p>
        </w:tc>
        <w:tc>
          <w:tcPr>
            <w:tcW w:w="6848"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line="264" w:lineRule="exact"/>
              <w:ind w:left="1883"/>
              <w:jc w:val="left"/>
              <w:rPr>
                <w:sz w:val="21"/>
              </w:rPr>
            </w:pPr>
            <w:r>
              <w:rPr>
                <w:spacing w:val="-4"/>
                <w:w w:val="95"/>
                <w:sz w:val="21"/>
              </w:rPr>
              <w:t>悬吊铅帘 </w:t>
            </w:r>
            <w:r>
              <w:rPr>
                <w:rFonts w:ascii="Times New Roman" w:eastAsia="Times New Roman"/>
                <w:w w:val="95"/>
                <w:sz w:val="21"/>
              </w:rPr>
              <w:t>1</w:t>
            </w:r>
            <w:r>
              <w:rPr>
                <w:rFonts w:ascii="Times New Roman" w:eastAsia="Times New Roman"/>
                <w:spacing w:val="33"/>
                <w:w w:val="95"/>
                <w:sz w:val="21"/>
              </w:rPr>
              <w:t> </w:t>
            </w:r>
            <w:r>
              <w:rPr>
                <w:w w:val="95"/>
                <w:sz w:val="21"/>
              </w:rPr>
              <w:t>副（</w:t>
            </w:r>
            <w:r>
              <w:rPr>
                <w:rFonts w:ascii="Times New Roman" w:eastAsia="Times New Roman"/>
                <w:w w:val="95"/>
                <w:sz w:val="21"/>
              </w:rPr>
              <w:t>0.5mm</w:t>
            </w:r>
            <w:r>
              <w:rPr>
                <w:rFonts w:ascii="Times New Roman" w:eastAsia="Times New Roman"/>
                <w:spacing w:val="32"/>
                <w:w w:val="95"/>
                <w:sz w:val="21"/>
              </w:rPr>
              <w:t> </w:t>
            </w:r>
            <w:r>
              <w:rPr>
                <w:w w:val="95"/>
                <w:sz w:val="21"/>
              </w:rPr>
              <w:t>铅当量）</w:t>
            </w:r>
          </w:p>
        </w:tc>
      </w:tr>
      <w:tr>
        <w:trPr>
          <w:trHeight w:val="190" w:hRule="atLeast"/>
        </w:trPr>
        <w:tc>
          <w:tcPr>
            <w:tcW w:w="991" w:type="dxa"/>
            <w:vMerge w:val="restart"/>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vMerge w:val="restart"/>
            <w:tcBorders>
              <w:top w:val="nil"/>
              <w:left w:val="single" w:sz="4" w:space="0" w:color="000000"/>
              <w:bottom w:val="nil"/>
              <w:right w:val="single" w:sz="4" w:space="0" w:color="000000"/>
            </w:tcBorders>
          </w:tcPr>
          <w:p>
            <w:pPr>
              <w:pStyle w:val="TableParagraph"/>
              <w:spacing w:before="8"/>
              <w:ind w:left="7"/>
              <w:rPr>
                <w:sz w:val="21"/>
              </w:rPr>
            </w:pPr>
            <w:r>
              <w:rPr>
                <w:w w:val="99"/>
                <w:sz w:val="21"/>
              </w:rPr>
              <w:t>置</w:t>
            </w:r>
          </w:p>
        </w:tc>
        <w:tc>
          <w:tcPr>
            <w:tcW w:w="6848" w:type="dxa"/>
            <w:gridSpan w:val="2"/>
            <w:vMerge/>
            <w:tcBorders>
              <w:top w:val="nil"/>
              <w:left w:val="single" w:sz="4" w:space="0" w:color="000000"/>
              <w:bottom w:val="single" w:sz="4" w:space="0" w:color="000000"/>
              <w:right w:val="single" w:sz="4" w:space="0" w:color="000000"/>
            </w:tcBorders>
          </w:tcPr>
          <w:p>
            <w:pPr>
              <w:rPr>
                <w:sz w:val="2"/>
                <w:szCs w:val="2"/>
              </w:rPr>
            </w:pPr>
          </w:p>
        </w:tc>
      </w:tr>
      <w:tr>
        <w:trPr>
          <w:trHeight w:val="315" w:hRule="atLeast"/>
        </w:trPr>
        <w:tc>
          <w:tcPr>
            <w:tcW w:w="991" w:type="dxa"/>
            <w:vMerge/>
            <w:tcBorders>
              <w:top w:val="nil"/>
              <w:left w:val="single" w:sz="4" w:space="0" w:color="000000"/>
              <w:bottom w:val="nil"/>
              <w:right w:val="single" w:sz="4" w:space="0" w:color="000000"/>
            </w:tcBorders>
          </w:tcPr>
          <w:p>
            <w:pPr>
              <w:rPr>
                <w:sz w:val="2"/>
                <w:szCs w:val="2"/>
              </w:rPr>
            </w:pPr>
          </w:p>
        </w:tc>
        <w:tc>
          <w:tcPr>
            <w:tcW w:w="946" w:type="dxa"/>
            <w:vMerge/>
            <w:tcBorders>
              <w:top w:val="nil"/>
              <w:left w:val="single" w:sz="4" w:space="0" w:color="000000"/>
              <w:bottom w:val="nil"/>
              <w:right w:val="single" w:sz="4" w:space="0" w:color="000000"/>
            </w:tcBorders>
          </w:tcPr>
          <w:p>
            <w:pPr>
              <w:rPr>
                <w:sz w:val="2"/>
                <w:szCs w:val="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
              <w:ind w:left="134" w:right="255"/>
              <w:rPr>
                <w:sz w:val="21"/>
              </w:rPr>
            </w:pPr>
            <w:r>
              <w:rPr>
                <w:spacing w:val="-4"/>
                <w:w w:val="95"/>
                <w:sz w:val="21"/>
              </w:rPr>
              <w:t>门灯联锁装置 </w:t>
            </w:r>
            <w:r>
              <w:rPr>
                <w:rFonts w:ascii="Times New Roman" w:eastAsia="Times New Roman"/>
                <w:w w:val="95"/>
                <w:sz w:val="21"/>
              </w:rPr>
              <w:t>1</w:t>
            </w:r>
            <w:r>
              <w:rPr>
                <w:rFonts w:ascii="Times New Roman" w:eastAsia="Times New Roman"/>
                <w:spacing w:val="25"/>
                <w:w w:val="95"/>
                <w:sz w:val="21"/>
              </w:rPr>
              <w:t> </w:t>
            </w:r>
            <w:r>
              <w:rPr>
                <w:w w:val="95"/>
                <w:sz w:val="21"/>
              </w:rPr>
              <w:t>套</w:t>
            </w:r>
          </w:p>
        </w:tc>
      </w:tr>
      <w:tr>
        <w:trPr>
          <w:trHeight w:val="315"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vMerge w:val="restart"/>
            <w:tcBorders>
              <w:top w:val="nil"/>
              <w:left w:val="single" w:sz="4" w:space="0" w:color="000000"/>
              <w:bottom w:val="single" w:sz="4" w:space="0" w:color="000000"/>
              <w:right w:val="single" w:sz="4" w:space="0" w:color="000000"/>
            </w:tcBorders>
          </w:tcPr>
          <w:p>
            <w:pPr>
              <w:pStyle w:val="TableParagraph"/>
              <w:jc w:val="left"/>
              <w:rPr>
                <w:rFonts w:ascii="Times New Roman"/>
                <w:sz w:val="2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
              <w:ind w:left="134" w:right="255"/>
              <w:rPr>
                <w:sz w:val="21"/>
              </w:rPr>
            </w:pPr>
            <w:r>
              <w:rPr>
                <w:spacing w:val="-4"/>
                <w:w w:val="95"/>
                <w:sz w:val="21"/>
              </w:rPr>
              <w:t>紧急止动装置 </w:t>
            </w:r>
            <w:r>
              <w:rPr>
                <w:rFonts w:ascii="Times New Roman" w:eastAsia="Times New Roman"/>
                <w:w w:val="95"/>
                <w:sz w:val="21"/>
              </w:rPr>
              <w:t>1</w:t>
            </w:r>
            <w:r>
              <w:rPr>
                <w:rFonts w:ascii="Times New Roman" w:eastAsia="Times New Roman"/>
                <w:spacing w:val="25"/>
                <w:w w:val="95"/>
                <w:sz w:val="21"/>
              </w:rPr>
              <w:t> </w:t>
            </w:r>
            <w:r>
              <w:rPr>
                <w:w w:val="95"/>
                <w:sz w:val="21"/>
              </w:rPr>
              <w:t>套</w:t>
            </w:r>
          </w:p>
        </w:tc>
      </w:tr>
      <w:tr>
        <w:trPr>
          <w:trHeight w:val="332"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vMerge/>
            <w:tcBorders>
              <w:top w:val="nil"/>
              <w:left w:val="single" w:sz="4" w:space="0" w:color="000000"/>
              <w:bottom w:val="single" w:sz="4" w:space="0" w:color="000000"/>
              <w:right w:val="single" w:sz="4" w:space="0" w:color="000000"/>
            </w:tcBorders>
          </w:tcPr>
          <w:p>
            <w:pPr>
              <w:rPr>
                <w:sz w:val="2"/>
                <w:szCs w:val="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34" w:right="255"/>
              <w:rPr>
                <w:sz w:val="21"/>
              </w:rPr>
            </w:pPr>
            <w:r>
              <w:rPr>
                <w:spacing w:val="-7"/>
                <w:w w:val="95"/>
                <w:sz w:val="21"/>
              </w:rPr>
              <w:t>对讲系统 </w:t>
            </w:r>
            <w:r>
              <w:rPr>
                <w:rFonts w:ascii="Times New Roman" w:eastAsia="Times New Roman"/>
                <w:w w:val="95"/>
                <w:sz w:val="21"/>
              </w:rPr>
              <w:t>1</w:t>
            </w:r>
            <w:r>
              <w:rPr>
                <w:rFonts w:ascii="Times New Roman" w:eastAsia="Times New Roman"/>
                <w:spacing w:val="20"/>
                <w:w w:val="95"/>
                <w:sz w:val="21"/>
              </w:rPr>
              <w:t> </w:t>
            </w:r>
            <w:r>
              <w:rPr>
                <w:w w:val="95"/>
                <w:sz w:val="21"/>
              </w:rPr>
              <w:t>套</w:t>
            </w:r>
          </w:p>
        </w:tc>
      </w:tr>
      <w:tr>
        <w:trPr>
          <w:trHeight w:val="320"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tcBorders>
              <w:top w:val="single" w:sz="4" w:space="0" w:color="000000"/>
              <w:left w:val="single" w:sz="4" w:space="0" w:color="000000"/>
              <w:bottom w:val="nil"/>
              <w:right w:val="single" w:sz="4" w:space="0" w:color="000000"/>
            </w:tcBorders>
          </w:tcPr>
          <w:p>
            <w:pPr>
              <w:pStyle w:val="TableParagraph"/>
              <w:jc w:val="left"/>
              <w:rPr>
                <w:rFonts w:ascii="Times New Roman"/>
                <w:sz w:val="2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5"/>
              <w:ind w:left="134" w:right="255"/>
              <w:rPr>
                <w:sz w:val="21"/>
              </w:rPr>
            </w:pPr>
            <w:r>
              <w:rPr>
                <w:spacing w:val="-5"/>
                <w:w w:val="95"/>
                <w:sz w:val="21"/>
              </w:rPr>
              <w:t>个人剂量计 </w:t>
            </w:r>
            <w:r>
              <w:rPr>
                <w:rFonts w:ascii="Times New Roman" w:eastAsia="Times New Roman"/>
                <w:w w:val="95"/>
                <w:sz w:val="21"/>
              </w:rPr>
              <w:t>16</w:t>
            </w:r>
            <w:r>
              <w:rPr>
                <w:rFonts w:ascii="Times New Roman" w:eastAsia="Times New Roman"/>
                <w:spacing w:val="25"/>
                <w:w w:val="95"/>
                <w:sz w:val="21"/>
              </w:rPr>
              <w:t> </w:t>
            </w:r>
            <w:r>
              <w:rPr>
                <w:w w:val="95"/>
                <w:sz w:val="21"/>
              </w:rPr>
              <w:t>套</w:t>
            </w:r>
          </w:p>
        </w:tc>
      </w:tr>
      <w:tr>
        <w:trPr>
          <w:trHeight w:val="315"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tcBorders>
              <w:top w:val="nil"/>
              <w:left w:val="single" w:sz="4" w:space="0" w:color="000000"/>
              <w:bottom w:val="nil"/>
              <w:right w:val="single" w:sz="4" w:space="0" w:color="000000"/>
            </w:tcBorders>
          </w:tcPr>
          <w:p>
            <w:pPr>
              <w:pStyle w:val="TableParagraph"/>
              <w:spacing w:line="260" w:lineRule="exact" w:before="35"/>
              <w:ind w:left="137" w:right="128"/>
              <w:rPr>
                <w:sz w:val="21"/>
              </w:rPr>
            </w:pPr>
            <w:r>
              <w:rPr>
                <w:sz w:val="21"/>
              </w:rPr>
              <w:t>监测仪</w:t>
            </w: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
              <w:ind w:left="133" w:right="256"/>
              <w:rPr>
                <w:sz w:val="21"/>
              </w:rPr>
            </w:pPr>
            <w:r>
              <w:rPr>
                <w:spacing w:val="-3"/>
                <w:w w:val="95"/>
                <w:sz w:val="21"/>
              </w:rPr>
              <w:t>个人剂量报警仪 </w:t>
            </w:r>
            <w:r>
              <w:rPr>
                <w:rFonts w:ascii="Times New Roman" w:eastAsia="Times New Roman"/>
                <w:w w:val="95"/>
                <w:sz w:val="21"/>
              </w:rPr>
              <w:t>2</w:t>
            </w:r>
            <w:r>
              <w:rPr>
                <w:rFonts w:ascii="Times New Roman" w:eastAsia="Times New Roman"/>
                <w:spacing w:val="26"/>
                <w:w w:val="95"/>
                <w:sz w:val="21"/>
              </w:rPr>
              <w:t> </w:t>
            </w:r>
            <w:r>
              <w:rPr>
                <w:w w:val="95"/>
                <w:sz w:val="21"/>
              </w:rPr>
              <w:t>台</w:t>
            </w:r>
          </w:p>
        </w:tc>
      </w:tr>
      <w:tr>
        <w:trPr>
          <w:trHeight w:val="315"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tcBorders>
              <w:top w:val="nil"/>
              <w:left w:val="single" w:sz="4" w:space="0" w:color="000000"/>
              <w:bottom w:val="nil"/>
              <w:right w:val="single" w:sz="4" w:space="0" w:color="000000"/>
            </w:tcBorders>
          </w:tcPr>
          <w:p>
            <w:pPr>
              <w:pStyle w:val="TableParagraph"/>
              <w:spacing w:before="22"/>
              <w:ind w:left="137" w:right="128"/>
              <w:rPr>
                <w:sz w:val="21"/>
              </w:rPr>
            </w:pPr>
            <w:r>
              <w:rPr>
                <w:sz w:val="21"/>
              </w:rPr>
              <w:t>器和个</w:t>
            </w: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2"/>
              <w:ind w:left="134" w:right="255"/>
              <w:rPr>
                <w:sz w:val="21"/>
              </w:rPr>
            </w:pPr>
            <w:r>
              <w:rPr>
                <w:spacing w:val="-1"/>
                <w:w w:val="95"/>
                <w:sz w:val="21"/>
              </w:rPr>
              <w:t>便携式辐射剂量监测仪 </w:t>
            </w:r>
            <w:r>
              <w:rPr>
                <w:rFonts w:ascii="Times New Roman" w:eastAsia="Times New Roman"/>
                <w:w w:val="95"/>
                <w:sz w:val="21"/>
              </w:rPr>
              <w:t>1</w:t>
            </w:r>
            <w:r>
              <w:rPr>
                <w:rFonts w:ascii="Times New Roman" w:eastAsia="Times New Roman"/>
                <w:spacing w:val="38"/>
                <w:w w:val="95"/>
                <w:sz w:val="21"/>
              </w:rPr>
              <w:t> </w:t>
            </w:r>
            <w:r>
              <w:rPr>
                <w:w w:val="95"/>
                <w:sz w:val="21"/>
              </w:rPr>
              <w:t>台</w:t>
            </w:r>
          </w:p>
        </w:tc>
      </w:tr>
      <w:tr>
        <w:trPr>
          <w:trHeight w:val="316"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tcBorders>
              <w:top w:val="nil"/>
              <w:left w:val="single" w:sz="4" w:space="0" w:color="000000"/>
              <w:bottom w:val="nil"/>
              <w:right w:val="single" w:sz="4" w:space="0" w:color="000000"/>
            </w:tcBorders>
          </w:tcPr>
          <w:p>
            <w:pPr>
              <w:pStyle w:val="TableParagraph"/>
              <w:spacing w:before="9"/>
              <w:ind w:left="137" w:right="128"/>
              <w:rPr>
                <w:sz w:val="21"/>
              </w:rPr>
            </w:pPr>
            <w:r>
              <w:rPr>
                <w:sz w:val="21"/>
              </w:rPr>
              <w:t>人防护</w:t>
            </w:r>
          </w:p>
        </w:tc>
        <w:tc>
          <w:tcPr>
            <w:tcW w:w="6848" w:type="dxa"/>
            <w:gridSpan w:val="2"/>
            <w:tcBorders>
              <w:top w:val="single" w:sz="4" w:space="0" w:color="000000"/>
              <w:left w:val="single" w:sz="4" w:space="0" w:color="000000"/>
              <w:bottom w:val="nil"/>
              <w:right w:val="single" w:sz="4" w:space="0" w:color="000000"/>
            </w:tcBorders>
          </w:tcPr>
          <w:p>
            <w:pPr>
              <w:pStyle w:val="TableParagraph"/>
              <w:spacing w:before="11"/>
              <w:ind w:left="107"/>
              <w:jc w:val="left"/>
              <w:rPr>
                <w:sz w:val="21"/>
              </w:rPr>
            </w:pPr>
            <w:r>
              <w:rPr>
                <w:w w:val="95"/>
                <w:sz w:val="21"/>
              </w:rPr>
              <w:t>铅橡胶围裙、铅橡胶颈套、铅防护眼镜、介入防护手套 </w:t>
            </w:r>
            <w:r>
              <w:rPr>
                <w:rFonts w:ascii="Times New Roman" w:eastAsia="Times New Roman"/>
                <w:w w:val="95"/>
                <w:sz w:val="21"/>
              </w:rPr>
              <w:t>2</w:t>
            </w:r>
            <w:r>
              <w:rPr>
                <w:rFonts w:ascii="Times New Roman" w:eastAsia="Times New Roman"/>
                <w:spacing w:val="73"/>
                <w:sz w:val="21"/>
              </w:rPr>
              <w:t> </w:t>
            </w:r>
            <w:r>
              <w:rPr>
                <w:w w:val="95"/>
                <w:sz w:val="21"/>
              </w:rPr>
              <w:t>套（</w:t>
            </w:r>
            <w:r>
              <w:rPr>
                <w:rFonts w:ascii="Times New Roman" w:eastAsia="Times New Roman"/>
                <w:w w:val="95"/>
                <w:sz w:val="21"/>
              </w:rPr>
              <w:t>0.5mm</w:t>
            </w:r>
            <w:r>
              <w:rPr>
                <w:rFonts w:ascii="Times New Roman" w:eastAsia="Times New Roman"/>
                <w:spacing w:val="72"/>
                <w:sz w:val="21"/>
              </w:rPr>
              <w:t> </w:t>
            </w:r>
            <w:r>
              <w:rPr>
                <w:w w:val="95"/>
                <w:sz w:val="21"/>
              </w:rPr>
              <w:t>铅</w:t>
            </w:r>
          </w:p>
        </w:tc>
      </w:tr>
      <w:tr>
        <w:trPr>
          <w:trHeight w:val="307" w:hRule="atLeast"/>
        </w:trPr>
        <w:tc>
          <w:tcPr>
            <w:tcW w:w="991" w:type="dxa"/>
            <w:tcBorders>
              <w:top w:val="nil"/>
              <w:left w:val="single" w:sz="4" w:space="0" w:color="000000"/>
              <w:bottom w:val="nil"/>
              <w:right w:val="single" w:sz="4" w:space="0" w:color="000000"/>
            </w:tcBorders>
          </w:tcPr>
          <w:p>
            <w:pPr>
              <w:pStyle w:val="TableParagraph"/>
              <w:jc w:val="left"/>
              <w:rPr>
                <w:rFonts w:ascii="Times New Roman"/>
                <w:sz w:val="22"/>
              </w:rPr>
            </w:pPr>
          </w:p>
        </w:tc>
        <w:tc>
          <w:tcPr>
            <w:tcW w:w="946" w:type="dxa"/>
            <w:tcBorders>
              <w:top w:val="nil"/>
              <w:left w:val="single" w:sz="4" w:space="0" w:color="000000"/>
              <w:bottom w:val="nil"/>
              <w:right w:val="single" w:sz="4" w:space="0" w:color="000000"/>
            </w:tcBorders>
          </w:tcPr>
          <w:p>
            <w:pPr>
              <w:pStyle w:val="TableParagraph"/>
              <w:spacing w:before="4"/>
              <w:ind w:left="132" w:right="128"/>
              <w:rPr>
                <w:sz w:val="21"/>
              </w:rPr>
            </w:pPr>
            <w:r>
              <w:rPr>
                <w:sz w:val="21"/>
              </w:rPr>
              <w:t>用品</w:t>
            </w:r>
          </w:p>
        </w:tc>
        <w:tc>
          <w:tcPr>
            <w:tcW w:w="6848" w:type="dxa"/>
            <w:gridSpan w:val="2"/>
            <w:tcBorders>
              <w:top w:val="nil"/>
              <w:left w:val="single" w:sz="4" w:space="0" w:color="000000"/>
              <w:bottom w:val="single" w:sz="4" w:space="0" w:color="000000"/>
              <w:right w:val="single" w:sz="4" w:space="0" w:color="000000"/>
            </w:tcBorders>
          </w:tcPr>
          <w:p>
            <w:pPr>
              <w:pStyle w:val="TableParagraph"/>
              <w:spacing w:before="7"/>
              <w:ind w:left="107"/>
              <w:jc w:val="left"/>
              <w:rPr>
                <w:sz w:val="21"/>
              </w:rPr>
            </w:pPr>
            <w:r>
              <w:rPr>
                <w:sz w:val="21"/>
              </w:rPr>
              <w:t>当量，医护人员使用）</w:t>
            </w:r>
          </w:p>
        </w:tc>
      </w:tr>
      <w:tr>
        <w:trPr>
          <w:trHeight w:val="342" w:hRule="atLeast"/>
        </w:trPr>
        <w:tc>
          <w:tcPr>
            <w:tcW w:w="991" w:type="dxa"/>
            <w:tcBorders>
              <w:top w:val="nil"/>
              <w:left w:val="single" w:sz="4" w:space="0" w:color="000000"/>
              <w:bottom w:val="single" w:sz="4" w:space="0" w:color="000000"/>
              <w:right w:val="single" w:sz="4" w:space="0" w:color="000000"/>
            </w:tcBorders>
          </w:tcPr>
          <w:p>
            <w:pPr>
              <w:pStyle w:val="TableParagraph"/>
              <w:jc w:val="left"/>
              <w:rPr>
                <w:rFonts w:ascii="Times New Roman"/>
                <w:sz w:val="22"/>
              </w:rPr>
            </w:pPr>
          </w:p>
        </w:tc>
        <w:tc>
          <w:tcPr>
            <w:tcW w:w="946" w:type="dxa"/>
            <w:tcBorders>
              <w:top w:val="nil"/>
              <w:left w:val="single" w:sz="4" w:space="0" w:color="000000"/>
              <w:bottom w:val="single" w:sz="4" w:space="0" w:color="000000"/>
              <w:right w:val="single" w:sz="4" w:space="0" w:color="000000"/>
            </w:tcBorders>
          </w:tcPr>
          <w:p>
            <w:pPr>
              <w:pStyle w:val="TableParagraph"/>
              <w:jc w:val="left"/>
              <w:rPr>
                <w:rFonts w:ascii="Times New Roman"/>
                <w:sz w:val="22"/>
              </w:rPr>
            </w:pPr>
          </w:p>
        </w:tc>
        <w:tc>
          <w:tcPr>
            <w:tcW w:w="684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8"/>
              <w:ind w:left="107"/>
              <w:jc w:val="left"/>
              <w:rPr>
                <w:sz w:val="21"/>
              </w:rPr>
            </w:pPr>
            <w:r>
              <w:rPr>
                <w:w w:val="95"/>
                <w:sz w:val="21"/>
              </w:rPr>
              <w:t>铅橡胶性腺防护围裙</w:t>
            </w:r>
            <w:r>
              <w:rPr>
                <w:spacing w:val="110"/>
                <w:sz w:val="21"/>
              </w:rPr>
              <w:t> </w:t>
            </w:r>
            <w:r>
              <w:rPr>
                <w:w w:val="95"/>
                <w:sz w:val="21"/>
              </w:rPr>
              <w:t>（方形）或方巾、铅橡胶颈套 </w:t>
            </w:r>
            <w:r>
              <w:rPr>
                <w:rFonts w:ascii="Times New Roman" w:eastAsia="Times New Roman"/>
                <w:w w:val="95"/>
                <w:sz w:val="21"/>
              </w:rPr>
              <w:t>1</w:t>
            </w:r>
            <w:r>
              <w:rPr>
                <w:rFonts w:ascii="Times New Roman" w:eastAsia="Times New Roman"/>
                <w:spacing w:val="58"/>
                <w:sz w:val="21"/>
              </w:rPr>
              <w:t> </w:t>
            </w:r>
            <w:r>
              <w:rPr>
                <w:w w:val="95"/>
                <w:sz w:val="21"/>
              </w:rPr>
              <w:t>套（患者使用）</w:t>
            </w:r>
          </w:p>
        </w:tc>
      </w:tr>
      <w:tr>
        <w:trPr>
          <w:trHeight w:val="311" w:hRule="atLeast"/>
        </w:trPr>
        <w:tc>
          <w:tcPr>
            <w:tcW w:w="991" w:type="dxa"/>
            <w:tcBorders>
              <w:top w:val="single" w:sz="4" w:space="0" w:color="000000"/>
              <w:left w:val="single" w:sz="4" w:space="0" w:color="000000"/>
              <w:bottom w:val="single" w:sz="12" w:space="0" w:color="000000"/>
              <w:right w:val="single" w:sz="4" w:space="0" w:color="000000"/>
            </w:tcBorders>
          </w:tcPr>
          <w:p>
            <w:pPr>
              <w:pStyle w:val="TableParagraph"/>
              <w:spacing w:before="12"/>
              <w:ind w:left="350"/>
              <w:jc w:val="left"/>
              <w:rPr>
                <w:sz w:val="21"/>
              </w:rPr>
            </w:pPr>
            <w:r>
              <w:rPr>
                <w:sz w:val="21"/>
              </w:rPr>
              <w:t>其他</w:t>
            </w:r>
          </w:p>
        </w:tc>
        <w:tc>
          <w:tcPr>
            <w:tcW w:w="7794" w:type="dxa"/>
            <w:gridSpan w:val="3"/>
            <w:tcBorders>
              <w:top w:val="single" w:sz="4" w:space="0" w:color="000000"/>
              <w:left w:val="single" w:sz="4" w:space="0" w:color="000000"/>
              <w:bottom w:val="single" w:sz="12" w:space="0" w:color="000000"/>
              <w:right w:val="single" w:sz="4" w:space="0" w:color="000000"/>
            </w:tcBorders>
          </w:tcPr>
          <w:p>
            <w:pPr>
              <w:pStyle w:val="TableParagraph"/>
              <w:spacing w:before="12"/>
              <w:ind w:left="3195" w:right="3317"/>
              <w:rPr>
                <w:sz w:val="21"/>
              </w:rPr>
            </w:pPr>
            <w:r>
              <w:rPr>
                <w:spacing w:val="-7"/>
                <w:w w:val="95"/>
                <w:sz w:val="21"/>
              </w:rPr>
              <w:t>排风系统 </w:t>
            </w:r>
            <w:r>
              <w:rPr>
                <w:rFonts w:ascii="Times New Roman" w:eastAsia="Times New Roman"/>
                <w:w w:val="95"/>
                <w:sz w:val="21"/>
              </w:rPr>
              <w:t>1</w:t>
            </w:r>
            <w:r>
              <w:rPr>
                <w:rFonts w:ascii="Times New Roman" w:eastAsia="Times New Roman"/>
                <w:spacing w:val="20"/>
                <w:w w:val="95"/>
                <w:sz w:val="21"/>
              </w:rPr>
              <w:t> </w:t>
            </w:r>
            <w:r>
              <w:rPr>
                <w:w w:val="95"/>
                <w:sz w:val="21"/>
              </w:rPr>
              <w:t>套</w:t>
            </w:r>
          </w:p>
        </w:tc>
      </w:tr>
      <w:tr>
        <w:trPr>
          <w:trHeight w:val="7184" w:hRule="atLeast"/>
        </w:trPr>
        <w:tc>
          <w:tcPr>
            <w:tcW w:w="8785" w:type="dxa"/>
            <w:gridSpan w:val="4"/>
            <w:tcBorders>
              <w:top w:val="single" w:sz="12" w:space="0" w:color="000000"/>
              <w:left w:val="single" w:sz="4" w:space="0" w:color="000000"/>
              <w:bottom w:val="single" w:sz="4" w:space="0" w:color="000000"/>
              <w:right w:val="single" w:sz="4" w:space="0" w:color="000000"/>
            </w:tcBorders>
          </w:tcPr>
          <w:p>
            <w:pPr>
              <w:pStyle w:val="TableParagraph"/>
              <w:spacing w:before="10"/>
              <w:jc w:val="left"/>
              <w:rPr>
                <w:sz w:val="17"/>
              </w:rPr>
            </w:pPr>
          </w:p>
          <w:p>
            <w:pPr>
              <w:pStyle w:val="TableParagraph"/>
              <w:spacing w:line="364" w:lineRule="auto"/>
              <w:ind w:left="107" w:right="-29" w:firstLine="480"/>
              <w:jc w:val="left"/>
              <w:rPr>
                <w:sz w:val="24"/>
              </w:rPr>
            </w:pPr>
            <w:r>
              <w:rPr>
                <w:sz w:val="24"/>
              </w:rPr>
              <w:t>验收时依据《中华人民共和国环境保护法》、《中华人民共和国放射性污染防</w:t>
            </w:r>
            <w:r>
              <w:rPr>
                <w:spacing w:val="-15"/>
                <w:sz w:val="24"/>
              </w:rPr>
              <w:t>治法》、《放射性同位素和射线装置安全和防护条例》</w:t>
            </w:r>
            <w:r>
              <w:rPr>
                <w:spacing w:val="-2"/>
                <w:sz w:val="24"/>
              </w:rPr>
              <w:t>（</w:t>
            </w:r>
            <w:r>
              <w:rPr>
                <w:spacing w:val="-12"/>
                <w:sz w:val="24"/>
              </w:rPr>
              <w:t>国务院令第 </w:t>
            </w:r>
            <w:r>
              <w:rPr>
                <w:rFonts w:ascii="Times New Roman" w:eastAsia="Times New Roman"/>
                <w:spacing w:val="-2"/>
                <w:sz w:val="24"/>
              </w:rPr>
              <w:t>449</w:t>
            </w:r>
            <w:r>
              <w:rPr>
                <w:rFonts w:ascii="Times New Roman" w:eastAsia="Times New Roman"/>
                <w:sz w:val="24"/>
              </w:rPr>
              <w:t> </w:t>
            </w:r>
            <w:r>
              <w:rPr>
                <w:spacing w:val="-2"/>
                <w:sz w:val="24"/>
              </w:rPr>
              <w:t>号）</w:t>
            </w:r>
            <w:r>
              <w:rPr>
                <w:spacing w:val="-26"/>
                <w:sz w:val="24"/>
              </w:rPr>
              <w:t>、《放</w:t>
            </w:r>
            <w:r>
              <w:rPr>
                <w:sz w:val="24"/>
              </w:rPr>
              <w:t>射性同位素与射线装置安全和防护管理办法》、《电离辐射防护与辐射源安全基本</w:t>
            </w:r>
            <w:r>
              <w:rPr>
                <w:spacing w:val="-13"/>
                <w:sz w:val="24"/>
              </w:rPr>
              <w:t>标准》、《建设项目环境保护管理条例》、《建设项目竣工环境保护验收暂行办法》</w:t>
            </w:r>
            <w:r>
              <w:rPr>
                <w:sz w:val="24"/>
              </w:rPr>
              <w:t>等法律和标准，对照本项目环境影响报告表验收。</w:t>
            </w:r>
          </w:p>
          <w:p>
            <w:pPr>
              <w:pStyle w:val="TableParagraph"/>
              <w:spacing w:before="3"/>
              <w:ind w:left="587"/>
              <w:jc w:val="left"/>
              <w:rPr>
                <w:rFonts w:ascii="Times New Roman" w:eastAsia="Times New Roman"/>
                <w:sz w:val="24"/>
              </w:rPr>
            </w:pPr>
            <w:r>
              <w:rPr>
                <w:rFonts w:ascii="Times New Roman" w:eastAsia="Times New Roman"/>
                <w:spacing w:val="-2"/>
                <w:sz w:val="24"/>
              </w:rPr>
              <w:t>1</w:t>
            </w:r>
            <w:r>
              <w:rPr>
                <w:spacing w:val="-2"/>
                <w:sz w:val="24"/>
              </w:rPr>
              <w:t>、根据《建设项目环境保护管理条例》（</w:t>
            </w:r>
            <w:r>
              <w:rPr>
                <w:spacing w:val="-12"/>
                <w:sz w:val="24"/>
              </w:rPr>
              <w:t>国务院令第 </w:t>
            </w:r>
            <w:r>
              <w:rPr>
                <w:rFonts w:ascii="Times New Roman" w:eastAsia="Times New Roman"/>
                <w:spacing w:val="-2"/>
                <w:sz w:val="24"/>
              </w:rPr>
              <w:t>682</w:t>
            </w:r>
            <w:r>
              <w:rPr>
                <w:rFonts w:ascii="Times New Roman" w:eastAsia="Times New Roman"/>
                <w:sz w:val="24"/>
              </w:rPr>
              <w:t> </w:t>
            </w:r>
            <w:r>
              <w:rPr>
                <w:spacing w:val="-2"/>
                <w:sz w:val="24"/>
              </w:rPr>
              <w:t>号，</w:t>
            </w:r>
            <w:r>
              <w:rPr>
                <w:rFonts w:ascii="Times New Roman" w:eastAsia="Times New Roman"/>
                <w:spacing w:val="-2"/>
                <w:sz w:val="24"/>
              </w:rPr>
              <w:t>2017</w:t>
            </w:r>
            <w:r>
              <w:rPr>
                <w:rFonts w:ascii="Times New Roman" w:eastAsia="Times New Roman"/>
                <w:sz w:val="24"/>
              </w:rPr>
              <w:t> </w:t>
            </w:r>
            <w:r>
              <w:rPr>
                <w:spacing w:val="-30"/>
                <w:sz w:val="24"/>
              </w:rPr>
              <w:t>年 </w:t>
            </w:r>
            <w:r>
              <w:rPr>
                <w:rFonts w:ascii="Times New Roman" w:eastAsia="Times New Roman"/>
                <w:spacing w:val="-1"/>
                <w:sz w:val="24"/>
              </w:rPr>
              <w:t>10</w:t>
            </w:r>
            <w:r>
              <w:rPr>
                <w:rFonts w:ascii="Times New Roman" w:eastAsia="Times New Roman"/>
                <w:sz w:val="24"/>
              </w:rPr>
              <w:t> </w:t>
            </w:r>
            <w:r>
              <w:rPr>
                <w:spacing w:val="-31"/>
                <w:sz w:val="24"/>
              </w:rPr>
              <w:t>月 </w:t>
            </w:r>
            <w:r>
              <w:rPr>
                <w:rFonts w:ascii="Times New Roman" w:eastAsia="Times New Roman"/>
                <w:spacing w:val="-1"/>
                <w:sz w:val="24"/>
              </w:rPr>
              <w:t>1</w:t>
            </w:r>
          </w:p>
          <w:p>
            <w:pPr>
              <w:pStyle w:val="TableParagraph"/>
              <w:spacing w:before="161"/>
              <w:ind w:left="107"/>
              <w:jc w:val="left"/>
              <w:rPr>
                <w:sz w:val="24"/>
              </w:rPr>
            </w:pPr>
            <w:r>
              <w:rPr>
                <w:sz w:val="24"/>
              </w:rPr>
              <w:t>日实施）文件第十七条规定：</w:t>
            </w:r>
          </w:p>
          <w:p>
            <w:pPr>
              <w:pStyle w:val="TableParagraph"/>
              <w:numPr>
                <w:ilvl w:val="0"/>
                <w:numId w:val="18"/>
              </w:numPr>
              <w:tabs>
                <w:tab w:pos="1193" w:val="left" w:leader="none"/>
              </w:tabs>
              <w:spacing w:line="364" w:lineRule="auto" w:before="160" w:after="0"/>
              <w:ind w:left="107" w:right="97" w:firstLine="480"/>
              <w:jc w:val="both"/>
              <w:rPr>
                <w:sz w:val="24"/>
              </w:rPr>
            </w:pPr>
            <w:r>
              <w:rPr>
                <w:sz w:val="24"/>
              </w:rPr>
              <w:t>编制环境影响报告表的建设项目竣工后，建设单位应当按照国务院生态</w:t>
            </w:r>
            <w:r>
              <w:rPr>
                <w:spacing w:val="-3"/>
                <w:sz w:val="24"/>
              </w:rPr>
              <w:t>环境行政主管部门规定的标准和程序，对配套建设的环境保护设施进行验收，编制</w:t>
            </w:r>
            <w:r>
              <w:rPr>
                <w:sz w:val="24"/>
              </w:rPr>
              <w:t>验收报告。</w:t>
            </w:r>
          </w:p>
          <w:p>
            <w:pPr>
              <w:pStyle w:val="TableParagraph"/>
              <w:numPr>
                <w:ilvl w:val="0"/>
                <w:numId w:val="18"/>
              </w:numPr>
              <w:tabs>
                <w:tab w:pos="1193" w:val="left" w:leader="none"/>
              </w:tabs>
              <w:spacing w:line="364" w:lineRule="auto" w:before="2" w:after="0"/>
              <w:ind w:left="107" w:right="97" w:firstLine="480"/>
              <w:jc w:val="left"/>
              <w:rPr>
                <w:sz w:val="24"/>
              </w:rPr>
            </w:pPr>
            <w:r>
              <w:rPr>
                <w:sz w:val="24"/>
              </w:rPr>
              <w:t>建设单位在环境保护设施验收过程中，应当如实查验、监测、记载建设项目环境保护设施的建设和调试情况，不得弄虚作假。</w:t>
            </w:r>
          </w:p>
          <w:p>
            <w:pPr>
              <w:pStyle w:val="TableParagraph"/>
              <w:numPr>
                <w:ilvl w:val="0"/>
                <w:numId w:val="18"/>
              </w:numPr>
              <w:tabs>
                <w:tab w:pos="1193" w:val="left" w:leader="none"/>
              </w:tabs>
              <w:spacing w:line="364" w:lineRule="auto" w:before="1" w:after="0"/>
              <w:ind w:left="107" w:right="97" w:firstLine="480"/>
              <w:jc w:val="left"/>
              <w:rPr>
                <w:sz w:val="24"/>
              </w:rPr>
            </w:pPr>
            <w:r>
              <w:rPr>
                <w:sz w:val="24"/>
              </w:rPr>
              <w:t>除按照国家规定需要保密的情形外，建设单位应当依法向社会公开验收报告。</w:t>
            </w:r>
          </w:p>
          <w:p>
            <w:pPr>
              <w:pStyle w:val="TableParagraph"/>
              <w:spacing w:before="1"/>
              <w:ind w:left="587" w:right="-29"/>
              <w:jc w:val="left"/>
              <w:rPr>
                <w:sz w:val="24"/>
              </w:rPr>
            </w:pPr>
            <w:r>
              <w:rPr>
                <w:rFonts w:ascii="Times New Roman" w:eastAsia="Times New Roman"/>
                <w:spacing w:val="-2"/>
                <w:sz w:val="24"/>
              </w:rPr>
              <w:t>2</w:t>
            </w:r>
            <w:r>
              <w:rPr>
                <w:spacing w:val="-2"/>
                <w:sz w:val="24"/>
              </w:rPr>
              <w:t>、根据环保部《建设项目竣工环境保护验收暂行办法》（国环规环评（</w:t>
            </w:r>
            <w:r>
              <w:rPr>
                <w:rFonts w:ascii="Times New Roman" w:eastAsia="Times New Roman"/>
                <w:spacing w:val="-2"/>
                <w:sz w:val="24"/>
              </w:rPr>
              <w:t>2017</w:t>
            </w:r>
            <w:r>
              <w:rPr>
                <w:spacing w:val="-2"/>
                <w:sz w:val="24"/>
              </w:rPr>
              <w:t>）</w:t>
            </w:r>
          </w:p>
        </w:tc>
      </w:tr>
    </w:tbl>
    <w:p>
      <w:pPr>
        <w:spacing w:after="0"/>
        <w:jc w:val="left"/>
        <w:rPr>
          <w:sz w:val="24"/>
        </w:rPr>
        <w:sectPr>
          <w:pgSz w:w="11910" w:h="16840"/>
          <w:pgMar w:header="0" w:footer="1383" w:top="1420" w:bottom="1580" w:left="1240" w:right="1040"/>
        </w:sectPr>
      </w:pPr>
    </w:p>
    <w:p>
      <w:pPr>
        <w:pStyle w:val="BodyText"/>
        <w:spacing w:before="92"/>
        <w:ind w:left="428"/>
      </w:pPr>
      <w:r>
        <w:rPr/>
        <w:pict>
          <v:shape style="position:absolute;margin-left:77.760002pt;margin-top:72.000023pt;width:439.75pt;height:666.2pt;mso-position-horizontal-relative:page;mso-position-vertical-relative:page;z-index:-20123648" coordorigin="1555,1440" coordsize="8795,13324" path="m1555,1445l10350,1445m1555,14764l10350,14764m1560,1440l1560,14759m10345,1440l10345,14759e" filled="false" stroked="true" strokeweight=".48pt" strokecolor="#000000">
            <v:path arrowok="t"/>
            <v:stroke dashstyle="solid"/>
            <w10:wrap type="none"/>
          </v:shape>
        </w:pict>
      </w:r>
      <w:r>
        <w:rPr>
          <w:rFonts w:ascii="Times New Roman" w:eastAsia="Times New Roman"/>
        </w:rPr>
        <w:t>4 </w:t>
      </w:r>
      <w:r>
        <w:rPr/>
        <w:t>号）规定：</w:t>
      </w:r>
    </w:p>
    <w:p>
      <w:pPr>
        <w:pStyle w:val="ListParagraph"/>
        <w:numPr>
          <w:ilvl w:val="0"/>
          <w:numId w:val="19"/>
        </w:numPr>
        <w:tabs>
          <w:tab w:pos="1513" w:val="left" w:leader="none"/>
        </w:tabs>
        <w:spacing w:line="364" w:lineRule="auto" w:before="160" w:after="0"/>
        <w:ind w:left="428" w:right="628" w:firstLine="480"/>
        <w:jc w:val="left"/>
        <w:rPr>
          <w:sz w:val="24"/>
        </w:rPr>
      </w:pPr>
      <w:r>
        <w:rPr>
          <w:sz w:val="24"/>
        </w:rPr>
        <w:t>建设单位可登陆生态环境部网站查询建设项目竣工环境保护验收相关技术规范（</w:t>
      </w:r>
      <w:hyperlink r:id="rId18">
        <w:r>
          <w:rPr>
            <w:rFonts w:ascii="Times New Roman" w:eastAsia="Times New Roman"/>
            <w:sz w:val="24"/>
          </w:rPr>
          <w:t>http://kjs.mee.gov.cn/hjbhbz/bzwb/other</w:t>
        </w:r>
      </w:hyperlink>
      <w:r>
        <w:rPr>
          <w:sz w:val="24"/>
        </w:rPr>
        <w:t>）。</w:t>
      </w:r>
    </w:p>
    <w:p>
      <w:pPr>
        <w:pStyle w:val="ListParagraph"/>
        <w:numPr>
          <w:ilvl w:val="0"/>
          <w:numId w:val="19"/>
        </w:numPr>
        <w:tabs>
          <w:tab w:pos="1513" w:val="left" w:leader="none"/>
        </w:tabs>
        <w:spacing w:line="364" w:lineRule="auto" w:before="1" w:after="0"/>
        <w:ind w:left="428" w:right="628" w:firstLine="480"/>
        <w:jc w:val="left"/>
        <w:rPr>
          <w:sz w:val="24"/>
        </w:rPr>
      </w:pPr>
      <w:r>
        <w:rPr>
          <w:sz w:val="24"/>
        </w:rPr>
        <w:t>项目竣工后，建设单位应当如实查验、监测、记载建设项目环境保护设施的建设和调试情况，编制验收监测（调查）报告。</w:t>
      </w:r>
    </w:p>
    <w:p>
      <w:pPr>
        <w:pStyle w:val="ListParagraph"/>
        <w:numPr>
          <w:ilvl w:val="0"/>
          <w:numId w:val="19"/>
        </w:numPr>
        <w:tabs>
          <w:tab w:pos="1513" w:val="left" w:leader="none"/>
        </w:tabs>
        <w:spacing w:line="364" w:lineRule="auto" w:before="1" w:after="0"/>
        <w:ind w:left="428" w:right="628" w:firstLine="480"/>
        <w:jc w:val="left"/>
        <w:rPr>
          <w:sz w:val="24"/>
        </w:rPr>
      </w:pPr>
      <w:r>
        <w:rPr>
          <w:sz w:val="24"/>
        </w:rPr>
        <w:t>本项目配套建设的环境保护设施经验收合格后，方可投入使用，未经验收或者验收不合格的，不得投入生产或者使用。</w:t>
      </w:r>
    </w:p>
    <w:p>
      <w:pPr>
        <w:pStyle w:val="ListParagraph"/>
        <w:numPr>
          <w:ilvl w:val="0"/>
          <w:numId w:val="19"/>
        </w:numPr>
        <w:tabs>
          <w:tab w:pos="1513" w:val="left" w:leader="none"/>
        </w:tabs>
        <w:spacing w:line="364" w:lineRule="auto" w:before="2" w:after="0"/>
        <w:ind w:left="428" w:right="557" w:firstLine="480"/>
        <w:jc w:val="both"/>
        <w:rPr>
          <w:sz w:val="24"/>
        </w:rPr>
      </w:pPr>
      <w:r>
        <w:rPr>
          <w:sz w:val="24"/>
        </w:rPr>
        <w:t>除按照国家需要保密的情形外，建设单位应当通过其网站或其他便于公</w:t>
      </w:r>
      <w:r>
        <w:rPr>
          <w:spacing w:val="-1"/>
          <w:sz w:val="24"/>
        </w:rPr>
        <w:t>众知晓的方式，向社会公开下列信息：①本项目配套建设的环境保护设施竣工后，</w:t>
      </w:r>
      <w:r>
        <w:rPr>
          <w:spacing w:val="-118"/>
          <w:sz w:val="24"/>
        </w:rPr>
        <w:t> </w:t>
      </w:r>
      <w:r>
        <w:rPr>
          <w:sz w:val="24"/>
        </w:rPr>
        <w:t>及时更新《辐射安全许可证》，并在取得《辐射安全许可证》</w:t>
      </w:r>
      <w:r>
        <w:rPr>
          <w:rFonts w:ascii="Times New Roman" w:hAnsi="Times New Roman" w:eastAsia="Times New Roman"/>
          <w:sz w:val="24"/>
        </w:rPr>
        <w:t>3</w:t>
      </w:r>
      <w:r>
        <w:rPr>
          <w:rFonts w:ascii="Times New Roman" w:hAnsi="Times New Roman" w:eastAsia="Times New Roman"/>
          <w:spacing w:val="-5"/>
          <w:sz w:val="24"/>
        </w:rPr>
        <w:t> </w:t>
      </w:r>
      <w:r>
        <w:rPr>
          <w:sz w:val="24"/>
        </w:rPr>
        <w:t>个月内完成本项目</w:t>
      </w:r>
      <w:r>
        <w:rPr>
          <w:spacing w:val="-1"/>
          <w:sz w:val="24"/>
        </w:rPr>
        <w:t>自主验收；②对项目配套建设的环境保护设施进行调试前，公开和项目竣工时间和</w:t>
      </w:r>
      <w:r>
        <w:rPr>
          <w:spacing w:val="-6"/>
          <w:sz w:val="24"/>
        </w:rPr>
        <w:t>调试的起止日期；③验收报告编制完成后 </w:t>
      </w:r>
      <w:r>
        <w:rPr>
          <w:rFonts w:ascii="Times New Roman" w:hAnsi="Times New Roman" w:eastAsia="Times New Roman"/>
          <w:spacing w:val="-2"/>
          <w:sz w:val="24"/>
        </w:rPr>
        <w:t>5</w:t>
      </w:r>
      <w:r>
        <w:rPr>
          <w:rFonts w:ascii="Times New Roman" w:hAnsi="Times New Roman" w:eastAsia="Times New Roman"/>
          <w:sz w:val="24"/>
        </w:rPr>
        <w:t> </w:t>
      </w:r>
      <w:r>
        <w:rPr>
          <w:spacing w:val="-2"/>
          <w:sz w:val="24"/>
        </w:rPr>
        <w:t>个工作日内，公开验收报告，公示的期</w:t>
      </w:r>
      <w:r>
        <w:rPr>
          <w:spacing w:val="-11"/>
          <w:sz w:val="24"/>
        </w:rPr>
        <w:t>限不得少于 </w:t>
      </w:r>
      <w:r>
        <w:rPr>
          <w:rFonts w:ascii="Times New Roman" w:hAnsi="Times New Roman" w:eastAsia="Times New Roman"/>
          <w:spacing w:val="-1"/>
          <w:sz w:val="24"/>
        </w:rPr>
        <w:t>20</w:t>
      </w:r>
      <w:r>
        <w:rPr>
          <w:rFonts w:ascii="Times New Roman" w:hAnsi="Times New Roman" w:eastAsia="Times New Roman"/>
          <w:sz w:val="24"/>
        </w:rPr>
        <w:t> </w:t>
      </w:r>
      <w:r>
        <w:rPr>
          <w:spacing w:val="-7"/>
          <w:sz w:val="24"/>
        </w:rPr>
        <w:t>个工作日。 建设单位公开上述信息的同时，应当在建设项目环境影</w:t>
      </w:r>
      <w:r>
        <w:rPr>
          <w:spacing w:val="-2"/>
          <w:sz w:val="24"/>
        </w:rPr>
        <w:t>响评价信息平台（</w:t>
      </w:r>
      <w:hyperlink r:id="rId19">
        <w:r>
          <w:rPr>
            <w:rFonts w:ascii="Times New Roman" w:hAnsi="Times New Roman" w:eastAsia="Times New Roman"/>
            <w:spacing w:val="-2"/>
            <w:sz w:val="24"/>
          </w:rPr>
          <w:t>http://114.251.10.205</w:t>
        </w:r>
        <w:r>
          <w:rPr>
            <w:rFonts w:ascii="Times New Roman" w:hAnsi="Times New Roman" w:eastAsia="Times New Roman"/>
            <w:spacing w:val="-13"/>
            <w:sz w:val="24"/>
          </w:rPr>
          <w:t> </w:t>
        </w:r>
      </w:hyperlink>
      <w:r>
        <w:rPr>
          <w:rFonts w:ascii="Times New Roman" w:hAnsi="Times New Roman" w:eastAsia="Times New Roman"/>
          <w:spacing w:val="-1"/>
          <w:sz w:val="24"/>
        </w:rPr>
        <w:t>/#/pub-message</w:t>
      </w:r>
      <w:r>
        <w:rPr>
          <w:spacing w:val="-1"/>
          <w:sz w:val="24"/>
        </w:rPr>
        <w:t>）中备案，且向项目所在地生</w:t>
      </w:r>
      <w:r>
        <w:rPr>
          <w:sz w:val="24"/>
        </w:rPr>
        <w:t>态环境主管部门报送相关信息，并接受监督检查。</w:t>
      </w:r>
    </w:p>
    <w:sectPr>
      <w:pgSz w:w="11910" w:h="16840"/>
      <w:pgMar w:header="0" w:footer="1383" w:top="1420" w:bottom="1580" w:left="124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imSun">
    <w:altName w:val="SimSun"/>
    <w:charset w:val="1"/>
    <w:family w:val="roman"/>
    <w:pitch w:val="variable"/>
  </w:font>
  <w:font w:name="Symbol">
    <w:altName w:val="Symbol"/>
    <w:charset w:val="2"/>
    <w:family w:val="decorative"/>
    <w:pitch w:val="variable"/>
  </w:font>
  <w:font w:name="Microsoft YaHei UI">
    <w:altName w:val="Microsoft YaHei UI"/>
    <w:charset w:val="1"/>
    <w:family w:val="swiss"/>
    <w:pitch w:val="variable"/>
  </w:font>
  <w:font w:name="MS UI Gothic">
    <w:altName w:val="MS UI Gothic"/>
    <w:charset w:val="1"/>
    <w:family w:val="swiss"/>
    <w:pitch w:val="variable"/>
  </w:font>
  <w:font w:name="MS Gothic">
    <w:altName w:val="MS Gothic"/>
    <w:charset w:val="1"/>
    <w:family w:val="moder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type id="_x0000_t202" o:spt="202" coordsize="21600,21600" path="m,l,21600r21600,l21600,xe">
          <v:stroke joinstyle="miter"/>
          <v:path gradientshapeok="t" o:connecttype="rect"/>
        </v:shapetype>
        <v:shape style="position:absolute;margin-left:289.440002pt;margin-top:759.177917pt;width:16.55pt;height:13.6pt;mso-position-horizontal-relative:page;mso-position-vertical-relative:page;z-index:-20158464" type="#_x0000_t202" filled="false" stroked="false">
          <v:textbox inset="0,0,0,0">
            <w:txbxContent>
              <w:p>
                <w:pPr>
                  <w:spacing w:before="10"/>
                  <w:ind w:left="60" w:right="0" w:firstLine="0"/>
                  <w:jc w:val="left"/>
                  <w:rPr>
                    <w:rFonts w:ascii="Times New Roman"/>
                    <w:sz w:val="21"/>
                  </w:rPr>
                </w:pPr>
                <w:r>
                  <w:rPr/>
                  <w:fldChar w:fldCharType="begin"/>
                </w:r>
                <w:r>
                  <w:rPr>
                    <w:rFonts w:ascii="Times New Roman"/>
                    <w:sz w:val="21"/>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679993pt;margin-top:522.537842pt;width:16.55pt;height:13.6pt;mso-position-horizontal-relative:page;mso-position-vertical-relative:page;z-index:-20157952" type="#_x0000_t202" filled="false" stroked="false">
          <v:textbox inset="0,0,0,0">
            <w:txbxContent>
              <w:p>
                <w:pPr>
                  <w:spacing w:before="10"/>
                  <w:ind w:left="60" w:right="0" w:firstLine="0"/>
                  <w:jc w:val="left"/>
                  <w:rPr>
                    <w:rFonts w:ascii="Times New Roman"/>
                    <w:sz w:val="21"/>
                  </w:rPr>
                </w:pPr>
                <w:r>
                  <w:rPr/>
                  <w:fldChar w:fldCharType="begin"/>
                </w:r>
                <w:r>
                  <w:rPr>
                    <w:rFonts w:ascii="Times New Roman"/>
                    <w:sz w:val="21"/>
                  </w:rPr>
                  <w:instrText> PAGE </w:instrText>
                </w:r>
                <w:r>
                  <w:rPr/>
                  <w:fldChar w:fldCharType="separate"/>
                </w:r>
                <w:r>
                  <w:rPr/>
                  <w:t>12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440002pt;margin-top:757.737915pt;width:16.55pt;height:13.6pt;mso-position-horizontal-relative:page;mso-position-vertical-relative:page;z-index:-20157440" type="#_x0000_t202" filled="false" stroked="false">
          <v:textbox inset="0,0,0,0">
            <w:txbxContent>
              <w:p>
                <w:pPr>
                  <w:spacing w:before="10"/>
                  <w:ind w:left="60" w:right="0" w:firstLine="0"/>
                  <w:jc w:val="left"/>
                  <w:rPr>
                    <w:rFonts w:ascii="Times New Roman"/>
                    <w:sz w:val="21"/>
                  </w:rPr>
                </w:pPr>
                <w:r>
                  <w:rPr/>
                  <w:fldChar w:fldCharType="begin"/>
                </w:r>
                <w:r>
                  <w:rPr>
                    <w:rFonts w:ascii="Times New Roman"/>
                    <w:sz w:val="21"/>
                  </w:rPr>
                  <w:instrText> PAGE </w:instrText>
                </w:r>
                <w:r>
                  <w:rPr/>
                  <w:fldChar w:fldCharType="separate"/>
                </w:r>
                <w:r>
                  <w:rPr/>
                  <w:t>15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2704" w:hanging="195"/>
      </w:pPr>
      <w:rPr>
        <w:rFonts w:hint="default" w:ascii="Symbol" w:hAnsi="Symbol" w:eastAsia="Symbol" w:cs="Symbol"/>
        <w:w w:val="99"/>
        <w:position w:val="-4"/>
        <w:sz w:val="14"/>
        <w:szCs w:val="14"/>
        <w:lang w:val="en-US" w:eastAsia="zh-CN" w:bidi="ar-SA"/>
      </w:rPr>
    </w:lvl>
    <w:lvl w:ilvl="1">
      <w:start w:val="0"/>
      <w:numFmt w:val="bullet"/>
      <w:lvlText w:val="•"/>
      <w:lvlJc w:val="left"/>
      <w:pPr>
        <w:ind w:left="3353" w:hanging="195"/>
      </w:pPr>
      <w:rPr>
        <w:rFonts w:hint="default"/>
        <w:lang w:val="en-US" w:eastAsia="zh-CN" w:bidi="ar-SA"/>
      </w:rPr>
    </w:lvl>
    <w:lvl w:ilvl="2">
      <w:start w:val="0"/>
      <w:numFmt w:val="bullet"/>
      <w:lvlText w:val="•"/>
      <w:lvlJc w:val="left"/>
      <w:pPr>
        <w:ind w:left="4006" w:hanging="195"/>
      </w:pPr>
      <w:rPr>
        <w:rFonts w:hint="default"/>
        <w:lang w:val="en-US" w:eastAsia="zh-CN" w:bidi="ar-SA"/>
      </w:rPr>
    </w:lvl>
    <w:lvl w:ilvl="3">
      <w:start w:val="0"/>
      <w:numFmt w:val="bullet"/>
      <w:lvlText w:val="•"/>
      <w:lvlJc w:val="left"/>
      <w:pPr>
        <w:ind w:left="4659" w:hanging="195"/>
      </w:pPr>
      <w:rPr>
        <w:rFonts w:hint="default"/>
        <w:lang w:val="en-US" w:eastAsia="zh-CN" w:bidi="ar-SA"/>
      </w:rPr>
    </w:lvl>
    <w:lvl w:ilvl="4">
      <w:start w:val="0"/>
      <w:numFmt w:val="bullet"/>
      <w:lvlText w:val="•"/>
      <w:lvlJc w:val="left"/>
      <w:pPr>
        <w:ind w:left="5312" w:hanging="195"/>
      </w:pPr>
      <w:rPr>
        <w:rFonts w:hint="default"/>
        <w:lang w:val="en-US" w:eastAsia="zh-CN" w:bidi="ar-SA"/>
      </w:rPr>
    </w:lvl>
    <w:lvl w:ilvl="5">
      <w:start w:val="0"/>
      <w:numFmt w:val="bullet"/>
      <w:lvlText w:val="•"/>
      <w:lvlJc w:val="left"/>
      <w:pPr>
        <w:ind w:left="5965" w:hanging="195"/>
      </w:pPr>
      <w:rPr>
        <w:rFonts w:hint="default"/>
        <w:lang w:val="en-US" w:eastAsia="zh-CN" w:bidi="ar-SA"/>
      </w:rPr>
    </w:lvl>
    <w:lvl w:ilvl="6">
      <w:start w:val="0"/>
      <w:numFmt w:val="bullet"/>
      <w:lvlText w:val="•"/>
      <w:lvlJc w:val="left"/>
      <w:pPr>
        <w:ind w:left="6618" w:hanging="195"/>
      </w:pPr>
      <w:rPr>
        <w:rFonts w:hint="default"/>
        <w:lang w:val="en-US" w:eastAsia="zh-CN" w:bidi="ar-SA"/>
      </w:rPr>
    </w:lvl>
    <w:lvl w:ilvl="7">
      <w:start w:val="0"/>
      <w:numFmt w:val="bullet"/>
      <w:lvlText w:val="•"/>
      <w:lvlJc w:val="left"/>
      <w:pPr>
        <w:ind w:left="7271" w:hanging="195"/>
      </w:pPr>
      <w:rPr>
        <w:rFonts w:hint="default"/>
        <w:lang w:val="en-US" w:eastAsia="zh-CN" w:bidi="ar-SA"/>
      </w:rPr>
    </w:lvl>
    <w:lvl w:ilvl="8">
      <w:start w:val="0"/>
      <w:numFmt w:val="bullet"/>
      <w:lvlText w:val="•"/>
      <w:lvlJc w:val="left"/>
      <w:pPr>
        <w:ind w:left="7924" w:hanging="195"/>
      </w:pPr>
      <w:rPr>
        <w:rFonts w:hint="default"/>
        <w:lang w:val="en-US" w:eastAsia="zh-CN" w:bidi="ar-SA"/>
      </w:rPr>
    </w:lvl>
  </w:abstractNum>
  <w:abstractNum w:abstractNumId="18">
    <w:multiLevelType w:val="hybridMultilevel"/>
    <w:lvl w:ilvl="0">
      <w:start w:val="1"/>
      <w:numFmt w:val="decimal"/>
      <w:lvlText w:val="（%1）"/>
      <w:lvlJc w:val="left"/>
      <w:pPr>
        <w:ind w:left="428" w:hanging="605"/>
        <w:jc w:val="left"/>
      </w:pPr>
      <w:rPr>
        <w:rFonts w:hint="default" w:ascii="SimSun" w:hAnsi="SimSun" w:eastAsia="SimSun" w:cs="SimSun"/>
        <w:w w:val="100"/>
        <w:sz w:val="22"/>
        <w:szCs w:val="22"/>
        <w:lang w:val="en-US" w:eastAsia="zh-CN" w:bidi="ar-SA"/>
      </w:rPr>
    </w:lvl>
    <w:lvl w:ilvl="1">
      <w:start w:val="0"/>
      <w:numFmt w:val="bullet"/>
      <w:lvlText w:val="•"/>
      <w:lvlJc w:val="left"/>
      <w:pPr>
        <w:ind w:left="1340" w:hanging="605"/>
      </w:pPr>
      <w:rPr>
        <w:rFonts w:hint="default"/>
        <w:lang w:val="en-US" w:eastAsia="zh-CN" w:bidi="ar-SA"/>
      </w:rPr>
    </w:lvl>
    <w:lvl w:ilvl="2">
      <w:start w:val="0"/>
      <w:numFmt w:val="bullet"/>
      <w:lvlText w:val="•"/>
      <w:lvlJc w:val="left"/>
      <w:pPr>
        <w:ind w:left="2261" w:hanging="605"/>
      </w:pPr>
      <w:rPr>
        <w:rFonts w:hint="default"/>
        <w:lang w:val="en-US" w:eastAsia="zh-CN" w:bidi="ar-SA"/>
      </w:rPr>
    </w:lvl>
    <w:lvl w:ilvl="3">
      <w:start w:val="0"/>
      <w:numFmt w:val="bullet"/>
      <w:lvlText w:val="•"/>
      <w:lvlJc w:val="left"/>
      <w:pPr>
        <w:ind w:left="3181" w:hanging="605"/>
      </w:pPr>
      <w:rPr>
        <w:rFonts w:hint="default"/>
        <w:lang w:val="en-US" w:eastAsia="zh-CN" w:bidi="ar-SA"/>
      </w:rPr>
    </w:lvl>
    <w:lvl w:ilvl="4">
      <w:start w:val="0"/>
      <w:numFmt w:val="bullet"/>
      <w:lvlText w:val="•"/>
      <w:lvlJc w:val="left"/>
      <w:pPr>
        <w:ind w:left="4102" w:hanging="605"/>
      </w:pPr>
      <w:rPr>
        <w:rFonts w:hint="default"/>
        <w:lang w:val="en-US" w:eastAsia="zh-CN" w:bidi="ar-SA"/>
      </w:rPr>
    </w:lvl>
    <w:lvl w:ilvl="5">
      <w:start w:val="0"/>
      <w:numFmt w:val="bullet"/>
      <w:lvlText w:val="•"/>
      <w:lvlJc w:val="left"/>
      <w:pPr>
        <w:ind w:left="5023" w:hanging="605"/>
      </w:pPr>
      <w:rPr>
        <w:rFonts w:hint="default"/>
        <w:lang w:val="en-US" w:eastAsia="zh-CN" w:bidi="ar-SA"/>
      </w:rPr>
    </w:lvl>
    <w:lvl w:ilvl="6">
      <w:start w:val="0"/>
      <w:numFmt w:val="bullet"/>
      <w:lvlText w:val="•"/>
      <w:lvlJc w:val="left"/>
      <w:pPr>
        <w:ind w:left="5943" w:hanging="605"/>
      </w:pPr>
      <w:rPr>
        <w:rFonts w:hint="default"/>
        <w:lang w:val="en-US" w:eastAsia="zh-CN" w:bidi="ar-SA"/>
      </w:rPr>
    </w:lvl>
    <w:lvl w:ilvl="7">
      <w:start w:val="0"/>
      <w:numFmt w:val="bullet"/>
      <w:lvlText w:val="•"/>
      <w:lvlJc w:val="left"/>
      <w:pPr>
        <w:ind w:left="6864" w:hanging="605"/>
      </w:pPr>
      <w:rPr>
        <w:rFonts w:hint="default"/>
        <w:lang w:val="en-US" w:eastAsia="zh-CN" w:bidi="ar-SA"/>
      </w:rPr>
    </w:lvl>
    <w:lvl w:ilvl="8">
      <w:start w:val="0"/>
      <w:numFmt w:val="bullet"/>
      <w:lvlText w:val="•"/>
      <w:lvlJc w:val="left"/>
      <w:pPr>
        <w:ind w:left="7784" w:hanging="605"/>
      </w:pPr>
      <w:rPr>
        <w:rFonts w:hint="default"/>
        <w:lang w:val="en-US" w:eastAsia="zh-CN" w:bidi="ar-SA"/>
      </w:rPr>
    </w:lvl>
  </w:abstractNum>
  <w:abstractNum w:abstractNumId="17">
    <w:multiLevelType w:val="hybridMultilevel"/>
    <w:lvl w:ilvl="0">
      <w:start w:val="1"/>
      <w:numFmt w:val="decimal"/>
      <w:lvlText w:val="（%1）"/>
      <w:lvlJc w:val="left"/>
      <w:pPr>
        <w:ind w:left="107" w:hanging="605"/>
        <w:jc w:val="left"/>
      </w:pPr>
      <w:rPr>
        <w:rFonts w:hint="default" w:ascii="SimSun" w:hAnsi="SimSun" w:eastAsia="SimSun" w:cs="SimSun"/>
        <w:w w:val="100"/>
        <w:sz w:val="22"/>
        <w:szCs w:val="22"/>
        <w:lang w:val="en-US" w:eastAsia="zh-CN" w:bidi="ar-SA"/>
      </w:rPr>
    </w:lvl>
    <w:lvl w:ilvl="1">
      <w:start w:val="0"/>
      <w:numFmt w:val="bullet"/>
      <w:lvlText w:val="•"/>
      <w:lvlJc w:val="left"/>
      <w:pPr>
        <w:ind w:left="967" w:hanging="605"/>
      </w:pPr>
      <w:rPr>
        <w:rFonts w:hint="default"/>
        <w:lang w:val="en-US" w:eastAsia="zh-CN" w:bidi="ar-SA"/>
      </w:rPr>
    </w:lvl>
    <w:lvl w:ilvl="2">
      <w:start w:val="0"/>
      <w:numFmt w:val="bullet"/>
      <w:lvlText w:val="•"/>
      <w:lvlJc w:val="left"/>
      <w:pPr>
        <w:ind w:left="1835" w:hanging="605"/>
      </w:pPr>
      <w:rPr>
        <w:rFonts w:hint="default"/>
        <w:lang w:val="en-US" w:eastAsia="zh-CN" w:bidi="ar-SA"/>
      </w:rPr>
    </w:lvl>
    <w:lvl w:ilvl="3">
      <w:start w:val="0"/>
      <w:numFmt w:val="bullet"/>
      <w:lvlText w:val="•"/>
      <w:lvlJc w:val="left"/>
      <w:pPr>
        <w:ind w:left="2702" w:hanging="605"/>
      </w:pPr>
      <w:rPr>
        <w:rFonts w:hint="default"/>
        <w:lang w:val="en-US" w:eastAsia="zh-CN" w:bidi="ar-SA"/>
      </w:rPr>
    </w:lvl>
    <w:lvl w:ilvl="4">
      <w:start w:val="0"/>
      <w:numFmt w:val="bullet"/>
      <w:lvlText w:val="•"/>
      <w:lvlJc w:val="left"/>
      <w:pPr>
        <w:ind w:left="3570" w:hanging="605"/>
      </w:pPr>
      <w:rPr>
        <w:rFonts w:hint="default"/>
        <w:lang w:val="en-US" w:eastAsia="zh-CN" w:bidi="ar-SA"/>
      </w:rPr>
    </w:lvl>
    <w:lvl w:ilvl="5">
      <w:start w:val="0"/>
      <w:numFmt w:val="bullet"/>
      <w:lvlText w:val="•"/>
      <w:lvlJc w:val="left"/>
      <w:pPr>
        <w:ind w:left="4437" w:hanging="605"/>
      </w:pPr>
      <w:rPr>
        <w:rFonts w:hint="default"/>
        <w:lang w:val="en-US" w:eastAsia="zh-CN" w:bidi="ar-SA"/>
      </w:rPr>
    </w:lvl>
    <w:lvl w:ilvl="6">
      <w:start w:val="0"/>
      <w:numFmt w:val="bullet"/>
      <w:lvlText w:val="•"/>
      <w:lvlJc w:val="left"/>
      <w:pPr>
        <w:ind w:left="5305" w:hanging="605"/>
      </w:pPr>
      <w:rPr>
        <w:rFonts w:hint="default"/>
        <w:lang w:val="en-US" w:eastAsia="zh-CN" w:bidi="ar-SA"/>
      </w:rPr>
    </w:lvl>
    <w:lvl w:ilvl="7">
      <w:start w:val="0"/>
      <w:numFmt w:val="bullet"/>
      <w:lvlText w:val="•"/>
      <w:lvlJc w:val="left"/>
      <w:pPr>
        <w:ind w:left="6172" w:hanging="605"/>
      </w:pPr>
      <w:rPr>
        <w:rFonts w:hint="default"/>
        <w:lang w:val="en-US" w:eastAsia="zh-CN" w:bidi="ar-SA"/>
      </w:rPr>
    </w:lvl>
    <w:lvl w:ilvl="8">
      <w:start w:val="0"/>
      <w:numFmt w:val="bullet"/>
      <w:lvlText w:val="•"/>
      <w:lvlJc w:val="left"/>
      <w:pPr>
        <w:ind w:left="7040" w:hanging="605"/>
      </w:pPr>
      <w:rPr>
        <w:rFonts w:hint="default"/>
        <w:lang w:val="en-US" w:eastAsia="zh-CN" w:bidi="ar-SA"/>
      </w:rPr>
    </w:lvl>
  </w:abstractNum>
  <w:abstractNum w:abstractNumId="16">
    <w:multiLevelType w:val="hybridMultilevel"/>
    <w:lvl w:ilvl="0">
      <w:start w:val="1"/>
      <w:numFmt w:val="decimal"/>
      <w:lvlText w:val="（%1）"/>
      <w:lvlJc w:val="left"/>
      <w:pPr>
        <w:ind w:left="560" w:hanging="556"/>
        <w:jc w:val="left"/>
      </w:pPr>
      <w:rPr>
        <w:rFonts w:hint="default"/>
        <w:spacing w:val="-1"/>
        <w:w w:val="99"/>
        <w:lang w:val="en-US" w:eastAsia="zh-CN" w:bidi="ar-SA"/>
      </w:rPr>
    </w:lvl>
    <w:lvl w:ilvl="1">
      <w:start w:val="0"/>
      <w:numFmt w:val="bullet"/>
      <w:lvlText w:val="•"/>
      <w:lvlJc w:val="left"/>
      <w:pPr>
        <w:ind w:left="1466" w:hanging="556"/>
      </w:pPr>
      <w:rPr>
        <w:rFonts w:hint="default"/>
        <w:lang w:val="en-US" w:eastAsia="zh-CN" w:bidi="ar-SA"/>
      </w:rPr>
    </w:lvl>
    <w:lvl w:ilvl="2">
      <w:start w:val="0"/>
      <w:numFmt w:val="bullet"/>
      <w:lvlText w:val="•"/>
      <w:lvlJc w:val="left"/>
      <w:pPr>
        <w:ind w:left="2373" w:hanging="556"/>
      </w:pPr>
      <w:rPr>
        <w:rFonts w:hint="default"/>
        <w:lang w:val="en-US" w:eastAsia="zh-CN" w:bidi="ar-SA"/>
      </w:rPr>
    </w:lvl>
    <w:lvl w:ilvl="3">
      <w:start w:val="0"/>
      <w:numFmt w:val="bullet"/>
      <w:lvlText w:val="•"/>
      <w:lvlJc w:val="left"/>
      <w:pPr>
        <w:ind w:left="3279" w:hanging="556"/>
      </w:pPr>
      <w:rPr>
        <w:rFonts w:hint="default"/>
        <w:lang w:val="en-US" w:eastAsia="zh-CN" w:bidi="ar-SA"/>
      </w:rPr>
    </w:lvl>
    <w:lvl w:ilvl="4">
      <w:start w:val="0"/>
      <w:numFmt w:val="bullet"/>
      <w:lvlText w:val="•"/>
      <w:lvlJc w:val="left"/>
      <w:pPr>
        <w:ind w:left="4186" w:hanging="556"/>
      </w:pPr>
      <w:rPr>
        <w:rFonts w:hint="default"/>
        <w:lang w:val="en-US" w:eastAsia="zh-CN" w:bidi="ar-SA"/>
      </w:rPr>
    </w:lvl>
    <w:lvl w:ilvl="5">
      <w:start w:val="0"/>
      <w:numFmt w:val="bullet"/>
      <w:lvlText w:val="•"/>
      <w:lvlJc w:val="left"/>
      <w:pPr>
        <w:ind w:left="5093" w:hanging="556"/>
      </w:pPr>
      <w:rPr>
        <w:rFonts w:hint="default"/>
        <w:lang w:val="en-US" w:eastAsia="zh-CN" w:bidi="ar-SA"/>
      </w:rPr>
    </w:lvl>
    <w:lvl w:ilvl="6">
      <w:start w:val="0"/>
      <w:numFmt w:val="bullet"/>
      <w:lvlText w:val="•"/>
      <w:lvlJc w:val="left"/>
      <w:pPr>
        <w:ind w:left="5999" w:hanging="556"/>
      </w:pPr>
      <w:rPr>
        <w:rFonts w:hint="default"/>
        <w:lang w:val="en-US" w:eastAsia="zh-CN" w:bidi="ar-SA"/>
      </w:rPr>
    </w:lvl>
    <w:lvl w:ilvl="7">
      <w:start w:val="0"/>
      <w:numFmt w:val="bullet"/>
      <w:lvlText w:val="•"/>
      <w:lvlJc w:val="left"/>
      <w:pPr>
        <w:ind w:left="6906" w:hanging="556"/>
      </w:pPr>
      <w:rPr>
        <w:rFonts w:hint="default"/>
        <w:lang w:val="en-US" w:eastAsia="zh-CN" w:bidi="ar-SA"/>
      </w:rPr>
    </w:lvl>
    <w:lvl w:ilvl="8">
      <w:start w:val="0"/>
      <w:numFmt w:val="bullet"/>
      <w:lvlText w:val="•"/>
      <w:lvlJc w:val="left"/>
      <w:pPr>
        <w:ind w:left="7812" w:hanging="556"/>
      </w:pPr>
      <w:rPr>
        <w:rFonts w:hint="default"/>
        <w:lang w:val="en-US" w:eastAsia="zh-CN" w:bidi="ar-SA"/>
      </w:rPr>
    </w:lvl>
  </w:abstractNum>
  <w:abstractNum w:abstractNumId="15">
    <w:multiLevelType w:val="hybridMultilevel"/>
    <w:lvl w:ilvl="0">
      <w:start w:val="1"/>
      <w:numFmt w:val="decimal"/>
      <w:lvlText w:val="（%1）"/>
      <w:lvlJc w:val="left"/>
      <w:pPr>
        <w:ind w:left="560" w:hanging="603"/>
        <w:jc w:val="left"/>
      </w:pPr>
      <w:rPr>
        <w:rFonts w:hint="default" w:ascii="SimSun" w:hAnsi="SimSun" w:eastAsia="SimSun" w:cs="SimSun"/>
        <w:w w:val="100"/>
        <w:sz w:val="22"/>
        <w:szCs w:val="22"/>
        <w:lang w:val="en-US" w:eastAsia="zh-CN" w:bidi="ar-SA"/>
      </w:rPr>
    </w:lvl>
    <w:lvl w:ilvl="1">
      <w:start w:val="0"/>
      <w:numFmt w:val="bullet"/>
      <w:lvlText w:val="•"/>
      <w:lvlJc w:val="left"/>
      <w:pPr>
        <w:ind w:left="1466" w:hanging="603"/>
      </w:pPr>
      <w:rPr>
        <w:rFonts w:hint="default"/>
        <w:lang w:val="en-US" w:eastAsia="zh-CN" w:bidi="ar-SA"/>
      </w:rPr>
    </w:lvl>
    <w:lvl w:ilvl="2">
      <w:start w:val="0"/>
      <w:numFmt w:val="bullet"/>
      <w:lvlText w:val="•"/>
      <w:lvlJc w:val="left"/>
      <w:pPr>
        <w:ind w:left="2373" w:hanging="603"/>
      </w:pPr>
      <w:rPr>
        <w:rFonts w:hint="default"/>
        <w:lang w:val="en-US" w:eastAsia="zh-CN" w:bidi="ar-SA"/>
      </w:rPr>
    </w:lvl>
    <w:lvl w:ilvl="3">
      <w:start w:val="0"/>
      <w:numFmt w:val="bullet"/>
      <w:lvlText w:val="•"/>
      <w:lvlJc w:val="left"/>
      <w:pPr>
        <w:ind w:left="3279" w:hanging="603"/>
      </w:pPr>
      <w:rPr>
        <w:rFonts w:hint="default"/>
        <w:lang w:val="en-US" w:eastAsia="zh-CN" w:bidi="ar-SA"/>
      </w:rPr>
    </w:lvl>
    <w:lvl w:ilvl="4">
      <w:start w:val="0"/>
      <w:numFmt w:val="bullet"/>
      <w:lvlText w:val="•"/>
      <w:lvlJc w:val="left"/>
      <w:pPr>
        <w:ind w:left="4186" w:hanging="603"/>
      </w:pPr>
      <w:rPr>
        <w:rFonts w:hint="default"/>
        <w:lang w:val="en-US" w:eastAsia="zh-CN" w:bidi="ar-SA"/>
      </w:rPr>
    </w:lvl>
    <w:lvl w:ilvl="5">
      <w:start w:val="0"/>
      <w:numFmt w:val="bullet"/>
      <w:lvlText w:val="•"/>
      <w:lvlJc w:val="left"/>
      <w:pPr>
        <w:ind w:left="5093" w:hanging="603"/>
      </w:pPr>
      <w:rPr>
        <w:rFonts w:hint="default"/>
        <w:lang w:val="en-US" w:eastAsia="zh-CN" w:bidi="ar-SA"/>
      </w:rPr>
    </w:lvl>
    <w:lvl w:ilvl="6">
      <w:start w:val="0"/>
      <w:numFmt w:val="bullet"/>
      <w:lvlText w:val="•"/>
      <w:lvlJc w:val="left"/>
      <w:pPr>
        <w:ind w:left="5999" w:hanging="603"/>
      </w:pPr>
      <w:rPr>
        <w:rFonts w:hint="default"/>
        <w:lang w:val="en-US" w:eastAsia="zh-CN" w:bidi="ar-SA"/>
      </w:rPr>
    </w:lvl>
    <w:lvl w:ilvl="7">
      <w:start w:val="0"/>
      <w:numFmt w:val="bullet"/>
      <w:lvlText w:val="•"/>
      <w:lvlJc w:val="left"/>
      <w:pPr>
        <w:ind w:left="6906" w:hanging="603"/>
      </w:pPr>
      <w:rPr>
        <w:rFonts w:hint="default"/>
        <w:lang w:val="en-US" w:eastAsia="zh-CN" w:bidi="ar-SA"/>
      </w:rPr>
    </w:lvl>
    <w:lvl w:ilvl="8">
      <w:start w:val="0"/>
      <w:numFmt w:val="bullet"/>
      <w:lvlText w:val="•"/>
      <w:lvlJc w:val="left"/>
      <w:pPr>
        <w:ind w:left="7812" w:hanging="603"/>
      </w:pPr>
      <w:rPr>
        <w:rFonts w:hint="default"/>
        <w:lang w:val="en-US" w:eastAsia="zh-CN" w:bidi="ar-SA"/>
      </w:rPr>
    </w:lvl>
  </w:abstractNum>
  <w:abstractNum w:abstractNumId="14">
    <w:multiLevelType w:val="hybridMultilevel"/>
    <w:lvl w:ilvl="0">
      <w:start w:val="1"/>
      <w:numFmt w:val="decimal"/>
      <w:lvlText w:val="（%1）"/>
      <w:lvlJc w:val="left"/>
      <w:pPr>
        <w:ind w:left="560" w:hanging="525"/>
        <w:jc w:val="left"/>
      </w:pPr>
      <w:rPr>
        <w:rFonts w:hint="default"/>
        <w:spacing w:val="-13"/>
        <w:w w:val="99"/>
        <w:lang w:val="en-US" w:eastAsia="zh-CN" w:bidi="ar-SA"/>
      </w:rPr>
    </w:lvl>
    <w:lvl w:ilvl="1">
      <w:start w:val="0"/>
      <w:numFmt w:val="bullet"/>
      <w:lvlText w:val="•"/>
      <w:lvlJc w:val="left"/>
      <w:pPr>
        <w:ind w:left="1466" w:hanging="525"/>
      </w:pPr>
      <w:rPr>
        <w:rFonts w:hint="default"/>
        <w:lang w:val="en-US" w:eastAsia="zh-CN" w:bidi="ar-SA"/>
      </w:rPr>
    </w:lvl>
    <w:lvl w:ilvl="2">
      <w:start w:val="0"/>
      <w:numFmt w:val="bullet"/>
      <w:lvlText w:val="•"/>
      <w:lvlJc w:val="left"/>
      <w:pPr>
        <w:ind w:left="2373" w:hanging="525"/>
      </w:pPr>
      <w:rPr>
        <w:rFonts w:hint="default"/>
        <w:lang w:val="en-US" w:eastAsia="zh-CN" w:bidi="ar-SA"/>
      </w:rPr>
    </w:lvl>
    <w:lvl w:ilvl="3">
      <w:start w:val="0"/>
      <w:numFmt w:val="bullet"/>
      <w:lvlText w:val="•"/>
      <w:lvlJc w:val="left"/>
      <w:pPr>
        <w:ind w:left="3279" w:hanging="525"/>
      </w:pPr>
      <w:rPr>
        <w:rFonts w:hint="default"/>
        <w:lang w:val="en-US" w:eastAsia="zh-CN" w:bidi="ar-SA"/>
      </w:rPr>
    </w:lvl>
    <w:lvl w:ilvl="4">
      <w:start w:val="0"/>
      <w:numFmt w:val="bullet"/>
      <w:lvlText w:val="•"/>
      <w:lvlJc w:val="left"/>
      <w:pPr>
        <w:ind w:left="4186" w:hanging="525"/>
      </w:pPr>
      <w:rPr>
        <w:rFonts w:hint="default"/>
        <w:lang w:val="en-US" w:eastAsia="zh-CN" w:bidi="ar-SA"/>
      </w:rPr>
    </w:lvl>
    <w:lvl w:ilvl="5">
      <w:start w:val="0"/>
      <w:numFmt w:val="bullet"/>
      <w:lvlText w:val="•"/>
      <w:lvlJc w:val="left"/>
      <w:pPr>
        <w:ind w:left="5093" w:hanging="525"/>
      </w:pPr>
      <w:rPr>
        <w:rFonts w:hint="default"/>
        <w:lang w:val="en-US" w:eastAsia="zh-CN" w:bidi="ar-SA"/>
      </w:rPr>
    </w:lvl>
    <w:lvl w:ilvl="6">
      <w:start w:val="0"/>
      <w:numFmt w:val="bullet"/>
      <w:lvlText w:val="•"/>
      <w:lvlJc w:val="left"/>
      <w:pPr>
        <w:ind w:left="5999" w:hanging="525"/>
      </w:pPr>
      <w:rPr>
        <w:rFonts w:hint="default"/>
        <w:lang w:val="en-US" w:eastAsia="zh-CN" w:bidi="ar-SA"/>
      </w:rPr>
    </w:lvl>
    <w:lvl w:ilvl="7">
      <w:start w:val="0"/>
      <w:numFmt w:val="bullet"/>
      <w:lvlText w:val="•"/>
      <w:lvlJc w:val="left"/>
      <w:pPr>
        <w:ind w:left="6906" w:hanging="525"/>
      </w:pPr>
      <w:rPr>
        <w:rFonts w:hint="default"/>
        <w:lang w:val="en-US" w:eastAsia="zh-CN" w:bidi="ar-SA"/>
      </w:rPr>
    </w:lvl>
    <w:lvl w:ilvl="8">
      <w:start w:val="0"/>
      <w:numFmt w:val="bullet"/>
      <w:lvlText w:val="•"/>
      <w:lvlJc w:val="left"/>
      <w:pPr>
        <w:ind w:left="7812" w:hanging="525"/>
      </w:pPr>
      <w:rPr>
        <w:rFonts w:hint="default"/>
        <w:lang w:val="en-US" w:eastAsia="zh-CN" w:bidi="ar-SA"/>
      </w:rPr>
    </w:lvl>
  </w:abstractNum>
  <w:abstractNum w:abstractNumId="13">
    <w:multiLevelType w:val="hybridMultilevel"/>
    <w:lvl w:ilvl="0">
      <w:start w:val="1"/>
      <w:numFmt w:val="decimal"/>
      <w:lvlText w:val="（%1）"/>
      <w:lvlJc w:val="left"/>
      <w:pPr>
        <w:ind w:left="1641"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438" w:hanging="601"/>
      </w:pPr>
      <w:rPr>
        <w:rFonts w:hint="default"/>
        <w:lang w:val="en-US" w:eastAsia="zh-CN" w:bidi="ar-SA"/>
      </w:rPr>
    </w:lvl>
    <w:lvl w:ilvl="2">
      <w:start w:val="0"/>
      <w:numFmt w:val="bullet"/>
      <w:lvlText w:val="•"/>
      <w:lvlJc w:val="left"/>
      <w:pPr>
        <w:ind w:left="3237" w:hanging="601"/>
      </w:pPr>
      <w:rPr>
        <w:rFonts w:hint="default"/>
        <w:lang w:val="en-US" w:eastAsia="zh-CN" w:bidi="ar-SA"/>
      </w:rPr>
    </w:lvl>
    <w:lvl w:ilvl="3">
      <w:start w:val="0"/>
      <w:numFmt w:val="bullet"/>
      <w:lvlText w:val="•"/>
      <w:lvlJc w:val="left"/>
      <w:pPr>
        <w:ind w:left="4035" w:hanging="601"/>
      </w:pPr>
      <w:rPr>
        <w:rFonts w:hint="default"/>
        <w:lang w:val="en-US" w:eastAsia="zh-CN" w:bidi="ar-SA"/>
      </w:rPr>
    </w:lvl>
    <w:lvl w:ilvl="4">
      <w:start w:val="0"/>
      <w:numFmt w:val="bullet"/>
      <w:lvlText w:val="•"/>
      <w:lvlJc w:val="left"/>
      <w:pPr>
        <w:ind w:left="4834" w:hanging="601"/>
      </w:pPr>
      <w:rPr>
        <w:rFonts w:hint="default"/>
        <w:lang w:val="en-US" w:eastAsia="zh-CN" w:bidi="ar-SA"/>
      </w:rPr>
    </w:lvl>
    <w:lvl w:ilvl="5">
      <w:start w:val="0"/>
      <w:numFmt w:val="bullet"/>
      <w:lvlText w:val="•"/>
      <w:lvlJc w:val="left"/>
      <w:pPr>
        <w:ind w:left="5633" w:hanging="601"/>
      </w:pPr>
      <w:rPr>
        <w:rFonts w:hint="default"/>
        <w:lang w:val="en-US" w:eastAsia="zh-CN" w:bidi="ar-SA"/>
      </w:rPr>
    </w:lvl>
    <w:lvl w:ilvl="6">
      <w:start w:val="0"/>
      <w:numFmt w:val="bullet"/>
      <w:lvlText w:val="•"/>
      <w:lvlJc w:val="left"/>
      <w:pPr>
        <w:ind w:left="6431" w:hanging="601"/>
      </w:pPr>
      <w:rPr>
        <w:rFonts w:hint="default"/>
        <w:lang w:val="en-US" w:eastAsia="zh-CN" w:bidi="ar-SA"/>
      </w:rPr>
    </w:lvl>
    <w:lvl w:ilvl="7">
      <w:start w:val="0"/>
      <w:numFmt w:val="bullet"/>
      <w:lvlText w:val="•"/>
      <w:lvlJc w:val="left"/>
      <w:pPr>
        <w:ind w:left="7230" w:hanging="601"/>
      </w:pPr>
      <w:rPr>
        <w:rFonts w:hint="default"/>
        <w:lang w:val="en-US" w:eastAsia="zh-CN" w:bidi="ar-SA"/>
      </w:rPr>
    </w:lvl>
    <w:lvl w:ilvl="8">
      <w:start w:val="0"/>
      <w:numFmt w:val="bullet"/>
      <w:lvlText w:val="•"/>
      <w:lvlJc w:val="left"/>
      <w:pPr>
        <w:ind w:left="8028" w:hanging="601"/>
      </w:pPr>
      <w:rPr>
        <w:rFonts w:hint="default"/>
        <w:lang w:val="en-US" w:eastAsia="zh-CN" w:bidi="ar-SA"/>
      </w:rPr>
    </w:lvl>
  </w:abstractNum>
  <w:abstractNum w:abstractNumId="12">
    <w:multiLevelType w:val="hybridMultilevel"/>
    <w:lvl w:ilvl="0">
      <w:start w:val="157"/>
      <w:numFmt w:val="decimal"/>
      <w:lvlText w:val="%1"/>
      <w:lvlJc w:val="left"/>
      <w:pPr>
        <w:ind w:left="281" w:hanging="541"/>
        <w:jc w:val="left"/>
      </w:pPr>
      <w:rPr>
        <w:rFonts w:hint="default"/>
        <w:lang w:val="en-US" w:eastAsia="zh-CN" w:bidi="ar-SA"/>
      </w:rPr>
    </w:lvl>
    <w:lvl w:ilvl="1">
      <w:start w:val="2"/>
      <w:numFmt w:val="decimal"/>
      <w:lvlText w:val="%1.%2"/>
      <w:lvlJc w:val="left"/>
      <w:pPr>
        <w:ind w:left="281" w:hanging="541"/>
        <w:jc w:val="left"/>
      </w:pPr>
      <w:rPr>
        <w:rFonts w:hint="default" w:ascii="Times New Roman" w:hAnsi="Times New Roman" w:eastAsia="Times New Roman" w:cs="Times New Roman"/>
        <w:b/>
        <w:bCs/>
        <w:w w:val="100"/>
        <w:sz w:val="22"/>
        <w:szCs w:val="22"/>
        <w:lang w:val="en-US" w:eastAsia="zh-CN" w:bidi="ar-SA"/>
      </w:rPr>
    </w:lvl>
    <w:lvl w:ilvl="2">
      <w:start w:val="1"/>
      <w:numFmt w:val="decimal"/>
      <w:lvlText w:val="（%3）"/>
      <w:lvlJc w:val="left"/>
      <w:pPr>
        <w:ind w:left="1362" w:hanging="601"/>
        <w:jc w:val="left"/>
      </w:pPr>
      <w:rPr>
        <w:rFonts w:hint="default" w:ascii="SimSun" w:hAnsi="SimSun" w:eastAsia="SimSun" w:cs="SimSun"/>
        <w:w w:val="100"/>
        <w:sz w:val="22"/>
        <w:szCs w:val="22"/>
        <w:lang w:val="en-US" w:eastAsia="zh-CN" w:bidi="ar-SA"/>
      </w:rPr>
    </w:lvl>
    <w:lvl w:ilvl="3">
      <w:start w:val="1"/>
      <w:numFmt w:val="decimal"/>
      <w:lvlText w:val="（%4）"/>
      <w:lvlJc w:val="left"/>
      <w:pPr>
        <w:ind w:left="560" w:hanging="601"/>
        <w:jc w:val="left"/>
      </w:pPr>
      <w:rPr>
        <w:rFonts w:hint="default" w:ascii="SimSun" w:hAnsi="SimSun" w:eastAsia="SimSun" w:cs="SimSun"/>
        <w:w w:val="100"/>
        <w:sz w:val="22"/>
        <w:szCs w:val="22"/>
        <w:lang w:val="en-US" w:eastAsia="zh-CN" w:bidi="ar-SA"/>
      </w:rPr>
    </w:lvl>
    <w:lvl w:ilvl="4">
      <w:start w:val="0"/>
      <w:numFmt w:val="bullet"/>
      <w:lvlText w:val="•"/>
      <w:lvlJc w:val="left"/>
      <w:pPr>
        <w:ind w:left="3426" w:hanging="601"/>
      </w:pPr>
      <w:rPr>
        <w:rFonts w:hint="default"/>
        <w:lang w:val="en-US" w:eastAsia="zh-CN" w:bidi="ar-SA"/>
      </w:rPr>
    </w:lvl>
    <w:lvl w:ilvl="5">
      <w:start w:val="0"/>
      <w:numFmt w:val="bullet"/>
      <w:lvlText w:val="•"/>
      <w:lvlJc w:val="left"/>
      <w:pPr>
        <w:ind w:left="4459" w:hanging="601"/>
      </w:pPr>
      <w:rPr>
        <w:rFonts w:hint="default"/>
        <w:lang w:val="en-US" w:eastAsia="zh-CN" w:bidi="ar-SA"/>
      </w:rPr>
    </w:lvl>
    <w:lvl w:ilvl="6">
      <w:start w:val="0"/>
      <w:numFmt w:val="bullet"/>
      <w:lvlText w:val="•"/>
      <w:lvlJc w:val="left"/>
      <w:pPr>
        <w:ind w:left="5493" w:hanging="601"/>
      </w:pPr>
      <w:rPr>
        <w:rFonts w:hint="default"/>
        <w:lang w:val="en-US" w:eastAsia="zh-CN" w:bidi="ar-SA"/>
      </w:rPr>
    </w:lvl>
    <w:lvl w:ilvl="7">
      <w:start w:val="0"/>
      <w:numFmt w:val="bullet"/>
      <w:lvlText w:val="•"/>
      <w:lvlJc w:val="left"/>
      <w:pPr>
        <w:ind w:left="6526" w:hanging="601"/>
      </w:pPr>
      <w:rPr>
        <w:rFonts w:hint="default"/>
        <w:lang w:val="en-US" w:eastAsia="zh-CN" w:bidi="ar-SA"/>
      </w:rPr>
    </w:lvl>
    <w:lvl w:ilvl="8">
      <w:start w:val="0"/>
      <w:numFmt w:val="bullet"/>
      <w:lvlText w:val="•"/>
      <w:lvlJc w:val="left"/>
      <w:pPr>
        <w:ind w:left="7559" w:hanging="601"/>
      </w:pPr>
      <w:rPr>
        <w:rFonts w:hint="default"/>
        <w:lang w:val="en-US" w:eastAsia="zh-CN" w:bidi="ar-SA"/>
      </w:rPr>
    </w:lvl>
  </w:abstractNum>
  <w:abstractNum w:abstractNumId="10">
    <w:multiLevelType w:val="hybridMultilevel"/>
    <w:lvl w:ilvl="0">
      <w:start w:val="1"/>
      <w:numFmt w:val="decimal"/>
      <w:lvlText w:val="%1）"/>
      <w:lvlJc w:val="left"/>
      <w:pPr>
        <w:ind w:left="642" w:hanging="361"/>
        <w:jc w:val="left"/>
      </w:pPr>
      <w:rPr>
        <w:rFonts w:hint="default" w:ascii="Times New Roman" w:hAnsi="Times New Roman" w:eastAsia="Times New Roman" w:cs="Times New Roman"/>
        <w:b/>
        <w:bCs/>
        <w:w w:val="100"/>
        <w:sz w:val="22"/>
        <w:szCs w:val="22"/>
        <w:lang w:val="en-US" w:eastAsia="zh-CN" w:bidi="ar-SA"/>
      </w:rPr>
    </w:lvl>
    <w:lvl w:ilvl="1">
      <w:start w:val="0"/>
      <w:numFmt w:val="bullet"/>
      <w:lvlText w:val="•"/>
      <w:lvlJc w:val="left"/>
      <w:pPr>
        <w:ind w:left="1538" w:hanging="361"/>
      </w:pPr>
      <w:rPr>
        <w:rFonts w:hint="default"/>
        <w:lang w:val="en-US" w:eastAsia="zh-CN" w:bidi="ar-SA"/>
      </w:rPr>
    </w:lvl>
    <w:lvl w:ilvl="2">
      <w:start w:val="0"/>
      <w:numFmt w:val="bullet"/>
      <w:lvlText w:val="•"/>
      <w:lvlJc w:val="left"/>
      <w:pPr>
        <w:ind w:left="2437" w:hanging="361"/>
      </w:pPr>
      <w:rPr>
        <w:rFonts w:hint="default"/>
        <w:lang w:val="en-US" w:eastAsia="zh-CN" w:bidi="ar-SA"/>
      </w:rPr>
    </w:lvl>
    <w:lvl w:ilvl="3">
      <w:start w:val="0"/>
      <w:numFmt w:val="bullet"/>
      <w:lvlText w:val="•"/>
      <w:lvlJc w:val="left"/>
      <w:pPr>
        <w:ind w:left="3335" w:hanging="361"/>
      </w:pPr>
      <w:rPr>
        <w:rFonts w:hint="default"/>
        <w:lang w:val="en-US" w:eastAsia="zh-CN" w:bidi="ar-SA"/>
      </w:rPr>
    </w:lvl>
    <w:lvl w:ilvl="4">
      <w:start w:val="0"/>
      <w:numFmt w:val="bullet"/>
      <w:lvlText w:val="•"/>
      <w:lvlJc w:val="left"/>
      <w:pPr>
        <w:ind w:left="4234" w:hanging="361"/>
      </w:pPr>
      <w:rPr>
        <w:rFonts w:hint="default"/>
        <w:lang w:val="en-US" w:eastAsia="zh-CN" w:bidi="ar-SA"/>
      </w:rPr>
    </w:lvl>
    <w:lvl w:ilvl="5">
      <w:start w:val="0"/>
      <w:numFmt w:val="bullet"/>
      <w:lvlText w:val="•"/>
      <w:lvlJc w:val="left"/>
      <w:pPr>
        <w:ind w:left="5133" w:hanging="361"/>
      </w:pPr>
      <w:rPr>
        <w:rFonts w:hint="default"/>
        <w:lang w:val="en-US" w:eastAsia="zh-CN" w:bidi="ar-SA"/>
      </w:rPr>
    </w:lvl>
    <w:lvl w:ilvl="6">
      <w:start w:val="0"/>
      <w:numFmt w:val="bullet"/>
      <w:lvlText w:val="•"/>
      <w:lvlJc w:val="left"/>
      <w:pPr>
        <w:ind w:left="6031" w:hanging="361"/>
      </w:pPr>
      <w:rPr>
        <w:rFonts w:hint="default"/>
        <w:lang w:val="en-US" w:eastAsia="zh-CN" w:bidi="ar-SA"/>
      </w:rPr>
    </w:lvl>
    <w:lvl w:ilvl="7">
      <w:start w:val="0"/>
      <w:numFmt w:val="bullet"/>
      <w:lvlText w:val="•"/>
      <w:lvlJc w:val="left"/>
      <w:pPr>
        <w:ind w:left="6930" w:hanging="361"/>
      </w:pPr>
      <w:rPr>
        <w:rFonts w:hint="default"/>
        <w:lang w:val="en-US" w:eastAsia="zh-CN" w:bidi="ar-SA"/>
      </w:rPr>
    </w:lvl>
    <w:lvl w:ilvl="8">
      <w:start w:val="0"/>
      <w:numFmt w:val="bullet"/>
      <w:lvlText w:val="•"/>
      <w:lvlJc w:val="left"/>
      <w:pPr>
        <w:ind w:left="7828" w:hanging="361"/>
      </w:pPr>
      <w:rPr>
        <w:rFonts w:hint="default"/>
        <w:lang w:val="en-US" w:eastAsia="zh-CN" w:bidi="ar-SA"/>
      </w:rPr>
    </w:lvl>
  </w:abstractNum>
  <w:abstractNum w:abstractNumId="9">
    <w:multiLevelType w:val="hybridMultilevel"/>
    <w:lvl w:ilvl="0">
      <w:start w:val="2"/>
      <w:numFmt w:val="decimal"/>
      <w:lvlText w:val="（%1）"/>
      <w:lvlJc w:val="left"/>
      <w:pPr>
        <w:ind w:left="1308" w:hanging="720"/>
        <w:jc w:val="left"/>
      </w:pPr>
      <w:rPr>
        <w:rFonts w:hint="default" w:ascii="SimSun" w:hAnsi="SimSun" w:eastAsia="SimSun" w:cs="SimSun"/>
        <w:w w:val="100"/>
        <w:sz w:val="24"/>
        <w:szCs w:val="24"/>
        <w:lang w:val="en-US" w:eastAsia="zh-CN" w:bidi="ar-SA"/>
      </w:rPr>
    </w:lvl>
    <w:lvl w:ilvl="1">
      <w:start w:val="0"/>
      <w:numFmt w:val="bullet"/>
      <w:lvlText w:val="•"/>
      <w:lvlJc w:val="left"/>
      <w:pPr>
        <w:ind w:left="2094" w:hanging="720"/>
      </w:pPr>
      <w:rPr>
        <w:rFonts w:hint="default"/>
        <w:lang w:val="en-US" w:eastAsia="zh-CN" w:bidi="ar-SA"/>
      </w:rPr>
    </w:lvl>
    <w:lvl w:ilvl="2">
      <w:start w:val="0"/>
      <w:numFmt w:val="bullet"/>
      <w:lvlText w:val="•"/>
      <w:lvlJc w:val="left"/>
      <w:pPr>
        <w:ind w:left="2889" w:hanging="720"/>
      </w:pPr>
      <w:rPr>
        <w:rFonts w:hint="default"/>
        <w:lang w:val="en-US" w:eastAsia="zh-CN" w:bidi="ar-SA"/>
      </w:rPr>
    </w:lvl>
    <w:lvl w:ilvl="3">
      <w:start w:val="0"/>
      <w:numFmt w:val="bullet"/>
      <w:lvlText w:val="•"/>
      <w:lvlJc w:val="left"/>
      <w:pPr>
        <w:ind w:left="3684" w:hanging="720"/>
      </w:pPr>
      <w:rPr>
        <w:rFonts w:hint="default"/>
        <w:lang w:val="en-US" w:eastAsia="zh-CN" w:bidi="ar-SA"/>
      </w:rPr>
    </w:lvl>
    <w:lvl w:ilvl="4">
      <w:start w:val="0"/>
      <w:numFmt w:val="bullet"/>
      <w:lvlText w:val="•"/>
      <w:lvlJc w:val="left"/>
      <w:pPr>
        <w:ind w:left="4479" w:hanging="720"/>
      </w:pPr>
      <w:rPr>
        <w:rFonts w:hint="default"/>
        <w:lang w:val="en-US" w:eastAsia="zh-CN" w:bidi="ar-SA"/>
      </w:rPr>
    </w:lvl>
    <w:lvl w:ilvl="5">
      <w:start w:val="0"/>
      <w:numFmt w:val="bullet"/>
      <w:lvlText w:val="•"/>
      <w:lvlJc w:val="left"/>
      <w:pPr>
        <w:ind w:left="5274" w:hanging="720"/>
      </w:pPr>
      <w:rPr>
        <w:rFonts w:hint="default"/>
        <w:lang w:val="en-US" w:eastAsia="zh-CN" w:bidi="ar-SA"/>
      </w:rPr>
    </w:lvl>
    <w:lvl w:ilvl="6">
      <w:start w:val="0"/>
      <w:numFmt w:val="bullet"/>
      <w:lvlText w:val="•"/>
      <w:lvlJc w:val="left"/>
      <w:pPr>
        <w:ind w:left="6068" w:hanging="720"/>
      </w:pPr>
      <w:rPr>
        <w:rFonts w:hint="default"/>
        <w:lang w:val="en-US" w:eastAsia="zh-CN" w:bidi="ar-SA"/>
      </w:rPr>
    </w:lvl>
    <w:lvl w:ilvl="7">
      <w:start w:val="0"/>
      <w:numFmt w:val="bullet"/>
      <w:lvlText w:val="•"/>
      <w:lvlJc w:val="left"/>
      <w:pPr>
        <w:ind w:left="6863" w:hanging="720"/>
      </w:pPr>
      <w:rPr>
        <w:rFonts w:hint="default"/>
        <w:lang w:val="en-US" w:eastAsia="zh-CN" w:bidi="ar-SA"/>
      </w:rPr>
    </w:lvl>
    <w:lvl w:ilvl="8">
      <w:start w:val="0"/>
      <w:numFmt w:val="bullet"/>
      <w:lvlText w:val="•"/>
      <w:lvlJc w:val="left"/>
      <w:pPr>
        <w:ind w:left="7658" w:hanging="720"/>
      </w:pPr>
      <w:rPr>
        <w:rFonts w:hint="default"/>
        <w:lang w:val="en-US" w:eastAsia="zh-CN" w:bidi="ar-SA"/>
      </w:rPr>
    </w:lvl>
  </w:abstractNum>
  <w:abstractNum w:abstractNumId="8">
    <w:multiLevelType w:val="hybridMultilevel"/>
    <w:lvl w:ilvl="0">
      <w:start w:val="1"/>
      <w:numFmt w:val="lowerLetter"/>
      <w:lvlText w:val="%1."/>
      <w:lvlJc w:val="left"/>
      <w:pPr>
        <w:ind w:left="322" w:hanging="171"/>
        <w:jc w:val="left"/>
      </w:pPr>
      <w:rPr>
        <w:rFonts w:hint="default" w:ascii="Times New Roman" w:hAnsi="Times New Roman" w:eastAsia="Times New Roman" w:cs="Times New Roman"/>
        <w:spacing w:val="-1"/>
        <w:w w:val="100"/>
        <w:sz w:val="22"/>
        <w:szCs w:val="22"/>
        <w:lang w:val="en-US" w:eastAsia="zh-CN" w:bidi="ar-SA"/>
      </w:rPr>
    </w:lvl>
    <w:lvl w:ilvl="1">
      <w:start w:val="0"/>
      <w:numFmt w:val="bullet"/>
      <w:lvlText w:val="•"/>
      <w:lvlJc w:val="left"/>
      <w:pPr>
        <w:ind w:left="1250" w:hanging="171"/>
      </w:pPr>
      <w:rPr>
        <w:rFonts w:hint="default"/>
        <w:lang w:val="en-US" w:eastAsia="zh-CN" w:bidi="ar-SA"/>
      </w:rPr>
    </w:lvl>
    <w:lvl w:ilvl="2">
      <w:start w:val="0"/>
      <w:numFmt w:val="bullet"/>
      <w:lvlText w:val="•"/>
      <w:lvlJc w:val="left"/>
      <w:pPr>
        <w:ind w:left="2181" w:hanging="171"/>
      </w:pPr>
      <w:rPr>
        <w:rFonts w:hint="default"/>
        <w:lang w:val="en-US" w:eastAsia="zh-CN" w:bidi="ar-SA"/>
      </w:rPr>
    </w:lvl>
    <w:lvl w:ilvl="3">
      <w:start w:val="0"/>
      <w:numFmt w:val="bullet"/>
      <w:lvlText w:val="•"/>
      <w:lvlJc w:val="left"/>
      <w:pPr>
        <w:ind w:left="3111" w:hanging="171"/>
      </w:pPr>
      <w:rPr>
        <w:rFonts w:hint="default"/>
        <w:lang w:val="en-US" w:eastAsia="zh-CN" w:bidi="ar-SA"/>
      </w:rPr>
    </w:lvl>
    <w:lvl w:ilvl="4">
      <w:start w:val="0"/>
      <w:numFmt w:val="bullet"/>
      <w:lvlText w:val="•"/>
      <w:lvlJc w:val="left"/>
      <w:pPr>
        <w:ind w:left="4042" w:hanging="171"/>
      </w:pPr>
      <w:rPr>
        <w:rFonts w:hint="default"/>
        <w:lang w:val="en-US" w:eastAsia="zh-CN" w:bidi="ar-SA"/>
      </w:rPr>
    </w:lvl>
    <w:lvl w:ilvl="5">
      <w:start w:val="0"/>
      <w:numFmt w:val="bullet"/>
      <w:lvlText w:val="•"/>
      <w:lvlJc w:val="left"/>
      <w:pPr>
        <w:ind w:left="4973" w:hanging="171"/>
      </w:pPr>
      <w:rPr>
        <w:rFonts w:hint="default"/>
        <w:lang w:val="en-US" w:eastAsia="zh-CN" w:bidi="ar-SA"/>
      </w:rPr>
    </w:lvl>
    <w:lvl w:ilvl="6">
      <w:start w:val="0"/>
      <w:numFmt w:val="bullet"/>
      <w:lvlText w:val="•"/>
      <w:lvlJc w:val="left"/>
      <w:pPr>
        <w:ind w:left="5903" w:hanging="171"/>
      </w:pPr>
      <w:rPr>
        <w:rFonts w:hint="default"/>
        <w:lang w:val="en-US" w:eastAsia="zh-CN" w:bidi="ar-SA"/>
      </w:rPr>
    </w:lvl>
    <w:lvl w:ilvl="7">
      <w:start w:val="0"/>
      <w:numFmt w:val="bullet"/>
      <w:lvlText w:val="•"/>
      <w:lvlJc w:val="left"/>
      <w:pPr>
        <w:ind w:left="6834" w:hanging="171"/>
      </w:pPr>
      <w:rPr>
        <w:rFonts w:hint="default"/>
        <w:lang w:val="en-US" w:eastAsia="zh-CN" w:bidi="ar-SA"/>
      </w:rPr>
    </w:lvl>
    <w:lvl w:ilvl="8">
      <w:start w:val="0"/>
      <w:numFmt w:val="bullet"/>
      <w:lvlText w:val="•"/>
      <w:lvlJc w:val="left"/>
      <w:pPr>
        <w:ind w:left="7764" w:hanging="171"/>
      </w:pPr>
      <w:rPr>
        <w:rFonts w:hint="default"/>
        <w:lang w:val="en-US" w:eastAsia="zh-CN" w:bidi="ar-SA"/>
      </w:rPr>
    </w:lvl>
  </w:abstractNum>
  <w:abstractNum w:abstractNumId="7">
    <w:multiLevelType w:val="hybridMultilevel"/>
    <w:lvl w:ilvl="0">
      <w:start w:val="1"/>
      <w:numFmt w:val="decimal"/>
      <w:lvlText w:val="（%1）"/>
      <w:lvlJc w:val="left"/>
      <w:pPr>
        <w:ind w:left="1522" w:hanging="720"/>
        <w:jc w:val="left"/>
      </w:pPr>
      <w:rPr>
        <w:rFonts w:hint="default" w:ascii="SimSun" w:hAnsi="SimSun" w:eastAsia="SimSun" w:cs="SimSun"/>
        <w:w w:val="100"/>
        <w:sz w:val="24"/>
        <w:szCs w:val="24"/>
        <w:lang w:val="en-US" w:eastAsia="zh-CN" w:bidi="ar-SA"/>
      </w:rPr>
    </w:lvl>
    <w:lvl w:ilvl="1">
      <w:start w:val="0"/>
      <w:numFmt w:val="bullet"/>
      <w:lvlText w:val="•"/>
      <w:lvlJc w:val="left"/>
      <w:pPr>
        <w:ind w:left="2330" w:hanging="720"/>
      </w:pPr>
      <w:rPr>
        <w:rFonts w:hint="default"/>
        <w:lang w:val="en-US" w:eastAsia="zh-CN" w:bidi="ar-SA"/>
      </w:rPr>
    </w:lvl>
    <w:lvl w:ilvl="2">
      <w:start w:val="0"/>
      <w:numFmt w:val="bullet"/>
      <w:lvlText w:val="•"/>
      <w:lvlJc w:val="left"/>
      <w:pPr>
        <w:ind w:left="3141" w:hanging="720"/>
      </w:pPr>
      <w:rPr>
        <w:rFonts w:hint="default"/>
        <w:lang w:val="en-US" w:eastAsia="zh-CN" w:bidi="ar-SA"/>
      </w:rPr>
    </w:lvl>
    <w:lvl w:ilvl="3">
      <w:start w:val="0"/>
      <w:numFmt w:val="bullet"/>
      <w:lvlText w:val="•"/>
      <w:lvlJc w:val="left"/>
      <w:pPr>
        <w:ind w:left="3951" w:hanging="720"/>
      </w:pPr>
      <w:rPr>
        <w:rFonts w:hint="default"/>
        <w:lang w:val="en-US" w:eastAsia="zh-CN" w:bidi="ar-SA"/>
      </w:rPr>
    </w:lvl>
    <w:lvl w:ilvl="4">
      <w:start w:val="0"/>
      <w:numFmt w:val="bullet"/>
      <w:lvlText w:val="•"/>
      <w:lvlJc w:val="left"/>
      <w:pPr>
        <w:ind w:left="4762" w:hanging="720"/>
      </w:pPr>
      <w:rPr>
        <w:rFonts w:hint="default"/>
        <w:lang w:val="en-US" w:eastAsia="zh-CN" w:bidi="ar-SA"/>
      </w:rPr>
    </w:lvl>
    <w:lvl w:ilvl="5">
      <w:start w:val="0"/>
      <w:numFmt w:val="bullet"/>
      <w:lvlText w:val="•"/>
      <w:lvlJc w:val="left"/>
      <w:pPr>
        <w:ind w:left="5573" w:hanging="720"/>
      </w:pPr>
      <w:rPr>
        <w:rFonts w:hint="default"/>
        <w:lang w:val="en-US" w:eastAsia="zh-CN" w:bidi="ar-SA"/>
      </w:rPr>
    </w:lvl>
    <w:lvl w:ilvl="6">
      <w:start w:val="0"/>
      <w:numFmt w:val="bullet"/>
      <w:lvlText w:val="•"/>
      <w:lvlJc w:val="left"/>
      <w:pPr>
        <w:ind w:left="6383" w:hanging="720"/>
      </w:pPr>
      <w:rPr>
        <w:rFonts w:hint="default"/>
        <w:lang w:val="en-US" w:eastAsia="zh-CN" w:bidi="ar-SA"/>
      </w:rPr>
    </w:lvl>
    <w:lvl w:ilvl="7">
      <w:start w:val="0"/>
      <w:numFmt w:val="bullet"/>
      <w:lvlText w:val="•"/>
      <w:lvlJc w:val="left"/>
      <w:pPr>
        <w:ind w:left="7194" w:hanging="720"/>
      </w:pPr>
      <w:rPr>
        <w:rFonts w:hint="default"/>
        <w:lang w:val="en-US" w:eastAsia="zh-CN" w:bidi="ar-SA"/>
      </w:rPr>
    </w:lvl>
    <w:lvl w:ilvl="8">
      <w:start w:val="0"/>
      <w:numFmt w:val="bullet"/>
      <w:lvlText w:val="•"/>
      <w:lvlJc w:val="left"/>
      <w:pPr>
        <w:ind w:left="8004" w:hanging="720"/>
      </w:pPr>
      <w:rPr>
        <w:rFonts w:hint="default"/>
        <w:lang w:val="en-US" w:eastAsia="zh-CN" w:bidi="ar-SA"/>
      </w:rPr>
    </w:lvl>
  </w:abstractNum>
  <w:abstractNum w:abstractNumId="6">
    <w:multiLevelType w:val="hybridMultilevel"/>
    <w:lvl w:ilvl="0">
      <w:start w:val="2"/>
      <w:numFmt w:val="decimal"/>
      <w:lvlText w:val="（%1）"/>
      <w:lvlJc w:val="left"/>
      <w:pPr>
        <w:ind w:left="1403"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222" w:hanging="601"/>
      </w:pPr>
      <w:rPr>
        <w:rFonts w:hint="default"/>
        <w:lang w:val="en-US" w:eastAsia="zh-CN" w:bidi="ar-SA"/>
      </w:rPr>
    </w:lvl>
    <w:lvl w:ilvl="2">
      <w:start w:val="0"/>
      <w:numFmt w:val="bullet"/>
      <w:lvlText w:val="•"/>
      <w:lvlJc w:val="left"/>
      <w:pPr>
        <w:ind w:left="3045" w:hanging="601"/>
      </w:pPr>
      <w:rPr>
        <w:rFonts w:hint="default"/>
        <w:lang w:val="en-US" w:eastAsia="zh-CN" w:bidi="ar-SA"/>
      </w:rPr>
    </w:lvl>
    <w:lvl w:ilvl="3">
      <w:start w:val="0"/>
      <w:numFmt w:val="bullet"/>
      <w:lvlText w:val="•"/>
      <w:lvlJc w:val="left"/>
      <w:pPr>
        <w:ind w:left="3867" w:hanging="601"/>
      </w:pPr>
      <w:rPr>
        <w:rFonts w:hint="default"/>
        <w:lang w:val="en-US" w:eastAsia="zh-CN" w:bidi="ar-SA"/>
      </w:rPr>
    </w:lvl>
    <w:lvl w:ilvl="4">
      <w:start w:val="0"/>
      <w:numFmt w:val="bullet"/>
      <w:lvlText w:val="•"/>
      <w:lvlJc w:val="left"/>
      <w:pPr>
        <w:ind w:left="4690" w:hanging="601"/>
      </w:pPr>
      <w:rPr>
        <w:rFonts w:hint="default"/>
        <w:lang w:val="en-US" w:eastAsia="zh-CN" w:bidi="ar-SA"/>
      </w:rPr>
    </w:lvl>
    <w:lvl w:ilvl="5">
      <w:start w:val="0"/>
      <w:numFmt w:val="bullet"/>
      <w:lvlText w:val="•"/>
      <w:lvlJc w:val="left"/>
      <w:pPr>
        <w:ind w:left="5513" w:hanging="601"/>
      </w:pPr>
      <w:rPr>
        <w:rFonts w:hint="default"/>
        <w:lang w:val="en-US" w:eastAsia="zh-CN" w:bidi="ar-SA"/>
      </w:rPr>
    </w:lvl>
    <w:lvl w:ilvl="6">
      <w:start w:val="0"/>
      <w:numFmt w:val="bullet"/>
      <w:lvlText w:val="•"/>
      <w:lvlJc w:val="left"/>
      <w:pPr>
        <w:ind w:left="6335" w:hanging="601"/>
      </w:pPr>
      <w:rPr>
        <w:rFonts w:hint="default"/>
        <w:lang w:val="en-US" w:eastAsia="zh-CN" w:bidi="ar-SA"/>
      </w:rPr>
    </w:lvl>
    <w:lvl w:ilvl="7">
      <w:start w:val="0"/>
      <w:numFmt w:val="bullet"/>
      <w:lvlText w:val="•"/>
      <w:lvlJc w:val="left"/>
      <w:pPr>
        <w:ind w:left="7158" w:hanging="601"/>
      </w:pPr>
      <w:rPr>
        <w:rFonts w:hint="default"/>
        <w:lang w:val="en-US" w:eastAsia="zh-CN" w:bidi="ar-SA"/>
      </w:rPr>
    </w:lvl>
    <w:lvl w:ilvl="8">
      <w:start w:val="0"/>
      <w:numFmt w:val="bullet"/>
      <w:lvlText w:val="•"/>
      <w:lvlJc w:val="left"/>
      <w:pPr>
        <w:ind w:left="7980" w:hanging="601"/>
      </w:pPr>
      <w:rPr>
        <w:rFonts w:hint="default"/>
        <w:lang w:val="en-US" w:eastAsia="zh-CN" w:bidi="ar-SA"/>
      </w:rPr>
    </w:lvl>
  </w:abstractNum>
  <w:abstractNum w:abstractNumId="5">
    <w:multiLevelType w:val="hybridMultilevel"/>
    <w:lvl w:ilvl="0">
      <w:start w:val="1"/>
      <w:numFmt w:val="decimal"/>
      <w:lvlText w:val="（%1）"/>
      <w:lvlJc w:val="left"/>
      <w:pPr>
        <w:ind w:left="1403"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222" w:hanging="601"/>
      </w:pPr>
      <w:rPr>
        <w:rFonts w:hint="default"/>
        <w:lang w:val="en-US" w:eastAsia="zh-CN" w:bidi="ar-SA"/>
      </w:rPr>
    </w:lvl>
    <w:lvl w:ilvl="2">
      <w:start w:val="0"/>
      <w:numFmt w:val="bullet"/>
      <w:lvlText w:val="•"/>
      <w:lvlJc w:val="left"/>
      <w:pPr>
        <w:ind w:left="3045" w:hanging="601"/>
      </w:pPr>
      <w:rPr>
        <w:rFonts w:hint="default"/>
        <w:lang w:val="en-US" w:eastAsia="zh-CN" w:bidi="ar-SA"/>
      </w:rPr>
    </w:lvl>
    <w:lvl w:ilvl="3">
      <w:start w:val="0"/>
      <w:numFmt w:val="bullet"/>
      <w:lvlText w:val="•"/>
      <w:lvlJc w:val="left"/>
      <w:pPr>
        <w:ind w:left="3867" w:hanging="601"/>
      </w:pPr>
      <w:rPr>
        <w:rFonts w:hint="default"/>
        <w:lang w:val="en-US" w:eastAsia="zh-CN" w:bidi="ar-SA"/>
      </w:rPr>
    </w:lvl>
    <w:lvl w:ilvl="4">
      <w:start w:val="0"/>
      <w:numFmt w:val="bullet"/>
      <w:lvlText w:val="•"/>
      <w:lvlJc w:val="left"/>
      <w:pPr>
        <w:ind w:left="4690" w:hanging="601"/>
      </w:pPr>
      <w:rPr>
        <w:rFonts w:hint="default"/>
        <w:lang w:val="en-US" w:eastAsia="zh-CN" w:bidi="ar-SA"/>
      </w:rPr>
    </w:lvl>
    <w:lvl w:ilvl="5">
      <w:start w:val="0"/>
      <w:numFmt w:val="bullet"/>
      <w:lvlText w:val="•"/>
      <w:lvlJc w:val="left"/>
      <w:pPr>
        <w:ind w:left="5513" w:hanging="601"/>
      </w:pPr>
      <w:rPr>
        <w:rFonts w:hint="default"/>
        <w:lang w:val="en-US" w:eastAsia="zh-CN" w:bidi="ar-SA"/>
      </w:rPr>
    </w:lvl>
    <w:lvl w:ilvl="6">
      <w:start w:val="0"/>
      <w:numFmt w:val="bullet"/>
      <w:lvlText w:val="•"/>
      <w:lvlJc w:val="left"/>
      <w:pPr>
        <w:ind w:left="6335" w:hanging="601"/>
      </w:pPr>
      <w:rPr>
        <w:rFonts w:hint="default"/>
        <w:lang w:val="en-US" w:eastAsia="zh-CN" w:bidi="ar-SA"/>
      </w:rPr>
    </w:lvl>
    <w:lvl w:ilvl="7">
      <w:start w:val="0"/>
      <w:numFmt w:val="bullet"/>
      <w:lvlText w:val="•"/>
      <w:lvlJc w:val="left"/>
      <w:pPr>
        <w:ind w:left="7158" w:hanging="601"/>
      </w:pPr>
      <w:rPr>
        <w:rFonts w:hint="default"/>
        <w:lang w:val="en-US" w:eastAsia="zh-CN" w:bidi="ar-SA"/>
      </w:rPr>
    </w:lvl>
    <w:lvl w:ilvl="8">
      <w:start w:val="0"/>
      <w:numFmt w:val="bullet"/>
      <w:lvlText w:val="•"/>
      <w:lvlJc w:val="left"/>
      <w:pPr>
        <w:ind w:left="7980" w:hanging="601"/>
      </w:pPr>
      <w:rPr>
        <w:rFonts w:hint="default"/>
        <w:lang w:val="en-US" w:eastAsia="zh-CN" w:bidi="ar-SA"/>
      </w:rPr>
    </w:lvl>
  </w:abstractNum>
  <w:abstractNum w:abstractNumId="4">
    <w:multiLevelType w:val="hybridMultilevel"/>
    <w:lvl w:ilvl="0">
      <w:start w:val="9"/>
      <w:numFmt w:val="decimal"/>
      <w:lvlText w:val="%1"/>
      <w:lvlJc w:val="left"/>
      <w:pPr>
        <w:ind w:left="642" w:hanging="321"/>
        <w:jc w:val="left"/>
      </w:pPr>
      <w:rPr>
        <w:rFonts w:hint="default"/>
        <w:lang w:val="en-US" w:eastAsia="zh-CN" w:bidi="ar-SA"/>
      </w:rPr>
    </w:lvl>
    <w:lvl w:ilvl="1">
      <w:start w:val="2"/>
      <w:numFmt w:val="decimal"/>
      <w:lvlText w:val="%1-%2"/>
      <w:lvlJc w:val="left"/>
      <w:pPr>
        <w:ind w:left="642" w:hanging="321"/>
        <w:jc w:val="left"/>
      </w:pPr>
      <w:rPr>
        <w:rFonts w:hint="default" w:ascii="Times New Roman" w:hAnsi="Times New Roman" w:eastAsia="Times New Roman" w:cs="Times New Roman"/>
        <w:spacing w:val="-1"/>
        <w:w w:val="100"/>
        <w:sz w:val="22"/>
        <w:szCs w:val="22"/>
        <w:lang w:val="en-US" w:eastAsia="zh-CN" w:bidi="ar-SA"/>
      </w:rPr>
    </w:lvl>
    <w:lvl w:ilvl="2">
      <w:start w:val="1"/>
      <w:numFmt w:val="decimal"/>
      <w:lvlText w:val="（%3）"/>
      <w:lvlJc w:val="left"/>
      <w:pPr>
        <w:ind w:left="1403" w:hanging="601"/>
        <w:jc w:val="left"/>
      </w:pPr>
      <w:rPr>
        <w:rFonts w:hint="default" w:ascii="SimSun" w:hAnsi="SimSun" w:eastAsia="SimSun" w:cs="SimSun"/>
        <w:w w:val="100"/>
        <w:sz w:val="22"/>
        <w:szCs w:val="22"/>
        <w:lang w:val="en-US" w:eastAsia="zh-CN" w:bidi="ar-SA"/>
      </w:rPr>
    </w:lvl>
    <w:lvl w:ilvl="3">
      <w:start w:val="0"/>
      <w:numFmt w:val="bullet"/>
      <w:lvlText w:val="•"/>
      <w:lvlJc w:val="left"/>
      <w:pPr>
        <w:ind w:left="3228" w:hanging="601"/>
      </w:pPr>
      <w:rPr>
        <w:rFonts w:hint="default"/>
        <w:lang w:val="en-US" w:eastAsia="zh-CN" w:bidi="ar-SA"/>
      </w:rPr>
    </w:lvl>
    <w:lvl w:ilvl="4">
      <w:start w:val="0"/>
      <w:numFmt w:val="bullet"/>
      <w:lvlText w:val="•"/>
      <w:lvlJc w:val="left"/>
      <w:pPr>
        <w:ind w:left="4142" w:hanging="601"/>
      </w:pPr>
      <w:rPr>
        <w:rFonts w:hint="default"/>
        <w:lang w:val="en-US" w:eastAsia="zh-CN" w:bidi="ar-SA"/>
      </w:rPr>
    </w:lvl>
    <w:lvl w:ilvl="5">
      <w:start w:val="0"/>
      <w:numFmt w:val="bullet"/>
      <w:lvlText w:val="•"/>
      <w:lvlJc w:val="left"/>
      <w:pPr>
        <w:ind w:left="5056" w:hanging="601"/>
      </w:pPr>
      <w:rPr>
        <w:rFonts w:hint="default"/>
        <w:lang w:val="en-US" w:eastAsia="zh-CN" w:bidi="ar-SA"/>
      </w:rPr>
    </w:lvl>
    <w:lvl w:ilvl="6">
      <w:start w:val="0"/>
      <w:numFmt w:val="bullet"/>
      <w:lvlText w:val="•"/>
      <w:lvlJc w:val="left"/>
      <w:pPr>
        <w:ind w:left="5970" w:hanging="601"/>
      </w:pPr>
      <w:rPr>
        <w:rFonts w:hint="default"/>
        <w:lang w:val="en-US" w:eastAsia="zh-CN" w:bidi="ar-SA"/>
      </w:rPr>
    </w:lvl>
    <w:lvl w:ilvl="7">
      <w:start w:val="0"/>
      <w:numFmt w:val="bullet"/>
      <w:lvlText w:val="•"/>
      <w:lvlJc w:val="left"/>
      <w:pPr>
        <w:ind w:left="6884" w:hanging="601"/>
      </w:pPr>
      <w:rPr>
        <w:rFonts w:hint="default"/>
        <w:lang w:val="en-US" w:eastAsia="zh-CN" w:bidi="ar-SA"/>
      </w:rPr>
    </w:lvl>
    <w:lvl w:ilvl="8">
      <w:start w:val="0"/>
      <w:numFmt w:val="bullet"/>
      <w:lvlText w:val="•"/>
      <w:lvlJc w:val="left"/>
      <w:pPr>
        <w:ind w:left="7798" w:hanging="601"/>
      </w:pPr>
      <w:rPr>
        <w:rFonts w:hint="default"/>
        <w:lang w:val="en-US" w:eastAsia="zh-CN" w:bidi="ar-SA"/>
      </w:rPr>
    </w:lvl>
  </w:abstractNum>
  <w:abstractNum w:abstractNumId="3">
    <w:multiLevelType w:val="hybridMultilevel"/>
    <w:lvl w:ilvl="0">
      <w:start w:val="1"/>
      <w:numFmt w:val="decimal"/>
      <w:lvlText w:val="（%1）"/>
      <w:lvlJc w:val="left"/>
      <w:pPr>
        <w:ind w:left="709" w:hanging="601"/>
        <w:jc w:val="left"/>
      </w:pPr>
      <w:rPr>
        <w:rFonts w:hint="default" w:ascii="SimSun" w:hAnsi="SimSun" w:eastAsia="SimSun" w:cs="SimSun"/>
        <w:spacing w:val="-123"/>
        <w:w w:val="100"/>
        <w:sz w:val="22"/>
        <w:szCs w:val="22"/>
        <w:lang w:val="en-US" w:eastAsia="zh-CN" w:bidi="ar-SA"/>
      </w:rPr>
    </w:lvl>
    <w:lvl w:ilvl="1">
      <w:start w:val="0"/>
      <w:numFmt w:val="bullet"/>
      <w:lvlText w:val="•"/>
      <w:lvlJc w:val="left"/>
      <w:pPr>
        <w:ind w:left="1417" w:hanging="601"/>
      </w:pPr>
      <w:rPr>
        <w:rFonts w:hint="default"/>
        <w:lang w:val="en-US" w:eastAsia="zh-CN" w:bidi="ar-SA"/>
      </w:rPr>
    </w:lvl>
    <w:lvl w:ilvl="2">
      <w:start w:val="0"/>
      <w:numFmt w:val="bullet"/>
      <w:lvlText w:val="•"/>
      <w:lvlJc w:val="left"/>
      <w:pPr>
        <w:ind w:left="2134" w:hanging="601"/>
      </w:pPr>
      <w:rPr>
        <w:rFonts w:hint="default"/>
        <w:lang w:val="en-US" w:eastAsia="zh-CN" w:bidi="ar-SA"/>
      </w:rPr>
    </w:lvl>
    <w:lvl w:ilvl="3">
      <w:start w:val="0"/>
      <w:numFmt w:val="bullet"/>
      <w:lvlText w:val="•"/>
      <w:lvlJc w:val="left"/>
      <w:pPr>
        <w:ind w:left="2851" w:hanging="601"/>
      </w:pPr>
      <w:rPr>
        <w:rFonts w:hint="default"/>
        <w:lang w:val="en-US" w:eastAsia="zh-CN" w:bidi="ar-SA"/>
      </w:rPr>
    </w:lvl>
    <w:lvl w:ilvl="4">
      <w:start w:val="0"/>
      <w:numFmt w:val="bullet"/>
      <w:lvlText w:val="•"/>
      <w:lvlJc w:val="left"/>
      <w:pPr>
        <w:ind w:left="3568" w:hanging="601"/>
      </w:pPr>
      <w:rPr>
        <w:rFonts w:hint="default"/>
        <w:lang w:val="en-US" w:eastAsia="zh-CN" w:bidi="ar-SA"/>
      </w:rPr>
    </w:lvl>
    <w:lvl w:ilvl="5">
      <w:start w:val="0"/>
      <w:numFmt w:val="bullet"/>
      <w:lvlText w:val="•"/>
      <w:lvlJc w:val="left"/>
      <w:pPr>
        <w:ind w:left="4286" w:hanging="601"/>
      </w:pPr>
      <w:rPr>
        <w:rFonts w:hint="default"/>
        <w:lang w:val="en-US" w:eastAsia="zh-CN" w:bidi="ar-SA"/>
      </w:rPr>
    </w:lvl>
    <w:lvl w:ilvl="6">
      <w:start w:val="0"/>
      <w:numFmt w:val="bullet"/>
      <w:lvlText w:val="•"/>
      <w:lvlJc w:val="left"/>
      <w:pPr>
        <w:ind w:left="5003" w:hanging="601"/>
      </w:pPr>
      <w:rPr>
        <w:rFonts w:hint="default"/>
        <w:lang w:val="en-US" w:eastAsia="zh-CN" w:bidi="ar-SA"/>
      </w:rPr>
    </w:lvl>
    <w:lvl w:ilvl="7">
      <w:start w:val="0"/>
      <w:numFmt w:val="bullet"/>
      <w:lvlText w:val="•"/>
      <w:lvlJc w:val="left"/>
      <w:pPr>
        <w:ind w:left="5720" w:hanging="601"/>
      </w:pPr>
      <w:rPr>
        <w:rFonts w:hint="default"/>
        <w:lang w:val="en-US" w:eastAsia="zh-CN" w:bidi="ar-SA"/>
      </w:rPr>
    </w:lvl>
    <w:lvl w:ilvl="8">
      <w:start w:val="0"/>
      <w:numFmt w:val="bullet"/>
      <w:lvlText w:val="•"/>
      <w:lvlJc w:val="left"/>
      <w:pPr>
        <w:ind w:left="6437" w:hanging="601"/>
      </w:pPr>
      <w:rPr>
        <w:rFonts w:hint="default"/>
        <w:lang w:val="en-US" w:eastAsia="zh-CN" w:bidi="ar-SA"/>
      </w:rPr>
    </w:lvl>
  </w:abstractNum>
  <w:abstractNum w:abstractNumId="2">
    <w:multiLevelType w:val="hybridMultilevel"/>
    <w:lvl w:ilvl="0">
      <w:start w:val="1"/>
      <w:numFmt w:val="decimal"/>
      <w:lvlText w:val="（%1）"/>
      <w:lvlJc w:val="left"/>
      <w:pPr>
        <w:ind w:left="108"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877" w:hanging="601"/>
      </w:pPr>
      <w:rPr>
        <w:rFonts w:hint="default"/>
        <w:lang w:val="en-US" w:eastAsia="zh-CN" w:bidi="ar-SA"/>
      </w:rPr>
    </w:lvl>
    <w:lvl w:ilvl="2">
      <w:start w:val="0"/>
      <w:numFmt w:val="bullet"/>
      <w:lvlText w:val="•"/>
      <w:lvlJc w:val="left"/>
      <w:pPr>
        <w:ind w:left="1654" w:hanging="601"/>
      </w:pPr>
      <w:rPr>
        <w:rFonts w:hint="default"/>
        <w:lang w:val="en-US" w:eastAsia="zh-CN" w:bidi="ar-SA"/>
      </w:rPr>
    </w:lvl>
    <w:lvl w:ilvl="3">
      <w:start w:val="0"/>
      <w:numFmt w:val="bullet"/>
      <w:lvlText w:val="•"/>
      <w:lvlJc w:val="left"/>
      <w:pPr>
        <w:ind w:left="2431" w:hanging="601"/>
      </w:pPr>
      <w:rPr>
        <w:rFonts w:hint="default"/>
        <w:lang w:val="en-US" w:eastAsia="zh-CN" w:bidi="ar-SA"/>
      </w:rPr>
    </w:lvl>
    <w:lvl w:ilvl="4">
      <w:start w:val="0"/>
      <w:numFmt w:val="bullet"/>
      <w:lvlText w:val="•"/>
      <w:lvlJc w:val="left"/>
      <w:pPr>
        <w:ind w:left="3208" w:hanging="601"/>
      </w:pPr>
      <w:rPr>
        <w:rFonts w:hint="default"/>
        <w:lang w:val="en-US" w:eastAsia="zh-CN" w:bidi="ar-SA"/>
      </w:rPr>
    </w:lvl>
    <w:lvl w:ilvl="5">
      <w:start w:val="0"/>
      <w:numFmt w:val="bullet"/>
      <w:lvlText w:val="•"/>
      <w:lvlJc w:val="left"/>
      <w:pPr>
        <w:ind w:left="3986" w:hanging="601"/>
      </w:pPr>
      <w:rPr>
        <w:rFonts w:hint="default"/>
        <w:lang w:val="en-US" w:eastAsia="zh-CN" w:bidi="ar-SA"/>
      </w:rPr>
    </w:lvl>
    <w:lvl w:ilvl="6">
      <w:start w:val="0"/>
      <w:numFmt w:val="bullet"/>
      <w:lvlText w:val="•"/>
      <w:lvlJc w:val="left"/>
      <w:pPr>
        <w:ind w:left="4763" w:hanging="601"/>
      </w:pPr>
      <w:rPr>
        <w:rFonts w:hint="default"/>
        <w:lang w:val="en-US" w:eastAsia="zh-CN" w:bidi="ar-SA"/>
      </w:rPr>
    </w:lvl>
    <w:lvl w:ilvl="7">
      <w:start w:val="0"/>
      <w:numFmt w:val="bullet"/>
      <w:lvlText w:val="•"/>
      <w:lvlJc w:val="left"/>
      <w:pPr>
        <w:ind w:left="5540" w:hanging="601"/>
      </w:pPr>
      <w:rPr>
        <w:rFonts w:hint="default"/>
        <w:lang w:val="en-US" w:eastAsia="zh-CN" w:bidi="ar-SA"/>
      </w:rPr>
    </w:lvl>
    <w:lvl w:ilvl="8">
      <w:start w:val="0"/>
      <w:numFmt w:val="bullet"/>
      <w:lvlText w:val="•"/>
      <w:lvlJc w:val="left"/>
      <w:pPr>
        <w:ind w:left="6317" w:hanging="601"/>
      </w:pPr>
      <w:rPr>
        <w:rFonts w:hint="default"/>
        <w:lang w:val="en-US" w:eastAsia="zh-CN" w:bidi="ar-SA"/>
      </w:rPr>
    </w:lvl>
  </w:abstractNum>
  <w:abstractNum w:abstractNumId="1">
    <w:multiLevelType w:val="hybridMultilevel"/>
    <w:lvl w:ilvl="0">
      <w:start w:val="1"/>
      <w:numFmt w:val="decimal"/>
      <w:lvlText w:val="（%1）"/>
      <w:lvlJc w:val="left"/>
      <w:pPr>
        <w:ind w:left="839" w:hanging="601"/>
        <w:jc w:val="left"/>
      </w:pPr>
      <w:rPr>
        <w:rFonts w:hint="default" w:ascii="SimSun" w:hAnsi="SimSun" w:eastAsia="SimSun" w:cs="SimSun"/>
        <w:w w:val="100"/>
        <w:sz w:val="22"/>
        <w:szCs w:val="22"/>
        <w:lang w:val="en-US" w:eastAsia="zh-CN" w:bidi="ar-SA"/>
      </w:rPr>
    </w:lvl>
    <w:lvl w:ilvl="1">
      <w:start w:val="1"/>
      <w:numFmt w:val="decimal"/>
      <w:lvlText w:val="（%2）"/>
      <w:lvlJc w:val="left"/>
      <w:pPr>
        <w:ind w:left="1372" w:hanging="601"/>
        <w:jc w:val="left"/>
      </w:pPr>
      <w:rPr>
        <w:rFonts w:hint="default" w:ascii="SimSun" w:hAnsi="SimSun" w:eastAsia="SimSun" w:cs="SimSun"/>
        <w:w w:val="100"/>
        <w:sz w:val="22"/>
        <w:szCs w:val="22"/>
        <w:lang w:val="en-US" w:eastAsia="zh-CN" w:bidi="ar-SA"/>
      </w:rPr>
    </w:lvl>
    <w:lvl w:ilvl="2">
      <w:start w:val="0"/>
      <w:numFmt w:val="bullet"/>
      <w:lvlText w:val="•"/>
      <w:lvlJc w:val="left"/>
      <w:pPr>
        <w:ind w:left="2153" w:hanging="601"/>
      </w:pPr>
      <w:rPr>
        <w:rFonts w:hint="default"/>
        <w:lang w:val="en-US" w:eastAsia="zh-CN" w:bidi="ar-SA"/>
      </w:rPr>
    </w:lvl>
    <w:lvl w:ilvl="3">
      <w:start w:val="0"/>
      <w:numFmt w:val="bullet"/>
      <w:lvlText w:val="•"/>
      <w:lvlJc w:val="left"/>
      <w:pPr>
        <w:ind w:left="2927" w:hanging="601"/>
      </w:pPr>
      <w:rPr>
        <w:rFonts w:hint="default"/>
        <w:lang w:val="en-US" w:eastAsia="zh-CN" w:bidi="ar-SA"/>
      </w:rPr>
    </w:lvl>
    <w:lvl w:ilvl="4">
      <w:start w:val="0"/>
      <w:numFmt w:val="bullet"/>
      <w:lvlText w:val="•"/>
      <w:lvlJc w:val="left"/>
      <w:pPr>
        <w:ind w:left="3701" w:hanging="601"/>
      </w:pPr>
      <w:rPr>
        <w:rFonts w:hint="default"/>
        <w:lang w:val="en-US" w:eastAsia="zh-CN" w:bidi="ar-SA"/>
      </w:rPr>
    </w:lvl>
    <w:lvl w:ilvl="5">
      <w:start w:val="0"/>
      <w:numFmt w:val="bullet"/>
      <w:lvlText w:val="•"/>
      <w:lvlJc w:val="left"/>
      <w:pPr>
        <w:ind w:left="4475" w:hanging="601"/>
      </w:pPr>
      <w:rPr>
        <w:rFonts w:hint="default"/>
        <w:lang w:val="en-US" w:eastAsia="zh-CN" w:bidi="ar-SA"/>
      </w:rPr>
    </w:lvl>
    <w:lvl w:ilvl="6">
      <w:start w:val="0"/>
      <w:numFmt w:val="bullet"/>
      <w:lvlText w:val="•"/>
      <w:lvlJc w:val="left"/>
      <w:pPr>
        <w:ind w:left="5249" w:hanging="601"/>
      </w:pPr>
      <w:rPr>
        <w:rFonts w:hint="default"/>
        <w:lang w:val="en-US" w:eastAsia="zh-CN" w:bidi="ar-SA"/>
      </w:rPr>
    </w:lvl>
    <w:lvl w:ilvl="7">
      <w:start w:val="0"/>
      <w:numFmt w:val="bullet"/>
      <w:lvlText w:val="•"/>
      <w:lvlJc w:val="left"/>
      <w:pPr>
        <w:ind w:left="6022" w:hanging="601"/>
      </w:pPr>
      <w:rPr>
        <w:rFonts w:hint="default"/>
        <w:lang w:val="en-US" w:eastAsia="zh-CN" w:bidi="ar-SA"/>
      </w:rPr>
    </w:lvl>
    <w:lvl w:ilvl="8">
      <w:start w:val="0"/>
      <w:numFmt w:val="bullet"/>
      <w:lvlText w:val="•"/>
      <w:lvlJc w:val="left"/>
      <w:pPr>
        <w:ind w:left="6796" w:hanging="601"/>
      </w:pPr>
      <w:rPr>
        <w:rFonts w:hint="default"/>
        <w:lang w:val="en-US" w:eastAsia="zh-CN" w:bidi="ar-SA"/>
      </w:rPr>
    </w:lvl>
  </w:abstractNum>
  <w:abstractNum w:abstractNumId="0">
    <w:multiLevelType w:val="hybridMultilevel"/>
    <w:lvl w:ilvl="0">
      <w:start w:val="1"/>
      <w:numFmt w:val="decimal"/>
      <w:lvlText w:val="（%1）"/>
      <w:lvlJc w:val="left"/>
      <w:pPr>
        <w:ind w:left="222" w:hanging="616"/>
        <w:jc w:val="left"/>
      </w:pPr>
      <w:rPr>
        <w:rFonts w:hint="default" w:ascii="SimSun" w:hAnsi="SimSun" w:eastAsia="SimSun" w:cs="SimSun"/>
        <w:spacing w:val="-5"/>
        <w:w w:val="100"/>
        <w:sz w:val="22"/>
        <w:szCs w:val="22"/>
        <w:lang w:val="en-US" w:eastAsia="zh-CN" w:bidi="ar-SA"/>
      </w:rPr>
    </w:lvl>
    <w:lvl w:ilvl="1">
      <w:start w:val="0"/>
      <w:numFmt w:val="bullet"/>
      <w:lvlText w:val="•"/>
      <w:lvlJc w:val="left"/>
      <w:pPr>
        <w:ind w:left="1040" w:hanging="616"/>
      </w:pPr>
      <w:rPr>
        <w:rFonts w:hint="default"/>
        <w:lang w:val="en-US" w:eastAsia="zh-CN" w:bidi="ar-SA"/>
      </w:rPr>
    </w:lvl>
    <w:lvl w:ilvl="2">
      <w:start w:val="0"/>
      <w:numFmt w:val="bullet"/>
      <w:lvlText w:val="•"/>
      <w:lvlJc w:val="left"/>
      <w:pPr>
        <w:ind w:left="1958" w:hanging="616"/>
      </w:pPr>
      <w:rPr>
        <w:rFonts w:hint="default"/>
        <w:lang w:val="en-US" w:eastAsia="zh-CN" w:bidi="ar-SA"/>
      </w:rPr>
    </w:lvl>
    <w:lvl w:ilvl="3">
      <w:start w:val="0"/>
      <w:numFmt w:val="bullet"/>
      <w:lvlText w:val="•"/>
      <w:lvlJc w:val="left"/>
      <w:pPr>
        <w:ind w:left="2876" w:hanging="616"/>
      </w:pPr>
      <w:rPr>
        <w:rFonts w:hint="default"/>
        <w:lang w:val="en-US" w:eastAsia="zh-CN" w:bidi="ar-SA"/>
      </w:rPr>
    </w:lvl>
    <w:lvl w:ilvl="4">
      <w:start w:val="0"/>
      <w:numFmt w:val="bullet"/>
      <w:lvlText w:val="•"/>
      <w:lvlJc w:val="left"/>
      <w:pPr>
        <w:ind w:left="3795" w:hanging="616"/>
      </w:pPr>
      <w:rPr>
        <w:rFonts w:hint="default"/>
        <w:lang w:val="en-US" w:eastAsia="zh-CN" w:bidi="ar-SA"/>
      </w:rPr>
    </w:lvl>
    <w:lvl w:ilvl="5">
      <w:start w:val="0"/>
      <w:numFmt w:val="bullet"/>
      <w:lvlText w:val="•"/>
      <w:lvlJc w:val="left"/>
      <w:pPr>
        <w:ind w:left="4713" w:hanging="616"/>
      </w:pPr>
      <w:rPr>
        <w:rFonts w:hint="default"/>
        <w:lang w:val="en-US" w:eastAsia="zh-CN" w:bidi="ar-SA"/>
      </w:rPr>
    </w:lvl>
    <w:lvl w:ilvl="6">
      <w:start w:val="0"/>
      <w:numFmt w:val="bullet"/>
      <w:lvlText w:val="•"/>
      <w:lvlJc w:val="left"/>
      <w:pPr>
        <w:ind w:left="5632" w:hanging="616"/>
      </w:pPr>
      <w:rPr>
        <w:rFonts w:hint="default"/>
        <w:lang w:val="en-US" w:eastAsia="zh-CN" w:bidi="ar-SA"/>
      </w:rPr>
    </w:lvl>
    <w:lvl w:ilvl="7">
      <w:start w:val="0"/>
      <w:numFmt w:val="bullet"/>
      <w:lvlText w:val="•"/>
      <w:lvlJc w:val="left"/>
      <w:pPr>
        <w:ind w:left="6550" w:hanging="616"/>
      </w:pPr>
      <w:rPr>
        <w:rFonts w:hint="default"/>
        <w:lang w:val="en-US" w:eastAsia="zh-CN" w:bidi="ar-SA"/>
      </w:rPr>
    </w:lvl>
    <w:lvl w:ilvl="8">
      <w:start w:val="0"/>
      <w:numFmt w:val="bullet"/>
      <w:lvlText w:val="•"/>
      <w:lvlJc w:val="left"/>
      <w:pPr>
        <w:ind w:left="7469" w:hanging="616"/>
      </w:pPr>
      <w:rPr>
        <w:rFonts w:hint="default"/>
        <w:lang w:val="en-US" w:eastAsia="zh-CN" w:bidi="ar-SA"/>
      </w:rPr>
    </w:lvl>
  </w:abstractNum>
  <w:num w:numId="12">
    <w:abstractNumId w:val="11"/>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CN" w:bidi="ar-SA"/>
    </w:rPr>
  </w:style>
  <w:style w:styleId="TOC1" w:type="paragraph">
    <w:name w:val="TOC 1"/>
    <w:basedOn w:val="Normal"/>
    <w:uiPriority w:val="1"/>
    <w:qFormat/>
    <w:pPr>
      <w:spacing w:before="316"/>
      <w:ind w:left="460"/>
    </w:pPr>
    <w:rPr>
      <w:rFonts w:ascii="SimSun" w:hAnsi="SimSun" w:eastAsia="SimSun" w:cs="SimSun"/>
      <w:sz w:val="24"/>
      <w:szCs w:val="24"/>
      <w:lang w:val="en-US" w:eastAsia="zh-CN" w:bidi="ar-SA"/>
    </w:rPr>
  </w:style>
  <w:style w:styleId="BodyText" w:type="paragraph">
    <w:name w:val="Body Text"/>
    <w:basedOn w:val="Normal"/>
    <w:uiPriority w:val="1"/>
    <w:qFormat/>
    <w:pPr/>
    <w:rPr>
      <w:rFonts w:ascii="SimSun" w:hAnsi="SimSun" w:eastAsia="SimSun" w:cs="SimSun"/>
      <w:sz w:val="24"/>
      <w:szCs w:val="24"/>
      <w:lang w:val="en-US" w:eastAsia="zh-CN" w:bidi="ar-SA"/>
    </w:rPr>
  </w:style>
  <w:style w:styleId="Heading1" w:type="paragraph">
    <w:name w:val="Heading 1"/>
    <w:basedOn w:val="Normal"/>
    <w:uiPriority w:val="1"/>
    <w:qFormat/>
    <w:pPr>
      <w:spacing w:line="496" w:lineRule="exact"/>
      <w:ind w:left="460"/>
      <w:outlineLvl w:val="1"/>
    </w:pPr>
    <w:rPr>
      <w:rFonts w:ascii="Microsoft YaHei UI" w:hAnsi="Microsoft YaHei UI" w:eastAsia="Microsoft YaHei UI" w:cs="Microsoft YaHei UI"/>
      <w:b/>
      <w:bCs/>
      <w:sz w:val="30"/>
      <w:szCs w:val="30"/>
      <w:lang w:val="en-US" w:eastAsia="zh-CN" w:bidi="ar-SA"/>
    </w:rPr>
  </w:style>
  <w:style w:styleId="Heading2" w:type="paragraph">
    <w:name w:val="Heading 2"/>
    <w:basedOn w:val="Normal"/>
    <w:uiPriority w:val="1"/>
    <w:qFormat/>
    <w:pPr>
      <w:ind w:left="281"/>
      <w:outlineLvl w:val="2"/>
    </w:pPr>
    <w:rPr>
      <w:rFonts w:ascii="SimSun" w:hAnsi="SimSun" w:eastAsia="SimSun" w:cs="SimSun"/>
      <w:sz w:val="28"/>
      <w:szCs w:val="28"/>
      <w:lang w:val="en-US" w:eastAsia="zh-CN" w:bidi="ar-SA"/>
    </w:rPr>
  </w:style>
  <w:style w:styleId="Heading3" w:type="paragraph">
    <w:name w:val="Heading 3"/>
    <w:basedOn w:val="Normal"/>
    <w:uiPriority w:val="1"/>
    <w:qFormat/>
    <w:pPr>
      <w:spacing w:line="240" w:lineRule="exact"/>
      <w:ind w:left="-11"/>
      <w:outlineLvl w:val="3"/>
    </w:pPr>
    <w:rPr>
      <w:rFonts w:ascii="Symbol" w:hAnsi="Symbol" w:eastAsia="Symbol" w:cs="Symbol"/>
      <w:sz w:val="25"/>
      <w:szCs w:val="25"/>
      <w:lang w:val="en-US" w:eastAsia="zh-CN" w:bidi="ar-SA"/>
    </w:rPr>
  </w:style>
  <w:style w:styleId="Title" w:type="paragraph">
    <w:name w:val="Title"/>
    <w:basedOn w:val="Normal"/>
    <w:uiPriority w:val="1"/>
    <w:qFormat/>
    <w:pPr>
      <w:ind w:left="2447" w:right="290" w:hanging="1980"/>
    </w:pPr>
    <w:rPr>
      <w:rFonts w:ascii="SimSun" w:hAnsi="SimSun" w:eastAsia="SimSun" w:cs="SimSun"/>
      <w:sz w:val="48"/>
      <w:szCs w:val="48"/>
      <w:lang w:val="en-US" w:eastAsia="zh-CN" w:bidi="ar-SA"/>
    </w:rPr>
  </w:style>
  <w:style w:styleId="ListParagraph" w:type="paragraph">
    <w:name w:val="List Paragraph"/>
    <w:basedOn w:val="Normal"/>
    <w:uiPriority w:val="1"/>
    <w:qFormat/>
    <w:pPr>
      <w:spacing w:before="160"/>
      <w:ind w:left="560" w:hanging="602"/>
    </w:pPr>
    <w:rPr>
      <w:rFonts w:ascii="SimSun" w:hAnsi="SimSun" w:eastAsia="SimSun" w:cs="SimSun"/>
      <w:lang w:val="en-US" w:eastAsia="zh-CN" w:bidi="ar-SA"/>
    </w:rPr>
  </w:style>
  <w:style w:styleId="TableParagraph" w:type="paragraph">
    <w:name w:val="Table Paragraph"/>
    <w:basedOn w:val="Normal"/>
    <w:uiPriority w:val="1"/>
    <w:qFormat/>
    <w:pPr>
      <w:jc w:val="center"/>
    </w:pPr>
    <w:rPr>
      <w:rFonts w:ascii="SimSun" w:hAnsi="SimSun" w:eastAsia="SimSun" w:cs="SimSun"/>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fushe.mee.gov.cn/" TargetMode="Externa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baike.baidu.com/item/%E4%BB%8B%E5%85%A5%E6%94%BE%E5%B0%84%E5%AD%A6" TargetMode="External"/><Relationship Id="rId15" Type="http://schemas.openxmlformats.org/officeDocument/2006/relationships/image" Target="media/image6.jpeg"/><Relationship Id="rId16" Type="http://schemas.openxmlformats.org/officeDocument/2006/relationships/hyperlink" Target="http://rr.mep.gov.cn/" TargetMode="External"/><Relationship Id="rId17" Type="http://schemas.openxmlformats.org/officeDocument/2006/relationships/hyperlink" Target="http://fushe.mee.gov.cn/&#23398;&#20064;&#36752;" TargetMode="External"/><Relationship Id="rId18" Type="http://schemas.openxmlformats.org/officeDocument/2006/relationships/hyperlink" Target="http://kjs.mee.gov.cn/hjbhbz/bzwb/other" TargetMode="External"/><Relationship Id="rId19" Type="http://schemas.openxmlformats.org/officeDocument/2006/relationships/hyperlink" Target="http://114.251.10.205/" TargetMode="External"/><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cfq</dc:creator>
  <dcterms:created xsi:type="dcterms:W3CDTF">2022-02-21T08:48:33Z</dcterms:created>
  <dcterms:modified xsi:type="dcterms:W3CDTF">2022-02-21T08:48:33Z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2022-02-21T00:00:00Z</vt:filetime>
  </property>
  <property fmtid="{D5CDD505-2E9C-101B-9397-08002B2CF9AE}" pid="3" name="Creator">
    <vt:lpwstr>WPS 文字</vt:lpwstr>
  </property>
  <property fmtid="{D5CDD505-2E9C-101B-9397-08002B2CF9AE}" pid="4" name="LastSaved">
    <vt:filetime>2022-02-21T00:00:00Z</vt:filetime>
  </property>
</Properties>
</file>