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资阳市第一人民医院采购助产产品的公告（第二次）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产品一批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金额10000元。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1.3招标方式：院内询价，两轮报价，最低价中标。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1.4付款方式：交付全部货物和增值税普票，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3690"/>
        </w:tabs>
        <w:ind w:left="960" w:hanging="960" w:hangingChars="3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2021年10月 28日至2021年11月3日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廉洁承诺书（详见附件二）、营业执照副本复印件、联系方式。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现场报名：工作日上班期间将资料投递至资阳市第一人民医院后勤保障部（资阳市雁江区仁德西路66号 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</w:t>
      </w:r>
    </w:p>
    <w:p>
      <w:pPr>
        <w:numPr>
          <w:ilvl w:val="0"/>
          <w:numId w:val="1"/>
        </w:num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所有产品规格部分允许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±10%偏差。图片为示意图，仅供参考。供应商投标时提供投标产品的图片、参数、单价、总价、使用说明或视频等资料。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产品需求：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2.2.1导乐球架：2个。304加厚不锈钢材质，直径65㎝。不含导乐球。</w:t>
      </w: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722755" cy="1836420"/>
            <wp:effectExtent l="0" t="0" r="10795" b="11430"/>
            <wp:docPr id="1" name="图片 1" descr="360截图20210816082436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108160824363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2.2.2花生球：2个，PVC材料，规格：长80CM，周长约110CM。磨砂表面。配套2个气泵。</w:t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081655" cy="1689100"/>
            <wp:effectExtent l="0" t="0" r="4445" b="6350"/>
            <wp:docPr id="2" name="图片 2" descr="360截图2021081816392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108181639227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2.2.3导乐凳（分娩凳），1个，木制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605915" cy="1951355"/>
            <wp:effectExtent l="0" t="0" r="13335" b="10795"/>
            <wp:docPr id="3" name="图片 3" descr="360截图2021081816495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截图202108181649559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240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2.2.4导乐车，1个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240" w:lineRule="atLeast"/>
        <w:ind w:left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外形尺寸：长650mm，宽550mm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轮规格：100mm*27mm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座高：580mm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座长：460mm，宽：200mm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上部U型台板：400mm*480mm；台面即皮革圈宽度：85mm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U型台板高度：1040-1200mm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承重：100kg。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304415" cy="2806700"/>
            <wp:effectExtent l="0" t="0" r="635" b="12700"/>
            <wp:docPr id="4" name="图片 4" descr="360截图2021081816513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108181651392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电动按摩器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，2组，每组含：1只手持式，充电或电池提供能源；按摩精油5瓶。</w:t>
      </w:r>
    </w:p>
    <w:p>
      <w:pPr>
        <w:numPr>
          <w:ilvl w:val="0"/>
          <w:numId w:val="0"/>
        </w:numPr>
        <w:rPr>
          <w:rFonts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1596390" cy="1576070"/>
            <wp:effectExtent l="0" t="0" r="3810" b="5080"/>
            <wp:docPr id="5" name="图片 5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捕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2.2.6香熏灯，1个。使用时长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10小时，容积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600ml,定时，缺水自动关机。精油10瓶。</w:t>
      </w:r>
    </w:p>
    <w:p>
      <w:pPr>
        <w:numPr>
          <w:ilvl w:val="0"/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  <w:lang w:val="en-US" w:eastAsia="zh-CN"/>
        </w:rPr>
        <w:drawing>
          <wp:inline distT="0" distB="0" distL="114300" distR="114300">
            <wp:extent cx="2885440" cy="1729740"/>
            <wp:effectExtent l="0" t="0" r="10160" b="3810"/>
            <wp:docPr id="6" name="图片 6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捕获"/>
                    <pic:cNvPicPr>
                      <a:picLocks noChangeAspect="1"/>
                    </pic:cNvPicPr>
                  </pic:nvPicPr>
                  <pic:blipFill>
                    <a:blip r:embed="rId9"/>
                    <a:srcRect l="1379" t="1900" r="3446" b="28792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Chars="0" w:right="0" w:rightChars="0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2.2.7胎儿+骨盆模型（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分娩示范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用）1组。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12925" cy="1548765"/>
            <wp:effectExtent l="0" t="0" r="15875" b="13335"/>
            <wp:docPr id="7" name="图片 7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捕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3.2。廉洁承诺书（文本见附件）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3.3《资阳市第一人民医院手持对讲机报价表》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81"/>
        <w:gridCol w:w="1560"/>
        <w:gridCol w:w="1286"/>
        <w:gridCol w:w="1191"/>
        <w:gridCol w:w="882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图片</w:t>
            </w: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2.2.1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导乐球架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2.2.2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花生球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2.2.3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导乐凳（分娩凳）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2.2.4</w:t>
            </w:r>
          </w:p>
        </w:tc>
        <w:tc>
          <w:tcPr>
            <w:tcW w:w="1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35" w:beforeAutospacing="0" w:after="235" w:afterAutospacing="0" w:line="240" w:lineRule="atLeast"/>
              <w:ind w:left="0" w:right="0" w:firstLine="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导乐车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35" w:beforeAutospacing="0" w:after="235" w:afterAutospacing="0" w:line="240" w:lineRule="atLeast"/>
              <w:ind w:left="0" w:right="0" w:firstLine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2.2.5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电动按摩器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1只，按摩精油5瓶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2组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2.2.6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香熏灯1个，香熏油10瓶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2.2.7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胎儿+骨盆模型各1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17" w:leftChars="8" w:firstLine="656" w:firstLineChars="205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2021年11 月:3日下午2:30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</w:p>
    <w:p>
      <w:pPr>
        <w:tabs>
          <w:tab w:val="left" w:pos="3690"/>
        </w:tabs>
        <w:ind w:left="17" w:leftChars="8" w:firstLine="656" w:firstLineChars="205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</w:p>
    <w:p>
      <w:pPr>
        <w:tabs>
          <w:tab w:val="left" w:pos="3690"/>
        </w:tabs>
        <w:ind w:left="0" w:leftChars="0" w:firstLine="4201" w:firstLineChars="13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附件二：</w:t>
      </w: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firstLine="2880" w:firstLineChars="9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承诺时间：二O　　年   月   日</w:t>
      </w:r>
    </w:p>
    <w:sectPr>
      <w:pgSz w:w="11906" w:h="16838"/>
      <w:pgMar w:top="1440" w:right="1706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5EEB5"/>
    <w:multiLevelType w:val="singleLevel"/>
    <w:tmpl w:val="E7B5EE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F4A09"/>
    <w:rsid w:val="10AC63E0"/>
    <w:rsid w:val="11857E6C"/>
    <w:rsid w:val="14A95B31"/>
    <w:rsid w:val="1EDA61BA"/>
    <w:rsid w:val="21CE7339"/>
    <w:rsid w:val="221442E8"/>
    <w:rsid w:val="23D20341"/>
    <w:rsid w:val="274645F2"/>
    <w:rsid w:val="28387B75"/>
    <w:rsid w:val="28745D8D"/>
    <w:rsid w:val="2C83152E"/>
    <w:rsid w:val="32432CC6"/>
    <w:rsid w:val="332B132C"/>
    <w:rsid w:val="414818C0"/>
    <w:rsid w:val="414D36C1"/>
    <w:rsid w:val="42094C72"/>
    <w:rsid w:val="43FD6D76"/>
    <w:rsid w:val="44E106B2"/>
    <w:rsid w:val="46B636C7"/>
    <w:rsid w:val="46CC3538"/>
    <w:rsid w:val="4B6A3C1E"/>
    <w:rsid w:val="4C503113"/>
    <w:rsid w:val="4F1D2EA8"/>
    <w:rsid w:val="51251A69"/>
    <w:rsid w:val="51C915E6"/>
    <w:rsid w:val="54D261EB"/>
    <w:rsid w:val="58CA5BC1"/>
    <w:rsid w:val="593E2081"/>
    <w:rsid w:val="5D430994"/>
    <w:rsid w:val="5DF374A2"/>
    <w:rsid w:val="69337773"/>
    <w:rsid w:val="6B9931C1"/>
    <w:rsid w:val="70ED2364"/>
    <w:rsid w:val="77A13A95"/>
    <w:rsid w:val="786C2853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dcterms:modified xsi:type="dcterms:W3CDTF">2021-10-28T02:01:20Z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79A5BBC373174EC4BBD6EAC871FBB0F6</vt:lpwstr>
  </property>
</Properties>
</file>