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EEDC31">
      <w:pPr>
        <w:widowControl/>
        <w:spacing w:line="400" w:lineRule="exact"/>
        <w:jc w:val="center"/>
        <w:textAlignment w:val="center"/>
        <w:rPr>
          <w:rFonts w:ascii="微软雅黑" w:hAnsi="微软雅黑" w:eastAsia="微软雅黑" w:cs="微软雅黑"/>
          <w:kern w:val="0"/>
          <w:sz w:val="36"/>
          <w:szCs w:val="36"/>
          <w:lang w:bidi="ar"/>
        </w:rPr>
      </w:pPr>
      <w:r>
        <w:rPr>
          <w:rFonts w:hint="eastAsia" w:ascii="微软雅黑" w:hAnsi="微软雅黑" w:eastAsia="微软雅黑" w:cs="微软雅黑"/>
          <w:kern w:val="0"/>
          <w:sz w:val="36"/>
          <w:szCs w:val="36"/>
          <w:lang w:bidi="ar"/>
        </w:rPr>
        <w:t>资阳市中心医院</w:t>
      </w:r>
      <w:r>
        <w:rPr>
          <w:rFonts w:hint="eastAsia" w:ascii="微软雅黑" w:hAnsi="微软雅黑" w:eastAsia="微软雅黑" w:cs="微软雅黑"/>
          <w:kern w:val="0"/>
          <w:sz w:val="36"/>
          <w:szCs w:val="36"/>
          <w:lang w:bidi="ar"/>
        </w:rPr>
        <w:br w:type="textWrapping"/>
      </w:r>
      <w:r>
        <w:rPr>
          <w:rFonts w:hint="eastAsia" w:ascii="微软雅黑" w:hAnsi="微软雅黑" w:eastAsia="微软雅黑" w:cs="微软雅黑"/>
          <w:kern w:val="0"/>
          <w:sz w:val="36"/>
          <w:szCs w:val="36"/>
          <w:lang w:bidi="ar"/>
        </w:rPr>
        <w:t>信息化灾备建设项目调研公告</w:t>
      </w:r>
    </w:p>
    <w:p w14:paraId="3C821699">
      <w:pPr>
        <w:pStyle w:val="5"/>
        <w:spacing w:line="400" w:lineRule="exact"/>
        <w:ind w:firstLine="560" w:firstLineChars="200"/>
        <w:rPr>
          <w:rFonts w:ascii="仿宋" w:hAnsi="仿宋" w:cs="仿宋"/>
          <w:sz w:val="28"/>
          <w:szCs w:val="28"/>
          <w:lang w:val="en-US"/>
        </w:rPr>
      </w:pPr>
    </w:p>
    <w:p w14:paraId="65A9BA68">
      <w:pPr>
        <w:pStyle w:val="5"/>
        <w:spacing w:line="360" w:lineRule="exact"/>
        <w:ind w:firstLine="560" w:firstLineChars="200"/>
        <w:rPr>
          <w:rFonts w:ascii="仿宋" w:hAnsi="仿宋" w:cs="仿宋"/>
          <w:sz w:val="28"/>
          <w:szCs w:val="28"/>
          <w:lang w:val="en-US"/>
        </w:rPr>
      </w:pPr>
      <w:r>
        <w:rPr>
          <w:rFonts w:hint="eastAsia" w:ascii="仿宋" w:hAnsi="仿宋" w:cs="仿宋"/>
          <w:sz w:val="28"/>
          <w:szCs w:val="28"/>
          <w:lang w:val="en-US"/>
        </w:rPr>
        <w:t>因医院业务发展需要，对医院信息化灾备建设项目进行市场调研,现公开征集相关资料,欢迎各潜在供应商进行报名，现将有关事宜公告如下：</w:t>
      </w:r>
    </w:p>
    <w:p w14:paraId="3B6104EB">
      <w:pPr>
        <w:spacing w:line="360" w:lineRule="exact"/>
        <w:ind w:firstLine="560" w:firstLineChars="200"/>
        <w:rPr>
          <w:rFonts w:ascii="微软雅黑" w:hAnsi="微软雅黑" w:eastAsia="微软雅黑" w:cs="微软雅黑"/>
          <w:kern w:val="0"/>
          <w:sz w:val="28"/>
          <w:szCs w:val="28"/>
          <w:lang w:bidi="ar"/>
        </w:rPr>
      </w:pPr>
      <w:r>
        <w:rPr>
          <w:rFonts w:hint="eastAsia" w:ascii="微软雅黑" w:hAnsi="微软雅黑" w:eastAsia="微软雅黑" w:cs="微软雅黑"/>
          <w:kern w:val="0"/>
          <w:sz w:val="28"/>
          <w:szCs w:val="28"/>
          <w:lang w:bidi="ar"/>
        </w:rPr>
        <w:t>一、项目概述</w:t>
      </w:r>
    </w:p>
    <w:p w14:paraId="14067CBF">
      <w:pPr>
        <w:pStyle w:val="5"/>
        <w:spacing w:line="360" w:lineRule="exact"/>
        <w:ind w:firstLine="560" w:firstLineChars="200"/>
        <w:rPr>
          <w:rFonts w:ascii="仿宋" w:hAnsi="仿宋" w:cs="仿宋"/>
          <w:sz w:val="28"/>
          <w:szCs w:val="28"/>
          <w:lang w:val="en-US"/>
        </w:rPr>
      </w:pPr>
      <w:r>
        <w:rPr>
          <w:rFonts w:hint="eastAsia" w:ascii="仿宋" w:hAnsi="仿宋" w:cs="仿宋"/>
          <w:sz w:val="28"/>
          <w:szCs w:val="28"/>
          <w:lang w:val="en-US"/>
        </w:rPr>
        <w:t>为全面落实国家及地方医疗信息化相关政策要求，破解当前医院信息系统灾备能力短板，保障医疗数据安全与业务连续运行，满足医院对信息化灾难恢复指标及备份数据存储和备份要求，达到资源的统一调度、灵活分配、自由扩展等目的，拟调研的建设清单如下表。</w:t>
      </w:r>
    </w:p>
    <w:tbl>
      <w:tblPr>
        <w:tblStyle w:val="12"/>
        <w:tblW w:w="0" w:type="auto"/>
        <w:tblInd w:w="93" w:type="dxa"/>
        <w:tblLayout w:type="autofit"/>
        <w:tblCellMar>
          <w:top w:w="0" w:type="dxa"/>
          <w:left w:w="108" w:type="dxa"/>
          <w:bottom w:w="0" w:type="dxa"/>
          <w:right w:w="108" w:type="dxa"/>
        </w:tblCellMar>
      </w:tblPr>
      <w:tblGrid>
        <w:gridCol w:w="697"/>
        <w:gridCol w:w="1268"/>
        <w:gridCol w:w="6464"/>
      </w:tblGrid>
      <w:tr w14:paraId="7E00B915">
        <w:tblPrEx>
          <w:tblCellMar>
            <w:top w:w="0" w:type="dxa"/>
            <w:left w:w="108" w:type="dxa"/>
            <w:bottom w:w="0" w:type="dxa"/>
            <w:right w:w="108" w:type="dxa"/>
          </w:tblCellMar>
        </w:tblPrEx>
        <w:trPr>
          <w:trHeight w:val="270" w:hRule="atLeast"/>
          <w:tblHeader/>
        </w:trPr>
        <w:tc>
          <w:tcPr>
            <w:tcW w:w="697" w:type="dxa"/>
            <w:tcBorders>
              <w:top w:val="single" w:color="000000" w:sz="4" w:space="0"/>
              <w:left w:val="single" w:color="000000" w:sz="4" w:space="0"/>
              <w:bottom w:val="single" w:color="000000" w:sz="4" w:space="0"/>
              <w:right w:val="single" w:color="000000" w:sz="4" w:space="0"/>
            </w:tcBorders>
            <w:vAlign w:val="center"/>
          </w:tcPr>
          <w:p w14:paraId="57EC68E7">
            <w:pPr>
              <w:widowControl/>
              <w:jc w:val="center"/>
              <w:textAlignment w:val="center"/>
              <w:rPr>
                <w:rFonts w:ascii="宋体" w:hAnsi="宋体" w:eastAsia="宋体" w:cs="宋体"/>
                <w:b/>
                <w:bCs/>
                <w:sz w:val="22"/>
                <w:szCs w:val="22"/>
              </w:rPr>
            </w:pPr>
            <w:r>
              <w:rPr>
                <w:rFonts w:hint="eastAsia" w:ascii="宋体" w:hAnsi="宋体" w:eastAsia="宋体" w:cs="宋体"/>
                <w:b/>
                <w:bCs/>
                <w:kern w:val="0"/>
                <w:sz w:val="22"/>
                <w:szCs w:val="22"/>
                <w:lang w:bidi="ar"/>
              </w:rPr>
              <w:t>序号</w:t>
            </w:r>
          </w:p>
        </w:tc>
        <w:tc>
          <w:tcPr>
            <w:tcW w:w="1268" w:type="dxa"/>
            <w:tcBorders>
              <w:top w:val="single" w:color="000000" w:sz="4" w:space="0"/>
              <w:left w:val="single" w:color="000000" w:sz="4" w:space="0"/>
              <w:bottom w:val="single" w:color="000000" w:sz="4" w:space="0"/>
              <w:right w:val="single" w:color="000000" w:sz="4" w:space="0"/>
            </w:tcBorders>
            <w:vAlign w:val="center"/>
          </w:tcPr>
          <w:p w14:paraId="238144A1">
            <w:pPr>
              <w:widowControl/>
              <w:jc w:val="center"/>
              <w:textAlignment w:val="center"/>
              <w:rPr>
                <w:rFonts w:ascii="宋体" w:hAnsi="宋体" w:eastAsia="宋体" w:cs="宋体"/>
                <w:b/>
                <w:bCs/>
                <w:sz w:val="22"/>
                <w:szCs w:val="22"/>
              </w:rPr>
            </w:pPr>
            <w:r>
              <w:rPr>
                <w:rFonts w:hint="eastAsia" w:ascii="宋体" w:hAnsi="宋体" w:eastAsia="宋体" w:cs="宋体"/>
                <w:b/>
                <w:bCs/>
                <w:kern w:val="0"/>
                <w:sz w:val="22"/>
                <w:szCs w:val="22"/>
                <w:lang w:bidi="ar"/>
              </w:rPr>
              <w:t>功能项</w:t>
            </w:r>
          </w:p>
        </w:tc>
        <w:tc>
          <w:tcPr>
            <w:tcW w:w="6464" w:type="dxa"/>
            <w:tcBorders>
              <w:top w:val="single" w:color="000000" w:sz="4" w:space="0"/>
              <w:left w:val="single" w:color="000000" w:sz="4" w:space="0"/>
              <w:bottom w:val="single" w:color="000000" w:sz="4" w:space="0"/>
              <w:right w:val="single" w:color="000000" w:sz="4" w:space="0"/>
            </w:tcBorders>
            <w:vAlign w:val="center"/>
          </w:tcPr>
          <w:p w14:paraId="31329EBE">
            <w:pPr>
              <w:widowControl/>
              <w:jc w:val="center"/>
              <w:textAlignment w:val="center"/>
              <w:rPr>
                <w:rFonts w:ascii="宋体" w:hAnsi="宋体" w:eastAsia="宋体" w:cs="宋体"/>
                <w:b/>
                <w:bCs/>
                <w:sz w:val="22"/>
                <w:szCs w:val="22"/>
              </w:rPr>
            </w:pPr>
            <w:r>
              <w:rPr>
                <w:rFonts w:hint="eastAsia" w:ascii="宋体" w:hAnsi="宋体" w:eastAsia="宋体" w:cs="宋体"/>
                <w:b/>
                <w:bCs/>
                <w:kern w:val="0"/>
                <w:sz w:val="22"/>
                <w:szCs w:val="22"/>
                <w:lang w:bidi="ar"/>
              </w:rPr>
              <w:t>项目概述</w:t>
            </w:r>
          </w:p>
        </w:tc>
      </w:tr>
      <w:tr w14:paraId="19C4E86B">
        <w:tblPrEx>
          <w:tblCellMar>
            <w:top w:w="0" w:type="dxa"/>
            <w:left w:w="108" w:type="dxa"/>
            <w:bottom w:w="0" w:type="dxa"/>
            <w:right w:w="108" w:type="dxa"/>
          </w:tblCellMar>
        </w:tblPrEx>
        <w:trPr>
          <w:trHeight w:val="4320" w:hRule="atLeast"/>
        </w:trPr>
        <w:tc>
          <w:tcPr>
            <w:tcW w:w="697" w:type="dxa"/>
            <w:tcBorders>
              <w:top w:val="single" w:color="000000" w:sz="4" w:space="0"/>
              <w:left w:val="single" w:color="000000" w:sz="4" w:space="0"/>
              <w:bottom w:val="single" w:color="000000" w:sz="4" w:space="0"/>
              <w:right w:val="single" w:color="000000" w:sz="4" w:space="0"/>
            </w:tcBorders>
            <w:vAlign w:val="center"/>
          </w:tcPr>
          <w:p w14:paraId="7CC96791">
            <w:pPr>
              <w:widowControl/>
              <w:jc w:val="center"/>
              <w:textAlignment w:val="center"/>
              <w:rPr>
                <w:rFonts w:ascii="宋体" w:hAnsi="宋体" w:eastAsia="宋体" w:cs="宋体"/>
                <w:sz w:val="22"/>
                <w:szCs w:val="22"/>
              </w:rPr>
            </w:pPr>
            <w:r>
              <w:rPr>
                <w:rFonts w:hint="eastAsia" w:ascii="宋体" w:hAnsi="宋体" w:eastAsia="宋体" w:cs="宋体"/>
                <w:kern w:val="0"/>
                <w:sz w:val="22"/>
                <w:szCs w:val="22"/>
                <w:lang w:bidi="ar"/>
              </w:rPr>
              <w:t>1</w:t>
            </w:r>
          </w:p>
        </w:tc>
        <w:tc>
          <w:tcPr>
            <w:tcW w:w="1268" w:type="dxa"/>
            <w:tcBorders>
              <w:top w:val="single" w:color="000000" w:sz="4" w:space="0"/>
              <w:left w:val="single" w:color="000000" w:sz="4" w:space="0"/>
              <w:bottom w:val="single" w:color="000000" w:sz="4" w:space="0"/>
              <w:right w:val="single" w:color="000000" w:sz="4" w:space="0"/>
            </w:tcBorders>
            <w:vAlign w:val="center"/>
          </w:tcPr>
          <w:p w14:paraId="55971924">
            <w:pPr>
              <w:widowControl/>
              <w:jc w:val="center"/>
              <w:textAlignment w:val="center"/>
              <w:rPr>
                <w:rFonts w:ascii="宋体" w:hAnsi="宋体" w:eastAsia="宋体" w:cs="宋体"/>
                <w:sz w:val="22"/>
                <w:szCs w:val="22"/>
              </w:rPr>
            </w:pPr>
            <w:r>
              <w:rPr>
                <w:rFonts w:hint="eastAsia" w:ascii="宋体" w:hAnsi="宋体" w:eastAsia="宋体" w:cs="宋体"/>
                <w:kern w:val="0"/>
                <w:sz w:val="22"/>
                <w:szCs w:val="22"/>
                <w:lang w:bidi="ar"/>
              </w:rPr>
              <w:t>总体技术要求</w:t>
            </w:r>
          </w:p>
        </w:tc>
        <w:tc>
          <w:tcPr>
            <w:tcW w:w="6464" w:type="dxa"/>
            <w:tcBorders>
              <w:top w:val="single" w:color="000000" w:sz="4" w:space="0"/>
              <w:left w:val="single" w:color="000000" w:sz="4" w:space="0"/>
              <w:bottom w:val="single" w:color="000000" w:sz="4" w:space="0"/>
              <w:right w:val="single" w:color="000000" w:sz="4" w:space="0"/>
            </w:tcBorders>
            <w:vAlign w:val="center"/>
          </w:tcPr>
          <w:p w14:paraId="20AC5079">
            <w:pPr>
              <w:widowControl/>
              <w:jc w:val="left"/>
              <w:textAlignment w:val="center"/>
              <w:rPr>
                <w:rFonts w:ascii="宋体" w:hAnsi="宋体" w:eastAsia="宋体" w:cs="宋体"/>
                <w:kern w:val="0"/>
                <w:sz w:val="22"/>
                <w:szCs w:val="22"/>
                <w:lang w:bidi="ar"/>
              </w:rPr>
            </w:pPr>
            <w:r>
              <w:rPr>
                <w:rFonts w:hint="eastAsia" w:ascii="宋体" w:hAnsi="宋体" w:eastAsia="宋体" w:cs="宋体"/>
                <w:kern w:val="0"/>
                <w:sz w:val="22"/>
                <w:szCs w:val="22"/>
                <w:lang w:bidi="ar"/>
              </w:rPr>
              <w:t>总体技术要求不限于以下内容：</w:t>
            </w:r>
            <w:r>
              <w:rPr>
                <w:rFonts w:hint="eastAsia" w:ascii="宋体" w:hAnsi="宋体" w:eastAsia="宋体" w:cs="宋体"/>
                <w:kern w:val="0"/>
                <w:sz w:val="22"/>
                <w:szCs w:val="22"/>
                <w:lang w:bidi="ar"/>
              </w:rPr>
              <w:br w:type="textWrapping"/>
            </w:r>
            <w:r>
              <w:rPr>
                <w:rFonts w:hint="eastAsia" w:ascii="宋体" w:hAnsi="宋体" w:eastAsia="宋体" w:cs="宋体"/>
                <w:kern w:val="0"/>
                <w:sz w:val="22"/>
                <w:szCs w:val="22"/>
                <w:lang w:bidi="ar"/>
              </w:rPr>
              <w:t>（1）本次改造后的数据中心作为医院政务云（或未来信创云）的灾备业务用房，当用户访问云端业务异常时，可切换到医院本地灾备业务用房，由灾备业务用房接管医院业务系统；关键业务信息系统恢复时间目标（RTO）≦1小时、数据恢复点目标（RPO）≦30分钟。</w:t>
            </w:r>
            <w:r>
              <w:rPr>
                <w:rFonts w:hint="eastAsia" w:ascii="宋体" w:hAnsi="宋体" w:eastAsia="宋体" w:cs="宋体"/>
                <w:kern w:val="0"/>
                <w:sz w:val="22"/>
                <w:szCs w:val="22"/>
                <w:lang w:bidi="ar"/>
              </w:rPr>
              <w:br w:type="textWrapping"/>
            </w:r>
            <w:r>
              <w:rPr>
                <w:rFonts w:hint="eastAsia" w:ascii="宋体" w:hAnsi="宋体" w:eastAsia="宋体" w:cs="宋体"/>
                <w:kern w:val="0"/>
                <w:sz w:val="22"/>
                <w:szCs w:val="22"/>
                <w:lang w:bidi="ar"/>
              </w:rPr>
              <w:t>（2）部分设备利旧，医院近年来采购的部分网络设备和安全设备如能够满足灾备中心的建设将利旧设备。如不能满足，调研方可根据实际灾备业务用房建设要求新增设备，鼓励新增硬件设备采用国产芯片；</w:t>
            </w:r>
            <w:r>
              <w:rPr>
                <w:rFonts w:hint="eastAsia" w:ascii="宋体" w:hAnsi="宋体" w:eastAsia="宋体" w:cs="宋体"/>
                <w:kern w:val="0"/>
                <w:sz w:val="22"/>
                <w:szCs w:val="22"/>
                <w:lang w:bidi="ar"/>
              </w:rPr>
              <w:br w:type="textWrapping"/>
            </w:r>
            <w:r>
              <w:rPr>
                <w:rFonts w:hint="eastAsia" w:ascii="宋体" w:hAnsi="宋体" w:eastAsia="宋体" w:cs="宋体"/>
                <w:kern w:val="0"/>
                <w:sz w:val="22"/>
                <w:szCs w:val="22"/>
                <w:lang w:bidi="ar"/>
              </w:rPr>
              <w:t>（3）医院计算资源、核心数据库部署、后端存储架构（应充分考虑医院影像数据的存储空间，方便后期根据业务进行扩容升级）、网络资源等由供应商提供解决方案。</w:t>
            </w:r>
            <w:r>
              <w:rPr>
                <w:rFonts w:hint="eastAsia" w:ascii="宋体" w:hAnsi="宋体" w:eastAsia="宋体" w:cs="宋体"/>
                <w:kern w:val="0"/>
                <w:sz w:val="22"/>
                <w:szCs w:val="22"/>
                <w:lang w:bidi="ar"/>
              </w:rPr>
              <w:br w:type="textWrapping"/>
            </w:r>
            <w:r>
              <w:rPr>
                <w:rFonts w:hint="eastAsia" w:ascii="宋体" w:hAnsi="宋体" w:eastAsia="宋体" w:cs="宋体"/>
                <w:kern w:val="0"/>
                <w:sz w:val="22"/>
                <w:szCs w:val="22"/>
                <w:lang w:bidi="ar"/>
              </w:rPr>
              <w:t>（4）灾备业务用房升级改造，包括传染病住院楼一楼区域灾备中心约107平米（图1），按照B级机房标准要求进行改造，充分考虑区域的划分；区域医疗中心一楼信息化运维中心约83平米（图2），建成后的灾备中心具备统一管理、统一运维能力，并增加动环、网管等大屏展示；另需对医院现有医技大楼楼顶机房、儿科楼一楼机房进行架构改造。</w:t>
            </w:r>
          </w:p>
          <w:p w14:paraId="0D97F5FF">
            <w:pPr>
              <w:pStyle w:val="2"/>
            </w:pPr>
            <w:r>
              <w:rPr>
                <w:rFonts w:hint="eastAsia" w:hAnsi="宋体"/>
                <w:color w:val="auto"/>
                <w:sz w:val="22"/>
                <w:szCs w:val="22"/>
                <w:lang w:bidi="ar"/>
              </w:rPr>
              <w:t>（5）需包含配合云上数据迁移实施、灾备演练服务。</w:t>
            </w:r>
          </w:p>
        </w:tc>
      </w:tr>
      <w:tr w14:paraId="2032A318">
        <w:tblPrEx>
          <w:tblCellMar>
            <w:top w:w="0" w:type="dxa"/>
            <w:left w:w="108" w:type="dxa"/>
            <w:bottom w:w="0" w:type="dxa"/>
            <w:right w:w="108" w:type="dxa"/>
          </w:tblCellMar>
        </w:tblPrEx>
        <w:trPr>
          <w:trHeight w:val="521" w:hRule="atLeast"/>
        </w:trPr>
        <w:tc>
          <w:tcPr>
            <w:tcW w:w="697" w:type="dxa"/>
            <w:tcBorders>
              <w:top w:val="single" w:color="000000" w:sz="4" w:space="0"/>
              <w:left w:val="single" w:color="000000" w:sz="4" w:space="0"/>
              <w:bottom w:val="single" w:color="000000" w:sz="4" w:space="0"/>
              <w:right w:val="single" w:color="000000" w:sz="4" w:space="0"/>
            </w:tcBorders>
            <w:vAlign w:val="center"/>
          </w:tcPr>
          <w:p w14:paraId="32150DDD">
            <w:pPr>
              <w:widowControl/>
              <w:jc w:val="center"/>
              <w:textAlignment w:val="center"/>
              <w:rPr>
                <w:rFonts w:ascii="宋体" w:hAnsi="宋体" w:eastAsia="宋体" w:cs="宋体"/>
                <w:sz w:val="22"/>
                <w:szCs w:val="22"/>
              </w:rPr>
            </w:pPr>
            <w:r>
              <w:rPr>
                <w:rFonts w:hint="eastAsia" w:ascii="宋体" w:hAnsi="宋体" w:eastAsia="宋体" w:cs="宋体"/>
                <w:kern w:val="0"/>
                <w:sz w:val="22"/>
                <w:szCs w:val="22"/>
                <w:lang w:bidi="ar"/>
              </w:rPr>
              <w:t>2</w:t>
            </w:r>
          </w:p>
        </w:tc>
        <w:tc>
          <w:tcPr>
            <w:tcW w:w="1268" w:type="dxa"/>
            <w:tcBorders>
              <w:top w:val="single" w:color="000000" w:sz="4" w:space="0"/>
              <w:left w:val="single" w:color="000000" w:sz="4" w:space="0"/>
              <w:bottom w:val="single" w:color="000000" w:sz="4" w:space="0"/>
              <w:right w:val="single" w:color="000000" w:sz="4" w:space="0"/>
            </w:tcBorders>
            <w:vAlign w:val="center"/>
          </w:tcPr>
          <w:p w14:paraId="6CC1AB94">
            <w:pPr>
              <w:widowControl/>
              <w:jc w:val="center"/>
              <w:textAlignment w:val="center"/>
              <w:rPr>
                <w:rFonts w:ascii="宋体" w:hAnsi="宋体" w:eastAsia="宋体" w:cs="宋体"/>
                <w:sz w:val="22"/>
                <w:szCs w:val="22"/>
              </w:rPr>
            </w:pPr>
            <w:r>
              <w:rPr>
                <w:rFonts w:hint="eastAsia" w:ascii="宋体" w:hAnsi="宋体" w:eastAsia="宋体" w:cs="宋体"/>
                <w:kern w:val="0"/>
                <w:sz w:val="22"/>
                <w:szCs w:val="22"/>
                <w:lang w:bidi="ar"/>
              </w:rPr>
              <w:t>灾备计算资源池</w:t>
            </w:r>
          </w:p>
        </w:tc>
        <w:tc>
          <w:tcPr>
            <w:tcW w:w="6464" w:type="dxa"/>
            <w:tcBorders>
              <w:top w:val="single" w:color="000000" w:sz="4" w:space="0"/>
              <w:left w:val="single" w:color="000000" w:sz="4" w:space="0"/>
              <w:bottom w:val="single" w:color="000000" w:sz="4" w:space="0"/>
              <w:right w:val="single" w:color="000000" w:sz="4" w:space="0"/>
            </w:tcBorders>
            <w:vAlign w:val="center"/>
          </w:tcPr>
          <w:p w14:paraId="5CE033DE">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（1）本次调研要求计算资源主机物理CPU≥400核，CPU频率≥2.0Ghz，能虚拟出的vCPU≥1500颗，内存≥2TB，最低资源要求须实现数据全量灾备和核心业务应用接管能力，以及未来3-5年冗余资源。</w:t>
            </w:r>
            <w:r>
              <w:rPr>
                <w:rFonts w:hint="eastAsia" w:ascii="宋体" w:hAnsi="宋体" w:eastAsia="宋体" w:cs="宋体"/>
                <w:kern w:val="0"/>
                <w:sz w:val="22"/>
                <w:szCs w:val="22"/>
                <w:lang w:bidi="ar"/>
              </w:rPr>
              <w:br w:type="textWrapping"/>
            </w:r>
            <w:r>
              <w:rPr>
                <w:rFonts w:hint="eastAsia" w:ascii="宋体" w:hAnsi="宋体" w:eastAsia="宋体" w:cs="宋体"/>
                <w:kern w:val="0"/>
                <w:sz w:val="22"/>
                <w:szCs w:val="22"/>
                <w:lang w:bidi="ar"/>
              </w:rPr>
              <w:t>（2）搭配的管理平台应能够实现可扩展、灵活分配资源、统一管理、较高的冗余性能、高效的负载均衡等运维管理要求。</w:t>
            </w:r>
            <w:r>
              <w:rPr>
                <w:rFonts w:hint="eastAsia" w:ascii="宋体" w:hAnsi="宋体" w:eastAsia="宋体" w:cs="宋体"/>
                <w:kern w:val="0"/>
                <w:sz w:val="22"/>
                <w:szCs w:val="22"/>
                <w:lang w:bidi="ar"/>
              </w:rPr>
              <w:br w:type="textWrapping"/>
            </w:r>
            <w:r>
              <w:rPr>
                <w:rFonts w:hint="eastAsia" w:ascii="宋体" w:hAnsi="宋体" w:eastAsia="宋体" w:cs="宋体"/>
                <w:kern w:val="0"/>
                <w:sz w:val="22"/>
                <w:szCs w:val="22"/>
                <w:lang w:bidi="ar"/>
              </w:rPr>
              <w:t>（3）配置方案需结合业务用房改造配置对应数量的机柜、电源、数据交换等设备，计算架构应充分考虑现有应用稳定性与未来信创云之间的平衡和兼容能力，采用国内外技术稳定、先进、性价比高的技术架构进行配置。</w:t>
            </w:r>
            <w:r>
              <w:rPr>
                <w:rFonts w:hint="eastAsia" w:ascii="宋体" w:hAnsi="宋体" w:eastAsia="宋体" w:cs="宋体"/>
                <w:kern w:val="0"/>
                <w:sz w:val="22"/>
                <w:szCs w:val="22"/>
                <w:lang w:bidi="ar"/>
              </w:rPr>
              <w:br w:type="textWrapping"/>
            </w:r>
            <w:r>
              <w:rPr>
                <w:rFonts w:hint="eastAsia" w:ascii="宋体" w:hAnsi="宋体" w:eastAsia="宋体" w:cs="宋体"/>
                <w:kern w:val="0"/>
                <w:sz w:val="22"/>
                <w:szCs w:val="22"/>
                <w:lang w:bidi="ar"/>
              </w:rPr>
              <w:t>（4）HIS数据库系统需单独搭配两台裸金属服务器。配置要求单台至少2路CPU≥2.5Ghz,≥256GB内存。</w:t>
            </w:r>
          </w:p>
        </w:tc>
      </w:tr>
      <w:tr w14:paraId="1C47C8F1">
        <w:tblPrEx>
          <w:tblCellMar>
            <w:top w:w="0" w:type="dxa"/>
            <w:left w:w="108" w:type="dxa"/>
            <w:bottom w:w="0" w:type="dxa"/>
            <w:right w:w="108" w:type="dxa"/>
          </w:tblCellMar>
        </w:tblPrEx>
        <w:trPr>
          <w:trHeight w:val="2160" w:hRule="atLeast"/>
        </w:trPr>
        <w:tc>
          <w:tcPr>
            <w:tcW w:w="697" w:type="dxa"/>
            <w:tcBorders>
              <w:top w:val="single" w:color="000000" w:sz="4" w:space="0"/>
              <w:left w:val="single" w:color="000000" w:sz="4" w:space="0"/>
              <w:bottom w:val="single" w:color="000000" w:sz="4" w:space="0"/>
              <w:right w:val="single" w:color="000000" w:sz="4" w:space="0"/>
            </w:tcBorders>
            <w:vAlign w:val="center"/>
          </w:tcPr>
          <w:p w14:paraId="51A78238">
            <w:pPr>
              <w:widowControl/>
              <w:jc w:val="center"/>
              <w:textAlignment w:val="center"/>
              <w:rPr>
                <w:rFonts w:ascii="宋体" w:hAnsi="宋体" w:eastAsia="宋体" w:cs="宋体"/>
                <w:sz w:val="22"/>
                <w:szCs w:val="22"/>
              </w:rPr>
            </w:pPr>
            <w:r>
              <w:rPr>
                <w:rFonts w:hint="eastAsia" w:ascii="宋体" w:hAnsi="宋体" w:eastAsia="宋体" w:cs="宋体"/>
                <w:kern w:val="0"/>
                <w:sz w:val="22"/>
                <w:szCs w:val="22"/>
                <w:lang w:bidi="ar"/>
              </w:rPr>
              <w:t>3</w:t>
            </w:r>
          </w:p>
        </w:tc>
        <w:tc>
          <w:tcPr>
            <w:tcW w:w="1268" w:type="dxa"/>
            <w:tcBorders>
              <w:top w:val="single" w:color="000000" w:sz="4" w:space="0"/>
              <w:left w:val="single" w:color="000000" w:sz="4" w:space="0"/>
              <w:bottom w:val="single" w:color="000000" w:sz="4" w:space="0"/>
              <w:right w:val="single" w:color="000000" w:sz="4" w:space="0"/>
            </w:tcBorders>
            <w:vAlign w:val="center"/>
          </w:tcPr>
          <w:p w14:paraId="223B8885">
            <w:pPr>
              <w:widowControl/>
              <w:jc w:val="center"/>
              <w:textAlignment w:val="center"/>
              <w:rPr>
                <w:rFonts w:ascii="宋体" w:hAnsi="宋体" w:eastAsia="宋体" w:cs="宋体"/>
                <w:sz w:val="22"/>
                <w:szCs w:val="22"/>
              </w:rPr>
            </w:pPr>
            <w:r>
              <w:rPr>
                <w:rFonts w:hint="eastAsia" w:ascii="宋体" w:hAnsi="宋体" w:eastAsia="宋体" w:cs="宋体"/>
                <w:kern w:val="0"/>
                <w:sz w:val="22"/>
                <w:szCs w:val="22"/>
                <w:lang w:bidi="ar"/>
              </w:rPr>
              <w:t>灾备存储资源池</w:t>
            </w:r>
          </w:p>
        </w:tc>
        <w:tc>
          <w:tcPr>
            <w:tcW w:w="6464" w:type="dxa"/>
            <w:tcBorders>
              <w:top w:val="single" w:color="000000" w:sz="4" w:space="0"/>
              <w:left w:val="single" w:color="000000" w:sz="4" w:space="0"/>
              <w:bottom w:val="single" w:color="000000" w:sz="4" w:space="0"/>
              <w:right w:val="single" w:color="000000" w:sz="4" w:space="0"/>
            </w:tcBorders>
            <w:vAlign w:val="center"/>
          </w:tcPr>
          <w:p w14:paraId="60F1188D">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（1）按照可用存储资源≥600TB配置，满足未来5年业务发展需要；</w:t>
            </w:r>
            <w:r>
              <w:rPr>
                <w:rFonts w:hint="eastAsia" w:ascii="宋体" w:hAnsi="宋体" w:eastAsia="宋体" w:cs="宋体"/>
                <w:kern w:val="0"/>
                <w:sz w:val="22"/>
                <w:szCs w:val="22"/>
                <w:lang w:bidi="ar"/>
              </w:rPr>
              <w:br w:type="textWrapping"/>
            </w:r>
            <w:r>
              <w:rPr>
                <w:rFonts w:hint="eastAsia" w:ascii="宋体" w:hAnsi="宋体" w:eastAsia="宋体" w:cs="宋体"/>
                <w:kern w:val="0"/>
                <w:sz w:val="22"/>
                <w:szCs w:val="22"/>
                <w:lang w:bidi="ar"/>
              </w:rPr>
              <w:t>（2）存储数据需包扩医院生产影像数据、历史影像数据、业务数据、历史业务数据的全部数据的存储。</w:t>
            </w:r>
            <w:r>
              <w:rPr>
                <w:rFonts w:hint="eastAsia" w:ascii="宋体" w:hAnsi="宋体" w:eastAsia="宋体" w:cs="宋体"/>
                <w:kern w:val="0"/>
                <w:sz w:val="22"/>
                <w:szCs w:val="22"/>
                <w:lang w:bidi="ar"/>
              </w:rPr>
              <w:br w:type="textWrapping"/>
            </w:r>
            <w:r>
              <w:rPr>
                <w:rFonts w:hint="eastAsia" w:ascii="宋体" w:hAnsi="宋体" w:eastAsia="宋体" w:cs="宋体"/>
                <w:kern w:val="0"/>
                <w:sz w:val="22"/>
                <w:szCs w:val="22"/>
                <w:lang w:bidi="ar"/>
              </w:rPr>
              <w:t>（3）采用国内外技术稳定、先进、性价比高的技术架构进行配置。需针对冷数据、热数据、影像数据等进行针对性优化存储和管理，能够实现自动管理。</w:t>
            </w:r>
            <w:r>
              <w:rPr>
                <w:rFonts w:hint="eastAsia" w:ascii="宋体" w:hAnsi="宋体" w:eastAsia="宋体" w:cs="宋体"/>
                <w:kern w:val="0"/>
                <w:sz w:val="22"/>
                <w:szCs w:val="22"/>
                <w:lang w:bidi="ar"/>
              </w:rPr>
              <w:br w:type="textWrapping"/>
            </w:r>
            <w:r>
              <w:rPr>
                <w:rFonts w:hint="eastAsia" w:ascii="宋体" w:hAnsi="宋体" w:eastAsia="宋体" w:cs="宋体"/>
                <w:kern w:val="0"/>
                <w:sz w:val="22"/>
                <w:szCs w:val="22"/>
                <w:lang w:bidi="ar"/>
              </w:rPr>
              <w:t>（4）核心应用数据应实现高可用。</w:t>
            </w:r>
            <w:r>
              <w:rPr>
                <w:rFonts w:hint="eastAsia" w:ascii="宋体" w:hAnsi="宋体" w:eastAsia="宋体" w:cs="宋体"/>
                <w:kern w:val="0"/>
                <w:sz w:val="22"/>
                <w:szCs w:val="22"/>
                <w:lang w:bidi="ar"/>
              </w:rPr>
              <w:br w:type="textWrapping"/>
            </w:r>
            <w:r>
              <w:rPr>
                <w:rFonts w:hint="eastAsia" w:ascii="宋体" w:hAnsi="宋体" w:eastAsia="宋体" w:cs="宋体"/>
                <w:kern w:val="0"/>
                <w:sz w:val="22"/>
                <w:szCs w:val="22"/>
                <w:lang w:bidi="ar"/>
              </w:rPr>
              <w:t>（5）宜对存储类型、高性能SSD盘，大容量存储盘，热备盘、RAID等进行合理规划。</w:t>
            </w:r>
          </w:p>
        </w:tc>
      </w:tr>
      <w:tr w14:paraId="095E9683">
        <w:tblPrEx>
          <w:tblCellMar>
            <w:top w:w="0" w:type="dxa"/>
            <w:left w:w="108" w:type="dxa"/>
            <w:bottom w:w="0" w:type="dxa"/>
            <w:right w:w="108" w:type="dxa"/>
          </w:tblCellMar>
        </w:tblPrEx>
        <w:trPr>
          <w:trHeight w:val="2430" w:hRule="atLeast"/>
        </w:trPr>
        <w:tc>
          <w:tcPr>
            <w:tcW w:w="697" w:type="dxa"/>
            <w:tcBorders>
              <w:top w:val="single" w:color="000000" w:sz="4" w:space="0"/>
              <w:left w:val="single" w:color="000000" w:sz="4" w:space="0"/>
              <w:bottom w:val="single" w:color="000000" w:sz="4" w:space="0"/>
              <w:right w:val="single" w:color="000000" w:sz="4" w:space="0"/>
            </w:tcBorders>
            <w:vAlign w:val="center"/>
          </w:tcPr>
          <w:p w14:paraId="08F498BA">
            <w:pPr>
              <w:widowControl/>
              <w:jc w:val="center"/>
              <w:textAlignment w:val="center"/>
              <w:rPr>
                <w:rFonts w:ascii="宋体" w:hAnsi="宋体" w:eastAsia="宋体" w:cs="宋体"/>
                <w:sz w:val="22"/>
                <w:szCs w:val="22"/>
              </w:rPr>
            </w:pPr>
            <w:r>
              <w:rPr>
                <w:rFonts w:hint="eastAsia" w:ascii="宋体" w:hAnsi="宋体" w:eastAsia="宋体" w:cs="宋体"/>
                <w:kern w:val="0"/>
                <w:sz w:val="22"/>
                <w:szCs w:val="22"/>
                <w:lang w:bidi="ar"/>
              </w:rPr>
              <w:t>4</w:t>
            </w:r>
          </w:p>
        </w:tc>
        <w:tc>
          <w:tcPr>
            <w:tcW w:w="1268" w:type="dxa"/>
            <w:tcBorders>
              <w:top w:val="single" w:color="000000" w:sz="4" w:space="0"/>
              <w:left w:val="single" w:color="000000" w:sz="4" w:space="0"/>
              <w:bottom w:val="single" w:color="000000" w:sz="4" w:space="0"/>
              <w:right w:val="single" w:color="000000" w:sz="4" w:space="0"/>
            </w:tcBorders>
            <w:vAlign w:val="center"/>
          </w:tcPr>
          <w:p w14:paraId="2A93BC83">
            <w:pPr>
              <w:widowControl/>
              <w:jc w:val="center"/>
              <w:textAlignment w:val="center"/>
              <w:rPr>
                <w:rFonts w:ascii="宋体" w:hAnsi="宋体" w:eastAsia="宋体" w:cs="宋体"/>
                <w:sz w:val="22"/>
                <w:szCs w:val="22"/>
              </w:rPr>
            </w:pPr>
            <w:r>
              <w:rPr>
                <w:rFonts w:hint="eastAsia" w:ascii="宋体" w:hAnsi="宋体" w:eastAsia="宋体" w:cs="宋体"/>
                <w:kern w:val="0"/>
                <w:sz w:val="22"/>
                <w:szCs w:val="22"/>
                <w:lang w:bidi="ar"/>
              </w:rPr>
              <w:t>灾备环境改造</w:t>
            </w:r>
          </w:p>
        </w:tc>
        <w:tc>
          <w:tcPr>
            <w:tcW w:w="6464" w:type="dxa"/>
            <w:tcBorders>
              <w:top w:val="single" w:color="000000" w:sz="4" w:space="0"/>
              <w:left w:val="single" w:color="000000" w:sz="4" w:space="0"/>
              <w:bottom w:val="single" w:color="000000" w:sz="4" w:space="0"/>
              <w:right w:val="single" w:color="000000" w:sz="4" w:space="0"/>
            </w:tcBorders>
            <w:vAlign w:val="center"/>
          </w:tcPr>
          <w:p w14:paraId="00B3B620">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1）含灾备中心装修工程、电气工程、机柜及布线、防雷接地、新风系统、消防报警灭火系统（需与现有消防报警灭火系统对接、联动）、门禁系统（需实现与消防报警联动）、动环监控系统、精密空调系统、UPS系统（UPS间位于传染病住院楼负一楼弱电进线间，电池需放置于此房间，如图3）等，运维大屏展示（安装于区域医疗中心一楼信息化运维中心）等。相关门禁等系统优先采用国密安全产品。</w:t>
            </w:r>
            <w:r>
              <w:rPr>
                <w:rFonts w:hint="eastAsia" w:ascii="宋体" w:hAnsi="宋体" w:eastAsia="宋体" w:cs="宋体"/>
                <w:kern w:val="0"/>
                <w:sz w:val="22"/>
                <w:szCs w:val="22"/>
                <w:lang w:bidi="ar"/>
              </w:rPr>
              <w:br w:type="textWrapping"/>
            </w:r>
            <w:r>
              <w:rPr>
                <w:rFonts w:hint="eastAsia" w:ascii="宋体" w:hAnsi="宋体" w:eastAsia="宋体" w:cs="宋体"/>
                <w:kern w:val="0"/>
                <w:sz w:val="22"/>
                <w:szCs w:val="22"/>
                <w:lang w:bidi="ar"/>
              </w:rPr>
              <w:t>（2）区域医疗中心一楼信息化运维中心基础装修及网络布线、LED全彩屏（面积≥8平方，点间距≤1.6mm）等内容，医技楼机房及儿科楼机房相应的网络部分改造。</w:t>
            </w:r>
            <w:r>
              <w:rPr>
                <w:rFonts w:hint="eastAsia" w:ascii="宋体" w:hAnsi="宋体" w:eastAsia="宋体" w:cs="宋体"/>
                <w:kern w:val="0"/>
                <w:sz w:val="22"/>
                <w:szCs w:val="22"/>
                <w:lang w:bidi="ar"/>
              </w:rPr>
              <w:br w:type="textWrapping"/>
            </w:r>
            <w:r>
              <w:rPr>
                <w:rFonts w:hint="eastAsia" w:ascii="宋体" w:hAnsi="宋体" w:eastAsia="宋体" w:cs="宋体"/>
                <w:kern w:val="0"/>
                <w:sz w:val="22"/>
                <w:szCs w:val="22"/>
                <w:lang w:bidi="ar"/>
              </w:rPr>
              <w:t>（3）供应商宜利用CAD图纸等方式进行方案思路的阐述。</w:t>
            </w:r>
          </w:p>
        </w:tc>
      </w:tr>
      <w:tr w14:paraId="4FF67CA2">
        <w:tblPrEx>
          <w:tblCellMar>
            <w:top w:w="0" w:type="dxa"/>
            <w:left w:w="108" w:type="dxa"/>
            <w:bottom w:w="0" w:type="dxa"/>
            <w:right w:w="108" w:type="dxa"/>
          </w:tblCellMar>
        </w:tblPrEx>
        <w:trPr>
          <w:trHeight w:val="1080" w:hRule="atLeast"/>
        </w:trPr>
        <w:tc>
          <w:tcPr>
            <w:tcW w:w="697" w:type="dxa"/>
            <w:tcBorders>
              <w:top w:val="single" w:color="000000" w:sz="4" w:space="0"/>
              <w:left w:val="single" w:color="000000" w:sz="4" w:space="0"/>
              <w:bottom w:val="single" w:color="000000" w:sz="4" w:space="0"/>
              <w:right w:val="single" w:color="000000" w:sz="4" w:space="0"/>
            </w:tcBorders>
            <w:vAlign w:val="center"/>
          </w:tcPr>
          <w:p w14:paraId="0CC0CB81">
            <w:pPr>
              <w:widowControl/>
              <w:jc w:val="center"/>
              <w:textAlignment w:val="center"/>
              <w:rPr>
                <w:rFonts w:ascii="宋体" w:hAnsi="宋体" w:eastAsia="宋体" w:cs="宋体"/>
                <w:sz w:val="22"/>
                <w:szCs w:val="22"/>
              </w:rPr>
            </w:pPr>
            <w:r>
              <w:rPr>
                <w:rFonts w:hint="eastAsia" w:ascii="宋体" w:hAnsi="宋体" w:eastAsia="宋体" w:cs="宋体"/>
                <w:kern w:val="0"/>
                <w:sz w:val="22"/>
                <w:szCs w:val="22"/>
                <w:lang w:bidi="ar"/>
              </w:rPr>
              <w:t>6</w:t>
            </w:r>
          </w:p>
        </w:tc>
        <w:tc>
          <w:tcPr>
            <w:tcW w:w="1268" w:type="dxa"/>
            <w:tcBorders>
              <w:top w:val="single" w:color="000000" w:sz="4" w:space="0"/>
              <w:left w:val="single" w:color="000000" w:sz="4" w:space="0"/>
              <w:bottom w:val="single" w:color="000000" w:sz="4" w:space="0"/>
              <w:right w:val="single" w:color="000000" w:sz="4" w:space="0"/>
            </w:tcBorders>
            <w:vAlign w:val="center"/>
          </w:tcPr>
          <w:p w14:paraId="5B4BBD69">
            <w:pPr>
              <w:widowControl/>
              <w:jc w:val="center"/>
              <w:textAlignment w:val="center"/>
              <w:rPr>
                <w:rFonts w:ascii="宋体" w:hAnsi="宋体" w:eastAsia="宋体" w:cs="宋体"/>
                <w:sz w:val="22"/>
                <w:szCs w:val="22"/>
              </w:rPr>
            </w:pPr>
            <w:r>
              <w:rPr>
                <w:rFonts w:hint="eastAsia" w:ascii="宋体" w:hAnsi="宋体" w:eastAsia="宋体" w:cs="宋体"/>
                <w:kern w:val="0"/>
                <w:sz w:val="22"/>
                <w:szCs w:val="22"/>
                <w:lang w:bidi="ar"/>
              </w:rPr>
              <w:t>灾备安全改造及评估</w:t>
            </w:r>
          </w:p>
        </w:tc>
        <w:tc>
          <w:tcPr>
            <w:tcW w:w="6464" w:type="dxa"/>
            <w:tcBorders>
              <w:top w:val="single" w:color="000000" w:sz="4" w:space="0"/>
              <w:left w:val="single" w:color="000000" w:sz="4" w:space="0"/>
              <w:bottom w:val="single" w:color="000000" w:sz="4" w:space="0"/>
              <w:right w:val="single" w:color="000000" w:sz="4" w:space="0"/>
            </w:tcBorders>
            <w:vAlign w:val="center"/>
          </w:tcPr>
          <w:p w14:paraId="03AE476B">
            <w:pPr>
              <w:widowControl/>
              <w:jc w:val="left"/>
              <w:textAlignment w:val="center"/>
              <w:rPr>
                <w:rFonts w:eastAsia="宋体"/>
              </w:rPr>
            </w:pPr>
            <w:r>
              <w:rPr>
                <w:rFonts w:hint="eastAsia" w:ascii="宋体" w:hAnsi="宋体" w:eastAsia="宋体" w:cs="宋体"/>
                <w:kern w:val="0"/>
                <w:sz w:val="22"/>
                <w:szCs w:val="22"/>
                <w:lang w:bidi="ar"/>
              </w:rPr>
              <w:t>（1）根据实际情况评估需增加的安全设备，数据库审计软硬件等；</w:t>
            </w:r>
            <w:r>
              <w:rPr>
                <w:rFonts w:hint="eastAsia" w:ascii="宋体" w:hAnsi="宋体" w:eastAsia="宋体" w:cs="宋体"/>
                <w:kern w:val="0"/>
                <w:sz w:val="22"/>
                <w:szCs w:val="22"/>
                <w:lang w:bidi="ar"/>
              </w:rPr>
              <w:br w:type="textWrapping"/>
            </w:r>
            <w:r>
              <w:rPr>
                <w:rFonts w:hint="eastAsia" w:ascii="宋体" w:hAnsi="宋体" w:eastAsia="宋体" w:cs="宋体"/>
                <w:kern w:val="0"/>
                <w:sz w:val="22"/>
                <w:szCs w:val="22"/>
                <w:lang w:bidi="ar"/>
              </w:rPr>
              <w:t>（2）改造完成后，需对整体灾备能力环境进行安全评估，对存在的问题进行改造。</w:t>
            </w:r>
            <w:r>
              <w:rPr>
                <w:rFonts w:hint="eastAsia" w:ascii="宋体" w:hAnsi="宋体" w:eastAsia="宋体" w:cs="宋体"/>
                <w:kern w:val="0"/>
                <w:sz w:val="22"/>
                <w:szCs w:val="22"/>
                <w:lang w:bidi="ar"/>
              </w:rPr>
              <w:br w:type="textWrapping"/>
            </w:r>
            <w:r>
              <w:rPr>
                <w:rFonts w:hint="eastAsia" w:ascii="宋体" w:hAnsi="宋体" w:eastAsia="宋体" w:cs="宋体"/>
                <w:kern w:val="0"/>
                <w:sz w:val="22"/>
                <w:szCs w:val="22"/>
                <w:lang w:bidi="ar"/>
              </w:rPr>
              <w:t>（3）可利旧医院现有的安全能力，进行针对性补强。</w:t>
            </w:r>
          </w:p>
        </w:tc>
      </w:tr>
      <w:tr w14:paraId="54D54F97">
        <w:tblPrEx>
          <w:tblCellMar>
            <w:top w:w="0" w:type="dxa"/>
            <w:left w:w="108" w:type="dxa"/>
            <w:bottom w:w="0" w:type="dxa"/>
            <w:right w:w="108" w:type="dxa"/>
          </w:tblCellMar>
        </w:tblPrEx>
        <w:trPr>
          <w:trHeight w:val="810" w:hRule="atLeast"/>
        </w:trPr>
        <w:tc>
          <w:tcPr>
            <w:tcW w:w="697" w:type="dxa"/>
            <w:tcBorders>
              <w:top w:val="single" w:color="000000" w:sz="4" w:space="0"/>
              <w:left w:val="single" w:color="000000" w:sz="4" w:space="0"/>
              <w:bottom w:val="single" w:color="000000" w:sz="4" w:space="0"/>
              <w:right w:val="single" w:color="000000" w:sz="4" w:space="0"/>
            </w:tcBorders>
            <w:vAlign w:val="center"/>
          </w:tcPr>
          <w:p w14:paraId="3E18257F">
            <w:pPr>
              <w:widowControl/>
              <w:jc w:val="center"/>
              <w:textAlignment w:val="center"/>
              <w:rPr>
                <w:rFonts w:ascii="宋体" w:hAnsi="宋体" w:eastAsia="宋体" w:cs="宋体"/>
                <w:sz w:val="22"/>
                <w:szCs w:val="22"/>
              </w:rPr>
            </w:pPr>
            <w:r>
              <w:rPr>
                <w:rFonts w:hint="eastAsia" w:ascii="宋体" w:hAnsi="宋体" w:eastAsia="宋体" w:cs="宋体"/>
                <w:kern w:val="0"/>
                <w:sz w:val="22"/>
                <w:szCs w:val="22"/>
                <w:lang w:bidi="ar"/>
              </w:rPr>
              <w:t>7</w:t>
            </w:r>
          </w:p>
        </w:tc>
        <w:tc>
          <w:tcPr>
            <w:tcW w:w="1268" w:type="dxa"/>
            <w:tcBorders>
              <w:top w:val="single" w:color="000000" w:sz="4" w:space="0"/>
              <w:left w:val="single" w:color="000000" w:sz="4" w:space="0"/>
              <w:bottom w:val="single" w:color="000000" w:sz="4" w:space="0"/>
              <w:right w:val="single" w:color="000000" w:sz="4" w:space="0"/>
            </w:tcBorders>
            <w:vAlign w:val="center"/>
          </w:tcPr>
          <w:p w14:paraId="3F636063">
            <w:pPr>
              <w:widowControl/>
              <w:jc w:val="center"/>
              <w:textAlignment w:val="center"/>
              <w:rPr>
                <w:rFonts w:ascii="宋体" w:hAnsi="宋体" w:eastAsia="宋体" w:cs="宋体"/>
                <w:sz w:val="22"/>
                <w:szCs w:val="22"/>
              </w:rPr>
            </w:pPr>
            <w:r>
              <w:rPr>
                <w:rFonts w:hint="eastAsia" w:ascii="宋体" w:hAnsi="宋体" w:eastAsia="宋体" w:cs="宋体"/>
                <w:kern w:val="0"/>
                <w:sz w:val="22"/>
                <w:szCs w:val="22"/>
                <w:lang w:bidi="ar"/>
              </w:rPr>
              <w:t>灾备正版化软件</w:t>
            </w:r>
          </w:p>
        </w:tc>
        <w:tc>
          <w:tcPr>
            <w:tcW w:w="6464" w:type="dxa"/>
            <w:tcBorders>
              <w:top w:val="single" w:color="000000" w:sz="4" w:space="0"/>
              <w:left w:val="single" w:color="000000" w:sz="4" w:space="0"/>
              <w:bottom w:val="single" w:color="000000" w:sz="4" w:space="0"/>
              <w:right w:val="single" w:color="000000" w:sz="4" w:space="0"/>
            </w:tcBorders>
            <w:vAlign w:val="center"/>
          </w:tcPr>
          <w:p w14:paraId="62759B57">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本项目灾备能力建设中使用到成品软件，其数量由供应商根据方案自行配置，包括但不限于数据库、应用软件、操作系统、中间件等，需为正版软件，如厂商授权，需直接授权给医院，且可供查验。</w:t>
            </w:r>
          </w:p>
        </w:tc>
      </w:tr>
      <w:tr w14:paraId="23D321B8">
        <w:tblPrEx>
          <w:tblCellMar>
            <w:top w:w="0" w:type="dxa"/>
            <w:left w:w="108" w:type="dxa"/>
            <w:bottom w:w="0" w:type="dxa"/>
            <w:right w:w="108" w:type="dxa"/>
          </w:tblCellMar>
        </w:tblPrEx>
        <w:trPr>
          <w:trHeight w:val="1350" w:hRule="atLeast"/>
        </w:trPr>
        <w:tc>
          <w:tcPr>
            <w:tcW w:w="697" w:type="dxa"/>
            <w:tcBorders>
              <w:top w:val="single" w:color="000000" w:sz="4" w:space="0"/>
              <w:left w:val="single" w:color="000000" w:sz="4" w:space="0"/>
              <w:bottom w:val="single" w:color="000000" w:sz="4" w:space="0"/>
              <w:right w:val="single" w:color="000000" w:sz="4" w:space="0"/>
            </w:tcBorders>
            <w:vAlign w:val="center"/>
          </w:tcPr>
          <w:p w14:paraId="165B3EC8">
            <w:pPr>
              <w:widowControl/>
              <w:jc w:val="center"/>
              <w:textAlignment w:val="center"/>
              <w:rPr>
                <w:rFonts w:ascii="宋体" w:hAnsi="宋体" w:eastAsia="宋体" w:cs="宋体"/>
                <w:sz w:val="22"/>
                <w:szCs w:val="22"/>
              </w:rPr>
            </w:pPr>
            <w:r>
              <w:rPr>
                <w:rFonts w:hint="eastAsia" w:ascii="宋体" w:hAnsi="宋体" w:eastAsia="宋体" w:cs="宋体"/>
                <w:kern w:val="0"/>
                <w:sz w:val="22"/>
                <w:szCs w:val="22"/>
                <w:lang w:bidi="ar"/>
              </w:rPr>
              <w:t>8</w:t>
            </w:r>
          </w:p>
        </w:tc>
        <w:tc>
          <w:tcPr>
            <w:tcW w:w="1268" w:type="dxa"/>
            <w:tcBorders>
              <w:top w:val="single" w:color="000000" w:sz="4" w:space="0"/>
              <w:left w:val="single" w:color="000000" w:sz="4" w:space="0"/>
              <w:bottom w:val="single" w:color="000000" w:sz="4" w:space="0"/>
              <w:right w:val="single" w:color="000000" w:sz="4" w:space="0"/>
            </w:tcBorders>
            <w:vAlign w:val="center"/>
          </w:tcPr>
          <w:p w14:paraId="458439D9">
            <w:pPr>
              <w:widowControl/>
              <w:jc w:val="center"/>
              <w:textAlignment w:val="center"/>
              <w:rPr>
                <w:rFonts w:ascii="宋体" w:hAnsi="宋体" w:eastAsia="宋体" w:cs="宋体"/>
                <w:sz w:val="22"/>
                <w:szCs w:val="22"/>
              </w:rPr>
            </w:pPr>
            <w:r>
              <w:rPr>
                <w:rFonts w:hint="eastAsia" w:ascii="宋体" w:hAnsi="宋体" w:eastAsia="宋体" w:cs="宋体"/>
                <w:kern w:val="0"/>
                <w:sz w:val="22"/>
                <w:szCs w:val="22"/>
                <w:lang w:bidi="ar"/>
              </w:rPr>
              <w:t>信息化运维管理平台</w:t>
            </w:r>
          </w:p>
        </w:tc>
        <w:tc>
          <w:tcPr>
            <w:tcW w:w="6464" w:type="dxa"/>
            <w:tcBorders>
              <w:top w:val="single" w:color="000000" w:sz="4" w:space="0"/>
              <w:left w:val="single" w:color="000000" w:sz="4" w:space="0"/>
              <w:bottom w:val="single" w:color="000000" w:sz="4" w:space="0"/>
              <w:right w:val="single" w:color="000000" w:sz="4" w:space="0"/>
            </w:tcBorders>
            <w:vAlign w:val="center"/>
          </w:tcPr>
          <w:p w14:paraId="7CAC26B3">
            <w:pPr>
              <w:widowControl/>
              <w:numPr>
                <w:ilvl w:val="0"/>
                <w:numId w:val="1"/>
              </w:numPr>
              <w:jc w:val="left"/>
              <w:textAlignment w:val="center"/>
              <w:rPr>
                <w:rFonts w:ascii="宋体" w:hAnsi="宋体" w:eastAsia="宋体" w:cs="宋体"/>
                <w:kern w:val="0"/>
                <w:sz w:val="22"/>
                <w:szCs w:val="22"/>
                <w:lang w:bidi="ar"/>
              </w:rPr>
            </w:pPr>
            <w:r>
              <w:rPr>
                <w:rFonts w:hint="eastAsia" w:ascii="宋体" w:hAnsi="宋体" w:eastAsia="宋体" w:cs="宋体"/>
                <w:kern w:val="0"/>
                <w:sz w:val="22"/>
                <w:szCs w:val="22"/>
                <w:lang w:bidi="ar"/>
              </w:rPr>
              <w:t>信息化运维管理平台应具备包括但不限于虚拟化资源管理、容灾管理、备份管理、运维管理、监控管理等功能，由供应商根据自身方案自行配置。</w:t>
            </w:r>
            <w:r>
              <w:rPr>
                <w:rFonts w:hint="eastAsia" w:ascii="宋体" w:hAnsi="宋体" w:eastAsia="宋体" w:cs="宋体"/>
                <w:kern w:val="0"/>
                <w:sz w:val="22"/>
                <w:szCs w:val="22"/>
                <w:lang w:bidi="ar"/>
              </w:rPr>
              <w:br w:type="textWrapping"/>
            </w:r>
            <w:r>
              <w:rPr>
                <w:rFonts w:hint="eastAsia" w:ascii="宋体" w:hAnsi="宋体" w:eastAsia="宋体" w:cs="宋体"/>
                <w:kern w:val="0"/>
                <w:sz w:val="22"/>
                <w:szCs w:val="22"/>
                <w:lang w:bidi="ar"/>
              </w:rPr>
              <w:t>（2）软件需正版授权，且授权管理设备数量、备份容量应涵盖医院现有体量内容或无限制。</w:t>
            </w:r>
            <w:r>
              <w:rPr>
                <w:rFonts w:hint="eastAsia" w:ascii="宋体" w:hAnsi="宋体" w:eastAsia="宋体" w:cs="宋体"/>
                <w:kern w:val="0"/>
                <w:sz w:val="22"/>
                <w:szCs w:val="22"/>
                <w:lang w:bidi="ar"/>
              </w:rPr>
              <w:br w:type="textWrapping"/>
            </w:r>
            <w:r>
              <w:rPr>
                <w:rFonts w:hint="eastAsia" w:ascii="宋体" w:hAnsi="宋体" w:eastAsia="宋体" w:cs="宋体"/>
                <w:kern w:val="0"/>
                <w:sz w:val="22"/>
                <w:szCs w:val="22"/>
                <w:lang w:bidi="ar"/>
              </w:rPr>
              <w:t>（3）可纳管医院现有主要存储系统，实现存储资源优化配置及灵活管理。</w:t>
            </w:r>
          </w:p>
          <w:p w14:paraId="73559E4E">
            <w:pPr>
              <w:pStyle w:val="2"/>
              <w:numPr>
                <w:ilvl w:val="0"/>
                <w:numId w:val="2"/>
              </w:numPr>
              <w:rPr>
                <w:rFonts w:hAnsi="宋体"/>
                <w:color w:val="auto"/>
                <w:sz w:val="22"/>
                <w:szCs w:val="22"/>
                <w:lang w:bidi="ar"/>
              </w:rPr>
            </w:pPr>
            <w:r>
              <w:rPr>
                <w:rFonts w:hint="eastAsia" w:hAnsi="宋体"/>
                <w:color w:val="auto"/>
                <w:sz w:val="22"/>
                <w:szCs w:val="22"/>
                <w:lang w:bidi="ar"/>
              </w:rPr>
              <w:t>运维监控与运维管理：</w:t>
            </w:r>
          </w:p>
          <w:p w14:paraId="36A70B26">
            <w:pPr>
              <w:pStyle w:val="2"/>
              <w:ind w:firstLine="440" w:firstLineChars="200"/>
              <w:rPr>
                <w:rFonts w:hAnsi="宋体"/>
                <w:color w:val="auto"/>
                <w:sz w:val="22"/>
                <w:szCs w:val="22"/>
                <w:lang w:bidi="ar"/>
              </w:rPr>
            </w:pPr>
            <w:r>
              <w:rPr>
                <w:rFonts w:hint="eastAsia" w:hAnsi="宋体"/>
                <w:color w:val="auto"/>
                <w:sz w:val="22"/>
                <w:szCs w:val="22"/>
                <w:lang w:bidi="ar"/>
              </w:rPr>
              <w:t>1.运维监控配置有合理的告警规则，具有短信、微信、电话报警的任意一种；</w:t>
            </w:r>
          </w:p>
          <w:p w14:paraId="4163918A">
            <w:pPr>
              <w:pStyle w:val="2"/>
              <w:ind w:firstLine="440" w:firstLineChars="200"/>
            </w:pPr>
            <w:r>
              <w:rPr>
                <w:rFonts w:hint="eastAsia" w:hAnsi="宋体"/>
                <w:color w:val="auto"/>
                <w:sz w:val="22"/>
                <w:szCs w:val="22"/>
                <w:lang w:bidi="ar"/>
              </w:rPr>
              <w:t>2.医院具有统一的监控体系，包括网络监控、服务器监控、存储监控机房环境监控（温湿度、UPS、漏水、空调等）和集中展示等。</w:t>
            </w:r>
          </w:p>
        </w:tc>
      </w:tr>
      <w:tr w14:paraId="263A8727">
        <w:tblPrEx>
          <w:tblCellMar>
            <w:top w:w="0" w:type="dxa"/>
            <w:left w:w="108" w:type="dxa"/>
            <w:bottom w:w="0" w:type="dxa"/>
            <w:right w:w="108" w:type="dxa"/>
          </w:tblCellMar>
        </w:tblPrEx>
        <w:trPr>
          <w:trHeight w:val="270" w:hRule="atLeast"/>
        </w:trPr>
        <w:tc>
          <w:tcPr>
            <w:tcW w:w="697" w:type="dxa"/>
            <w:tcBorders>
              <w:top w:val="single" w:color="000000" w:sz="4" w:space="0"/>
              <w:left w:val="single" w:color="000000" w:sz="4" w:space="0"/>
              <w:bottom w:val="single" w:color="000000" w:sz="4" w:space="0"/>
              <w:right w:val="single" w:color="000000" w:sz="4" w:space="0"/>
            </w:tcBorders>
            <w:vAlign w:val="center"/>
          </w:tcPr>
          <w:p w14:paraId="75C1475D">
            <w:pPr>
              <w:widowControl/>
              <w:jc w:val="center"/>
              <w:textAlignment w:val="center"/>
              <w:rPr>
                <w:rFonts w:ascii="宋体" w:hAnsi="宋体" w:eastAsia="宋体" w:cs="宋体"/>
                <w:sz w:val="22"/>
                <w:szCs w:val="22"/>
              </w:rPr>
            </w:pPr>
            <w:r>
              <w:rPr>
                <w:rFonts w:hint="eastAsia" w:ascii="宋体" w:hAnsi="宋体" w:eastAsia="宋体" w:cs="宋体"/>
                <w:kern w:val="0"/>
                <w:sz w:val="22"/>
                <w:szCs w:val="22"/>
                <w:lang w:bidi="ar"/>
              </w:rPr>
              <w:t>9</w:t>
            </w:r>
          </w:p>
        </w:tc>
        <w:tc>
          <w:tcPr>
            <w:tcW w:w="1268" w:type="dxa"/>
            <w:tcBorders>
              <w:top w:val="single" w:color="000000" w:sz="4" w:space="0"/>
              <w:left w:val="single" w:color="000000" w:sz="4" w:space="0"/>
              <w:bottom w:val="single" w:color="000000" w:sz="4" w:space="0"/>
              <w:right w:val="single" w:color="000000" w:sz="4" w:space="0"/>
            </w:tcBorders>
            <w:vAlign w:val="center"/>
          </w:tcPr>
          <w:p w14:paraId="12DBAB7B">
            <w:pPr>
              <w:widowControl/>
              <w:jc w:val="center"/>
              <w:textAlignment w:val="center"/>
              <w:rPr>
                <w:rFonts w:ascii="宋体" w:hAnsi="宋体" w:eastAsia="宋体" w:cs="宋体"/>
                <w:sz w:val="22"/>
                <w:szCs w:val="22"/>
              </w:rPr>
            </w:pPr>
            <w:r>
              <w:rPr>
                <w:rFonts w:hint="eastAsia" w:ascii="宋体" w:hAnsi="宋体" w:eastAsia="宋体" w:cs="宋体"/>
                <w:kern w:val="0"/>
                <w:sz w:val="22"/>
                <w:szCs w:val="22"/>
                <w:lang w:bidi="ar"/>
              </w:rPr>
              <w:t>其他需求</w:t>
            </w:r>
          </w:p>
        </w:tc>
        <w:tc>
          <w:tcPr>
            <w:tcW w:w="6464" w:type="dxa"/>
            <w:tcBorders>
              <w:top w:val="single" w:color="000000" w:sz="4" w:space="0"/>
              <w:left w:val="single" w:color="000000" w:sz="4" w:space="0"/>
              <w:bottom w:val="single" w:color="000000" w:sz="4" w:space="0"/>
              <w:right w:val="single" w:color="000000" w:sz="4" w:space="0"/>
            </w:tcBorders>
            <w:vAlign w:val="center"/>
          </w:tcPr>
          <w:p w14:paraId="104E485B">
            <w:pPr>
              <w:widowControl/>
              <w:jc w:val="left"/>
              <w:textAlignment w:val="center"/>
              <w:rPr>
                <w:rFonts w:ascii="宋体" w:hAnsi="宋体" w:eastAsia="宋体" w:cs="宋体"/>
                <w:sz w:val="22"/>
                <w:szCs w:val="22"/>
              </w:rPr>
            </w:pPr>
            <w:r>
              <w:rPr>
                <w:rFonts w:hint="eastAsia" w:ascii="宋体" w:hAnsi="宋体" w:eastAsia="宋体" w:cs="宋体"/>
                <w:kern w:val="0"/>
                <w:sz w:val="22"/>
                <w:szCs w:val="22"/>
                <w:lang w:bidi="ar"/>
              </w:rPr>
              <w:t>以上内容如供应厂商有合理化建议，可进行补充说明。</w:t>
            </w:r>
          </w:p>
        </w:tc>
      </w:tr>
    </w:tbl>
    <w:p w14:paraId="2E5FB092"/>
    <w:p w14:paraId="28059CDE">
      <w:pPr>
        <w:pStyle w:val="2"/>
        <w:jc w:val="center"/>
      </w:pPr>
      <w:r>
        <w:drawing>
          <wp:inline distT="0" distB="0" distL="114300" distR="114300">
            <wp:extent cx="5266690" cy="3480435"/>
            <wp:effectExtent l="0" t="0" r="10160" b="571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4"/>
                    <a:stretch>
                      <a:fillRect/>
                    </a:stretch>
                  </pic:blipFill>
                  <pic:spPr>
                    <a:xfrm>
                      <a:off x="0" y="0"/>
                      <a:ext cx="5266690" cy="3480435"/>
                    </a:xfrm>
                    <a:prstGeom prst="rect">
                      <a:avLst/>
                    </a:prstGeom>
                    <a:noFill/>
                    <a:ln>
                      <a:noFill/>
                    </a:ln>
                  </pic:spPr>
                </pic:pic>
              </a:graphicData>
            </a:graphic>
          </wp:inline>
        </w:drawing>
      </w:r>
    </w:p>
    <w:p w14:paraId="7A5FC397">
      <w:pPr>
        <w:pStyle w:val="2"/>
        <w:jc w:val="center"/>
        <w:rPr>
          <w:color w:val="auto"/>
        </w:rPr>
      </w:pPr>
      <w:r>
        <w:rPr>
          <w:rFonts w:hint="eastAsia"/>
          <w:color w:val="auto"/>
        </w:rPr>
        <w:t>图1.1</w:t>
      </w:r>
    </w:p>
    <w:p w14:paraId="46DF7AFB">
      <w:pPr>
        <w:pStyle w:val="2"/>
        <w:jc w:val="center"/>
        <w:rPr>
          <w:color w:val="auto"/>
        </w:rPr>
      </w:pPr>
      <w:r>
        <w:drawing>
          <wp:inline distT="0" distB="0" distL="114300" distR="114300">
            <wp:extent cx="5266690" cy="3480435"/>
            <wp:effectExtent l="0" t="0" r="10160" b="571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5"/>
                    <a:stretch>
                      <a:fillRect/>
                    </a:stretch>
                  </pic:blipFill>
                  <pic:spPr>
                    <a:xfrm>
                      <a:off x="0" y="0"/>
                      <a:ext cx="5266690" cy="3480435"/>
                    </a:xfrm>
                    <a:prstGeom prst="rect">
                      <a:avLst/>
                    </a:prstGeom>
                    <a:noFill/>
                    <a:ln>
                      <a:noFill/>
                    </a:ln>
                  </pic:spPr>
                </pic:pic>
              </a:graphicData>
            </a:graphic>
          </wp:inline>
        </w:drawing>
      </w:r>
    </w:p>
    <w:p w14:paraId="067DC43B">
      <w:pPr>
        <w:pStyle w:val="2"/>
        <w:jc w:val="center"/>
        <w:rPr>
          <w:color w:val="auto"/>
        </w:rPr>
      </w:pPr>
      <w:r>
        <w:rPr>
          <w:rFonts w:hint="eastAsia"/>
          <w:color w:val="auto"/>
        </w:rPr>
        <w:t>图1.2</w:t>
      </w:r>
    </w:p>
    <w:p w14:paraId="21DDC521">
      <w:pPr>
        <w:pStyle w:val="2"/>
        <w:jc w:val="center"/>
      </w:pPr>
      <w:r>
        <w:drawing>
          <wp:inline distT="0" distB="0" distL="114300" distR="114300">
            <wp:extent cx="4650740" cy="4745990"/>
            <wp:effectExtent l="0" t="0" r="16510" b="1651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6"/>
                    <a:stretch>
                      <a:fillRect/>
                    </a:stretch>
                  </pic:blipFill>
                  <pic:spPr>
                    <a:xfrm>
                      <a:off x="0" y="0"/>
                      <a:ext cx="4650740" cy="4745990"/>
                    </a:xfrm>
                    <a:prstGeom prst="rect">
                      <a:avLst/>
                    </a:prstGeom>
                    <a:noFill/>
                    <a:ln>
                      <a:noFill/>
                    </a:ln>
                  </pic:spPr>
                </pic:pic>
              </a:graphicData>
            </a:graphic>
          </wp:inline>
        </w:drawing>
      </w:r>
    </w:p>
    <w:p w14:paraId="53E05795">
      <w:pPr>
        <w:pStyle w:val="2"/>
        <w:jc w:val="center"/>
        <w:rPr>
          <w:color w:val="auto"/>
        </w:rPr>
      </w:pPr>
      <w:r>
        <w:rPr>
          <w:rFonts w:hint="eastAsia"/>
          <w:color w:val="auto"/>
        </w:rPr>
        <w:t>图2.1</w:t>
      </w:r>
    </w:p>
    <w:p w14:paraId="608CCBBD">
      <w:pPr>
        <w:pStyle w:val="2"/>
        <w:jc w:val="center"/>
        <w:rPr>
          <w:color w:val="auto"/>
        </w:rPr>
      </w:pPr>
      <w:r>
        <w:drawing>
          <wp:inline distT="0" distB="0" distL="114300" distR="114300">
            <wp:extent cx="2519045" cy="3274060"/>
            <wp:effectExtent l="0" t="0" r="14605" b="254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7"/>
                    <a:stretch>
                      <a:fillRect/>
                    </a:stretch>
                  </pic:blipFill>
                  <pic:spPr>
                    <a:xfrm>
                      <a:off x="0" y="0"/>
                      <a:ext cx="2519045" cy="3274060"/>
                    </a:xfrm>
                    <a:prstGeom prst="rect">
                      <a:avLst/>
                    </a:prstGeom>
                    <a:noFill/>
                    <a:ln>
                      <a:noFill/>
                    </a:ln>
                  </pic:spPr>
                </pic:pic>
              </a:graphicData>
            </a:graphic>
          </wp:inline>
        </w:drawing>
      </w:r>
    </w:p>
    <w:p w14:paraId="1470FEFC">
      <w:pPr>
        <w:pStyle w:val="2"/>
        <w:jc w:val="center"/>
        <w:rPr>
          <w:color w:val="auto"/>
        </w:rPr>
      </w:pPr>
      <w:r>
        <w:rPr>
          <w:rFonts w:hint="eastAsia"/>
          <w:color w:val="auto"/>
        </w:rPr>
        <w:t>图2.2</w:t>
      </w:r>
    </w:p>
    <w:p w14:paraId="4DF2BD8C">
      <w:pPr>
        <w:pStyle w:val="2"/>
        <w:jc w:val="center"/>
      </w:pPr>
      <w:r>
        <w:drawing>
          <wp:inline distT="0" distB="0" distL="114300" distR="114300">
            <wp:extent cx="5266690" cy="3480435"/>
            <wp:effectExtent l="0" t="0" r="10160" b="571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8"/>
                    <a:stretch>
                      <a:fillRect/>
                    </a:stretch>
                  </pic:blipFill>
                  <pic:spPr>
                    <a:xfrm>
                      <a:off x="0" y="0"/>
                      <a:ext cx="5266690" cy="3480435"/>
                    </a:xfrm>
                    <a:prstGeom prst="rect">
                      <a:avLst/>
                    </a:prstGeom>
                    <a:noFill/>
                    <a:ln>
                      <a:noFill/>
                    </a:ln>
                  </pic:spPr>
                </pic:pic>
              </a:graphicData>
            </a:graphic>
          </wp:inline>
        </w:drawing>
      </w:r>
    </w:p>
    <w:p w14:paraId="745E7FF2">
      <w:pPr>
        <w:pStyle w:val="2"/>
        <w:jc w:val="center"/>
      </w:pPr>
      <w:r>
        <w:rPr>
          <w:rFonts w:hint="eastAsia"/>
        </w:rPr>
        <w:t>图3.1</w:t>
      </w:r>
    </w:p>
    <w:p w14:paraId="685F49D1">
      <w:pPr>
        <w:pStyle w:val="2"/>
        <w:jc w:val="center"/>
        <w:rPr>
          <w:color w:val="auto"/>
        </w:rPr>
      </w:pPr>
      <w:r>
        <w:drawing>
          <wp:inline distT="0" distB="0" distL="114300" distR="114300">
            <wp:extent cx="5266690" cy="3480435"/>
            <wp:effectExtent l="0" t="0" r="10160" b="571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9"/>
                    <a:stretch>
                      <a:fillRect/>
                    </a:stretch>
                  </pic:blipFill>
                  <pic:spPr>
                    <a:xfrm>
                      <a:off x="0" y="0"/>
                      <a:ext cx="5266690" cy="3480435"/>
                    </a:xfrm>
                    <a:prstGeom prst="rect">
                      <a:avLst/>
                    </a:prstGeom>
                    <a:noFill/>
                    <a:ln>
                      <a:noFill/>
                    </a:ln>
                  </pic:spPr>
                </pic:pic>
              </a:graphicData>
            </a:graphic>
          </wp:inline>
        </w:drawing>
      </w:r>
    </w:p>
    <w:p w14:paraId="2A9FCE23">
      <w:pPr>
        <w:pStyle w:val="2"/>
        <w:jc w:val="center"/>
        <w:rPr>
          <w:color w:val="auto"/>
        </w:rPr>
      </w:pPr>
      <w:r>
        <w:rPr>
          <w:rFonts w:hint="eastAsia"/>
          <w:color w:val="auto"/>
        </w:rPr>
        <w:t>图3.2</w:t>
      </w:r>
    </w:p>
    <w:p w14:paraId="4FB3EE2E">
      <w:r>
        <w:br w:type="page"/>
      </w:r>
    </w:p>
    <w:p w14:paraId="44C52FE8">
      <w:pPr>
        <w:pStyle w:val="2"/>
        <w:jc w:val="center"/>
        <w:rPr>
          <w:color w:val="auto"/>
        </w:rPr>
      </w:pPr>
    </w:p>
    <w:p w14:paraId="5BCB9EE9">
      <w:pPr>
        <w:spacing w:line="360" w:lineRule="exact"/>
        <w:ind w:firstLine="560" w:firstLineChars="200"/>
        <w:rPr>
          <w:rFonts w:ascii="微软雅黑" w:hAnsi="微软雅黑" w:eastAsia="微软雅黑" w:cs="微软雅黑"/>
          <w:kern w:val="0"/>
          <w:sz w:val="28"/>
          <w:szCs w:val="28"/>
          <w:lang w:bidi="ar"/>
        </w:rPr>
      </w:pPr>
      <w:r>
        <w:rPr>
          <w:rFonts w:hint="eastAsia" w:ascii="微软雅黑" w:hAnsi="微软雅黑" w:eastAsia="微软雅黑" w:cs="微软雅黑"/>
          <w:kern w:val="0"/>
          <w:sz w:val="28"/>
          <w:szCs w:val="28"/>
          <w:lang w:bidi="ar"/>
        </w:rPr>
        <w:t>二、项目要求</w:t>
      </w:r>
      <w:r>
        <w:rPr>
          <w:rFonts w:hint="eastAsia" w:ascii="仿宋" w:hAnsi="仿宋" w:cs="仿宋"/>
          <w:sz w:val="28"/>
          <w:szCs w:val="28"/>
        </w:rPr>
        <w:t>（如后期正式公布更新标准替代以下标准的，应按照最新标准对应相关等级达标）</w:t>
      </w:r>
    </w:p>
    <w:p w14:paraId="2D9C435C">
      <w:pPr>
        <w:pStyle w:val="5"/>
        <w:spacing w:before="0" w:line="360" w:lineRule="exact"/>
        <w:ind w:firstLine="560" w:firstLineChars="200"/>
        <w:rPr>
          <w:rFonts w:ascii="仿宋" w:hAnsi="仿宋" w:cs="仿宋"/>
          <w:sz w:val="28"/>
          <w:szCs w:val="28"/>
          <w:lang w:val="en-US"/>
        </w:rPr>
      </w:pPr>
      <w:r>
        <w:rPr>
          <w:rFonts w:hint="eastAsia" w:ascii="仿宋" w:hAnsi="仿宋" w:cs="仿宋"/>
          <w:sz w:val="28"/>
          <w:szCs w:val="28"/>
          <w:lang w:val="en-US"/>
        </w:rPr>
        <w:t>1．参照《电子病历系统功能应用水平分级评价方法及标准（试行）》六级要求建设；</w:t>
      </w:r>
    </w:p>
    <w:p w14:paraId="5ED0FDC8">
      <w:pPr>
        <w:pStyle w:val="5"/>
        <w:spacing w:before="0" w:line="360" w:lineRule="exact"/>
        <w:ind w:firstLine="560" w:firstLineChars="200"/>
        <w:rPr>
          <w:rFonts w:ascii="仿宋" w:hAnsi="仿宋" w:cs="仿宋"/>
          <w:sz w:val="28"/>
          <w:szCs w:val="28"/>
          <w:lang w:val="en-US"/>
        </w:rPr>
      </w:pPr>
      <w:r>
        <w:rPr>
          <w:rFonts w:ascii="仿宋" w:hAnsi="仿宋" w:cs="仿宋"/>
          <w:sz w:val="28"/>
          <w:szCs w:val="28"/>
          <w:lang w:val="en-US"/>
        </w:rPr>
        <w:t>2</w:t>
      </w:r>
      <w:r>
        <w:rPr>
          <w:rFonts w:hint="eastAsia" w:ascii="仿宋" w:hAnsi="仿宋" w:cs="仿宋"/>
          <w:sz w:val="28"/>
          <w:szCs w:val="28"/>
          <w:lang w:val="en-US"/>
        </w:rPr>
        <w:t>．参照《国家医疗健康信息区域卫生</w:t>
      </w:r>
      <w:r>
        <w:rPr>
          <w:rFonts w:ascii="仿宋" w:hAnsi="仿宋" w:cs="仿宋"/>
          <w:sz w:val="28"/>
          <w:szCs w:val="28"/>
          <w:lang w:val="en-US"/>
        </w:rPr>
        <w:t>(</w:t>
      </w:r>
      <w:r>
        <w:rPr>
          <w:rFonts w:hint="eastAsia" w:ascii="仿宋" w:hAnsi="仿宋" w:cs="仿宋"/>
          <w:sz w:val="28"/>
          <w:szCs w:val="28"/>
          <w:lang w:val="en-US"/>
        </w:rPr>
        <w:t>医院</w:t>
      </w:r>
      <w:r>
        <w:rPr>
          <w:rFonts w:ascii="仿宋" w:hAnsi="仿宋" w:cs="仿宋"/>
          <w:sz w:val="28"/>
          <w:szCs w:val="28"/>
          <w:lang w:val="en-US"/>
        </w:rPr>
        <w:t>)</w:t>
      </w:r>
      <w:r>
        <w:rPr>
          <w:rFonts w:hint="eastAsia" w:ascii="仿宋" w:hAnsi="仿宋" w:cs="仿宋"/>
          <w:sz w:val="28"/>
          <w:szCs w:val="28"/>
          <w:lang w:val="en-US"/>
        </w:rPr>
        <w:t>信息互联互通标准化成熟度测评方案（</w:t>
      </w:r>
      <w:r>
        <w:rPr>
          <w:rFonts w:ascii="仿宋" w:hAnsi="仿宋" w:cs="仿宋"/>
          <w:sz w:val="28"/>
          <w:szCs w:val="28"/>
          <w:lang w:val="en-US"/>
        </w:rPr>
        <w:t>2020</w:t>
      </w:r>
      <w:r>
        <w:rPr>
          <w:rFonts w:hint="eastAsia" w:ascii="仿宋" w:hAnsi="仿宋" w:cs="仿宋"/>
          <w:sz w:val="28"/>
          <w:szCs w:val="28"/>
          <w:lang w:val="en-US"/>
        </w:rPr>
        <w:t>年版）》五级乙等求建设；</w:t>
      </w:r>
    </w:p>
    <w:p w14:paraId="12A4C7F0">
      <w:pPr>
        <w:pStyle w:val="5"/>
        <w:spacing w:before="0" w:line="360" w:lineRule="exact"/>
        <w:ind w:firstLine="560" w:firstLineChars="200"/>
        <w:rPr>
          <w:rFonts w:ascii="仿宋" w:hAnsi="仿宋" w:cs="仿宋"/>
          <w:sz w:val="28"/>
          <w:szCs w:val="28"/>
          <w:lang w:val="en-US"/>
        </w:rPr>
      </w:pPr>
      <w:r>
        <w:rPr>
          <w:rFonts w:ascii="仿宋" w:hAnsi="仿宋" w:cs="仿宋"/>
          <w:sz w:val="28"/>
          <w:szCs w:val="28"/>
          <w:lang w:val="en-US"/>
        </w:rPr>
        <w:t>3</w:t>
      </w:r>
      <w:r>
        <w:rPr>
          <w:rFonts w:hint="eastAsia" w:ascii="仿宋" w:hAnsi="仿宋" w:cs="仿宋"/>
          <w:sz w:val="28"/>
          <w:szCs w:val="28"/>
          <w:lang w:val="en-US"/>
        </w:rPr>
        <w:t>．参照《医院智慧服务分级评估标准体系（试行）》四级要求建设；</w:t>
      </w:r>
    </w:p>
    <w:p w14:paraId="5696F357">
      <w:pPr>
        <w:pStyle w:val="5"/>
        <w:spacing w:before="0" w:line="360" w:lineRule="exact"/>
        <w:ind w:firstLine="560" w:firstLineChars="200"/>
        <w:rPr>
          <w:rFonts w:ascii="仿宋" w:hAnsi="仿宋" w:cs="仿宋"/>
          <w:sz w:val="28"/>
          <w:szCs w:val="28"/>
          <w:lang w:val="en-US"/>
        </w:rPr>
      </w:pPr>
      <w:r>
        <w:rPr>
          <w:rFonts w:ascii="仿宋" w:hAnsi="仿宋" w:cs="仿宋"/>
          <w:sz w:val="28"/>
          <w:szCs w:val="28"/>
          <w:lang w:val="en-US"/>
        </w:rPr>
        <w:t>4</w:t>
      </w:r>
      <w:r>
        <w:rPr>
          <w:rFonts w:hint="eastAsia" w:ascii="仿宋" w:hAnsi="仿宋" w:cs="仿宋"/>
          <w:sz w:val="28"/>
          <w:szCs w:val="28"/>
          <w:lang w:val="en-US"/>
        </w:rPr>
        <w:t>．需参照《医院智慧管理分级评估标准体系（试行）》三级要求建设；</w:t>
      </w:r>
    </w:p>
    <w:p w14:paraId="78023070">
      <w:pPr>
        <w:pStyle w:val="5"/>
        <w:spacing w:before="0" w:line="360" w:lineRule="exact"/>
        <w:ind w:firstLine="560" w:firstLineChars="200"/>
        <w:rPr>
          <w:rFonts w:ascii="仿宋" w:hAnsi="仿宋" w:cs="仿宋"/>
          <w:sz w:val="28"/>
          <w:szCs w:val="28"/>
          <w:lang w:val="en-US"/>
        </w:rPr>
      </w:pPr>
      <w:r>
        <w:rPr>
          <w:rFonts w:ascii="仿宋" w:hAnsi="仿宋" w:cs="仿宋"/>
          <w:sz w:val="28"/>
          <w:szCs w:val="28"/>
          <w:lang w:val="en-US"/>
        </w:rPr>
        <w:t>5</w:t>
      </w:r>
      <w:r>
        <w:rPr>
          <w:rFonts w:hint="eastAsia" w:ascii="仿宋" w:hAnsi="仿宋" w:cs="仿宋"/>
          <w:sz w:val="28"/>
          <w:szCs w:val="28"/>
          <w:lang w:val="en-US"/>
        </w:rPr>
        <w:t>．必须达到《信息安全技术信息系统安全等级保护基本要求》</w:t>
      </w:r>
      <w:r>
        <w:rPr>
          <w:rFonts w:ascii="仿宋" w:hAnsi="仿宋" w:cs="仿宋"/>
          <w:sz w:val="28"/>
          <w:szCs w:val="28"/>
          <w:lang w:val="en-US"/>
        </w:rPr>
        <w:t>(GB/T22239-2019)</w:t>
      </w:r>
      <w:r>
        <w:rPr>
          <w:rFonts w:hint="eastAsia" w:ascii="仿宋" w:hAnsi="仿宋" w:cs="仿宋"/>
          <w:sz w:val="28"/>
          <w:szCs w:val="28"/>
          <w:lang w:val="en-US"/>
        </w:rPr>
        <w:t>三级要求；</w:t>
      </w:r>
    </w:p>
    <w:p w14:paraId="07091EBE">
      <w:pPr>
        <w:pStyle w:val="5"/>
        <w:spacing w:before="0" w:line="360" w:lineRule="exact"/>
        <w:ind w:firstLine="560" w:firstLineChars="200"/>
        <w:rPr>
          <w:rFonts w:ascii="仿宋" w:hAnsi="仿宋" w:cs="仿宋"/>
          <w:sz w:val="28"/>
          <w:szCs w:val="28"/>
          <w:lang w:val="en-US"/>
        </w:rPr>
      </w:pPr>
      <w:r>
        <w:rPr>
          <w:rFonts w:hint="eastAsia" w:ascii="仿宋" w:hAnsi="仿宋" w:cs="仿宋"/>
          <w:sz w:val="28"/>
          <w:szCs w:val="28"/>
          <w:lang w:val="en-US"/>
        </w:rPr>
        <w:t>6.参照《四川省智慧医院评价标准》六星要求建设；</w:t>
      </w:r>
    </w:p>
    <w:p w14:paraId="03ED21CA">
      <w:pPr>
        <w:pStyle w:val="5"/>
        <w:spacing w:before="0" w:line="360" w:lineRule="exact"/>
        <w:ind w:firstLine="560" w:firstLineChars="200"/>
        <w:rPr>
          <w:rFonts w:ascii="仿宋" w:hAnsi="仿宋" w:cs="仿宋"/>
          <w:sz w:val="28"/>
          <w:szCs w:val="28"/>
          <w:lang w:val="en-US"/>
        </w:rPr>
      </w:pPr>
      <w:r>
        <w:rPr>
          <w:rFonts w:hint="eastAsia" w:ascii="仿宋" w:hAnsi="仿宋" w:cs="仿宋"/>
          <w:sz w:val="28"/>
          <w:szCs w:val="28"/>
          <w:lang w:val="en-US"/>
        </w:rPr>
        <w:t>7．要求提供定制化开发服务，满足医院个性化需求。</w:t>
      </w:r>
    </w:p>
    <w:p w14:paraId="3B35EFCA">
      <w:pPr>
        <w:spacing w:line="360" w:lineRule="exact"/>
        <w:ind w:firstLine="560" w:firstLineChars="200"/>
        <w:rPr>
          <w:rFonts w:ascii="微软雅黑" w:hAnsi="微软雅黑" w:eastAsia="微软雅黑" w:cs="微软雅黑"/>
          <w:kern w:val="0"/>
          <w:sz w:val="28"/>
          <w:szCs w:val="28"/>
          <w:lang w:bidi="ar"/>
        </w:rPr>
      </w:pPr>
      <w:r>
        <w:rPr>
          <w:rFonts w:hint="eastAsia" w:ascii="微软雅黑" w:hAnsi="微软雅黑" w:eastAsia="微软雅黑" w:cs="微软雅黑"/>
          <w:kern w:val="0"/>
          <w:sz w:val="28"/>
          <w:szCs w:val="28"/>
          <w:lang w:bidi="ar"/>
        </w:rPr>
        <w:t>三、报名时间、方式及相关要求</w:t>
      </w:r>
    </w:p>
    <w:p w14:paraId="1F3CF512">
      <w:pPr>
        <w:pStyle w:val="5"/>
        <w:spacing w:before="0" w:line="360" w:lineRule="exact"/>
        <w:ind w:firstLine="560" w:firstLineChars="200"/>
        <w:rPr>
          <w:rFonts w:ascii="仿宋" w:hAnsi="仿宋" w:cs="仿宋"/>
          <w:sz w:val="28"/>
          <w:szCs w:val="28"/>
          <w:lang w:val="en-US"/>
        </w:rPr>
      </w:pPr>
      <w:r>
        <w:rPr>
          <w:rFonts w:hint="eastAsia" w:ascii="仿宋" w:hAnsi="仿宋" w:cs="仿宋"/>
          <w:sz w:val="28"/>
          <w:szCs w:val="28"/>
          <w:lang w:val="en-US"/>
        </w:rPr>
        <w:t>1.报名事项：报名时间自本公告挂网发布之日起，至2026年2月14日截止。本次报名仅接受邮箱报送方式，不受理现场报名。供应商须提交加盖公章的相关资料，具体包括：调研报名目录1-2、有意向参加现场踏勘提供《现场踏勘人员授权函》（格式自拟）。其中，《现场踏勘人员授权函》须明确载明踏勘人员身份证明信息、人身安全责任承诺、信息安全责任承诺及有效联系电话，所有资料按要求发送至指定报名邮箱，逾期提交或资料不全的，均视为报名无效。</w:t>
      </w:r>
    </w:p>
    <w:p w14:paraId="00928178">
      <w:pPr>
        <w:pStyle w:val="5"/>
        <w:spacing w:before="0" w:line="360" w:lineRule="exact"/>
        <w:ind w:firstLine="560" w:firstLineChars="200"/>
        <w:rPr>
          <w:rFonts w:ascii="仿宋" w:hAnsi="仿宋" w:cs="仿宋"/>
          <w:sz w:val="28"/>
          <w:szCs w:val="28"/>
          <w:lang w:val="en-US"/>
        </w:rPr>
      </w:pPr>
      <w:r>
        <w:rPr>
          <w:rFonts w:hint="eastAsia" w:ascii="仿宋" w:hAnsi="仿宋" w:cs="仿宋"/>
          <w:sz w:val="28"/>
          <w:szCs w:val="28"/>
          <w:lang w:val="en-US"/>
        </w:rPr>
        <w:t>2.现场踏勘：医院将组织现场踏勘工作（时间另行通知），并同步开展初步需求沟通。若供应商选择参与，须委派符合授权要求的人员到场，供应商可结合踏勘实际情况，对调研响应资料进行补充完善，确保资料贴合项目实际需求。</w:t>
      </w:r>
    </w:p>
    <w:p w14:paraId="0F7D887A">
      <w:pPr>
        <w:pStyle w:val="5"/>
        <w:spacing w:before="0" w:line="360" w:lineRule="exact"/>
        <w:ind w:firstLine="560" w:firstLineChars="200"/>
        <w:rPr>
          <w:rFonts w:ascii="仿宋" w:hAnsi="仿宋" w:cs="仿宋"/>
          <w:sz w:val="28"/>
          <w:szCs w:val="28"/>
          <w:lang w:val="en-US"/>
        </w:rPr>
      </w:pPr>
      <w:r>
        <w:rPr>
          <w:rFonts w:hint="eastAsia" w:ascii="仿宋" w:hAnsi="仿宋" w:cs="仿宋"/>
          <w:sz w:val="28"/>
          <w:szCs w:val="28"/>
          <w:lang w:val="en-US"/>
        </w:rPr>
        <w:t>3.调研资料报送：2026年3月3日前供应商须按附件《报名须知》及资料目录要求，报送最终完整版调研资料（含调研报名目录1-7，须同步提供盖章扫描件及可编辑电子版本）。资料发送至邮箱：2660123817@qq.com，同时抄送邮箱：</w:t>
      </w:r>
      <w:r>
        <w:rPr>
          <w:rFonts w:ascii="仿宋" w:hAnsi="仿宋" w:cs="仿宋"/>
          <w:sz w:val="28"/>
          <w:szCs w:val="28"/>
          <w:lang w:val="en-US"/>
        </w:rPr>
        <w:t>zyszxyyxxb@163.com</w:t>
      </w:r>
      <w:r>
        <w:rPr>
          <w:rFonts w:hint="eastAsia" w:ascii="仿宋" w:hAnsi="仿宋" w:cs="仿宋"/>
          <w:sz w:val="28"/>
          <w:szCs w:val="28"/>
          <w:lang w:val="en-US"/>
        </w:rPr>
        <w:t xml:space="preserve"> 。邮件命名须严格遵循以下格式：项目名称+公司名称+联系人+联系电话，未按规范命名或报送的，可视为资料无效。</w:t>
      </w:r>
    </w:p>
    <w:p w14:paraId="5DE9666B">
      <w:pPr>
        <w:pStyle w:val="5"/>
        <w:spacing w:before="0" w:line="360" w:lineRule="exact"/>
        <w:ind w:firstLine="560" w:firstLineChars="200"/>
        <w:rPr>
          <w:rFonts w:ascii="仿宋" w:hAnsi="仿宋" w:cs="仿宋"/>
          <w:sz w:val="28"/>
          <w:szCs w:val="28"/>
          <w:lang w:val="en-US"/>
        </w:rPr>
      </w:pPr>
      <w:r>
        <w:rPr>
          <w:rFonts w:hint="eastAsia" w:ascii="仿宋" w:hAnsi="仿宋" w:cs="仿宋"/>
          <w:sz w:val="28"/>
          <w:szCs w:val="28"/>
          <w:lang w:val="en-US"/>
        </w:rPr>
        <w:t>4.补充说明：</w:t>
      </w:r>
      <w:bookmarkStart w:id="41" w:name="_GoBack"/>
      <w:bookmarkEnd w:id="41"/>
      <w:r>
        <w:rPr>
          <w:rFonts w:hint="eastAsia" w:ascii="仿宋" w:hAnsi="仿宋" w:cs="仿宋"/>
          <w:sz w:val="28"/>
          <w:szCs w:val="28"/>
          <w:lang w:val="en-US"/>
        </w:rPr>
        <w:t>现场踏勘、现场调研会（需要PPT演示）具体时间及地点将另行通知，请各供应商提前筹备纸质版报价表、汇报PPT等相关材料，做好参会准备。</w:t>
      </w:r>
    </w:p>
    <w:p w14:paraId="5E0B01C1">
      <w:pPr>
        <w:pStyle w:val="5"/>
        <w:spacing w:before="0" w:line="360" w:lineRule="exact"/>
        <w:ind w:firstLine="560" w:firstLineChars="200"/>
        <w:rPr>
          <w:rFonts w:ascii="仿宋" w:hAnsi="仿宋" w:cs="仿宋"/>
          <w:sz w:val="28"/>
          <w:szCs w:val="28"/>
          <w:lang w:val="en-US"/>
        </w:rPr>
      </w:pPr>
      <w:r>
        <w:rPr>
          <w:rFonts w:hint="eastAsia" w:ascii="仿宋" w:hAnsi="仿宋" w:cs="仿宋"/>
          <w:sz w:val="28"/>
          <w:szCs w:val="28"/>
          <w:lang w:val="en-US"/>
        </w:rPr>
        <w:t xml:space="preserve">5.咨询联系：如需咨询相关事宜，可联系罗老师，联系电话： </w:t>
      </w:r>
      <w:r>
        <w:rPr>
          <w:rFonts w:ascii="仿宋" w:hAnsi="仿宋" w:cs="仿宋"/>
          <w:sz w:val="28"/>
          <w:szCs w:val="28"/>
          <w:lang w:val="en-US"/>
        </w:rPr>
        <w:t>028-26219526</w:t>
      </w:r>
      <w:r>
        <w:rPr>
          <w:rFonts w:hint="eastAsia" w:ascii="仿宋" w:hAnsi="仿宋" w:cs="仿宋"/>
          <w:sz w:val="28"/>
          <w:szCs w:val="28"/>
          <w:lang w:val="en-US"/>
        </w:rPr>
        <w:t>。</w:t>
      </w:r>
    </w:p>
    <w:p w14:paraId="674F3A67">
      <w:pPr>
        <w:pStyle w:val="5"/>
        <w:spacing w:before="0" w:line="360" w:lineRule="exact"/>
        <w:ind w:firstLine="560" w:firstLineChars="200"/>
      </w:pPr>
      <w:r>
        <w:rPr>
          <w:rFonts w:hint="eastAsia" w:ascii="微软雅黑" w:hAnsi="微软雅黑" w:eastAsia="微软雅黑" w:cs="微软雅黑"/>
          <w:kern w:val="0"/>
          <w:sz w:val="28"/>
          <w:szCs w:val="28"/>
          <w:lang w:val="en-US" w:bidi="ar"/>
        </w:rPr>
        <w:t>四</w:t>
      </w:r>
      <w:r>
        <w:rPr>
          <w:rFonts w:hint="eastAsia" w:ascii="微软雅黑" w:hAnsi="微软雅黑" w:eastAsia="微软雅黑" w:cs="微软雅黑"/>
          <w:kern w:val="0"/>
          <w:sz w:val="28"/>
          <w:szCs w:val="28"/>
          <w:lang w:bidi="ar"/>
        </w:rPr>
        <w:t>、其他说明</w:t>
      </w:r>
    </w:p>
    <w:p w14:paraId="658073D5">
      <w:pPr>
        <w:pStyle w:val="5"/>
        <w:spacing w:line="360" w:lineRule="exact"/>
        <w:ind w:firstLine="560" w:firstLineChars="200"/>
        <w:rPr>
          <w:rFonts w:ascii="仿宋" w:hAnsi="仿宋" w:cs="仿宋"/>
          <w:sz w:val="28"/>
          <w:szCs w:val="28"/>
          <w:lang w:val="en-US"/>
        </w:rPr>
      </w:pPr>
      <w:r>
        <w:rPr>
          <w:rFonts w:hint="eastAsia" w:ascii="仿宋" w:hAnsi="仿宋" w:cs="仿宋"/>
          <w:sz w:val="28"/>
          <w:szCs w:val="28"/>
          <w:lang w:val="en-US"/>
        </w:rPr>
        <w:t>1.本次公开市场调研内容因市场了解的局限性，仅作为医院市场调研参考使用，我院有权使用所征集技术指标中的相关内容，不作为正式采购依据，无任何针对性，如有不全之处，敬请理解，并请供应商详实介绍推荐产品，本项目最终配置和技术参数以采购时为准。对未公告配置及技术性能的，请供应商自行提供。</w:t>
      </w:r>
    </w:p>
    <w:p w14:paraId="0BE89A3C">
      <w:pPr>
        <w:pStyle w:val="5"/>
        <w:spacing w:line="360" w:lineRule="exact"/>
        <w:ind w:firstLine="560" w:firstLineChars="200"/>
        <w:rPr>
          <w:rFonts w:ascii="仿宋" w:hAnsi="仿宋" w:cs="仿宋"/>
          <w:sz w:val="28"/>
          <w:szCs w:val="28"/>
          <w:lang w:val="en-US"/>
        </w:rPr>
      </w:pPr>
      <w:r>
        <w:rPr>
          <w:rFonts w:hint="eastAsia" w:ascii="仿宋" w:hAnsi="仿宋" w:cs="仿宋"/>
          <w:sz w:val="28"/>
          <w:szCs w:val="28"/>
          <w:lang w:val="en-US"/>
        </w:rPr>
        <w:t>2.本次市场调研需提供项目参考价格和配置清单，配置清单范围包括但不限于本公告所提供的配置需求内容，各供应商可依据本公司提供的具体方案对配置清单进行合理调整。所谓参考价格是指按照与我院项目相似或体量相当的建设方案计算的参考价格，如果项目中集成有硬件，请在配置清单中罗列，硬件配置的参考报价仅用于医院后期采购参考，并不一定集成在本项目之中。</w:t>
      </w:r>
    </w:p>
    <w:p w14:paraId="757199D4">
      <w:pPr>
        <w:pStyle w:val="5"/>
        <w:spacing w:line="360" w:lineRule="exact"/>
        <w:ind w:firstLine="560" w:firstLineChars="200"/>
        <w:rPr>
          <w:rFonts w:ascii="仿宋" w:hAnsi="仿宋" w:cs="仿宋"/>
          <w:sz w:val="28"/>
          <w:szCs w:val="28"/>
          <w:lang w:val="en-US"/>
        </w:rPr>
      </w:pPr>
      <w:r>
        <w:rPr>
          <w:rFonts w:hint="eastAsia" w:ascii="仿宋" w:hAnsi="仿宋" w:cs="仿宋"/>
          <w:sz w:val="28"/>
          <w:szCs w:val="28"/>
          <w:lang w:val="en-US"/>
        </w:rPr>
        <w:t>3.参加供应商保证拟推荐货物应为合法、全新、未使用过的原装正品，配置应为出厂标准配置，如有选配件需单独注明；如需使用单一来源的耗材也需单独注明。</w:t>
      </w:r>
    </w:p>
    <w:p w14:paraId="22275666">
      <w:pPr>
        <w:pStyle w:val="5"/>
        <w:spacing w:line="360" w:lineRule="exact"/>
        <w:ind w:firstLine="560" w:firstLineChars="200"/>
        <w:rPr>
          <w:rFonts w:ascii="仿宋" w:hAnsi="仿宋" w:cs="仿宋"/>
          <w:sz w:val="28"/>
          <w:szCs w:val="28"/>
          <w:lang w:val="en-US"/>
        </w:rPr>
      </w:pPr>
      <w:r>
        <w:rPr>
          <w:rFonts w:hint="eastAsia" w:ascii="仿宋" w:hAnsi="仿宋" w:cs="仿宋"/>
          <w:sz w:val="28"/>
          <w:szCs w:val="28"/>
          <w:lang w:val="en-US"/>
        </w:rPr>
        <w:t>4.参与本次市场调研活动的供应商，我院不作任何承诺。因参与市场调研所产生的一切费用由报名供应商自行承担，我院不支付任何相关费用。本次市场调研的后续工作及结果，我院不做任何解释。本次市场调研的解释权归院方。</w:t>
      </w:r>
    </w:p>
    <w:p w14:paraId="5A2A4E9C"/>
    <w:p w14:paraId="2416A26C">
      <w:pPr>
        <w:pStyle w:val="2"/>
        <w:spacing w:line="360" w:lineRule="auto"/>
        <w:ind w:firstLine="600"/>
        <w:jc w:val="center"/>
        <w:rPr>
          <w:rFonts w:ascii="仿宋" w:hAnsi="仿宋" w:eastAsia="仿宋" w:cs="仿宋"/>
          <w:b/>
          <w:bCs/>
          <w:color w:val="auto"/>
          <w:sz w:val="30"/>
          <w:szCs w:val="30"/>
        </w:rPr>
      </w:pPr>
    </w:p>
    <w:p w14:paraId="1361C45B">
      <w:pPr>
        <w:pStyle w:val="2"/>
        <w:spacing w:line="360" w:lineRule="auto"/>
        <w:ind w:firstLine="600"/>
        <w:jc w:val="center"/>
        <w:rPr>
          <w:rFonts w:ascii="仿宋" w:hAnsi="仿宋" w:eastAsia="仿宋" w:cs="仿宋"/>
          <w:b/>
          <w:bCs/>
          <w:color w:val="auto"/>
          <w:sz w:val="30"/>
          <w:szCs w:val="30"/>
        </w:rPr>
      </w:pPr>
    </w:p>
    <w:p w14:paraId="28B69699">
      <w:pPr>
        <w:rPr>
          <w:rFonts w:ascii="仿宋" w:hAnsi="仿宋" w:eastAsia="仿宋" w:cs="仿宋"/>
          <w:b/>
          <w:bCs/>
          <w:sz w:val="30"/>
          <w:szCs w:val="30"/>
        </w:rPr>
      </w:pPr>
      <w:r>
        <w:rPr>
          <w:rFonts w:ascii="仿宋" w:hAnsi="仿宋" w:eastAsia="仿宋" w:cs="仿宋"/>
          <w:b/>
          <w:bCs/>
          <w:sz w:val="30"/>
          <w:szCs w:val="30"/>
        </w:rPr>
        <w:br w:type="page"/>
      </w:r>
    </w:p>
    <w:p w14:paraId="7FBC469E">
      <w:pPr>
        <w:pStyle w:val="2"/>
        <w:spacing w:line="360" w:lineRule="auto"/>
        <w:jc w:val="both"/>
        <w:rPr>
          <w:rFonts w:ascii="仿宋" w:hAnsi="仿宋" w:eastAsia="仿宋" w:cs="仿宋"/>
          <w:b/>
          <w:bCs/>
          <w:color w:val="auto"/>
          <w:sz w:val="30"/>
          <w:szCs w:val="30"/>
        </w:rPr>
      </w:pPr>
    </w:p>
    <w:p w14:paraId="74EE0FD6">
      <w:pPr>
        <w:pStyle w:val="2"/>
        <w:spacing w:line="360" w:lineRule="auto"/>
        <w:jc w:val="center"/>
        <w:rPr>
          <w:rFonts w:ascii="仿宋" w:hAnsi="仿宋" w:eastAsia="仿宋" w:cs="仿宋"/>
          <w:b/>
          <w:bCs/>
          <w:color w:val="auto"/>
          <w:sz w:val="44"/>
          <w:szCs w:val="44"/>
        </w:rPr>
      </w:pPr>
      <w:r>
        <w:rPr>
          <w:rFonts w:hint="eastAsia" w:ascii="仿宋" w:hAnsi="仿宋" w:eastAsia="仿宋" w:cs="仿宋"/>
          <w:b/>
          <w:bCs/>
          <w:color w:val="auto"/>
          <w:sz w:val="44"/>
          <w:szCs w:val="44"/>
        </w:rPr>
        <w:t>报名注意事项</w:t>
      </w:r>
    </w:p>
    <w:p w14:paraId="6BE26912">
      <w:pPr>
        <w:pStyle w:val="2"/>
        <w:spacing w:line="360" w:lineRule="auto"/>
        <w:ind w:firstLine="600"/>
        <w:rPr>
          <w:rFonts w:ascii="仿宋" w:hAnsi="仿宋" w:eastAsia="仿宋" w:cs="仿宋"/>
          <w:color w:val="auto"/>
          <w:sz w:val="30"/>
          <w:szCs w:val="30"/>
        </w:rPr>
      </w:pPr>
      <w:r>
        <w:rPr>
          <w:rFonts w:hint="eastAsia" w:ascii="仿宋" w:hAnsi="仿宋" w:eastAsia="仿宋" w:cs="仿宋"/>
          <w:color w:val="auto"/>
          <w:sz w:val="30"/>
          <w:szCs w:val="30"/>
        </w:rPr>
        <w:t>1.请参与报名的供应商在准备报名资料时，按照报名资料目录顺序和模板提交，若其中某项资料不需提供，请勿删除页面，自动跳过当前页即可。</w:t>
      </w:r>
    </w:p>
    <w:p w14:paraId="67E5B9C5">
      <w:pPr>
        <w:pStyle w:val="2"/>
        <w:spacing w:line="360" w:lineRule="auto"/>
        <w:ind w:firstLine="600" w:firstLineChars="200"/>
        <w:rPr>
          <w:rFonts w:ascii="仿宋" w:hAnsi="仿宋" w:eastAsia="仿宋" w:cs="仿宋"/>
          <w:color w:val="auto"/>
          <w:sz w:val="30"/>
          <w:szCs w:val="30"/>
        </w:rPr>
      </w:pPr>
      <w:r>
        <w:rPr>
          <w:rFonts w:hint="eastAsia" w:ascii="仿宋" w:hAnsi="仿宋" w:eastAsia="仿宋" w:cs="仿宋"/>
          <w:color w:val="auto"/>
          <w:sz w:val="30"/>
          <w:szCs w:val="30"/>
        </w:rPr>
        <w:t>2.可根据项目方案内容通过PPT重点介绍产品功能、亮点及落地案例，15分钟。</w:t>
      </w:r>
    </w:p>
    <w:p w14:paraId="7314997F">
      <w:pPr>
        <w:pStyle w:val="2"/>
        <w:spacing w:line="360" w:lineRule="auto"/>
        <w:ind w:firstLine="600" w:firstLineChars="200"/>
        <w:rPr>
          <w:rFonts w:ascii="仿宋" w:hAnsi="仿宋" w:eastAsia="仿宋" w:cs="仿宋"/>
          <w:color w:val="auto"/>
          <w:sz w:val="30"/>
          <w:szCs w:val="30"/>
        </w:rPr>
      </w:pPr>
      <w:r>
        <w:rPr>
          <w:rFonts w:hint="eastAsia" w:ascii="仿宋" w:hAnsi="仿宋" w:eastAsia="仿宋" w:cs="仿宋"/>
          <w:color w:val="auto"/>
          <w:sz w:val="30"/>
          <w:szCs w:val="30"/>
        </w:rPr>
        <w:t>3.报名资料电子文档（盖章扫描件和可编辑版本）发送至2660123817@qq.com，</w:t>
      </w:r>
      <w:r>
        <w:rPr>
          <w:rFonts w:hint="eastAsia" w:ascii="仿宋" w:hAnsi="仿宋" w:eastAsia="仿宋" w:cs="仿宋"/>
          <w:color w:val="auto"/>
          <w:sz w:val="28"/>
          <w:szCs w:val="28"/>
        </w:rPr>
        <w:t>并抄送至</w:t>
      </w:r>
      <w:r>
        <w:rPr>
          <w:rFonts w:ascii="仿宋" w:hAnsi="仿宋" w:eastAsia="仿宋" w:cs="仿宋"/>
          <w:color w:val="auto"/>
          <w:sz w:val="30"/>
          <w:szCs w:val="30"/>
        </w:rPr>
        <w:t>zyszxyyxxb@163.com</w:t>
      </w:r>
      <w:r>
        <w:rPr>
          <w:rFonts w:hint="eastAsia" w:ascii="仿宋" w:hAnsi="仿宋" w:eastAsia="仿宋" w:cs="仿宋"/>
          <w:color w:val="auto"/>
          <w:sz w:val="30"/>
          <w:szCs w:val="30"/>
        </w:rPr>
        <w:t>。邮件名称：“XXXX项目名称（公司名称+联系人+联系电话）”</w:t>
      </w:r>
      <w:r>
        <w:rPr>
          <w:rFonts w:hint="eastAsia" w:ascii="仿宋" w:hAnsi="仿宋" w:eastAsia="仿宋" w:cs="仿宋"/>
          <w:color w:val="auto"/>
          <w:sz w:val="30"/>
          <w:szCs w:val="30"/>
        </w:rPr>
        <w:br w:type="textWrapping"/>
      </w:r>
      <w:r>
        <w:rPr>
          <w:rFonts w:hint="eastAsia" w:ascii="仿宋" w:hAnsi="仿宋" w:eastAsia="仿宋" w:cs="仿宋"/>
          <w:color w:val="auto"/>
          <w:sz w:val="30"/>
          <w:szCs w:val="30"/>
        </w:rPr>
        <w:t xml:space="preserve">    4.收到您的邮件即报名成功。特殊情况，我们会通过电话与您联系，请注意保持电话畅通。感谢您的积极参与！</w:t>
      </w:r>
    </w:p>
    <w:p w14:paraId="7851A2A8">
      <w:pPr>
        <w:pStyle w:val="2"/>
        <w:spacing w:line="360" w:lineRule="auto"/>
        <w:rPr>
          <w:rFonts w:hAnsi="宋体"/>
          <w:color w:val="auto"/>
          <w:sz w:val="30"/>
          <w:szCs w:val="30"/>
        </w:rPr>
      </w:pPr>
    </w:p>
    <w:p w14:paraId="6ED9FB3E">
      <w:r>
        <w:br w:type="page"/>
      </w:r>
    </w:p>
    <w:p w14:paraId="3B886F3D">
      <w:pPr>
        <w:pStyle w:val="2"/>
        <w:rPr>
          <w:color w:val="auto"/>
        </w:rPr>
      </w:pPr>
    </w:p>
    <w:sdt>
      <w:sdtPr>
        <w:rPr>
          <w:rFonts w:ascii="宋体" w:hAnsi="宋体" w:eastAsia="宋体"/>
          <w:sz w:val="28"/>
          <w:szCs w:val="36"/>
        </w:rPr>
        <w:id w:val="147450881"/>
        <w:docPartObj>
          <w:docPartGallery w:val="Table of Contents"/>
          <w:docPartUnique/>
        </w:docPartObj>
      </w:sdtPr>
      <w:sdtEndPr>
        <w:rPr>
          <w:rFonts w:asciiTheme="minorHAnsi" w:hAnsiTheme="minorHAnsi" w:eastAsiaTheme="minorEastAsia"/>
          <w:sz w:val="21"/>
          <w:szCs w:val="24"/>
        </w:rPr>
      </w:sdtEndPr>
      <w:sdtContent>
        <w:p w14:paraId="7C20386B">
          <w:pPr>
            <w:jc w:val="center"/>
            <w:rPr>
              <w:rFonts w:asciiTheme="minorEastAsia" w:hAnsiTheme="minorEastAsia" w:cstheme="minorEastAsia"/>
              <w:b/>
              <w:bCs/>
              <w:sz w:val="40"/>
              <w:szCs w:val="40"/>
            </w:rPr>
          </w:pPr>
          <w:r>
            <w:rPr>
              <w:rFonts w:hint="eastAsia" w:asciiTheme="minorEastAsia" w:hAnsiTheme="minorEastAsia" w:cstheme="minorEastAsia"/>
              <w:b/>
              <w:bCs/>
              <w:sz w:val="40"/>
              <w:szCs w:val="40"/>
            </w:rPr>
            <w:t>调研报名目录</w:t>
          </w:r>
        </w:p>
        <w:p w14:paraId="7B216916">
          <w:pPr>
            <w:jc w:val="center"/>
          </w:pPr>
        </w:p>
        <w:p w14:paraId="4BC979E3">
          <w:pPr>
            <w:pStyle w:val="9"/>
            <w:tabs>
              <w:tab w:val="right" w:leader="dot" w:pos="8306"/>
            </w:tabs>
          </w:pPr>
          <w:r>
            <w:fldChar w:fldCharType="begin"/>
          </w:r>
          <w:r>
            <w:instrText xml:space="preserve">TOC \o "1-3" \h \u </w:instrText>
          </w:r>
          <w:r>
            <w:fldChar w:fldCharType="separate"/>
          </w:r>
          <w:r>
            <w:fldChar w:fldCharType="begin"/>
          </w:r>
          <w:r>
            <w:instrText xml:space="preserve"> HYPERLINK \l "_Toc29870" </w:instrText>
          </w:r>
          <w:r>
            <w:fldChar w:fldCharType="separate"/>
          </w:r>
          <w:r>
            <w:rPr>
              <w:rFonts w:hint="eastAsia"/>
            </w:rPr>
            <w:t>一、 报名登记表</w:t>
          </w:r>
          <w:r>
            <w:tab/>
          </w:r>
          <w:r>
            <w:fldChar w:fldCharType="begin"/>
          </w:r>
          <w:r>
            <w:instrText xml:space="preserve"> PAGEREF _Toc29870 \h </w:instrText>
          </w:r>
          <w:r>
            <w:fldChar w:fldCharType="separate"/>
          </w:r>
          <w:r>
            <w:t>9</w:t>
          </w:r>
          <w:r>
            <w:fldChar w:fldCharType="end"/>
          </w:r>
          <w:r>
            <w:fldChar w:fldCharType="end"/>
          </w:r>
        </w:p>
        <w:p w14:paraId="0B55CDEA">
          <w:pPr>
            <w:pStyle w:val="9"/>
            <w:tabs>
              <w:tab w:val="right" w:leader="dot" w:pos="8306"/>
            </w:tabs>
          </w:pPr>
          <w:r>
            <w:fldChar w:fldCharType="begin"/>
          </w:r>
          <w:r>
            <w:instrText xml:space="preserve"> HYPERLINK \l "_Toc29136" </w:instrText>
          </w:r>
          <w:r>
            <w:fldChar w:fldCharType="separate"/>
          </w:r>
          <w:r>
            <w:rPr>
              <w:rFonts w:hint="eastAsia"/>
            </w:rPr>
            <w:t>二、资质：</w:t>
          </w:r>
          <w:r>
            <w:tab/>
          </w:r>
          <w:r>
            <w:fldChar w:fldCharType="begin"/>
          </w:r>
          <w:r>
            <w:instrText xml:space="preserve"> PAGEREF _Toc29136 \h </w:instrText>
          </w:r>
          <w:r>
            <w:fldChar w:fldCharType="separate"/>
          </w:r>
          <w:r>
            <w:t>9</w:t>
          </w:r>
          <w:r>
            <w:fldChar w:fldCharType="end"/>
          </w:r>
          <w:r>
            <w:fldChar w:fldCharType="end"/>
          </w:r>
        </w:p>
        <w:p w14:paraId="75C93251">
          <w:pPr>
            <w:pStyle w:val="10"/>
            <w:tabs>
              <w:tab w:val="right" w:leader="dot" w:pos="8306"/>
            </w:tabs>
          </w:pPr>
          <w:r>
            <w:fldChar w:fldCharType="begin"/>
          </w:r>
          <w:r>
            <w:instrText xml:space="preserve"> HYPERLINK \l "_Toc6776" </w:instrText>
          </w:r>
          <w:r>
            <w:fldChar w:fldCharType="separate"/>
          </w:r>
          <w:r>
            <w:rPr>
              <w:rFonts w:hint="eastAsia"/>
            </w:rPr>
            <w:t>2.1营业执照</w:t>
          </w:r>
          <w:r>
            <w:tab/>
          </w:r>
          <w:r>
            <w:fldChar w:fldCharType="begin"/>
          </w:r>
          <w:r>
            <w:instrText xml:space="preserve"> PAGEREF _Toc6776 \h </w:instrText>
          </w:r>
          <w:r>
            <w:fldChar w:fldCharType="separate"/>
          </w:r>
          <w:r>
            <w:t>9</w:t>
          </w:r>
          <w:r>
            <w:fldChar w:fldCharType="end"/>
          </w:r>
          <w:r>
            <w:fldChar w:fldCharType="end"/>
          </w:r>
        </w:p>
        <w:p w14:paraId="429C42FD">
          <w:pPr>
            <w:pStyle w:val="10"/>
            <w:tabs>
              <w:tab w:val="right" w:leader="dot" w:pos="8306"/>
            </w:tabs>
          </w:pPr>
          <w:r>
            <w:fldChar w:fldCharType="begin"/>
          </w:r>
          <w:r>
            <w:instrText xml:space="preserve"> HYPERLINK \l "_Toc26820" </w:instrText>
          </w:r>
          <w:r>
            <w:fldChar w:fldCharType="separate"/>
          </w:r>
          <w:r>
            <w:rPr>
              <w:rFonts w:hint="eastAsia"/>
            </w:rPr>
            <w:t>2.2法定代表人授权书</w:t>
          </w:r>
          <w:r>
            <w:tab/>
          </w:r>
          <w:r>
            <w:fldChar w:fldCharType="begin"/>
          </w:r>
          <w:r>
            <w:instrText xml:space="preserve"> PAGEREF _Toc26820 \h </w:instrText>
          </w:r>
          <w:r>
            <w:fldChar w:fldCharType="separate"/>
          </w:r>
          <w:r>
            <w:t>9</w:t>
          </w:r>
          <w:r>
            <w:fldChar w:fldCharType="end"/>
          </w:r>
          <w:r>
            <w:fldChar w:fldCharType="end"/>
          </w:r>
        </w:p>
        <w:p w14:paraId="7FC2BD99">
          <w:pPr>
            <w:pStyle w:val="10"/>
            <w:tabs>
              <w:tab w:val="right" w:leader="dot" w:pos="8306"/>
            </w:tabs>
          </w:pPr>
          <w:r>
            <w:fldChar w:fldCharType="begin"/>
          </w:r>
          <w:r>
            <w:instrText xml:space="preserve"> HYPERLINK \l "_Toc27595" </w:instrText>
          </w:r>
          <w:r>
            <w:fldChar w:fldCharType="separate"/>
          </w:r>
          <w:r>
            <w:rPr>
              <w:rFonts w:hint="eastAsia"/>
            </w:rPr>
            <w:t>2.3法人及被授权人身份证</w:t>
          </w:r>
          <w:r>
            <w:tab/>
          </w:r>
          <w:r>
            <w:fldChar w:fldCharType="begin"/>
          </w:r>
          <w:r>
            <w:instrText xml:space="preserve"> PAGEREF _Toc27595 \h </w:instrText>
          </w:r>
          <w:r>
            <w:fldChar w:fldCharType="separate"/>
          </w:r>
          <w:r>
            <w:t>9</w:t>
          </w:r>
          <w:r>
            <w:fldChar w:fldCharType="end"/>
          </w:r>
          <w:r>
            <w:fldChar w:fldCharType="end"/>
          </w:r>
        </w:p>
        <w:p w14:paraId="6CF080AE">
          <w:pPr>
            <w:pStyle w:val="10"/>
            <w:tabs>
              <w:tab w:val="right" w:leader="dot" w:pos="8306"/>
            </w:tabs>
          </w:pPr>
          <w:r>
            <w:fldChar w:fldCharType="begin"/>
          </w:r>
          <w:r>
            <w:instrText xml:space="preserve"> HYPERLINK \l "_Toc1254" </w:instrText>
          </w:r>
          <w:r>
            <w:fldChar w:fldCharType="separate"/>
          </w:r>
          <w:r>
            <w:rPr>
              <w:rFonts w:hint="eastAsia"/>
            </w:rPr>
            <w:t>2.4公司资质</w:t>
          </w:r>
          <w:r>
            <w:tab/>
          </w:r>
          <w:r>
            <w:fldChar w:fldCharType="begin"/>
          </w:r>
          <w:r>
            <w:instrText xml:space="preserve"> PAGEREF _Toc1254 \h </w:instrText>
          </w:r>
          <w:r>
            <w:fldChar w:fldCharType="separate"/>
          </w:r>
          <w:r>
            <w:t>9</w:t>
          </w:r>
          <w:r>
            <w:fldChar w:fldCharType="end"/>
          </w:r>
          <w:r>
            <w:fldChar w:fldCharType="end"/>
          </w:r>
        </w:p>
        <w:p w14:paraId="618574D7">
          <w:pPr>
            <w:pStyle w:val="10"/>
            <w:tabs>
              <w:tab w:val="right" w:leader="dot" w:pos="8306"/>
            </w:tabs>
          </w:pPr>
          <w:r>
            <w:fldChar w:fldCharType="begin"/>
          </w:r>
          <w:r>
            <w:instrText xml:space="preserve"> HYPERLINK \l "_Toc20273" </w:instrText>
          </w:r>
          <w:r>
            <w:fldChar w:fldCharType="separate"/>
          </w:r>
          <w:r>
            <w:rPr>
              <w:rFonts w:hint="eastAsia"/>
            </w:rPr>
            <w:t>2.5软件资质</w:t>
          </w:r>
          <w:r>
            <w:tab/>
          </w:r>
          <w:r>
            <w:fldChar w:fldCharType="begin"/>
          </w:r>
          <w:r>
            <w:instrText xml:space="preserve"> PAGEREF _Toc20273 \h </w:instrText>
          </w:r>
          <w:r>
            <w:fldChar w:fldCharType="separate"/>
          </w:r>
          <w:r>
            <w:t>9</w:t>
          </w:r>
          <w:r>
            <w:fldChar w:fldCharType="end"/>
          </w:r>
          <w:r>
            <w:fldChar w:fldCharType="end"/>
          </w:r>
        </w:p>
        <w:p w14:paraId="57E05005">
          <w:pPr>
            <w:pStyle w:val="10"/>
            <w:tabs>
              <w:tab w:val="right" w:leader="dot" w:pos="8306"/>
            </w:tabs>
          </w:pPr>
          <w:r>
            <w:fldChar w:fldCharType="begin"/>
          </w:r>
          <w:r>
            <w:instrText xml:space="preserve"> HYPERLINK \l "_Toc31468" </w:instrText>
          </w:r>
          <w:r>
            <w:fldChar w:fldCharType="separate"/>
          </w:r>
          <w:r>
            <w:rPr>
              <w:rFonts w:hint="eastAsia"/>
            </w:rPr>
            <w:t>2.6本项目涉及资质</w:t>
          </w:r>
          <w:r>
            <w:tab/>
          </w:r>
          <w:r>
            <w:fldChar w:fldCharType="begin"/>
          </w:r>
          <w:r>
            <w:instrText xml:space="preserve"> PAGEREF _Toc31468 \h </w:instrText>
          </w:r>
          <w:r>
            <w:fldChar w:fldCharType="separate"/>
          </w:r>
          <w:r>
            <w:t>9</w:t>
          </w:r>
          <w:r>
            <w:fldChar w:fldCharType="end"/>
          </w:r>
          <w:r>
            <w:fldChar w:fldCharType="end"/>
          </w:r>
        </w:p>
        <w:p w14:paraId="536AA994">
          <w:pPr>
            <w:pStyle w:val="10"/>
            <w:tabs>
              <w:tab w:val="right" w:leader="dot" w:pos="8306"/>
            </w:tabs>
          </w:pPr>
          <w:r>
            <w:fldChar w:fldCharType="begin"/>
          </w:r>
          <w:r>
            <w:instrText xml:space="preserve"> HYPERLINK \l "_Toc13719" </w:instrText>
          </w:r>
          <w:r>
            <w:fldChar w:fldCharType="separate"/>
          </w:r>
          <w:r>
            <w:rPr>
              <w:rFonts w:hint="eastAsia"/>
            </w:rPr>
            <w:t>2.7开发商委托销售授权函</w:t>
          </w:r>
          <w:r>
            <w:tab/>
          </w:r>
          <w:r>
            <w:fldChar w:fldCharType="begin"/>
          </w:r>
          <w:r>
            <w:instrText xml:space="preserve"> PAGEREF _Toc13719 \h </w:instrText>
          </w:r>
          <w:r>
            <w:fldChar w:fldCharType="separate"/>
          </w:r>
          <w:r>
            <w:t>9</w:t>
          </w:r>
          <w:r>
            <w:fldChar w:fldCharType="end"/>
          </w:r>
          <w:r>
            <w:fldChar w:fldCharType="end"/>
          </w:r>
        </w:p>
        <w:p w14:paraId="3DF883D5">
          <w:pPr>
            <w:pStyle w:val="9"/>
            <w:tabs>
              <w:tab w:val="right" w:leader="dot" w:pos="8306"/>
            </w:tabs>
          </w:pPr>
          <w:r>
            <w:fldChar w:fldCharType="begin"/>
          </w:r>
          <w:r>
            <w:instrText xml:space="preserve"> HYPERLINK \l "_Toc29424" </w:instrText>
          </w:r>
          <w:r>
            <w:fldChar w:fldCharType="separate"/>
          </w:r>
          <w:r>
            <w:rPr>
              <w:rFonts w:hint="eastAsia"/>
            </w:rPr>
            <w:t>三、项目调研情况一览汇总表</w:t>
          </w:r>
          <w:r>
            <w:tab/>
          </w:r>
          <w:r>
            <w:fldChar w:fldCharType="begin"/>
          </w:r>
          <w:r>
            <w:instrText xml:space="preserve"> PAGEREF _Toc29424 \h </w:instrText>
          </w:r>
          <w:r>
            <w:fldChar w:fldCharType="separate"/>
          </w:r>
          <w:r>
            <w:t>10</w:t>
          </w:r>
          <w:r>
            <w:fldChar w:fldCharType="end"/>
          </w:r>
          <w:r>
            <w:fldChar w:fldCharType="end"/>
          </w:r>
        </w:p>
        <w:p w14:paraId="01E65FE5">
          <w:pPr>
            <w:pStyle w:val="9"/>
            <w:tabs>
              <w:tab w:val="right" w:leader="dot" w:pos="8306"/>
            </w:tabs>
          </w:pPr>
          <w:r>
            <w:fldChar w:fldCharType="begin"/>
          </w:r>
          <w:r>
            <w:instrText xml:space="preserve"> HYPERLINK \l "_Toc15881" </w:instrText>
          </w:r>
          <w:r>
            <w:fldChar w:fldCharType="separate"/>
          </w:r>
          <w:r>
            <w:rPr>
              <w:rFonts w:hint="eastAsia"/>
            </w:rPr>
            <w:t>四、调研项目配置清单及分项报价明细</w:t>
          </w:r>
          <w:r>
            <w:tab/>
          </w:r>
          <w:r>
            <w:fldChar w:fldCharType="begin"/>
          </w:r>
          <w:r>
            <w:instrText xml:space="preserve"> PAGEREF _Toc15881 \h </w:instrText>
          </w:r>
          <w:r>
            <w:fldChar w:fldCharType="separate"/>
          </w:r>
          <w:r>
            <w:t>11</w:t>
          </w:r>
          <w:r>
            <w:fldChar w:fldCharType="end"/>
          </w:r>
          <w:r>
            <w:fldChar w:fldCharType="end"/>
          </w:r>
        </w:p>
        <w:p w14:paraId="7DF97BAD">
          <w:pPr>
            <w:pStyle w:val="9"/>
            <w:tabs>
              <w:tab w:val="right" w:leader="dot" w:pos="8306"/>
            </w:tabs>
          </w:pPr>
          <w:r>
            <w:fldChar w:fldCharType="begin"/>
          </w:r>
          <w:r>
            <w:instrText xml:space="preserve"> HYPERLINK \l "_Toc12736" </w:instrText>
          </w:r>
          <w:r>
            <w:fldChar w:fldCharType="separate"/>
          </w:r>
          <w:r>
            <w:rPr>
              <w:rFonts w:hint="eastAsia"/>
            </w:rPr>
            <w:t>五、三甲综合医院同类项目案例</w:t>
          </w:r>
          <w:r>
            <w:tab/>
          </w:r>
          <w:r>
            <w:fldChar w:fldCharType="begin"/>
          </w:r>
          <w:r>
            <w:instrText xml:space="preserve"> PAGEREF _Toc12736 \h </w:instrText>
          </w:r>
          <w:r>
            <w:fldChar w:fldCharType="separate"/>
          </w:r>
          <w:r>
            <w:t>11</w:t>
          </w:r>
          <w:r>
            <w:fldChar w:fldCharType="end"/>
          </w:r>
          <w:r>
            <w:fldChar w:fldCharType="end"/>
          </w:r>
        </w:p>
        <w:p w14:paraId="670A917C">
          <w:pPr>
            <w:pStyle w:val="10"/>
            <w:tabs>
              <w:tab w:val="right" w:leader="dot" w:pos="8306"/>
            </w:tabs>
          </w:pPr>
          <w:r>
            <w:fldChar w:fldCharType="begin"/>
          </w:r>
          <w:r>
            <w:instrText xml:space="preserve"> HYPERLINK \l "_Toc31813" </w:instrText>
          </w:r>
          <w:r>
            <w:fldChar w:fldCharType="separate"/>
          </w:r>
          <w:r>
            <w:rPr>
              <w:rFonts w:hint="eastAsia"/>
            </w:rPr>
            <w:t>5.1 四川省内（  ）家</w:t>
          </w:r>
          <w:r>
            <w:tab/>
          </w:r>
          <w:r>
            <w:fldChar w:fldCharType="begin"/>
          </w:r>
          <w:r>
            <w:instrText xml:space="preserve"> PAGEREF _Toc31813 \h </w:instrText>
          </w:r>
          <w:r>
            <w:fldChar w:fldCharType="separate"/>
          </w:r>
          <w:r>
            <w:t>11</w:t>
          </w:r>
          <w:r>
            <w:fldChar w:fldCharType="end"/>
          </w:r>
          <w:r>
            <w:fldChar w:fldCharType="end"/>
          </w:r>
        </w:p>
        <w:p w14:paraId="1B7C39B6">
          <w:pPr>
            <w:pStyle w:val="10"/>
            <w:tabs>
              <w:tab w:val="right" w:leader="dot" w:pos="8306"/>
            </w:tabs>
          </w:pPr>
          <w:r>
            <w:fldChar w:fldCharType="begin"/>
          </w:r>
          <w:r>
            <w:instrText xml:space="preserve"> HYPERLINK \l "_Toc32164" </w:instrText>
          </w:r>
          <w:r>
            <w:fldChar w:fldCharType="separate"/>
          </w:r>
          <w:r>
            <w:rPr>
              <w:rFonts w:hint="eastAsia"/>
            </w:rPr>
            <w:t>5.2 四川省外（  ）家</w:t>
          </w:r>
          <w:r>
            <w:tab/>
          </w:r>
          <w:r>
            <w:fldChar w:fldCharType="begin"/>
          </w:r>
          <w:r>
            <w:instrText xml:space="preserve"> PAGEREF _Toc32164 \h </w:instrText>
          </w:r>
          <w:r>
            <w:fldChar w:fldCharType="separate"/>
          </w:r>
          <w:r>
            <w:t>11</w:t>
          </w:r>
          <w:r>
            <w:fldChar w:fldCharType="end"/>
          </w:r>
          <w:r>
            <w:fldChar w:fldCharType="end"/>
          </w:r>
        </w:p>
        <w:p w14:paraId="07BEB1AB">
          <w:pPr>
            <w:pStyle w:val="10"/>
            <w:tabs>
              <w:tab w:val="right" w:leader="dot" w:pos="8306"/>
            </w:tabs>
          </w:pPr>
          <w:r>
            <w:fldChar w:fldCharType="begin"/>
          </w:r>
          <w:r>
            <w:instrText xml:space="preserve"> HYPERLINK \l "_Toc8434" </w:instrText>
          </w:r>
          <w:r>
            <w:fldChar w:fldCharType="separate"/>
          </w:r>
          <w:r>
            <w:rPr>
              <w:rFonts w:hint="eastAsia"/>
            </w:rPr>
            <w:t>5.3三甲综合医院同类项目案例合同及验收佐证</w:t>
          </w:r>
          <w:r>
            <w:tab/>
          </w:r>
          <w:r>
            <w:fldChar w:fldCharType="begin"/>
          </w:r>
          <w:r>
            <w:instrText xml:space="preserve"> PAGEREF _Toc8434 \h </w:instrText>
          </w:r>
          <w:r>
            <w:fldChar w:fldCharType="separate"/>
          </w:r>
          <w:r>
            <w:t>11</w:t>
          </w:r>
          <w:r>
            <w:fldChar w:fldCharType="end"/>
          </w:r>
          <w:r>
            <w:fldChar w:fldCharType="end"/>
          </w:r>
        </w:p>
        <w:p w14:paraId="39B2A997">
          <w:pPr>
            <w:pStyle w:val="9"/>
            <w:tabs>
              <w:tab w:val="right" w:leader="dot" w:pos="8306"/>
            </w:tabs>
          </w:pPr>
          <w:r>
            <w:fldChar w:fldCharType="begin"/>
          </w:r>
          <w:r>
            <w:instrText xml:space="preserve"> HYPERLINK \l "_Toc8761" </w:instrText>
          </w:r>
          <w:r>
            <w:fldChar w:fldCharType="separate"/>
          </w:r>
          <w:r>
            <w:rPr>
              <w:rFonts w:hint="eastAsia"/>
            </w:rPr>
            <w:t>六、报价表包含内容</w:t>
          </w:r>
          <w:r>
            <w:tab/>
          </w:r>
          <w:r>
            <w:fldChar w:fldCharType="begin"/>
          </w:r>
          <w:r>
            <w:instrText xml:space="preserve"> PAGEREF _Toc8761 \h </w:instrText>
          </w:r>
          <w:r>
            <w:fldChar w:fldCharType="separate"/>
          </w:r>
          <w:r>
            <w:t>11</w:t>
          </w:r>
          <w:r>
            <w:fldChar w:fldCharType="end"/>
          </w:r>
          <w:r>
            <w:fldChar w:fldCharType="end"/>
          </w:r>
        </w:p>
        <w:p w14:paraId="1620CFBD">
          <w:pPr>
            <w:pStyle w:val="9"/>
            <w:tabs>
              <w:tab w:val="right" w:leader="dot" w:pos="8306"/>
            </w:tabs>
          </w:pPr>
          <w:r>
            <w:fldChar w:fldCharType="begin"/>
          </w:r>
          <w:r>
            <w:instrText xml:space="preserve"> HYPERLINK \l "_Toc30845" </w:instrText>
          </w:r>
          <w:r>
            <w:fldChar w:fldCharType="separate"/>
          </w:r>
          <w:r>
            <w:rPr>
              <w:rFonts w:hint="eastAsia"/>
            </w:rPr>
            <w:t>七、建设方案</w:t>
          </w:r>
          <w:r>
            <w:tab/>
          </w:r>
          <w:r>
            <w:fldChar w:fldCharType="begin"/>
          </w:r>
          <w:r>
            <w:instrText xml:space="preserve"> PAGEREF _Toc30845 \h </w:instrText>
          </w:r>
          <w:r>
            <w:fldChar w:fldCharType="separate"/>
          </w:r>
          <w:r>
            <w:t>12</w:t>
          </w:r>
          <w:r>
            <w:fldChar w:fldCharType="end"/>
          </w:r>
          <w:r>
            <w:fldChar w:fldCharType="end"/>
          </w:r>
        </w:p>
        <w:p w14:paraId="03CE3CE3">
          <w:pPr>
            <w:pStyle w:val="10"/>
            <w:tabs>
              <w:tab w:val="right" w:leader="dot" w:pos="8306"/>
            </w:tabs>
          </w:pPr>
          <w:r>
            <w:fldChar w:fldCharType="begin"/>
          </w:r>
          <w:r>
            <w:instrText xml:space="preserve"> HYPERLINK \l "_Toc21598" </w:instrText>
          </w:r>
          <w:r>
            <w:fldChar w:fldCharType="separate"/>
          </w:r>
          <w:r>
            <w:rPr>
              <w:rFonts w:hint="eastAsia"/>
            </w:rPr>
            <w:t>7.1 实施条件（实施所需的支持条件）</w:t>
          </w:r>
          <w:r>
            <w:tab/>
          </w:r>
          <w:r>
            <w:fldChar w:fldCharType="begin"/>
          </w:r>
          <w:r>
            <w:instrText xml:space="preserve"> PAGEREF _Toc21598 \h </w:instrText>
          </w:r>
          <w:r>
            <w:fldChar w:fldCharType="separate"/>
          </w:r>
          <w:r>
            <w:t>12</w:t>
          </w:r>
          <w:r>
            <w:fldChar w:fldCharType="end"/>
          </w:r>
          <w:r>
            <w:fldChar w:fldCharType="end"/>
          </w:r>
        </w:p>
        <w:p w14:paraId="1A027EEC">
          <w:pPr>
            <w:pStyle w:val="10"/>
            <w:tabs>
              <w:tab w:val="right" w:leader="dot" w:pos="8306"/>
            </w:tabs>
          </w:pPr>
          <w:r>
            <w:fldChar w:fldCharType="begin"/>
          </w:r>
          <w:r>
            <w:instrText xml:space="preserve"> HYPERLINK \l "_Toc7653" </w:instrText>
          </w:r>
          <w:r>
            <w:fldChar w:fldCharType="separate"/>
          </w:r>
          <w:r>
            <w:rPr>
              <w:rFonts w:hint="eastAsia"/>
            </w:rPr>
            <w:t>7.2 实施周期</w:t>
          </w:r>
          <w:r>
            <w:tab/>
          </w:r>
          <w:r>
            <w:fldChar w:fldCharType="begin"/>
          </w:r>
          <w:r>
            <w:instrText xml:space="preserve"> PAGEREF _Toc7653 \h </w:instrText>
          </w:r>
          <w:r>
            <w:fldChar w:fldCharType="separate"/>
          </w:r>
          <w:r>
            <w:t>12</w:t>
          </w:r>
          <w:r>
            <w:fldChar w:fldCharType="end"/>
          </w:r>
          <w:r>
            <w:fldChar w:fldCharType="end"/>
          </w:r>
        </w:p>
        <w:p w14:paraId="6CCBEEE3">
          <w:pPr>
            <w:pStyle w:val="10"/>
            <w:tabs>
              <w:tab w:val="right" w:leader="dot" w:pos="8306"/>
            </w:tabs>
          </w:pPr>
          <w:r>
            <w:fldChar w:fldCharType="begin"/>
          </w:r>
          <w:r>
            <w:instrText xml:space="preserve"> HYPERLINK \l "_Toc32321" </w:instrText>
          </w:r>
          <w:r>
            <w:fldChar w:fldCharType="separate"/>
          </w:r>
          <w:r>
            <w:rPr>
              <w:rFonts w:hint="eastAsia"/>
            </w:rPr>
            <w:t>7.3 系统运行环境</w:t>
          </w:r>
          <w:r>
            <w:tab/>
          </w:r>
          <w:r>
            <w:fldChar w:fldCharType="begin"/>
          </w:r>
          <w:r>
            <w:instrText xml:space="preserve"> PAGEREF _Toc32321 \h </w:instrText>
          </w:r>
          <w:r>
            <w:fldChar w:fldCharType="separate"/>
          </w:r>
          <w:r>
            <w:t>12</w:t>
          </w:r>
          <w:r>
            <w:fldChar w:fldCharType="end"/>
          </w:r>
          <w:r>
            <w:fldChar w:fldCharType="end"/>
          </w:r>
        </w:p>
        <w:p w14:paraId="66985B6C">
          <w:pPr>
            <w:pStyle w:val="10"/>
            <w:tabs>
              <w:tab w:val="right" w:leader="dot" w:pos="8306"/>
            </w:tabs>
          </w:pPr>
          <w:r>
            <w:fldChar w:fldCharType="begin"/>
          </w:r>
          <w:r>
            <w:instrText xml:space="preserve"> HYPERLINK \l "_Toc26889" </w:instrText>
          </w:r>
          <w:r>
            <w:fldChar w:fldCharType="separate"/>
          </w:r>
          <w:r>
            <w:rPr>
              <w:rFonts w:hint="eastAsia"/>
            </w:rPr>
            <w:t>7.4 系统总体架构</w:t>
          </w:r>
          <w:r>
            <w:tab/>
          </w:r>
          <w:r>
            <w:fldChar w:fldCharType="begin"/>
          </w:r>
          <w:r>
            <w:instrText xml:space="preserve"> PAGEREF _Toc26889 \h </w:instrText>
          </w:r>
          <w:r>
            <w:fldChar w:fldCharType="separate"/>
          </w:r>
          <w:r>
            <w:t>12</w:t>
          </w:r>
          <w:r>
            <w:fldChar w:fldCharType="end"/>
          </w:r>
          <w:r>
            <w:fldChar w:fldCharType="end"/>
          </w:r>
        </w:p>
        <w:p w14:paraId="7DF819DE">
          <w:r>
            <w:fldChar w:fldCharType="end"/>
          </w:r>
        </w:p>
      </w:sdtContent>
    </w:sdt>
    <w:p w14:paraId="32055F79"/>
    <w:p w14:paraId="132C6852"/>
    <w:p w14:paraId="29AAD095"/>
    <w:p w14:paraId="19109FD9"/>
    <w:p w14:paraId="2DD118C2"/>
    <w:p w14:paraId="49AF848C"/>
    <w:p w14:paraId="6D7CBFEE"/>
    <w:p w14:paraId="65DBFBD4"/>
    <w:p w14:paraId="4358E349"/>
    <w:p w14:paraId="4414373E"/>
    <w:p w14:paraId="5698298D"/>
    <w:p w14:paraId="1E1E199E">
      <w:pPr>
        <w:sectPr>
          <w:pgSz w:w="11906" w:h="16838"/>
          <w:pgMar w:top="1134" w:right="1800" w:bottom="1134" w:left="1800" w:header="851" w:footer="992" w:gutter="0"/>
          <w:cols w:space="425" w:num="1"/>
          <w:docGrid w:type="lines" w:linePitch="312" w:charSpace="0"/>
        </w:sectPr>
      </w:pPr>
    </w:p>
    <w:p w14:paraId="6F381705">
      <w:pPr>
        <w:pStyle w:val="3"/>
        <w:numPr>
          <w:ilvl w:val="0"/>
          <w:numId w:val="3"/>
        </w:numPr>
        <w:spacing w:before="100" w:after="100"/>
        <w:jc w:val="both"/>
      </w:pPr>
      <w:bookmarkStart w:id="0" w:name="_Toc7415"/>
      <w:bookmarkStart w:id="1" w:name="_Toc152042597"/>
      <w:bookmarkStart w:id="2" w:name="_Toc247527848"/>
      <w:bookmarkStart w:id="3" w:name="_Toc29870"/>
      <w:bookmarkStart w:id="4" w:name="_Toc10065"/>
      <w:bookmarkStart w:id="5" w:name="_Toc247514300"/>
      <w:bookmarkStart w:id="6" w:name="_Toc152045808"/>
      <w:bookmarkStart w:id="7" w:name="_Toc427002393"/>
      <w:bookmarkStart w:id="8" w:name="_Toc144974876"/>
      <w:r>
        <w:rPr>
          <w:rFonts w:hint="eastAsia"/>
        </w:rPr>
        <w:t>报名登记表</w:t>
      </w:r>
      <w:bookmarkEnd w:id="0"/>
      <w:bookmarkEnd w:id="1"/>
      <w:bookmarkEnd w:id="2"/>
      <w:bookmarkEnd w:id="3"/>
      <w:bookmarkEnd w:id="4"/>
      <w:bookmarkEnd w:id="5"/>
      <w:bookmarkEnd w:id="6"/>
      <w:bookmarkEnd w:id="7"/>
      <w:bookmarkEnd w:id="8"/>
    </w:p>
    <w:tbl>
      <w:tblPr>
        <w:tblStyle w:val="12"/>
        <w:tblW w:w="5461" w:type="pct"/>
        <w:jc w:val="center"/>
        <w:tblLayout w:type="autofit"/>
        <w:tblCellMar>
          <w:top w:w="0" w:type="dxa"/>
          <w:left w:w="108" w:type="dxa"/>
          <w:bottom w:w="0" w:type="dxa"/>
          <w:right w:w="108" w:type="dxa"/>
        </w:tblCellMar>
      </w:tblPr>
      <w:tblGrid>
        <w:gridCol w:w="559"/>
        <w:gridCol w:w="1511"/>
        <w:gridCol w:w="1026"/>
        <w:gridCol w:w="1282"/>
        <w:gridCol w:w="2254"/>
        <w:gridCol w:w="1108"/>
        <w:gridCol w:w="1568"/>
      </w:tblGrid>
      <w:tr w14:paraId="7E34A5F0">
        <w:tblPrEx>
          <w:tblCellMar>
            <w:top w:w="0" w:type="dxa"/>
            <w:left w:w="108" w:type="dxa"/>
            <w:bottom w:w="0" w:type="dxa"/>
            <w:right w:w="108" w:type="dxa"/>
          </w:tblCellMar>
        </w:tblPrEx>
        <w:trPr>
          <w:trHeight w:val="600" w:hRule="atLeast"/>
          <w:jc w:val="center"/>
        </w:trPr>
        <w:tc>
          <w:tcPr>
            <w:tcW w:w="300" w:type="pct"/>
            <w:tcBorders>
              <w:top w:val="single" w:color="000000" w:sz="8" w:space="0"/>
              <w:left w:val="single" w:color="000000" w:sz="8" w:space="0"/>
              <w:bottom w:val="single" w:color="000000" w:sz="4" w:space="0"/>
              <w:right w:val="single" w:color="000000" w:sz="4" w:space="0"/>
            </w:tcBorders>
            <w:vAlign w:val="center"/>
          </w:tcPr>
          <w:p w14:paraId="55D81BFE">
            <w:pPr>
              <w:widowControl/>
              <w:jc w:val="center"/>
              <w:textAlignment w:val="center"/>
              <w:rPr>
                <w:rFonts w:ascii="宋体" w:hAnsi="宋体" w:eastAsia="宋体" w:cs="宋体"/>
                <w:sz w:val="24"/>
              </w:rPr>
            </w:pPr>
            <w:r>
              <w:rPr>
                <w:rFonts w:hint="eastAsia" w:ascii="宋体" w:hAnsi="宋体" w:eastAsia="宋体" w:cs="宋体"/>
                <w:kern w:val="0"/>
                <w:sz w:val="24"/>
                <w:lang w:bidi="ar"/>
              </w:rPr>
              <w:t>序号</w:t>
            </w:r>
          </w:p>
        </w:tc>
        <w:tc>
          <w:tcPr>
            <w:tcW w:w="811" w:type="pct"/>
            <w:tcBorders>
              <w:top w:val="single" w:color="000000" w:sz="8" w:space="0"/>
              <w:left w:val="single" w:color="000000" w:sz="4" w:space="0"/>
              <w:bottom w:val="single" w:color="000000" w:sz="4" w:space="0"/>
              <w:right w:val="single" w:color="000000" w:sz="4" w:space="0"/>
            </w:tcBorders>
            <w:vAlign w:val="center"/>
          </w:tcPr>
          <w:p w14:paraId="5EB6BECE">
            <w:pPr>
              <w:widowControl/>
              <w:jc w:val="center"/>
              <w:textAlignment w:val="center"/>
              <w:rPr>
                <w:rFonts w:ascii="宋体" w:hAnsi="宋体" w:eastAsia="宋体" w:cs="宋体"/>
                <w:sz w:val="24"/>
              </w:rPr>
            </w:pPr>
            <w:r>
              <w:rPr>
                <w:rFonts w:hint="eastAsia" w:ascii="宋体" w:hAnsi="宋体" w:eastAsia="宋体" w:cs="宋体"/>
                <w:kern w:val="0"/>
                <w:sz w:val="24"/>
                <w:lang w:bidi="ar"/>
              </w:rPr>
              <w:t>供应商名称</w:t>
            </w:r>
          </w:p>
        </w:tc>
        <w:tc>
          <w:tcPr>
            <w:tcW w:w="551" w:type="pct"/>
            <w:tcBorders>
              <w:top w:val="single" w:color="000000" w:sz="8" w:space="0"/>
              <w:left w:val="single" w:color="000000" w:sz="4" w:space="0"/>
              <w:bottom w:val="single" w:color="000000" w:sz="4" w:space="0"/>
              <w:right w:val="single" w:color="000000" w:sz="4" w:space="0"/>
            </w:tcBorders>
            <w:vAlign w:val="center"/>
          </w:tcPr>
          <w:p w14:paraId="23C2D561">
            <w:pPr>
              <w:widowControl/>
              <w:jc w:val="center"/>
              <w:textAlignment w:val="center"/>
              <w:rPr>
                <w:rFonts w:ascii="宋体" w:hAnsi="宋体" w:eastAsia="宋体" w:cs="宋体"/>
                <w:sz w:val="24"/>
              </w:rPr>
            </w:pPr>
            <w:r>
              <w:rPr>
                <w:rFonts w:hint="eastAsia" w:ascii="宋体" w:hAnsi="宋体" w:eastAsia="宋体" w:cs="宋体"/>
                <w:kern w:val="0"/>
                <w:sz w:val="24"/>
                <w:lang w:bidi="ar"/>
              </w:rPr>
              <w:t>联系人</w:t>
            </w:r>
          </w:p>
        </w:tc>
        <w:tc>
          <w:tcPr>
            <w:tcW w:w="688" w:type="pct"/>
            <w:tcBorders>
              <w:top w:val="single" w:color="000000" w:sz="8" w:space="0"/>
              <w:left w:val="single" w:color="000000" w:sz="4" w:space="0"/>
              <w:bottom w:val="single" w:color="000000" w:sz="4" w:space="0"/>
              <w:right w:val="single" w:color="000000" w:sz="4" w:space="0"/>
            </w:tcBorders>
            <w:vAlign w:val="center"/>
          </w:tcPr>
          <w:p w14:paraId="0480BD56">
            <w:pPr>
              <w:widowControl/>
              <w:jc w:val="center"/>
              <w:textAlignment w:val="center"/>
              <w:rPr>
                <w:rFonts w:ascii="宋体" w:hAnsi="宋体" w:eastAsia="宋体" w:cs="宋体"/>
                <w:sz w:val="24"/>
              </w:rPr>
            </w:pPr>
            <w:r>
              <w:rPr>
                <w:rFonts w:hint="eastAsia" w:ascii="宋体" w:hAnsi="宋体" w:eastAsia="宋体" w:cs="宋体"/>
                <w:kern w:val="0"/>
                <w:sz w:val="24"/>
                <w:lang w:bidi="ar"/>
              </w:rPr>
              <w:t>联系电话</w:t>
            </w:r>
          </w:p>
        </w:tc>
        <w:tc>
          <w:tcPr>
            <w:tcW w:w="1210" w:type="pct"/>
            <w:tcBorders>
              <w:top w:val="single" w:color="000000" w:sz="8" w:space="0"/>
              <w:left w:val="single" w:color="000000" w:sz="4" w:space="0"/>
              <w:bottom w:val="single" w:color="000000" w:sz="4" w:space="0"/>
              <w:right w:val="single" w:color="000000" w:sz="4" w:space="0"/>
            </w:tcBorders>
            <w:vAlign w:val="center"/>
          </w:tcPr>
          <w:p w14:paraId="59EC5093">
            <w:pPr>
              <w:widowControl/>
              <w:jc w:val="center"/>
              <w:textAlignment w:val="center"/>
              <w:rPr>
                <w:rFonts w:ascii="宋体" w:hAnsi="宋体" w:eastAsia="宋体" w:cs="宋体"/>
                <w:kern w:val="0"/>
                <w:sz w:val="24"/>
                <w:lang w:bidi="ar"/>
              </w:rPr>
            </w:pPr>
            <w:r>
              <w:rPr>
                <w:rFonts w:hint="eastAsia" w:ascii="宋体" w:hAnsi="宋体" w:eastAsia="宋体" w:cs="宋体"/>
                <w:kern w:val="0"/>
                <w:sz w:val="24"/>
                <w:lang w:bidi="ar"/>
              </w:rPr>
              <w:t>联系邮箱</w:t>
            </w:r>
          </w:p>
          <w:p w14:paraId="59DC0A6B">
            <w:pPr>
              <w:widowControl/>
              <w:jc w:val="center"/>
              <w:textAlignment w:val="center"/>
              <w:rPr>
                <w:rFonts w:ascii="宋体" w:hAnsi="宋体" w:eastAsia="宋体" w:cs="宋体"/>
                <w:sz w:val="24"/>
              </w:rPr>
            </w:pPr>
            <w:r>
              <w:rPr>
                <w:rFonts w:hint="eastAsia" w:ascii="宋体" w:hAnsi="宋体" w:eastAsia="宋体" w:cs="宋体"/>
                <w:kern w:val="0"/>
                <w:sz w:val="24"/>
                <w:lang w:bidi="ar"/>
              </w:rPr>
              <w:t>（与报名邮箱一致）</w:t>
            </w:r>
          </w:p>
        </w:tc>
        <w:tc>
          <w:tcPr>
            <w:tcW w:w="595" w:type="pct"/>
            <w:tcBorders>
              <w:top w:val="single" w:color="000000" w:sz="8" w:space="0"/>
              <w:left w:val="single" w:color="000000" w:sz="4" w:space="0"/>
              <w:bottom w:val="single" w:color="000000" w:sz="4" w:space="0"/>
              <w:right w:val="single" w:color="000000" w:sz="8" w:space="0"/>
            </w:tcBorders>
            <w:vAlign w:val="center"/>
          </w:tcPr>
          <w:p w14:paraId="69887DBD">
            <w:pPr>
              <w:jc w:val="center"/>
            </w:pPr>
            <w:r>
              <w:rPr>
                <w:rFonts w:hint="eastAsia" w:ascii="宋体" w:hAnsi="宋体" w:eastAsia="宋体" w:cs="宋体"/>
                <w:kern w:val="0"/>
                <w:sz w:val="24"/>
                <w:lang w:bidi="ar"/>
              </w:rPr>
              <w:t>是否为中小企业</w:t>
            </w:r>
          </w:p>
        </w:tc>
        <w:tc>
          <w:tcPr>
            <w:tcW w:w="842" w:type="pct"/>
            <w:tcBorders>
              <w:top w:val="single" w:color="000000" w:sz="8" w:space="0"/>
              <w:left w:val="single" w:color="000000" w:sz="4" w:space="0"/>
              <w:bottom w:val="single" w:color="000000" w:sz="4" w:space="0"/>
              <w:right w:val="single" w:color="000000" w:sz="8" w:space="0"/>
            </w:tcBorders>
            <w:vAlign w:val="center"/>
          </w:tcPr>
          <w:p w14:paraId="344CB7D1">
            <w:pPr>
              <w:jc w:val="center"/>
            </w:pPr>
            <w:r>
              <w:rPr>
                <w:rFonts w:hint="eastAsia" w:ascii="宋体" w:hAnsi="宋体" w:eastAsia="宋体" w:cs="宋体"/>
                <w:kern w:val="0"/>
                <w:sz w:val="24"/>
                <w:lang w:bidi="ar"/>
              </w:rPr>
              <w:t>备注</w:t>
            </w:r>
          </w:p>
        </w:tc>
      </w:tr>
      <w:tr w14:paraId="62643645">
        <w:tblPrEx>
          <w:tblCellMar>
            <w:top w:w="0" w:type="dxa"/>
            <w:left w:w="108" w:type="dxa"/>
            <w:bottom w:w="0" w:type="dxa"/>
            <w:right w:w="108" w:type="dxa"/>
          </w:tblCellMar>
        </w:tblPrEx>
        <w:trPr>
          <w:trHeight w:val="720" w:hRule="atLeast"/>
          <w:jc w:val="center"/>
        </w:trPr>
        <w:tc>
          <w:tcPr>
            <w:tcW w:w="300" w:type="pct"/>
            <w:tcBorders>
              <w:top w:val="single" w:color="000000" w:sz="4" w:space="0"/>
              <w:left w:val="single" w:color="000000" w:sz="8" w:space="0"/>
              <w:bottom w:val="single" w:color="000000" w:sz="8" w:space="0"/>
              <w:right w:val="single" w:color="000000" w:sz="4" w:space="0"/>
            </w:tcBorders>
            <w:vAlign w:val="center"/>
          </w:tcPr>
          <w:p w14:paraId="44CEE04C">
            <w:pPr>
              <w:widowControl/>
              <w:jc w:val="center"/>
              <w:textAlignment w:val="center"/>
              <w:rPr>
                <w:rFonts w:ascii="宋体" w:hAnsi="宋体" w:eastAsia="宋体" w:cs="宋体"/>
                <w:sz w:val="24"/>
              </w:rPr>
            </w:pPr>
            <w:r>
              <w:rPr>
                <w:rFonts w:hint="eastAsia" w:ascii="宋体" w:hAnsi="宋体" w:eastAsia="宋体" w:cs="宋体"/>
                <w:kern w:val="0"/>
                <w:sz w:val="24"/>
                <w:lang w:bidi="ar"/>
              </w:rPr>
              <w:t>1</w:t>
            </w:r>
          </w:p>
        </w:tc>
        <w:tc>
          <w:tcPr>
            <w:tcW w:w="811" w:type="pct"/>
            <w:tcBorders>
              <w:top w:val="single" w:color="000000" w:sz="4" w:space="0"/>
              <w:left w:val="single" w:color="000000" w:sz="4" w:space="0"/>
              <w:bottom w:val="single" w:color="000000" w:sz="8" w:space="0"/>
              <w:right w:val="single" w:color="000000" w:sz="4" w:space="0"/>
            </w:tcBorders>
            <w:vAlign w:val="center"/>
          </w:tcPr>
          <w:p w14:paraId="4F7FA40B">
            <w:pPr>
              <w:jc w:val="center"/>
              <w:rPr>
                <w:rFonts w:ascii="宋体" w:hAnsi="宋体" w:eastAsia="宋体" w:cs="宋体"/>
                <w:sz w:val="24"/>
              </w:rPr>
            </w:pPr>
          </w:p>
        </w:tc>
        <w:tc>
          <w:tcPr>
            <w:tcW w:w="551" w:type="pct"/>
            <w:tcBorders>
              <w:top w:val="single" w:color="000000" w:sz="4" w:space="0"/>
              <w:left w:val="single" w:color="000000" w:sz="4" w:space="0"/>
              <w:bottom w:val="single" w:color="000000" w:sz="8" w:space="0"/>
              <w:right w:val="single" w:color="000000" w:sz="4" w:space="0"/>
            </w:tcBorders>
            <w:vAlign w:val="center"/>
          </w:tcPr>
          <w:p w14:paraId="6EC50B11">
            <w:pPr>
              <w:jc w:val="center"/>
              <w:rPr>
                <w:rFonts w:ascii="宋体" w:hAnsi="宋体" w:eastAsia="宋体" w:cs="宋体"/>
                <w:sz w:val="24"/>
              </w:rPr>
            </w:pPr>
          </w:p>
        </w:tc>
        <w:tc>
          <w:tcPr>
            <w:tcW w:w="688" w:type="pct"/>
            <w:tcBorders>
              <w:top w:val="single" w:color="000000" w:sz="4" w:space="0"/>
              <w:left w:val="single" w:color="000000" w:sz="4" w:space="0"/>
              <w:bottom w:val="single" w:color="000000" w:sz="8" w:space="0"/>
              <w:right w:val="single" w:color="000000" w:sz="4" w:space="0"/>
            </w:tcBorders>
            <w:vAlign w:val="center"/>
          </w:tcPr>
          <w:p w14:paraId="1846798C">
            <w:pPr>
              <w:jc w:val="center"/>
              <w:rPr>
                <w:rFonts w:ascii="宋体" w:hAnsi="宋体" w:eastAsia="宋体" w:cs="宋体"/>
                <w:sz w:val="24"/>
              </w:rPr>
            </w:pPr>
          </w:p>
        </w:tc>
        <w:tc>
          <w:tcPr>
            <w:tcW w:w="1210" w:type="pct"/>
            <w:tcBorders>
              <w:top w:val="single" w:color="000000" w:sz="4" w:space="0"/>
              <w:left w:val="single" w:color="000000" w:sz="4" w:space="0"/>
              <w:bottom w:val="single" w:color="000000" w:sz="8" w:space="0"/>
              <w:right w:val="single" w:color="000000" w:sz="4" w:space="0"/>
            </w:tcBorders>
            <w:vAlign w:val="center"/>
          </w:tcPr>
          <w:p w14:paraId="62B1B8C3">
            <w:pPr>
              <w:jc w:val="center"/>
              <w:rPr>
                <w:rFonts w:ascii="宋体" w:hAnsi="宋体" w:eastAsia="宋体" w:cs="宋体"/>
                <w:sz w:val="24"/>
              </w:rPr>
            </w:pPr>
          </w:p>
        </w:tc>
        <w:tc>
          <w:tcPr>
            <w:tcW w:w="595" w:type="pct"/>
            <w:tcBorders>
              <w:top w:val="single" w:color="000000" w:sz="4" w:space="0"/>
              <w:left w:val="single" w:color="000000" w:sz="4" w:space="0"/>
              <w:bottom w:val="single" w:color="000000" w:sz="8" w:space="0"/>
              <w:right w:val="single" w:color="000000" w:sz="8" w:space="0"/>
            </w:tcBorders>
            <w:noWrap/>
            <w:vAlign w:val="center"/>
          </w:tcPr>
          <w:p w14:paraId="570A06ED">
            <w:pPr>
              <w:jc w:val="center"/>
              <w:rPr>
                <w:rFonts w:ascii="宋体" w:hAnsi="宋体" w:eastAsia="宋体" w:cs="宋体"/>
                <w:sz w:val="24"/>
              </w:rPr>
            </w:pPr>
          </w:p>
        </w:tc>
        <w:tc>
          <w:tcPr>
            <w:tcW w:w="842" w:type="pct"/>
            <w:tcBorders>
              <w:top w:val="single" w:color="000000" w:sz="4" w:space="0"/>
              <w:left w:val="single" w:color="000000" w:sz="4" w:space="0"/>
              <w:bottom w:val="single" w:color="000000" w:sz="8" w:space="0"/>
              <w:right w:val="single" w:color="000000" w:sz="8" w:space="0"/>
            </w:tcBorders>
            <w:noWrap/>
            <w:vAlign w:val="center"/>
          </w:tcPr>
          <w:p w14:paraId="36B89621">
            <w:pPr>
              <w:jc w:val="center"/>
              <w:rPr>
                <w:rFonts w:ascii="宋体" w:hAnsi="宋体" w:eastAsia="宋体" w:cs="宋体"/>
                <w:sz w:val="24"/>
              </w:rPr>
            </w:pPr>
          </w:p>
        </w:tc>
      </w:tr>
    </w:tbl>
    <w:p w14:paraId="3982DD71"/>
    <w:p w14:paraId="6C7612DD">
      <w:pPr>
        <w:pStyle w:val="3"/>
        <w:spacing w:before="100" w:after="100"/>
        <w:jc w:val="both"/>
      </w:pPr>
      <w:bookmarkStart w:id="9" w:name="_Toc29136"/>
      <w:bookmarkStart w:id="10" w:name="_Toc2669"/>
      <w:r>
        <w:rPr>
          <w:rFonts w:hint="eastAsia"/>
        </w:rPr>
        <w:t>二、资质：</w:t>
      </w:r>
      <w:bookmarkEnd w:id="9"/>
    </w:p>
    <w:p w14:paraId="08BE87D3">
      <w:pPr>
        <w:pStyle w:val="4"/>
      </w:pPr>
      <w:bookmarkStart w:id="11" w:name="_Toc6776"/>
      <w:r>
        <w:rPr>
          <w:rFonts w:hint="eastAsia"/>
        </w:rPr>
        <w:t>2.1营业执照</w:t>
      </w:r>
      <w:bookmarkEnd w:id="10"/>
      <w:bookmarkEnd w:id="11"/>
      <w:bookmarkStart w:id="12" w:name="_Toc3036"/>
    </w:p>
    <w:p w14:paraId="106D4D8C">
      <w:pPr>
        <w:pStyle w:val="4"/>
      </w:pPr>
      <w:bookmarkStart w:id="13" w:name="_Toc26820"/>
      <w:r>
        <w:rPr>
          <w:rFonts w:hint="eastAsia"/>
        </w:rPr>
        <w:t>2.2法定代表人授权书</w:t>
      </w:r>
      <w:bookmarkEnd w:id="12"/>
      <w:bookmarkEnd w:id="13"/>
    </w:p>
    <w:p w14:paraId="4C44A78F">
      <w:pPr>
        <w:pStyle w:val="4"/>
      </w:pPr>
      <w:bookmarkStart w:id="14" w:name="_Toc27595"/>
      <w:bookmarkStart w:id="15" w:name="_Toc5131"/>
      <w:r>
        <w:rPr>
          <w:rFonts w:hint="eastAsia"/>
        </w:rPr>
        <w:t>2.3法人及被授权人身份证</w:t>
      </w:r>
      <w:bookmarkEnd w:id="14"/>
      <w:bookmarkEnd w:id="15"/>
    </w:p>
    <w:p w14:paraId="00DCFF88">
      <w:pPr>
        <w:pStyle w:val="4"/>
      </w:pPr>
      <w:bookmarkStart w:id="16" w:name="_Toc1254"/>
      <w:bookmarkStart w:id="17" w:name="_Toc22588"/>
      <w:r>
        <w:rPr>
          <w:rFonts w:hint="eastAsia"/>
        </w:rPr>
        <w:t>2.4公司资质</w:t>
      </w:r>
      <w:bookmarkEnd w:id="16"/>
      <w:bookmarkEnd w:id="17"/>
    </w:p>
    <w:p w14:paraId="3943AB12">
      <w:pPr>
        <w:pStyle w:val="4"/>
      </w:pPr>
      <w:bookmarkStart w:id="18" w:name="_Toc20273"/>
      <w:r>
        <w:rPr>
          <w:rFonts w:hint="eastAsia"/>
        </w:rPr>
        <w:t>2.5软件资质</w:t>
      </w:r>
      <w:bookmarkEnd w:id="18"/>
    </w:p>
    <w:p w14:paraId="7406A0E3">
      <w:pPr>
        <w:pStyle w:val="4"/>
      </w:pPr>
      <w:bookmarkStart w:id="19" w:name="_Toc31468"/>
      <w:bookmarkStart w:id="20" w:name="_Toc11995"/>
      <w:r>
        <w:rPr>
          <w:rFonts w:hint="eastAsia"/>
        </w:rPr>
        <w:t>2.6本项目涉及资质</w:t>
      </w:r>
      <w:bookmarkEnd w:id="19"/>
      <w:bookmarkEnd w:id="20"/>
    </w:p>
    <w:p w14:paraId="3D57177B">
      <w:pPr>
        <w:pStyle w:val="4"/>
        <w:rPr>
          <w:rFonts w:ascii="宋体" w:hAnsi="宋体" w:eastAsia="宋体" w:cs="宋体"/>
        </w:rPr>
      </w:pPr>
      <w:bookmarkStart w:id="21" w:name="_Toc13719"/>
      <w:bookmarkStart w:id="22" w:name="_Toc21787"/>
      <w:r>
        <w:rPr>
          <w:rFonts w:hint="eastAsia"/>
        </w:rPr>
        <w:t>2.7开发商委托销售授权函</w:t>
      </w:r>
      <w:bookmarkEnd w:id="21"/>
      <w:bookmarkEnd w:id="22"/>
    </w:p>
    <w:p w14:paraId="512C9CA1">
      <w:pPr>
        <w:pStyle w:val="2"/>
        <w:rPr>
          <w:rFonts w:hAnsi="宋体"/>
          <w:color w:val="auto"/>
        </w:rPr>
      </w:pPr>
    </w:p>
    <w:p w14:paraId="3781A940">
      <w:pPr>
        <w:pStyle w:val="2"/>
        <w:rPr>
          <w:rFonts w:hAnsi="宋体"/>
          <w:color w:val="auto"/>
        </w:rPr>
      </w:pPr>
    </w:p>
    <w:p w14:paraId="0446D126">
      <w:pPr>
        <w:pStyle w:val="2"/>
        <w:rPr>
          <w:rFonts w:hAnsi="宋体"/>
          <w:color w:val="auto"/>
        </w:rPr>
      </w:pPr>
    </w:p>
    <w:p w14:paraId="2BD24A90">
      <w:pPr>
        <w:pStyle w:val="2"/>
        <w:rPr>
          <w:rFonts w:hAnsi="宋体"/>
          <w:color w:val="auto"/>
        </w:rPr>
      </w:pPr>
    </w:p>
    <w:p w14:paraId="528281F4">
      <w:pPr>
        <w:sectPr>
          <w:pgSz w:w="11906" w:h="16838"/>
          <w:pgMar w:top="1440" w:right="1800" w:bottom="1440" w:left="1800" w:header="851" w:footer="992" w:gutter="0"/>
          <w:cols w:space="425" w:num="1"/>
          <w:docGrid w:type="lines" w:linePitch="312" w:charSpace="0"/>
        </w:sectPr>
      </w:pPr>
    </w:p>
    <w:p w14:paraId="7219B4AA">
      <w:pPr>
        <w:pStyle w:val="3"/>
        <w:spacing w:before="100" w:after="100"/>
        <w:jc w:val="both"/>
      </w:pPr>
      <w:bookmarkStart w:id="23" w:name="_Toc29424"/>
      <w:r>
        <w:rPr>
          <w:rFonts w:hint="eastAsia"/>
        </w:rPr>
        <w:t>三、项目调研情况一览汇总表</w:t>
      </w:r>
      <w:bookmarkEnd w:id="23"/>
    </w:p>
    <w:p w14:paraId="5F34D21F">
      <w:pPr>
        <w:pStyle w:val="5"/>
        <w:ind w:firstLine="720" w:firstLineChars="300"/>
        <w:rPr>
          <w:rFonts w:ascii="仿宋" w:hAnsi="仿宋" w:cs="仿宋"/>
          <w:kern w:val="0"/>
          <w:lang w:val="en-US" w:bidi="ar"/>
        </w:rPr>
      </w:pPr>
      <w:r>
        <w:rPr>
          <w:rFonts w:hint="eastAsia" w:ascii="仿宋" w:hAnsi="仿宋" w:cs="仿宋"/>
          <w:kern w:val="0"/>
          <w:lang w:val="en-US" w:bidi="ar"/>
        </w:rPr>
        <w:t>项目名称：                              采购品目分类名称：</w:t>
      </w:r>
    </w:p>
    <w:p w14:paraId="086DCC8D">
      <w:pPr>
        <w:pStyle w:val="5"/>
        <w:ind w:firstLine="720" w:firstLineChars="300"/>
        <w:rPr>
          <w:rFonts w:ascii="仿宋" w:hAnsi="仿宋" w:cs="仿宋"/>
          <w:kern w:val="0"/>
          <w:lang w:val="en-US" w:bidi="ar"/>
        </w:rPr>
      </w:pPr>
      <w:r>
        <w:rPr>
          <w:rFonts w:hint="eastAsia" w:ascii="仿宋" w:hAnsi="仿宋" w:cs="仿宋"/>
          <w:kern w:val="0"/>
          <w:lang w:val="en-US" w:bidi="ar"/>
        </w:rPr>
        <w:t>供应商名称：                            联系人及联系电话：</w:t>
      </w:r>
    </w:p>
    <w:tbl>
      <w:tblPr>
        <w:tblStyle w:val="12"/>
        <w:tblW w:w="5245" w:type="pct"/>
        <w:jc w:val="center"/>
        <w:tblLayout w:type="fixed"/>
        <w:tblCellMar>
          <w:top w:w="0" w:type="dxa"/>
          <w:left w:w="108" w:type="dxa"/>
          <w:bottom w:w="0" w:type="dxa"/>
          <w:right w:w="108" w:type="dxa"/>
        </w:tblCellMar>
      </w:tblPr>
      <w:tblGrid>
        <w:gridCol w:w="568"/>
        <w:gridCol w:w="1785"/>
        <w:gridCol w:w="2079"/>
        <w:gridCol w:w="1272"/>
        <w:gridCol w:w="1368"/>
        <w:gridCol w:w="1427"/>
        <w:gridCol w:w="1095"/>
        <w:gridCol w:w="1210"/>
        <w:gridCol w:w="3143"/>
        <w:gridCol w:w="1564"/>
      </w:tblGrid>
      <w:tr w14:paraId="5E8CAB42">
        <w:tblPrEx>
          <w:tblCellMar>
            <w:top w:w="0" w:type="dxa"/>
            <w:left w:w="108" w:type="dxa"/>
            <w:bottom w:w="0" w:type="dxa"/>
            <w:right w:w="108" w:type="dxa"/>
          </w:tblCellMar>
        </w:tblPrEx>
        <w:trPr>
          <w:trHeight w:val="566" w:hRule="atLeast"/>
          <w:jc w:val="center"/>
        </w:trPr>
        <w:tc>
          <w:tcPr>
            <w:tcW w:w="5000" w:type="pct"/>
            <w:gridSpan w:val="10"/>
            <w:tcBorders>
              <w:top w:val="nil"/>
              <w:left w:val="nil"/>
              <w:bottom w:val="single" w:color="auto" w:sz="4" w:space="0"/>
              <w:right w:val="nil"/>
            </w:tcBorders>
            <w:noWrap/>
            <w:vAlign w:val="center"/>
          </w:tcPr>
          <w:p w14:paraId="774CF62A">
            <w:pPr>
              <w:widowControl/>
              <w:jc w:val="center"/>
              <w:textAlignment w:val="center"/>
              <w:rPr>
                <w:rFonts w:ascii="微软雅黑" w:hAnsi="微软雅黑" w:eastAsia="微软雅黑" w:cs="微软雅黑"/>
                <w:sz w:val="36"/>
                <w:szCs w:val="36"/>
              </w:rPr>
            </w:pPr>
            <w:r>
              <w:rPr>
                <w:rFonts w:hint="eastAsia" w:ascii="微软雅黑" w:hAnsi="微软雅黑" w:eastAsia="微软雅黑" w:cs="微软雅黑"/>
                <w:kern w:val="0"/>
                <w:sz w:val="36"/>
                <w:szCs w:val="36"/>
                <w:lang w:bidi="ar"/>
              </w:rPr>
              <w:t>项目调研情况一览汇总表</w:t>
            </w:r>
          </w:p>
        </w:tc>
      </w:tr>
      <w:tr w14:paraId="4EAE9422">
        <w:tblPrEx>
          <w:tblCellMar>
            <w:top w:w="0" w:type="dxa"/>
            <w:left w:w="108" w:type="dxa"/>
            <w:bottom w:w="0" w:type="dxa"/>
            <w:right w:w="108" w:type="dxa"/>
          </w:tblCellMar>
        </w:tblPrEx>
        <w:trPr>
          <w:trHeight w:val="1399" w:hRule="atLeast"/>
          <w:jc w:val="center"/>
        </w:trPr>
        <w:tc>
          <w:tcPr>
            <w:tcW w:w="567" w:type="dxa"/>
            <w:tcBorders>
              <w:top w:val="single" w:color="auto" w:sz="4" w:space="0"/>
              <w:left w:val="single" w:color="auto" w:sz="4" w:space="0"/>
              <w:bottom w:val="single" w:color="auto" w:sz="4" w:space="0"/>
              <w:right w:val="single" w:color="auto" w:sz="4" w:space="0"/>
            </w:tcBorders>
            <w:vAlign w:val="center"/>
          </w:tcPr>
          <w:p w14:paraId="5592E282">
            <w:pPr>
              <w:widowControl/>
              <w:spacing w:line="240" w:lineRule="exact"/>
              <w:jc w:val="center"/>
              <w:textAlignment w:val="center"/>
              <w:rPr>
                <w:rFonts w:ascii="仿宋" w:hAnsi="仿宋" w:eastAsia="仿宋" w:cs="仿宋"/>
                <w:sz w:val="24"/>
              </w:rPr>
            </w:pPr>
            <w:r>
              <w:rPr>
                <w:rFonts w:hint="eastAsia" w:ascii="仿宋" w:hAnsi="仿宋" w:eastAsia="仿宋" w:cs="仿宋"/>
                <w:sz w:val="20"/>
                <w:szCs w:val="20"/>
              </w:rPr>
              <w:t>序号</w:t>
            </w:r>
          </w:p>
        </w:tc>
        <w:tc>
          <w:tcPr>
            <w:tcW w:w="1780" w:type="dxa"/>
            <w:tcBorders>
              <w:top w:val="single" w:color="auto" w:sz="4" w:space="0"/>
              <w:left w:val="single" w:color="auto" w:sz="4" w:space="0"/>
              <w:bottom w:val="single" w:color="auto" w:sz="4" w:space="0"/>
              <w:right w:val="single" w:color="auto" w:sz="4" w:space="0"/>
            </w:tcBorders>
            <w:vAlign w:val="center"/>
          </w:tcPr>
          <w:p w14:paraId="7F0885C4">
            <w:pPr>
              <w:widowControl/>
              <w:spacing w:line="240" w:lineRule="exact"/>
              <w:jc w:val="center"/>
              <w:textAlignment w:val="center"/>
              <w:rPr>
                <w:rFonts w:ascii="仿宋" w:hAnsi="仿宋" w:eastAsia="仿宋" w:cs="仿宋"/>
                <w:sz w:val="20"/>
                <w:szCs w:val="20"/>
              </w:rPr>
            </w:pPr>
            <w:r>
              <w:rPr>
                <w:rFonts w:hint="eastAsia" w:ascii="仿宋" w:hAnsi="仿宋" w:eastAsia="仿宋" w:cs="仿宋"/>
                <w:sz w:val="20"/>
                <w:szCs w:val="20"/>
              </w:rPr>
              <w:t>供应商名称</w:t>
            </w:r>
          </w:p>
          <w:p w14:paraId="0500A9AA">
            <w:pPr>
              <w:pStyle w:val="2"/>
              <w:spacing w:line="240" w:lineRule="exact"/>
              <w:jc w:val="center"/>
              <w:rPr>
                <w:rFonts w:ascii="仿宋" w:hAnsi="仿宋" w:eastAsia="仿宋" w:cs="仿宋"/>
                <w:color w:val="auto"/>
                <w:kern w:val="2"/>
              </w:rPr>
            </w:pPr>
            <w:r>
              <w:rPr>
                <w:rFonts w:hint="eastAsia" w:ascii="仿宋" w:hAnsi="仿宋" w:eastAsia="仿宋" w:cs="仿宋"/>
                <w:color w:val="auto"/>
                <w:sz w:val="20"/>
                <w:szCs w:val="20"/>
              </w:rPr>
              <w:t>（必填）</w:t>
            </w:r>
          </w:p>
        </w:tc>
        <w:tc>
          <w:tcPr>
            <w:tcW w:w="2075" w:type="dxa"/>
            <w:tcBorders>
              <w:top w:val="single" w:color="auto" w:sz="4" w:space="0"/>
              <w:left w:val="single" w:color="auto" w:sz="4" w:space="0"/>
              <w:bottom w:val="single" w:color="auto" w:sz="4" w:space="0"/>
              <w:right w:val="single" w:color="auto" w:sz="4" w:space="0"/>
            </w:tcBorders>
            <w:vAlign w:val="center"/>
          </w:tcPr>
          <w:p w14:paraId="0579A32C">
            <w:pPr>
              <w:widowControl/>
              <w:spacing w:line="240" w:lineRule="exact"/>
              <w:jc w:val="center"/>
              <w:textAlignment w:val="center"/>
              <w:rPr>
                <w:rFonts w:ascii="仿宋" w:hAnsi="仿宋" w:eastAsia="仿宋" w:cs="仿宋"/>
                <w:sz w:val="20"/>
                <w:szCs w:val="20"/>
              </w:rPr>
            </w:pPr>
            <w:r>
              <w:rPr>
                <w:rFonts w:hint="eastAsia" w:ascii="仿宋" w:hAnsi="仿宋" w:eastAsia="仿宋" w:cs="仿宋"/>
                <w:sz w:val="20"/>
                <w:szCs w:val="20"/>
              </w:rPr>
              <w:t>产品公司名称</w:t>
            </w:r>
          </w:p>
          <w:p w14:paraId="26757C3E">
            <w:pPr>
              <w:pStyle w:val="2"/>
              <w:spacing w:line="240" w:lineRule="exact"/>
              <w:jc w:val="center"/>
              <w:rPr>
                <w:rFonts w:ascii="仿宋" w:hAnsi="仿宋" w:eastAsia="仿宋" w:cs="仿宋"/>
                <w:color w:val="auto"/>
                <w:kern w:val="2"/>
              </w:rPr>
            </w:pPr>
            <w:r>
              <w:rPr>
                <w:rFonts w:hint="eastAsia" w:ascii="仿宋" w:hAnsi="仿宋" w:eastAsia="仿宋" w:cs="仿宋"/>
                <w:color w:val="auto"/>
                <w:sz w:val="20"/>
                <w:szCs w:val="20"/>
              </w:rPr>
              <w:t>（必填）</w:t>
            </w:r>
          </w:p>
        </w:tc>
        <w:tc>
          <w:tcPr>
            <w:tcW w:w="1272" w:type="dxa"/>
            <w:tcBorders>
              <w:top w:val="single" w:color="auto" w:sz="4" w:space="0"/>
              <w:left w:val="single" w:color="auto" w:sz="4" w:space="0"/>
              <w:bottom w:val="single" w:color="auto" w:sz="4" w:space="0"/>
              <w:right w:val="single" w:color="auto" w:sz="4" w:space="0"/>
            </w:tcBorders>
            <w:vAlign w:val="center"/>
          </w:tcPr>
          <w:p w14:paraId="042C2547">
            <w:pPr>
              <w:widowControl/>
              <w:spacing w:line="240" w:lineRule="exact"/>
              <w:jc w:val="center"/>
              <w:textAlignment w:val="center"/>
              <w:rPr>
                <w:rFonts w:ascii="仿宋" w:hAnsi="仿宋" w:eastAsia="仿宋" w:cs="仿宋"/>
                <w:sz w:val="20"/>
                <w:szCs w:val="20"/>
              </w:rPr>
            </w:pPr>
            <w:r>
              <w:rPr>
                <w:rFonts w:hint="eastAsia" w:ascii="仿宋" w:hAnsi="仿宋" w:eastAsia="仿宋" w:cs="仿宋"/>
                <w:sz w:val="20"/>
                <w:szCs w:val="20"/>
              </w:rPr>
              <w:t>总包干</w:t>
            </w:r>
          </w:p>
          <w:p w14:paraId="2C9EC499">
            <w:pPr>
              <w:widowControl/>
              <w:spacing w:line="240" w:lineRule="exact"/>
              <w:jc w:val="center"/>
              <w:textAlignment w:val="center"/>
              <w:rPr>
                <w:rFonts w:ascii="仿宋" w:hAnsi="仿宋" w:eastAsia="仿宋" w:cs="仿宋"/>
                <w:sz w:val="24"/>
              </w:rPr>
            </w:pPr>
            <w:r>
              <w:rPr>
                <w:rFonts w:hint="eastAsia" w:ascii="仿宋" w:hAnsi="仿宋" w:eastAsia="仿宋" w:cs="仿宋"/>
                <w:sz w:val="20"/>
                <w:szCs w:val="20"/>
              </w:rPr>
              <w:t>报价</w:t>
            </w:r>
            <w:r>
              <w:rPr>
                <w:rFonts w:hint="eastAsia" w:ascii="仿宋" w:hAnsi="仿宋" w:eastAsia="仿宋" w:cs="仿宋"/>
                <w:sz w:val="20"/>
                <w:szCs w:val="20"/>
              </w:rPr>
              <w:br w:type="textWrapping"/>
            </w:r>
            <w:r>
              <w:rPr>
                <w:rFonts w:hint="eastAsia" w:ascii="仿宋" w:hAnsi="仿宋" w:eastAsia="仿宋" w:cs="仿宋"/>
                <w:sz w:val="20"/>
                <w:szCs w:val="20"/>
              </w:rPr>
              <w:t>（万元）</w:t>
            </w:r>
          </w:p>
        </w:tc>
        <w:tc>
          <w:tcPr>
            <w:tcW w:w="1371" w:type="dxa"/>
            <w:tcBorders>
              <w:top w:val="single" w:color="auto" w:sz="4" w:space="0"/>
              <w:left w:val="single" w:color="auto" w:sz="4" w:space="0"/>
              <w:bottom w:val="single" w:color="auto" w:sz="4" w:space="0"/>
              <w:right w:val="single" w:color="auto" w:sz="4" w:space="0"/>
            </w:tcBorders>
            <w:vAlign w:val="center"/>
          </w:tcPr>
          <w:p w14:paraId="61E8F713">
            <w:pPr>
              <w:widowControl/>
              <w:spacing w:line="240" w:lineRule="exact"/>
              <w:jc w:val="center"/>
              <w:textAlignment w:val="center"/>
              <w:rPr>
                <w:rFonts w:ascii="仿宋" w:hAnsi="仿宋" w:eastAsia="仿宋" w:cs="仿宋"/>
                <w:sz w:val="24"/>
              </w:rPr>
            </w:pPr>
            <w:r>
              <w:rPr>
                <w:rFonts w:hint="eastAsia" w:ascii="仿宋" w:hAnsi="仿宋" w:eastAsia="仿宋" w:cs="仿宋"/>
                <w:sz w:val="20"/>
                <w:szCs w:val="20"/>
              </w:rPr>
              <w:t>该产品在国内三甲医院用户案例</w:t>
            </w:r>
          </w:p>
        </w:tc>
        <w:tc>
          <w:tcPr>
            <w:tcW w:w="1429" w:type="dxa"/>
            <w:tcBorders>
              <w:top w:val="single" w:color="auto" w:sz="4" w:space="0"/>
              <w:left w:val="single" w:color="auto" w:sz="4" w:space="0"/>
              <w:bottom w:val="single" w:color="auto" w:sz="4" w:space="0"/>
              <w:right w:val="single" w:color="auto" w:sz="4" w:space="0"/>
            </w:tcBorders>
            <w:vAlign w:val="center"/>
          </w:tcPr>
          <w:p w14:paraId="415B7768">
            <w:pPr>
              <w:widowControl/>
              <w:spacing w:line="240" w:lineRule="exact"/>
              <w:jc w:val="center"/>
              <w:textAlignment w:val="center"/>
              <w:rPr>
                <w:rFonts w:ascii="仿宋" w:hAnsi="仿宋" w:eastAsia="仿宋" w:cs="仿宋"/>
                <w:sz w:val="20"/>
                <w:szCs w:val="20"/>
              </w:rPr>
            </w:pPr>
            <w:r>
              <w:rPr>
                <w:rFonts w:hint="eastAsia" w:ascii="仿宋" w:hAnsi="仿宋" w:eastAsia="仿宋" w:cs="仿宋"/>
                <w:sz w:val="20"/>
                <w:szCs w:val="20"/>
              </w:rPr>
              <w:t>实施周期及驻场实施人员</w:t>
            </w:r>
          </w:p>
          <w:p w14:paraId="6D00B303">
            <w:pPr>
              <w:widowControl/>
              <w:spacing w:line="240" w:lineRule="exact"/>
              <w:jc w:val="left"/>
              <w:textAlignment w:val="center"/>
              <w:rPr>
                <w:rFonts w:ascii="仿宋" w:hAnsi="仿宋" w:eastAsia="仿宋" w:cs="仿宋"/>
                <w:sz w:val="24"/>
              </w:rPr>
            </w:pPr>
          </w:p>
        </w:tc>
        <w:tc>
          <w:tcPr>
            <w:tcW w:w="1098" w:type="dxa"/>
            <w:tcBorders>
              <w:top w:val="single" w:color="auto" w:sz="4" w:space="0"/>
              <w:left w:val="single" w:color="auto" w:sz="4" w:space="0"/>
              <w:bottom w:val="single" w:color="auto" w:sz="4" w:space="0"/>
              <w:right w:val="single" w:color="auto" w:sz="4" w:space="0"/>
            </w:tcBorders>
            <w:vAlign w:val="center"/>
          </w:tcPr>
          <w:p w14:paraId="4EE058F3">
            <w:pPr>
              <w:widowControl/>
              <w:spacing w:line="240" w:lineRule="exact"/>
              <w:jc w:val="center"/>
              <w:textAlignment w:val="center"/>
              <w:rPr>
                <w:rFonts w:ascii="仿宋" w:hAnsi="仿宋" w:eastAsia="仿宋" w:cs="仿宋"/>
                <w:sz w:val="24"/>
              </w:rPr>
            </w:pPr>
            <w:r>
              <w:rPr>
                <w:rFonts w:hint="eastAsia" w:ascii="仿宋" w:hAnsi="仿宋" w:eastAsia="仿宋" w:cs="仿宋"/>
                <w:sz w:val="20"/>
                <w:szCs w:val="20"/>
              </w:rPr>
              <w:t>免费</w:t>
            </w:r>
            <w:r>
              <w:rPr>
                <w:rFonts w:hint="eastAsia" w:ascii="仿宋" w:hAnsi="仿宋" w:eastAsia="仿宋" w:cs="仿宋"/>
                <w:sz w:val="20"/>
                <w:szCs w:val="20"/>
              </w:rPr>
              <w:br w:type="textWrapping"/>
            </w:r>
            <w:r>
              <w:rPr>
                <w:rFonts w:hint="eastAsia" w:ascii="仿宋" w:hAnsi="仿宋" w:eastAsia="仿宋" w:cs="仿宋"/>
                <w:sz w:val="20"/>
                <w:szCs w:val="20"/>
              </w:rPr>
              <w:t>质保期（3年及以上）</w:t>
            </w:r>
          </w:p>
        </w:tc>
        <w:tc>
          <w:tcPr>
            <w:tcW w:w="1211" w:type="dxa"/>
            <w:tcBorders>
              <w:top w:val="single" w:color="auto" w:sz="4" w:space="0"/>
              <w:left w:val="single" w:color="auto" w:sz="4" w:space="0"/>
              <w:bottom w:val="single" w:color="auto" w:sz="4" w:space="0"/>
              <w:right w:val="single" w:color="auto" w:sz="4" w:space="0"/>
            </w:tcBorders>
            <w:vAlign w:val="center"/>
          </w:tcPr>
          <w:p w14:paraId="0FC13A9F">
            <w:pPr>
              <w:widowControl/>
              <w:spacing w:line="240" w:lineRule="exact"/>
              <w:jc w:val="center"/>
              <w:textAlignment w:val="center"/>
              <w:rPr>
                <w:rFonts w:ascii="仿宋" w:hAnsi="仿宋" w:eastAsia="仿宋" w:cs="仿宋"/>
                <w:sz w:val="24"/>
              </w:rPr>
            </w:pPr>
            <w:r>
              <w:rPr>
                <w:rFonts w:hint="eastAsia" w:ascii="仿宋" w:hAnsi="仿宋" w:eastAsia="仿宋" w:cs="仿宋"/>
                <w:sz w:val="20"/>
                <w:szCs w:val="20"/>
              </w:rPr>
              <w:t>后期</w:t>
            </w:r>
            <w:r>
              <w:rPr>
                <w:rFonts w:hint="eastAsia" w:ascii="仿宋" w:hAnsi="仿宋" w:eastAsia="仿宋" w:cs="仿宋"/>
                <w:sz w:val="20"/>
                <w:szCs w:val="20"/>
              </w:rPr>
              <w:br w:type="textWrapping"/>
            </w:r>
            <w:r>
              <w:rPr>
                <w:rFonts w:hint="eastAsia" w:ascii="仿宋" w:hAnsi="仿宋" w:eastAsia="仿宋" w:cs="仿宋"/>
                <w:sz w:val="20"/>
                <w:szCs w:val="20"/>
              </w:rPr>
              <w:t>维护费</w:t>
            </w:r>
            <w:r>
              <w:rPr>
                <w:rFonts w:hint="eastAsia" w:ascii="仿宋" w:hAnsi="仿宋" w:eastAsia="仿宋" w:cs="仿宋"/>
                <w:sz w:val="20"/>
                <w:szCs w:val="20"/>
              </w:rPr>
              <w:br w:type="textWrapping"/>
            </w:r>
            <w:r>
              <w:rPr>
                <w:rFonts w:hint="eastAsia" w:ascii="仿宋" w:hAnsi="仿宋" w:eastAsia="仿宋" w:cs="仿宋"/>
                <w:sz w:val="20"/>
                <w:szCs w:val="20"/>
              </w:rPr>
              <w:t>（不得高于合同金额5%）</w:t>
            </w:r>
          </w:p>
        </w:tc>
        <w:tc>
          <w:tcPr>
            <w:tcW w:w="3144" w:type="dxa"/>
            <w:tcBorders>
              <w:top w:val="single" w:color="auto" w:sz="4" w:space="0"/>
              <w:left w:val="single" w:color="auto" w:sz="4" w:space="0"/>
              <w:bottom w:val="single" w:color="auto" w:sz="4" w:space="0"/>
              <w:right w:val="single" w:color="auto" w:sz="4" w:space="0"/>
            </w:tcBorders>
            <w:vAlign w:val="center"/>
          </w:tcPr>
          <w:p w14:paraId="02F29F29">
            <w:pPr>
              <w:widowControl/>
              <w:spacing w:line="240" w:lineRule="exact"/>
              <w:jc w:val="center"/>
              <w:textAlignment w:val="center"/>
              <w:rPr>
                <w:rFonts w:ascii="仿宋" w:hAnsi="仿宋" w:eastAsia="仿宋" w:cs="仿宋"/>
                <w:sz w:val="24"/>
              </w:rPr>
            </w:pPr>
            <w:r>
              <w:rPr>
                <w:rFonts w:hint="eastAsia" w:ascii="仿宋" w:hAnsi="仿宋" w:eastAsia="仿宋" w:cs="仿宋"/>
                <w:sz w:val="20"/>
                <w:szCs w:val="20"/>
              </w:rPr>
              <w:t>优势特色</w:t>
            </w:r>
          </w:p>
        </w:tc>
        <w:tc>
          <w:tcPr>
            <w:tcW w:w="1564" w:type="dxa"/>
            <w:tcBorders>
              <w:top w:val="single" w:color="auto" w:sz="4" w:space="0"/>
              <w:left w:val="single" w:color="auto" w:sz="4" w:space="0"/>
              <w:bottom w:val="single" w:color="auto" w:sz="4" w:space="0"/>
              <w:right w:val="single" w:color="auto" w:sz="4" w:space="0"/>
            </w:tcBorders>
            <w:vAlign w:val="center"/>
          </w:tcPr>
          <w:p w14:paraId="30D0A09E">
            <w:pPr>
              <w:widowControl/>
              <w:spacing w:line="240" w:lineRule="exact"/>
              <w:jc w:val="center"/>
              <w:textAlignment w:val="center"/>
              <w:rPr>
                <w:rFonts w:ascii="仿宋" w:hAnsi="仿宋" w:eastAsia="仿宋" w:cs="仿宋"/>
                <w:sz w:val="24"/>
              </w:rPr>
            </w:pPr>
            <w:r>
              <w:rPr>
                <w:rFonts w:hint="eastAsia" w:ascii="仿宋" w:hAnsi="仿宋" w:eastAsia="仿宋" w:cs="仿宋"/>
                <w:sz w:val="20"/>
                <w:szCs w:val="20"/>
              </w:rPr>
              <w:t>评级情况</w:t>
            </w:r>
          </w:p>
        </w:tc>
      </w:tr>
      <w:tr w14:paraId="489D26E9">
        <w:tblPrEx>
          <w:tblCellMar>
            <w:top w:w="0" w:type="dxa"/>
            <w:left w:w="108" w:type="dxa"/>
            <w:bottom w:w="0" w:type="dxa"/>
            <w:right w:w="108" w:type="dxa"/>
          </w:tblCellMar>
        </w:tblPrEx>
        <w:trPr>
          <w:trHeight w:val="3505" w:hRule="atLeast"/>
          <w:jc w:val="center"/>
        </w:trPr>
        <w:tc>
          <w:tcPr>
            <w:tcW w:w="567" w:type="dxa"/>
            <w:tcBorders>
              <w:top w:val="single" w:color="auto" w:sz="4" w:space="0"/>
              <w:left w:val="single" w:color="auto" w:sz="4" w:space="0"/>
              <w:bottom w:val="single" w:color="auto" w:sz="4" w:space="0"/>
              <w:right w:val="single" w:color="auto" w:sz="4" w:space="0"/>
            </w:tcBorders>
            <w:vAlign w:val="center"/>
          </w:tcPr>
          <w:p w14:paraId="1A75B8D1">
            <w:pPr>
              <w:widowControl/>
              <w:spacing w:line="240" w:lineRule="exact"/>
              <w:jc w:val="center"/>
              <w:textAlignment w:val="center"/>
              <w:rPr>
                <w:rFonts w:ascii="仿宋" w:hAnsi="仿宋" w:eastAsia="仿宋" w:cs="仿宋"/>
                <w:sz w:val="24"/>
              </w:rPr>
            </w:pPr>
            <w:r>
              <w:rPr>
                <w:rFonts w:hint="eastAsia" w:ascii="仿宋" w:hAnsi="仿宋" w:eastAsia="仿宋" w:cs="仿宋"/>
                <w:sz w:val="20"/>
                <w:szCs w:val="20"/>
              </w:rPr>
              <w:t>1</w:t>
            </w:r>
          </w:p>
        </w:tc>
        <w:tc>
          <w:tcPr>
            <w:tcW w:w="1780" w:type="dxa"/>
            <w:tcBorders>
              <w:top w:val="single" w:color="auto" w:sz="4" w:space="0"/>
              <w:left w:val="single" w:color="auto" w:sz="4" w:space="0"/>
              <w:bottom w:val="single" w:color="auto" w:sz="4" w:space="0"/>
              <w:right w:val="single" w:color="auto" w:sz="4" w:space="0"/>
            </w:tcBorders>
            <w:vAlign w:val="center"/>
          </w:tcPr>
          <w:p w14:paraId="313FE2F3">
            <w:pPr>
              <w:widowControl/>
              <w:spacing w:line="240" w:lineRule="exact"/>
              <w:jc w:val="center"/>
              <w:rPr>
                <w:rFonts w:ascii="仿宋" w:hAnsi="仿宋" w:eastAsia="仿宋" w:cs="仿宋"/>
                <w:sz w:val="24"/>
              </w:rPr>
            </w:pPr>
          </w:p>
        </w:tc>
        <w:tc>
          <w:tcPr>
            <w:tcW w:w="2075" w:type="dxa"/>
            <w:tcBorders>
              <w:top w:val="single" w:color="auto" w:sz="4" w:space="0"/>
              <w:left w:val="single" w:color="auto" w:sz="4" w:space="0"/>
              <w:bottom w:val="single" w:color="auto" w:sz="4" w:space="0"/>
              <w:right w:val="single" w:color="auto" w:sz="4" w:space="0"/>
            </w:tcBorders>
            <w:vAlign w:val="center"/>
          </w:tcPr>
          <w:p w14:paraId="7AF24084">
            <w:pPr>
              <w:widowControl/>
              <w:spacing w:line="240" w:lineRule="exact"/>
              <w:jc w:val="center"/>
              <w:rPr>
                <w:rFonts w:ascii="仿宋" w:hAnsi="仿宋" w:eastAsia="仿宋" w:cs="仿宋"/>
                <w:sz w:val="24"/>
              </w:rPr>
            </w:pPr>
          </w:p>
        </w:tc>
        <w:tc>
          <w:tcPr>
            <w:tcW w:w="1272" w:type="dxa"/>
            <w:tcBorders>
              <w:top w:val="single" w:color="auto" w:sz="4" w:space="0"/>
              <w:left w:val="single" w:color="auto" w:sz="4" w:space="0"/>
              <w:bottom w:val="single" w:color="auto" w:sz="4" w:space="0"/>
              <w:right w:val="single" w:color="auto" w:sz="4" w:space="0"/>
            </w:tcBorders>
            <w:vAlign w:val="center"/>
          </w:tcPr>
          <w:p w14:paraId="3AA209A8">
            <w:pPr>
              <w:widowControl/>
              <w:spacing w:line="240" w:lineRule="exact"/>
              <w:jc w:val="center"/>
              <w:rPr>
                <w:rFonts w:ascii="仿宋" w:hAnsi="仿宋" w:eastAsia="仿宋" w:cs="仿宋"/>
                <w:sz w:val="24"/>
              </w:rPr>
            </w:pPr>
          </w:p>
        </w:tc>
        <w:tc>
          <w:tcPr>
            <w:tcW w:w="1371" w:type="dxa"/>
            <w:tcBorders>
              <w:top w:val="single" w:color="auto" w:sz="4" w:space="0"/>
              <w:left w:val="single" w:color="auto" w:sz="4" w:space="0"/>
              <w:bottom w:val="single" w:color="auto" w:sz="4" w:space="0"/>
              <w:right w:val="single" w:color="auto" w:sz="4" w:space="0"/>
            </w:tcBorders>
            <w:vAlign w:val="center"/>
          </w:tcPr>
          <w:p w14:paraId="755935B0">
            <w:pPr>
              <w:pStyle w:val="2"/>
              <w:spacing w:line="240" w:lineRule="exact"/>
              <w:rPr>
                <w:rFonts w:ascii="仿宋" w:hAnsi="仿宋" w:eastAsia="仿宋" w:cs="仿宋"/>
                <w:color w:val="auto"/>
                <w:sz w:val="20"/>
                <w:szCs w:val="20"/>
              </w:rPr>
            </w:pPr>
            <w:r>
              <w:rPr>
                <w:rFonts w:hint="eastAsia" w:ascii="仿宋" w:hAnsi="仿宋" w:eastAsia="仿宋" w:cs="仿宋"/>
                <w:color w:val="auto"/>
                <w:sz w:val="20"/>
                <w:szCs w:val="20"/>
              </w:rPr>
              <w:t>填写样例:</w:t>
            </w:r>
          </w:p>
          <w:p w14:paraId="7A6DA1F6">
            <w:pPr>
              <w:pStyle w:val="2"/>
              <w:spacing w:line="240" w:lineRule="exact"/>
              <w:rPr>
                <w:rFonts w:ascii="仿宋" w:hAnsi="仿宋" w:eastAsia="仿宋" w:cs="仿宋"/>
                <w:color w:val="auto"/>
                <w:sz w:val="20"/>
                <w:szCs w:val="20"/>
              </w:rPr>
            </w:pPr>
            <w:r>
              <w:rPr>
                <w:rFonts w:hint="eastAsia" w:ascii="仿宋" w:hAnsi="仿宋" w:eastAsia="仿宋" w:cs="仿宋"/>
                <w:color w:val="auto"/>
                <w:sz w:val="20"/>
                <w:szCs w:val="20"/>
              </w:rPr>
              <w:t>省内X家，省外X家</w:t>
            </w:r>
          </w:p>
          <w:p w14:paraId="5AEB527A">
            <w:pPr>
              <w:widowControl/>
              <w:spacing w:line="240" w:lineRule="exact"/>
              <w:jc w:val="center"/>
              <w:rPr>
                <w:rFonts w:ascii="仿宋" w:hAnsi="仿宋" w:eastAsia="仿宋" w:cs="仿宋"/>
                <w:sz w:val="24"/>
              </w:rPr>
            </w:pPr>
            <w:r>
              <w:rPr>
                <w:rFonts w:hint="eastAsia" w:ascii="仿宋" w:hAnsi="仿宋" w:eastAsia="仿宋" w:cs="仿宋"/>
                <w:sz w:val="20"/>
                <w:szCs w:val="20"/>
              </w:rPr>
              <w:t>代表案例具体医院名称：</w:t>
            </w:r>
          </w:p>
        </w:tc>
        <w:tc>
          <w:tcPr>
            <w:tcW w:w="1429" w:type="dxa"/>
            <w:tcBorders>
              <w:top w:val="single" w:color="auto" w:sz="4" w:space="0"/>
              <w:left w:val="single" w:color="auto" w:sz="4" w:space="0"/>
              <w:bottom w:val="single" w:color="auto" w:sz="4" w:space="0"/>
              <w:right w:val="single" w:color="auto" w:sz="4" w:space="0"/>
            </w:tcBorders>
            <w:vAlign w:val="center"/>
          </w:tcPr>
          <w:p w14:paraId="10C7F2C2">
            <w:pPr>
              <w:pStyle w:val="2"/>
              <w:spacing w:line="240" w:lineRule="exact"/>
              <w:rPr>
                <w:rFonts w:ascii="仿宋" w:hAnsi="仿宋" w:eastAsia="仿宋" w:cs="仿宋"/>
                <w:color w:val="auto"/>
                <w:sz w:val="20"/>
                <w:szCs w:val="20"/>
              </w:rPr>
            </w:pPr>
            <w:r>
              <w:rPr>
                <w:rFonts w:hint="eastAsia" w:ascii="仿宋" w:hAnsi="仿宋" w:eastAsia="仿宋" w:cs="仿宋"/>
                <w:color w:val="auto"/>
                <w:sz w:val="20"/>
                <w:szCs w:val="20"/>
              </w:rPr>
              <w:t>填写样例:</w:t>
            </w:r>
          </w:p>
          <w:p w14:paraId="61B8A72F">
            <w:pPr>
              <w:pStyle w:val="2"/>
              <w:spacing w:line="240" w:lineRule="exact"/>
              <w:rPr>
                <w:rFonts w:ascii="仿宋" w:hAnsi="仿宋" w:eastAsia="仿宋" w:cs="仿宋"/>
                <w:color w:val="auto"/>
                <w:kern w:val="2"/>
                <w:sz w:val="20"/>
                <w:szCs w:val="20"/>
              </w:rPr>
            </w:pPr>
            <w:r>
              <w:rPr>
                <w:rFonts w:hint="eastAsia" w:ascii="仿宋" w:hAnsi="仿宋" w:eastAsia="仿宋" w:cs="仿宋"/>
                <w:color w:val="auto"/>
                <w:kern w:val="2"/>
                <w:sz w:val="20"/>
                <w:szCs w:val="20"/>
              </w:rPr>
              <w:t>实施周期：X天</w:t>
            </w:r>
          </w:p>
          <w:p w14:paraId="03F2A473">
            <w:pPr>
              <w:widowControl/>
              <w:spacing w:line="240" w:lineRule="exact"/>
              <w:rPr>
                <w:rFonts w:ascii="仿宋" w:hAnsi="仿宋" w:eastAsia="仿宋" w:cs="仿宋"/>
                <w:sz w:val="24"/>
              </w:rPr>
            </w:pPr>
            <w:r>
              <w:rPr>
                <w:rFonts w:hint="eastAsia" w:ascii="仿宋" w:hAnsi="仿宋" w:eastAsia="仿宋" w:cs="仿宋"/>
                <w:sz w:val="20"/>
                <w:szCs w:val="20"/>
              </w:rPr>
              <w:t>驻场实施人数：X人</w:t>
            </w:r>
          </w:p>
        </w:tc>
        <w:tc>
          <w:tcPr>
            <w:tcW w:w="1098" w:type="dxa"/>
            <w:tcBorders>
              <w:top w:val="single" w:color="auto" w:sz="4" w:space="0"/>
              <w:left w:val="single" w:color="auto" w:sz="4" w:space="0"/>
              <w:bottom w:val="single" w:color="auto" w:sz="4" w:space="0"/>
              <w:right w:val="single" w:color="auto" w:sz="4" w:space="0"/>
            </w:tcBorders>
            <w:vAlign w:val="center"/>
          </w:tcPr>
          <w:p w14:paraId="0E9B723F">
            <w:pPr>
              <w:pStyle w:val="2"/>
              <w:spacing w:line="240" w:lineRule="exact"/>
              <w:rPr>
                <w:rFonts w:ascii="仿宋" w:hAnsi="仿宋" w:eastAsia="仿宋" w:cs="仿宋"/>
                <w:color w:val="auto"/>
                <w:sz w:val="20"/>
                <w:szCs w:val="20"/>
              </w:rPr>
            </w:pPr>
            <w:r>
              <w:rPr>
                <w:rFonts w:hint="eastAsia" w:ascii="仿宋" w:hAnsi="仿宋" w:eastAsia="仿宋" w:cs="仿宋"/>
                <w:color w:val="auto"/>
                <w:sz w:val="20"/>
                <w:szCs w:val="20"/>
              </w:rPr>
              <w:t>填写样例:</w:t>
            </w:r>
          </w:p>
          <w:p w14:paraId="7C7AA3A4">
            <w:pPr>
              <w:pStyle w:val="2"/>
              <w:spacing w:line="240" w:lineRule="exact"/>
              <w:rPr>
                <w:rFonts w:ascii="仿宋" w:hAnsi="仿宋" w:eastAsia="仿宋" w:cs="仿宋"/>
                <w:color w:val="auto"/>
                <w:kern w:val="2"/>
              </w:rPr>
            </w:pPr>
            <w:r>
              <w:rPr>
                <w:rFonts w:hint="eastAsia" w:ascii="仿宋" w:hAnsi="仿宋" w:eastAsia="仿宋" w:cs="仿宋"/>
                <w:color w:val="auto"/>
                <w:sz w:val="20"/>
                <w:szCs w:val="20"/>
              </w:rPr>
              <w:t>X年</w:t>
            </w:r>
          </w:p>
        </w:tc>
        <w:tc>
          <w:tcPr>
            <w:tcW w:w="1211" w:type="dxa"/>
            <w:tcBorders>
              <w:top w:val="single" w:color="auto" w:sz="4" w:space="0"/>
              <w:left w:val="single" w:color="auto" w:sz="4" w:space="0"/>
              <w:bottom w:val="single" w:color="auto" w:sz="4" w:space="0"/>
              <w:right w:val="single" w:color="auto" w:sz="4" w:space="0"/>
            </w:tcBorders>
            <w:vAlign w:val="center"/>
          </w:tcPr>
          <w:p w14:paraId="07E4B2BB">
            <w:pPr>
              <w:pStyle w:val="2"/>
              <w:spacing w:line="240" w:lineRule="exact"/>
              <w:rPr>
                <w:rFonts w:ascii="仿宋" w:hAnsi="仿宋" w:eastAsia="仿宋" w:cs="仿宋"/>
                <w:color w:val="auto"/>
                <w:sz w:val="20"/>
                <w:szCs w:val="20"/>
              </w:rPr>
            </w:pPr>
            <w:r>
              <w:rPr>
                <w:rFonts w:hint="eastAsia" w:ascii="仿宋" w:hAnsi="仿宋" w:eastAsia="仿宋" w:cs="仿宋"/>
                <w:color w:val="auto"/>
                <w:sz w:val="20"/>
                <w:szCs w:val="20"/>
              </w:rPr>
              <w:t>填写样例:</w:t>
            </w:r>
          </w:p>
          <w:p w14:paraId="6BA975FD">
            <w:pPr>
              <w:pStyle w:val="2"/>
              <w:spacing w:line="240" w:lineRule="exact"/>
              <w:rPr>
                <w:rFonts w:ascii="仿宋" w:hAnsi="仿宋" w:eastAsia="仿宋" w:cs="仿宋"/>
                <w:color w:val="auto"/>
                <w:kern w:val="2"/>
              </w:rPr>
            </w:pPr>
            <w:r>
              <w:rPr>
                <w:rFonts w:hint="eastAsia" w:ascii="仿宋" w:hAnsi="仿宋" w:eastAsia="仿宋" w:cs="仿宋"/>
                <w:color w:val="auto"/>
                <w:sz w:val="20"/>
                <w:szCs w:val="20"/>
              </w:rPr>
              <w:t>合同金额的5%</w:t>
            </w:r>
          </w:p>
        </w:tc>
        <w:tc>
          <w:tcPr>
            <w:tcW w:w="3144" w:type="dxa"/>
            <w:tcBorders>
              <w:top w:val="single" w:color="auto" w:sz="4" w:space="0"/>
              <w:left w:val="single" w:color="auto" w:sz="4" w:space="0"/>
              <w:bottom w:val="single" w:color="auto" w:sz="4" w:space="0"/>
              <w:right w:val="single" w:color="auto" w:sz="4" w:space="0"/>
            </w:tcBorders>
            <w:vAlign w:val="center"/>
          </w:tcPr>
          <w:p w14:paraId="5F2064BE">
            <w:pPr>
              <w:widowControl/>
              <w:spacing w:line="240" w:lineRule="exact"/>
              <w:jc w:val="center"/>
              <w:rPr>
                <w:rFonts w:ascii="仿宋" w:hAnsi="仿宋" w:eastAsia="仿宋" w:cs="仿宋"/>
                <w:sz w:val="24"/>
              </w:rPr>
            </w:pPr>
          </w:p>
        </w:tc>
        <w:tc>
          <w:tcPr>
            <w:tcW w:w="1564" w:type="dxa"/>
            <w:tcBorders>
              <w:top w:val="single" w:color="auto" w:sz="4" w:space="0"/>
              <w:left w:val="single" w:color="auto" w:sz="4" w:space="0"/>
              <w:bottom w:val="single" w:color="auto" w:sz="4" w:space="0"/>
              <w:right w:val="single" w:color="auto" w:sz="4" w:space="0"/>
            </w:tcBorders>
            <w:noWrap/>
            <w:vAlign w:val="center"/>
          </w:tcPr>
          <w:p w14:paraId="78C5B459">
            <w:pPr>
              <w:widowControl/>
              <w:spacing w:line="240" w:lineRule="exact"/>
              <w:textAlignment w:val="center"/>
              <w:rPr>
                <w:rFonts w:ascii="仿宋" w:hAnsi="仿宋" w:eastAsia="仿宋" w:cs="仿宋"/>
                <w:sz w:val="20"/>
                <w:szCs w:val="20"/>
              </w:rPr>
            </w:pPr>
            <w:r>
              <w:rPr>
                <w:rFonts w:hint="eastAsia" w:ascii="仿宋" w:hAnsi="仿宋" w:eastAsia="仿宋" w:cs="仿宋"/>
                <w:sz w:val="20"/>
                <w:szCs w:val="20"/>
              </w:rPr>
              <w:t>填写样例:</w:t>
            </w:r>
          </w:p>
          <w:p w14:paraId="53A4A6AD">
            <w:pPr>
              <w:widowControl/>
              <w:spacing w:line="240" w:lineRule="exact"/>
              <w:textAlignment w:val="center"/>
              <w:rPr>
                <w:rFonts w:ascii="仿宋" w:hAnsi="仿宋" w:eastAsia="仿宋" w:cs="仿宋"/>
                <w:sz w:val="20"/>
                <w:szCs w:val="20"/>
              </w:rPr>
            </w:pPr>
            <w:r>
              <w:rPr>
                <w:rFonts w:hint="eastAsia" w:ascii="仿宋" w:hAnsi="仿宋" w:eastAsia="仿宋" w:cs="仿宋"/>
                <w:sz w:val="20"/>
                <w:szCs w:val="20"/>
              </w:rPr>
              <w:t>1.电子病历：</w:t>
            </w:r>
          </w:p>
          <w:p w14:paraId="6E9B2DDC">
            <w:pPr>
              <w:widowControl/>
              <w:spacing w:line="240" w:lineRule="exact"/>
              <w:textAlignment w:val="center"/>
              <w:rPr>
                <w:rFonts w:ascii="仿宋" w:hAnsi="仿宋" w:eastAsia="仿宋" w:cs="仿宋"/>
                <w:sz w:val="20"/>
                <w:szCs w:val="20"/>
              </w:rPr>
            </w:pPr>
            <w:r>
              <w:rPr>
                <w:rFonts w:hint="eastAsia" w:ascii="仿宋" w:hAnsi="仿宋" w:eastAsia="仿宋" w:cs="仿宋"/>
                <w:sz w:val="20"/>
                <w:szCs w:val="20"/>
              </w:rPr>
              <w:t>2.智慧管理：</w:t>
            </w:r>
          </w:p>
          <w:p w14:paraId="523B4A28">
            <w:pPr>
              <w:widowControl/>
              <w:spacing w:line="240" w:lineRule="exact"/>
              <w:textAlignment w:val="center"/>
              <w:rPr>
                <w:rFonts w:ascii="仿宋" w:hAnsi="仿宋" w:eastAsia="仿宋" w:cs="仿宋"/>
                <w:sz w:val="20"/>
                <w:szCs w:val="20"/>
              </w:rPr>
            </w:pPr>
            <w:r>
              <w:rPr>
                <w:rFonts w:hint="eastAsia" w:ascii="仿宋" w:hAnsi="仿宋" w:eastAsia="仿宋" w:cs="仿宋"/>
                <w:sz w:val="20"/>
                <w:szCs w:val="20"/>
              </w:rPr>
              <w:t>3.智慧服务：</w:t>
            </w:r>
          </w:p>
          <w:p w14:paraId="4798B679">
            <w:pPr>
              <w:widowControl/>
              <w:spacing w:line="240" w:lineRule="exact"/>
              <w:rPr>
                <w:rFonts w:ascii="仿宋" w:hAnsi="仿宋" w:eastAsia="仿宋" w:cs="仿宋"/>
                <w:sz w:val="24"/>
              </w:rPr>
            </w:pPr>
            <w:r>
              <w:rPr>
                <w:rFonts w:hint="eastAsia" w:ascii="仿宋" w:hAnsi="仿宋" w:eastAsia="仿宋" w:cs="仿宋"/>
                <w:sz w:val="20"/>
                <w:szCs w:val="20"/>
              </w:rPr>
              <w:t>4.四川省智慧医院得分：</w:t>
            </w:r>
          </w:p>
        </w:tc>
      </w:tr>
      <w:tr w14:paraId="16901764">
        <w:tblPrEx>
          <w:tblCellMar>
            <w:top w:w="0" w:type="dxa"/>
            <w:left w:w="108" w:type="dxa"/>
            <w:bottom w:w="0" w:type="dxa"/>
            <w:right w:w="108" w:type="dxa"/>
          </w:tblCellMar>
        </w:tblPrEx>
        <w:trPr>
          <w:trHeight w:val="640" w:hRule="atLeast"/>
          <w:jc w:val="center"/>
        </w:trPr>
        <w:tc>
          <w:tcPr>
            <w:tcW w:w="1425" w:type="pct"/>
            <w:gridSpan w:val="3"/>
            <w:tcBorders>
              <w:top w:val="single" w:color="auto" w:sz="4" w:space="0"/>
              <w:left w:val="single" w:color="auto" w:sz="4" w:space="0"/>
              <w:bottom w:val="single" w:color="auto" w:sz="4" w:space="0"/>
              <w:right w:val="single" w:color="auto" w:sz="4" w:space="0"/>
            </w:tcBorders>
            <w:vAlign w:val="center"/>
          </w:tcPr>
          <w:p w14:paraId="4FEA8226">
            <w:pPr>
              <w:widowControl/>
              <w:spacing w:line="400" w:lineRule="exact"/>
              <w:jc w:val="center"/>
              <w:textAlignment w:val="center"/>
              <w:rPr>
                <w:rFonts w:ascii="仿宋" w:hAnsi="仿宋" w:eastAsia="仿宋" w:cs="仿宋"/>
                <w:sz w:val="24"/>
              </w:rPr>
            </w:pPr>
            <w:r>
              <w:rPr>
                <w:rFonts w:hint="eastAsia" w:ascii="仿宋" w:hAnsi="仿宋" w:eastAsia="仿宋" w:cs="仿宋"/>
                <w:sz w:val="24"/>
              </w:rPr>
              <w:t>合计：</w:t>
            </w:r>
          </w:p>
        </w:tc>
        <w:tc>
          <w:tcPr>
            <w:tcW w:w="410" w:type="pct"/>
            <w:tcBorders>
              <w:top w:val="single" w:color="auto" w:sz="4" w:space="0"/>
              <w:left w:val="single" w:color="auto" w:sz="4" w:space="0"/>
              <w:bottom w:val="single" w:color="auto" w:sz="4" w:space="0"/>
              <w:right w:val="single" w:color="auto" w:sz="4" w:space="0"/>
            </w:tcBorders>
            <w:vAlign w:val="center"/>
          </w:tcPr>
          <w:p w14:paraId="728FCCE9">
            <w:pPr>
              <w:widowControl/>
              <w:spacing w:line="400" w:lineRule="exact"/>
              <w:jc w:val="center"/>
              <w:rPr>
                <w:rFonts w:ascii="仿宋" w:hAnsi="仿宋" w:eastAsia="仿宋" w:cs="仿宋"/>
                <w:sz w:val="24"/>
              </w:rPr>
            </w:pPr>
          </w:p>
        </w:tc>
        <w:tc>
          <w:tcPr>
            <w:tcW w:w="441" w:type="pct"/>
            <w:tcBorders>
              <w:top w:val="single" w:color="auto" w:sz="4" w:space="0"/>
              <w:left w:val="single" w:color="auto" w:sz="4" w:space="0"/>
              <w:bottom w:val="single" w:color="auto" w:sz="4" w:space="0"/>
              <w:right w:val="single" w:color="auto" w:sz="4" w:space="0"/>
            </w:tcBorders>
            <w:vAlign w:val="center"/>
          </w:tcPr>
          <w:p w14:paraId="11B4F012">
            <w:pPr>
              <w:widowControl/>
              <w:spacing w:line="400" w:lineRule="exact"/>
              <w:jc w:val="center"/>
              <w:rPr>
                <w:rFonts w:ascii="仿宋" w:hAnsi="仿宋" w:eastAsia="仿宋" w:cs="仿宋"/>
                <w:sz w:val="24"/>
              </w:rPr>
            </w:pPr>
          </w:p>
        </w:tc>
        <w:tc>
          <w:tcPr>
            <w:tcW w:w="460" w:type="pct"/>
            <w:tcBorders>
              <w:top w:val="single" w:color="auto" w:sz="4" w:space="0"/>
              <w:left w:val="single" w:color="auto" w:sz="4" w:space="0"/>
              <w:bottom w:val="single" w:color="auto" w:sz="4" w:space="0"/>
              <w:right w:val="single" w:color="auto" w:sz="4" w:space="0"/>
            </w:tcBorders>
            <w:vAlign w:val="center"/>
          </w:tcPr>
          <w:p w14:paraId="656AABE4">
            <w:pPr>
              <w:widowControl/>
              <w:spacing w:line="400" w:lineRule="exact"/>
              <w:jc w:val="center"/>
              <w:rPr>
                <w:rFonts w:ascii="仿宋" w:hAnsi="仿宋" w:eastAsia="仿宋" w:cs="仿宋"/>
                <w:sz w:val="24"/>
              </w:rPr>
            </w:pPr>
          </w:p>
        </w:tc>
        <w:tc>
          <w:tcPr>
            <w:tcW w:w="353" w:type="pct"/>
            <w:tcBorders>
              <w:top w:val="single" w:color="auto" w:sz="4" w:space="0"/>
              <w:left w:val="single" w:color="auto" w:sz="4" w:space="0"/>
              <w:bottom w:val="single" w:color="auto" w:sz="4" w:space="0"/>
              <w:right w:val="single" w:color="auto" w:sz="4" w:space="0"/>
            </w:tcBorders>
            <w:vAlign w:val="center"/>
          </w:tcPr>
          <w:p w14:paraId="4851435D">
            <w:pPr>
              <w:widowControl/>
              <w:spacing w:line="400" w:lineRule="exact"/>
              <w:jc w:val="center"/>
              <w:rPr>
                <w:rFonts w:ascii="仿宋" w:hAnsi="仿宋" w:eastAsia="仿宋" w:cs="仿宋"/>
                <w:sz w:val="24"/>
              </w:rPr>
            </w:pPr>
          </w:p>
        </w:tc>
        <w:tc>
          <w:tcPr>
            <w:tcW w:w="390" w:type="pct"/>
            <w:tcBorders>
              <w:top w:val="single" w:color="auto" w:sz="4" w:space="0"/>
              <w:left w:val="single" w:color="auto" w:sz="4" w:space="0"/>
              <w:bottom w:val="single" w:color="auto" w:sz="4" w:space="0"/>
              <w:right w:val="single" w:color="auto" w:sz="4" w:space="0"/>
            </w:tcBorders>
            <w:vAlign w:val="center"/>
          </w:tcPr>
          <w:p w14:paraId="70921216">
            <w:pPr>
              <w:widowControl/>
              <w:spacing w:line="400" w:lineRule="exact"/>
              <w:jc w:val="center"/>
              <w:rPr>
                <w:rFonts w:ascii="仿宋" w:hAnsi="仿宋" w:eastAsia="仿宋" w:cs="仿宋"/>
                <w:sz w:val="24"/>
              </w:rPr>
            </w:pPr>
          </w:p>
        </w:tc>
        <w:tc>
          <w:tcPr>
            <w:tcW w:w="1013" w:type="pct"/>
            <w:tcBorders>
              <w:top w:val="single" w:color="auto" w:sz="4" w:space="0"/>
              <w:left w:val="single" w:color="auto" w:sz="4" w:space="0"/>
              <w:bottom w:val="single" w:color="auto" w:sz="4" w:space="0"/>
              <w:right w:val="single" w:color="auto" w:sz="4" w:space="0"/>
            </w:tcBorders>
            <w:vAlign w:val="center"/>
          </w:tcPr>
          <w:p w14:paraId="2ECCC4E3">
            <w:pPr>
              <w:widowControl/>
              <w:spacing w:line="400" w:lineRule="exact"/>
              <w:jc w:val="center"/>
              <w:rPr>
                <w:rFonts w:ascii="仿宋" w:hAnsi="仿宋" w:eastAsia="仿宋" w:cs="仿宋"/>
                <w:sz w:val="24"/>
              </w:rPr>
            </w:pPr>
          </w:p>
        </w:tc>
        <w:tc>
          <w:tcPr>
            <w:tcW w:w="504" w:type="pct"/>
            <w:tcBorders>
              <w:top w:val="single" w:color="auto" w:sz="4" w:space="0"/>
              <w:left w:val="single" w:color="auto" w:sz="4" w:space="0"/>
              <w:bottom w:val="single" w:color="auto" w:sz="4" w:space="0"/>
              <w:right w:val="single" w:color="auto" w:sz="4" w:space="0"/>
            </w:tcBorders>
            <w:noWrap/>
            <w:vAlign w:val="center"/>
          </w:tcPr>
          <w:p w14:paraId="00AA0BB7">
            <w:pPr>
              <w:widowControl/>
              <w:spacing w:line="400" w:lineRule="exact"/>
              <w:jc w:val="center"/>
              <w:rPr>
                <w:rFonts w:ascii="仿宋" w:hAnsi="仿宋" w:eastAsia="仿宋" w:cs="仿宋"/>
                <w:sz w:val="24"/>
              </w:rPr>
            </w:pPr>
          </w:p>
        </w:tc>
      </w:tr>
    </w:tbl>
    <w:p w14:paraId="30DE1BBD"/>
    <w:p w14:paraId="53DB00C8">
      <w:pPr>
        <w:pStyle w:val="2"/>
        <w:rPr>
          <w:color w:val="auto"/>
        </w:rPr>
      </w:pPr>
    </w:p>
    <w:p w14:paraId="13B9D60F">
      <w:pPr>
        <w:pStyle w:val="2"/>
        <w:rPr>
          <w:color w:val="auto"/>
        </w:rPr>
      </w:pPr>
    </w:p>
    <w:p w14:paraId="5B55ADB4">
      <w:pPr>
        <w:pStyle w:val="2"/>
        <w:rPr>
          <w:color w:val="auto"/>
        </w:rPr>
      </w:pPr>
    </w:p>
    <w:p w14:paraId="00F5AB56">
      <w:pPr>
        <w:pStyle w:val="2"/>
        <w:rPr>
          <w:color w:val="auto"/>
        </w:rPr>
      </w:pPr>
    </w:p>
    <w:p w14:paraId="65891F23">
      <w:pPr>
        <w:pStyle w:val="2"/>
        <w:rPr>
          <w:color w:val="auto"/>
        </w:rPr>
        <w:sectPr>
          <w:pgSz w:w="16838" w:h="11906" w:orient="landscape"/>
          <w:pgMar w:top="1134" w:right="1134" w:bottom="567" w:left="1134" w:header="851" w:footer="992" w:gutter="0"/>
          <w:cols w:space="425" w:num="1"/>
          <w:docGrid w:type="lines" w:linePitch="312" w:charSpace="0"/>
        </w:sectPr>
      </w:pPr>
    </w:p>
    <w:p w14:paraId="72985F82">
      <w:pPr>
        <w:pStyle w:val="2"/>
        <w:rPr>
          <w:color w:val="auto"/>
        </w:rPr>
      </w:pPr>
    </w:p>
    <w:p w14:paraId="5A94F9EF">
      <w:pPr>
        <w:pStyle w:val="3"/>
        <w:spacing w:before="100" w:after="100"/>
        <w:jc w:val="both"/>
      </w:pPr>
      <w:bookmarkStart w:id="24" w:name="_Toc15881"/>
      <w:r>
        <w:rPr>
          <w:rFonts w:hint="eastAsia"/>
        </w:rPr>
        <w:t>四、调研项目配置清单及分项报价明细</w:t>
      </w:r>
      <w:bookmarkEnd w:id="24"/>
    </w:p>
    <w:p w14:paraId="20451B78">
      <w:r>
        <w:rPr>
          <w:rFonts w:hint="eastAsia"/>
        </w:rPr>
        <w:t>（格式可自拟）</w:t>
      </w:r>
    </w:p>
    <w:p w14:paraId="163B95AD">
      <w:pPr>
        <w:pStyle w:val="3"/>
        <w:spacing w:before="100" w:after="100"/>
        <w:jc w:val="both"/>
      </w:pPr>
      <w:bookmarkStart w:id="25" w:name="_Toc12736"/>
      <w:r>
        <w:rPr>
          <w:rFonts w:hint="eastAsia"/>
        </w:rPr>
        <w:t>五、三甲综合医院同类项目案例</w:t>
      </w:r>
      <w:bookmarkEnd w:id="25"/>
    </w:p>
    <w:p w14:paraId="06E9C17A">
      <w:pPr>
        <w:pStyle w:val="4"/>
        <w:ind w:firstLine="482" w:firstLineChars="200"/>
      </w:pPr>
      <w:bookmarkStart w:id="26" w:name="_Toc31813"/>
      <w:r>
        <w:rPr>
          <w:rFonts w:hint="eastAsia"/>
        </w:rPr>
        <w:t>5.1 四川省内（  ）家</w:t>
      </w:r>
      <w:bookmarkEnd w:id="26"/>
    </w:p>
    <w:tbl>
      <w:tblPr>
        <w:tblStyle w:val="12"/>
        <w:tblpPr w:leftFromText="180" w:rightFromText="180" w:vertAnchor="text" w:horzAnchor="page" w:tblpXSpec="center" w:tblpY="285"/>
        <w:tblOverlap w:val="never"/>
        <w:tblW w:w="0" w:type="auto"/>
        <w:jc w:val="center"/>
        <w:tblBorders>
          <w:top w:val="single" w:color="000000" w:sz="4" w:space="0"/>
          <w:left w:val="none" w:color="auto" w:sz="4" w:space="0"/>
          <w:bottom w:val="none" w:color="auto" w:sz="4" w:space="0"/>
          <w:right w:val="none" w:color="auto" w:sz="4" w:space="0"/>
          <w:insideH w:val="none" w:color="auto" w:sz="4" w:space="0"/>
          <w:insideV w:val="none" w:color="auto" w:sz="4" w:space="0"/>
        </w:tblBorders>
        <w:tblLayout w:type="fixed"/>
        <w:tblCellMar>
          <w:top w:w="0" w:type="dxa"/>
          <w:left w:w="108" w:type="dxa"/>
          <w:bottom w:w="0" w:type="dxa"/>
          <w:right w:w="108" w:type="dxa"/>
        </w:tblCellMar>
      </w:tblPr>
      <w:tblGrid>
        <w:gridCol w:w="808"/>
        <w:gridCol w:w="2421"/>
        <w:gridCol w:w="1710"/>
        <w:gridCol w:w="1350"/>
        <w:gridCol w:w="1425"/>
        <w:gridCol w:w="1410"/>
      </w:tblGrid>
      <w:tr w14:paraId="18650023">
        <w:tblPrEx>
          <w:tblBorders>
            <w:top w:val="single" w:color="000000"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652" w:hRule="exact"/>
          <w:jc w:val="center"/>
        </w:trPr>
        <w:tc>
          <w:tcPr>
            <w:tcW w:w="808" w:type="dxa"/>
            <w:tcBorders>
              <w:left w:val="single" w:color="000000" w:sz="4" w:space="0"/>
              <w:bottom w:val="single" w:color="000000" w:sz="4" w:space="0"/>
              <w:right w:val="single" w:color="000000" w:sz="4" w:space="0"/>
            </w:tcBorders>
            <w:vAlign w:val="center"/>
          </w:tcPr>
          <w:p w14:paraId="50B01E91">
            <w:pPr>
              <w:widowControl/>
              <w:spacing w:line="400" w:lineRule="exact"/>
              <w:jc w:val="center"/>
              <w:textAlignment w:val="center"/>
              <w:rPr>
                <w:rFonts w:ascii="仿宋" w:hAnsi="仿宋" w:eastAsia="仿宋" w:cs="仿宋"/>
                <w:sz w:val="24"/>
              </w:rPr>
            </w:pPr>
            <w:r>
              <w:rPr>
                <w:rFonts w:hint="eastAsia" w:ascii="仿宋" w:hAnsi="仿宋" w:eastAsia="仿宋" w:cs="仿宋"/>
                <w:sz w:val="24"/>
              </w:rPr>
              <w:t>序号</w:t>
            </w:r>
          </w:p>
        </w:tc>
        <w:tc>
          <w:tcPr>
            <w:tcW w:w="2421" w:type="dxa"/>
            <w:tcBorders>
              <w:left w:val="single" w:color="000000" w:sz="4" w:space="0"/>
              <w:bottom w:val="single" w:color="000000" w:sz="4" w:space="0"/>
              <w:right w:val="single" w:color="000000" w:sz="4" w:space="0"/>
            </w:tcBorders>
            <w:vAlign w:val="center"/>
          </w:tcPr>
          <w:p w14:paraId="0F9171D4">
            <w:pPr>
              <w:widowControl/>
              <w:spacing w:line="400" w:lineRule="exact"/>
              <w:jc w:val="center"/>
              <w:textAlignment w:val="center"/>
              <w:rPr>
                <w:rFonts w:ascii="仿宋" w:hAnsi="仿宋" w:eastAsia="仿宋" w:cs="仿宋"/>
                <w:sz w:val="24"/>
              </w:rPr>
            </w:pPr>
            <w:r>
              <w:rPr>
                <w:rFonts w:hint="eastAsia" w:ascii="仿宋" w:hAnsi="仿宋" w:eastAsia="仿宋" w:cs="仿宋"/>
                <w:sz w:val="24"/>
              </w:rPr>
              <w:t>医院名称</w:t>
            </w:r>
          </w:p>
        </w:tc>
        <w:tc>
          <w:tcPr>
            <w:tcW w:w="1710" w:type="dxa"/>
            <w:tcBorders>
              <w:left w:val="single" w:color="000000" w:sz="4" w:space="0"/>
              <w:bottom w:val="single" w:color="000000" w:sz="4" w:space="0"/>
              <w:right w:val="single" w:color="000000" w:sz="4" w:space="0"/>
            </w:tcBorders>
            <w:vAlign w:val="center"/>
          </w:tcPr>
          <w:p w14:paraId="59C87AA0">
            <w:pPr>
              <w:widowControl/>
              <w:spacing w:line="400" w:lineRule="exact"/>
              <w:jc w:val="center"/>
              <w:textAlignment w:val="center"/>
              <w:rPr>
                <w:rFonts w:ascii="仿宋" w:hAnsi="仿宋" w:eastAsia="仿宋" w:cs="仿宋"/>
                <w:sz w:val="24"/>
              </w:rPr>
            </w:pPr>
            <w:r>
              <w:rPr>
                <w:rFonts w:hint="eastAsia" w:ascii="仿宋" w:hAnsi="仿宋" w:eastAsia="仿宋" w:cs="仿宋"/>
                <w:sz w:val="24"/>
              </w:rPr>
              <w:t>合同标的</w:t>
            </w:r>
          </w:p>
        </w:tc>
        <w:tc>
          <w:tcPr>
            <w:tcW w:w="1350" w:type="dxa"/>
            <w:tcBorders>
              <w:left w:val="single" w:color="000000" w:sz="4" w:space="0"/>
              <w:bottom w:val="single" w:color="000000" w:sz="4" w:space="0"/>
              <w:right w:val="single" w:color="000000" w:sz="4" w:space="0"/>
            </w:tcBorders>
            <w:vAlign w:val="center"/>
          </w:tcPr>
          <w:p w14:paraId="7B153732">
            <w:pPr>
              <w:widowControl/>
              <w:spacing w:line="400" w:lineRule="exact"/>
              <w:jc w:val="center"/>
              <w:textAlignment w:val="center"/>
              <w:rPr>
                <w:rFonts w:ascii="仿宋" w:hAnsi="仿宋" w:eastAsia="仿宋" w:cs="仿宋"/>
                <w:sz w:val="24"/>
              </w:rPr>
            </w:pPr>
            <w:r>
              <w:rPr>
                <w:rFonts w:hint="eastAsia" w:ascii="仿宋" w:hAnsi="仿宋" w:eastAsia="仿宋" w:cs="仿宋"/>
                <w:sz w:val="24"/>
              </w:rPr>
              <w:t>合同金额</w:t>
            </w:r>
          </w:p>
        </w:tc>
        <w:tc>
          <w:tcPr>
            <w:tcW w:w="1425" w:type="dxa"/>
            <w:tcBorders>
              <w:left w:val="single" w:color="000000" w:sz="4" w:space="0"/>
              <w:bottom w:val="single" w:color="000000" w:sz="4" w:space="0"/>
              <w:right w:val="single" w:color="000000" w:sz="4" w:space="0"/>
            </w:tcBorders>
            <w:vAlign w:val="center"/>
          </w:tcPr>
          <w:p w14:paraId="77F368A7">
            <w:pPr>
              <w:widowControl/>
              <w:spacing w:line="400" w:lineRule="exact"/>
              <w:jc w:val="center"/>
              <w:textAlignment w:val="center"/>
              <w:rPr>
                <w:rFonts w:ascii="仿宋" w:hAnsi="仿宋" w:eastAsia="仿宋" w:cs="仿宋"/>
                <w:sz w:val="24"/>
              </w:rPr>
            </w:pPr>
            <w:r>
              <w:rPr>
                <w:rFonts w:hint="eastAsia" w:ascii="仿宋" w:hAnsi="仿宋" w:eastAsia="仿宋" w:cs="仿宋"/>
                <w:sz w:val="24"/>
              </w:rPr>
              <w:t>实施年份</w:t>
            </w:r>
          </w:p>
        </w:tc>
        <w:tc>
          <w:tcPr>
            <w:tcW w:w="1410" w:type="dxa"/>
            <w:tcBorders>
              <w:left w:val="single" w:color="000000" w:sz="4" w:space="0"/>
              <w:bottom w:val="single" w:color="000000" w:sz="4" w:space="0"/>
              <w:right w:val="single" w:color="auto" w:sz="4" w:space="0"/>
            </w:tcBorders>
            <w:vAlign w:val="center"/>
          </w:tcPr>
          <w:p w14:paraId="5002D9A9">
            <w:pPr>
              <w:widowControl/>
              <w:spacing w:line="400" w:lineRule="exact"/>
              <w:jc w:val="center"/>
              <w:textAlignment w:val="center"/>
              <w:rPr>
                <w:rFonts w:ascii="仿宋" w:hAnsi="仿宋" w:eastAsia="仿宋" w:cs="仿宋"/>
                <w:sz w:val="24"/>
              </w:rPr>
            </w:pPr>
            <w:r>
              <w:rPr>
                <w:rFonts w:hint="eastAsia" w:ascii="仿宋" w:hAnsi="仿宋" w:eastAsia="仿宋" w:cs="仿宋"/>
                <w:sz w:val="24"/>
              </w:rPr>
              <w:t>验收时间</w:t>
            </w:r>
          </w:p>
        </w:tc>
      </w:tr>
      <w:tr w14:paraId="10D6ADB9">
        <w:tblPrEx>
          <w:tblBorders>
            <w:top w:val="single" w:color="000000"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587" w:hRule="exact"/>
          <w:jc w:val="center"/>
        </w:trPr>
        <w:tc>
          <w:tcPr>
            <w:tcW w:w="808" w:type="dxa"/>
            <w:tcBorders>
              <w:top w:val="single" w:color="000000" w:sz="4" w:space="0"/>
              <w:left w:val="single" w:color="000000" w:sz="4" w:space="0"/>
              <w:bottom w:val="single" w:color="000000" w:sz="4" w:space="0"/>
              <w:right w:val="single" w:color="000000" w:sz="4" w:space="0"/>
            </w:tcBorders>
            <w:vAlign w:val="center"/>
          </w:tcPr>
          <w:p w14:paraId="75C30D16">
            <w:pPr>
              <w:widowControl/>
              <w:spacing w:line="400" w:lineRule="exact"/>
              <w:jc w:val="center"/>
              <w:textAlignment w:val="center"/>
              <w:rPr>
                <w:rFonts w:ascii="仿宋" w:hAnsi="仿宋" w:eastAsia="仿宋" w:cs="仿宋"/>
                <w:sz w:val="24"/>
              </w:rPr>
            </w:pPr>
            <w:r>
              <w:rPr>
                <w:rFonts w:hint="eastAsia" w:ascii="仿宋" w:hAnsi="仿宋" w:eastAsia="仿宋" w:cs="仿宋"/>
                <w:sz w:val="24"/>
              </w:rPr>
              <w:t>1</w:t>
            </w:r>
          </w:p>
        </w:tc>
        <w:tc>
          <w:tcPr>
            <w:tcW w:w="2421" w:type="dxa"/>
            <w:tcBorders>
              <w:top w:val="single" w:color="000000" w:sz="4" w:space="0"/>
              <w:left w:val="single" w:color="000000" w:sz="4" w:space="0"/>
              <w:bottom w:val="single" w:color="000000" w:sz="4" w:space="0"/>
              <w:right w:val="single" w:color="000000" w:sz="4" w:space="0"/>
            </w:tcBorders>
            <w:vAlign w:val="center"/>
          </w:tcPr>
          <w:p w14:paraId="56DA050B">
            <w:pPr>
              <w:widowControl/>
              <w:spacing w:line="400" w:lineRule="exact"/>
              <w:jc w:val="center"/>
              <w:textAlignment w:val="center"/>
              <w:rPr>
                <w:rFonts w:ascii="仿宋" w:hAnsi="仿宋" w:eastAsia="仿宋" w:cs="仿宋"/>
                <w:sz w:val="24"/>
              </w:rPr>
            </w:pPr>
          </w:p>
        </w:tc>
        <w:tc>
          <w:tcPr>
            <w:tcW w:w="1710" w:type="dxa"/>
            <w:tcBorders>
              <w:top w:val="single" w:color="000000" w:sz="4" w:space="0"/>
              <w:left w:val="single" w:color="000000" w:sz="4" w:space="0"/>
              <w:bottom w:val="single" w:color="000000" w:sz="4" w:space="0"/>
              <w:right w:val="single" w:color="000000" w:sz="4" w:space="0"/>
            </w:tcBorders>
            <w:vAlign w:val="center"/>
          </w:tcPr>
          <w:p w14:paraId="0500612C">
            <w:pPr>
              <w:widowControl/>
              <w:spacing w:line="400" w:lineRule="exact"/>
              <w:jc w:val="center"/>
              <w:textAlignment w:val="center"/>
              <w:rPr>
                <w:rFonts w:ascii="仿宋" w:hAnsi="仿宋" w:eastAsia="仿宋" w:cs="仿宋"/>
                <w:sz w:val="24"/>
              </w:rPr>
            </w:pPr>
          </w:p>
        </w:tc>
        <w:tc>
          <w:tcPr>
            <w:tcW w:w="1350" w:type="dxa"/>
            <w:tcBorders>
              <w:top w:val="single" w:color="000000" w:sz="4" w:space="0"/>
              <w:left w:val="single" w:color="000000" w:sz="4" w:space="0"/>
              <w:bottom w:val="single" w:color="000000" w:sz="4" w:space="0"/>
              <w:right w:val="single" w:color="000000" w:sz="4" w:space="0"/>
            </w:tcBorders>
            <w:vAlign w:val="center"/>
          </w:tcPr>
          <w:p w14:paraId="7A9C9738">
            <w:pPr>
              <w:widowControl/>
              <w:spacing w:line="400" w:lineRule="exact"/>
              <w:jc w:val="center"/>
              <w:textAlignment w:val="center"/>
              <w:rPr>
                <w:rFonts w:ascii="仿宋" w:hAnsi="仿宋" w:eastAsia="仿宋" w:cs="仿宋"/>
                <w:sz w:val="24"/>
              </w:rPr>
            </w:pPr>
          </w:p>
        </w:tc>
        <w:tc>
          <w:tcPr>
            <w:tcW w:w="1425" w:type="dxa"/>
            <w:tcBorders>
              <w:top w:val="single" w:color="000000" w:sz="4" w:space="0"/>
              <w:left w:val="single" w:color="000000" w:sz="4" w:space="0"/>
              <w:bottom w:val="single" w:color="000000" w:sz="4" w:space="0"/>
              <w:right w:val="single" w:color="000000" w:sz="4" w:space="0"/>
            </w:tcBorders>
            <w:vAlign w:val="center"/>
          </w:tcPr>
          <w:p w14:paraId="64622F0F">
            <w:pPr>
              <w:widowControl/>
              <w:spacing w:line="400" w:lineRule="exact"/>
              <w:jc w:val="center"/>
              <w:textAlignment w:val="center"/>
              <w:rPr>
                <w:rFonts w:ascii="仿宋" w:hAnsi="仿宋" w:eastAsia="仿宋" w:cs="仿宋"/>
                <w:sz w:val="24"/>
              </w:rPr>
            </w:pPr>
          </w:p>
        </w:tc>
        <w:tc>
          <w:tcPr>
            <w:tcW w:w="1410" w:type="dxa"/>
            <w:tcBorders>
              <w:top w:val="single" w:color="000000" w:sz="4" w:space="0"/>
              <w:left w:val="single" w:color="000000" w:sz="4" w:space="0"/>
              <w:bottom w:val="single" w:color="000000" w:sz="4" w:space="0"/>
              <w:right w:val="single" w:color="auto" w:sz="4" w:space="0"/>
            </w:tcBorders>
            <w:vAlign w:val="center"/>
          </w:tcPr>
          <w:p w14:paraId="25B44C0F">
            <w:pPr>
              <w:widowControl/>
              <w:spacing w:line="400" w:lineRule="exact"/>
              <w:jc w:val="center"/>
              <w:textAlignment w:val="center"/>
              <w:rPr>
                <w:rFonts w:ascii="仿宋" w:hAnsi="仿宋" w:eastAsia="仿宋" w:cs="仿宋"/>
                <w:sz w:val="24"/>
              </w:rPr>
            </w:pPr>
          </w:p>
        </w:tc>
      </w:tr>
      <w:tr w14:paraId="3BDC7D06">
        <w:tblPrEx>
          <w:tblBorders>
            <w:top w:val="single" w:color="000000"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607" w:hRule="exact"/>
          <w:jc w:val="center"/>
        </w:trPr>
        <w:tc>
          <w:tcPr>
            <w:tcW w:w="808" w:type="dxa"/>
            <w:tcBorders>
              <w:top w:val="single" w:color="000000" w:sz="4" w:space="0"/>
              <w:left w:val="single" w:color="000000" w:sz="4" w:space="0"/>
              <w:bottom w:val="single" w:color="000000" w:sz="4" w:space="0"/>
              <w:right w:val="single" w:color="000000" w:sz="4" w:space="0"/>
            </w:tcBorders>
            <w:vAlign w:val="center"/>
          </w:tcPr>
          <w:p w14:paraId="16D3569F">
            <w:pPr>
              <w:widowControl/>
              <w:spacing w:line="400" w:lineRule="exact"/>
              <w:jc w:val="center"/>
              <w:textAlignment w:val="center"/>
              <w:rPr>
                <w:rFonts w:ascii="仿宋" w:hAnsi="仿宋" w:eastAsia="仿宋" w:cs="仿宋"/>
                <w:sz w:val="24"/>
              </w:rPr>
            </w:pPr>
            <w:r>
              <w:rPr>
                <w:rFonts w:hint="eastAsia" w:ascii="仿宋" w:hAnsi="仿宋" w:eastAsia="仿宋" w:cs="仿宋"/>
                <w:sz w:val="24"/>
              </w:rPr>
              <w:t>2</w:t>
            </w:r>
          </w:p>
        </w:tc>
        <w:tc>
          <w:tcPr>
            <w:tcW w:w="2421" w:type="dxa"/>
            <w:tcBorders>
              <w:top w:val="single" w:color="000000" w:sz="4" w:space="0"/>
              <w:left w:val="single" w:color="000000" w:sz="4" w:space="0"/>
              <w:bottom w:val="single" w:color="000000" w:sz="4" w:space="0"/>
              <w:right w:val="single" w:color="000000" w:sz="4" w:space="0"/>
            </w:tcBorders>
            <w:vAlign w:val="center"/>
          </w:tcPr>
          <w:p w14:paraId="44AEBF05">
            <w:pPr>
              <w:widowControl/>
              <w:spacing w:line="400" w:lineRule="exact"/>
              <w:jc w:val="center"/>
              <w:textAlignment w:val="center"/>
              <w:rPr>
                <w:rFonts w:ascii="仿宋" w:hAnsi="仿宋" w:eastAsia="仿宋" w:cs="仿宋"/>
                <w:sz w:val="24"/>
              </w:rPr>
            </w:pPr>
          </w:p>
        </w:tc>
        <w:tc>
          <w:tcPr>
            <w:tcW w:w="1710" w:type="dxa"/>
            <w:tcBorders>
              <w:top w:val="single" w:color="000000" w:sz="4" w:space="0"/>
              <w:left w:val="single" w:color="000000" w:sz="4" w:space="0"/>
              <w:bottom w:val="single" w:color="000000" w:sz="4" w:space="0"/>
              <w:right w:val="single" w:color="000000" w:sz="4" w:space="0"/>
            </w:tcBorders>
            <w:vAlign w:val="center"/>
          </w:tcPr>
          <w:p w14:paraId="7EE2F190">
            <w:pPr>
              <w:widowControl/>
              <w:spacing w:line="400" w:lineRule="exact"/>
              <w:jc w:val="center"/>
              <w:textAlignment w:val="center"/>
              <w:rPr>
                <w:rFonts w:ascii="仿宋" w:hAnsi="仿宋" w:eastAsia="仿宋" w:cs="仿宋"/>
                <w:sz w:val="24"/>
              </w:rPr>
            </w:pPr>
          </w:p>
        </w:tc>
        <w:tc>
          <w:tcPr>
            <w:tcW w:w="1350" w:type="dxa"/>
            <w:tcBorders>
              <w:top w:val="single" w:color="000000" w:sz="4" w:space="0"/>
              <w:left w:val="single" w:color="000000" w:sz="4" w:space="0"/>
              <w:bottom w:val="single" w:color="000000" w:sz="4" w:space="0"/>
              <w:right w:val="single" w:color="000000" w:sz="4" w:space="0"/>
            </w:tcBorders>
            <w:vAlign w:val="center"/>
          </w:tcPr>
          <w:p w14:paraId="635A1DD7">
            <w:pPr>
              <w:widowControl/>
              <w:spacing w:line="400" w:lineRule="exact"/>
              <w:jc w:val="center"/>
              <w:textAlignment w:val="center"/>
              <w:rPr>
                <w:rFonts w:ascii="仿宋" w:hAnsi="仿宋" w:eastAsia="仿宋" w:cs="仿宋"/>
                <w:sz w:val="24"/>
              </w:rPr>
            </w:pPr>
          </w:p>
        </w:tc>
        <w:tc>
          <w:tcPr>
            <w:tcW w:w="1425" w:type="dxa"/>
            <w:tcBorders>
              <w:top w:val="single" w:color="000000" w:sz="4" w:space="0"/>
              <w:left w:val="single" w:color="000000" w:sz="4" w:space="0"/>
              <w:bottom w:val="single" w:color="000000" w:sz="4" w:space="0"/>
              <w:right w:val="single" w:color="000000" w:sz="4" w:space="0"/>
            </w:tcBorders>
            <w:vAlign w:val="center"/>
          </w:tcPr>
          <w:p w14:paraId="1337BD1D">
            <w:pPr>
              <w:widowControl/>
              <w:spacing w:line="400" w:lineRule="exact"/>
              <w:jc w:val="center"/>
              <w:textAlignment w:val="center"/>
              <w:rPr>
                <w:rFonts w:ascii="仿宋" w:hAnsi="仿宋" w:eastAsia="仿宋" w:cs="仿宋"/>
                <w:sz w:val="24"/>
              </w:rPr>
            </w:pPr>
          </w:p>
        </w:tc>
        <w:tc>
          <w:tcPr>
            <w:tcW w:w="1410" w:type="dxa"/>
            <w:tcBorders>
              <w:top w:val="single" w:color="000000" w:sz="4" w:space="0"/>
              <w:left w:val="single" w:color="000000" w:sz="4" w:space="0"/>
              <w:bottom w:val="single" w:color="000000" w:sz="4" w:space="0"/>
              <w:right w:val="single" w:color="auto" w:sz="4" w:space="0"/>
            </w:tcBorders>
            <w:vAlign w:val="center"/>
          </w:tcPr>
          <w:p w14:paraId="5C5ECC9D">
            <w:pPr>
              <w:widowControl/>
              <w:spacing w:line="400" w:lineRule="exact"/>
              <w:jc w:val="center"/>
              <w:textAlignment w:val="center"/>
              <w:rPr>
                <w:rFonts w:ascii="仿宋" w:hAnsi="仿宋" w:eastAsia="仿宋" w:cs="仿宋"/>
                <w:sz w:val="24"/>
              </w:rPr>
            </w:pPr>
          </w:p>
        </w:tc>
      </w:tr>
      <w:tr w14:paraId="33AEE5A1">
        <w:tblPrEx>
          <w:tblBorders>
            <w:top w:val="single" w:color="000000"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612" w:hRule="exact"/>
          <w:jc w:val="center"/>
        </w:trPr>
        <w:tc>
          <w:tcPr>
            <w:tcW w:w="808" w:type="dxa"/>
            <w:tcBorders>
              <w:top w:val="single" w:color="000000" w:sz="4" w:space="0"/>
              <w:left w:val="single" w:color="000000" w:sz="4" w:space="0"/>
              <w:bottom w:val="single" w:color="000000" w:sz="4" w:space="0"/>
              <w:right w:val="single" w:color="000000" w:sz="4" w:space="0"/>
            </w:tcBorders>
            <w:vAlign w:val="center"/>
          </w:tcPr>
          <w:p w14:paraId="14B52ECB">
            <w:pPr>
              <w:widowControl/>
              <w:spacing w:line="400" w:lineRule="exact"/>
              <w:jc w:val="center"/>
              <w:textAlignment w:val="center"/>
              <w:rPr>
                <w:rFonts w:ascii="仿宋" w:hAnsi="仿宋" w:eastAsia="仿宋" w:cs="仿宋"/>
                <w:sz w:val="24"/>
              </w:rPr>
            </w:pPr>
            <w:r>
              <w:rPr>
                <w:rFonts w:hint="eastAsia" w:ascii="仿宋" w:hAnsi="仿宋" w:eastAsia="仿宋" w:cs="仿宋"/>
                <w:sz w:val="24"/>
              </w:rPr>
              <w:t>3</w:t>
            </w:r>
          </w:p>
        </w:tc>
        <w:tc>
          <w:tcPr>
            <w:tcW w:w="2421" w:type="dxa"/>
            <w:tcBorders>
              <w:top w:val="single" w:color="000000" w:sz="4" w:space="0"/>
              <w:left w:val="single" w:color="000000" w:sz="4" w:space="0"/>
              <w:bottom w:val="single" w:color="000000" w:sz="4" w:space="0"/>
              <w:right w:val="single" w:color="000000" w:sz="4" w:space="0"/>
            </w:tcBorders>
            <w:vAlign w:val="center"/>
          </w:tcPr>
          <w:p w14:paraId="05D0CC89">
            <w:pPr>
              <w:widowControl/>
              <w:spacing w:line="400" w:lineRule="exact"/>
              <w:jc w:val="center"/>
              <w:textAlignment w:val="center"/>
              <w:rPr>
                <w:rFonts w:ascii="仿宋" w:hAnsi="仿宋" w:eastAsia="仿宋" w:cs="仿宋"/>
                <w:sz w:val="24"/>
              </w:rPr>
            </w:pPr>
          </w:p>
        </w:tc>
        <w:tc>
          <w:tcPr>
            <w:tcW w:w="1710" w:type="dxa"/>
            <w:tcBorders>
              <w:top w:val="single" w:color="000000" w:sz="4" w:space="0"/>
              <w:left w:val="single" w:color="000000" w:sz="4" w:space="0"/>
              <w:bottom w:val="single" w:color="000000" w:sz="4" w:space="0"/>
              <w:right w:val="single" w:color="000000" w:sz="4" w:space="0"/>
            </w:tcBorders>
            <w:vAlign w:val="center"/>
          </w:tcPr>
          <w:p w14:paraId="36434C62">
            <w:pPr>
              <w:widowControl/>
              <w:spacing w:line="400" w:lineRule="exact"/>
              <w:jc w:val="center"/>
              <w:textAlignment w:val="center"/>
              <w:rPr>
                <w:rFonts w:ascii="仿宋" w:hAnsi="仿宋" w:eastAsia="仿宋" w:cs="仿宋"/>
                <w:sz w:val="24"/>
              </w:rPr>
            </w:pPr>
          </w:p>
        </w:tc>
        <w:tc>
          <w:tcPr>
            <w:tcW w:w="1350" w:type="dxa"/>
            <w:tcBorders>
              <w:top w:val="single" w:color="000000" w:sz="4" w:space="0"/>
              <w:left w:val="single" w:color="000000" w:sz="4" w:space="0"/>
              <w:bottom w:val="single" w:color="000000" w:sz="4" w:space="0"/>
              <w:right w:val="single" w:color="000000" w:sz="4" w:space="0"/>
            </w:tcBorders>
            <w:vAlign w:val="center"/>
          </w:tcPr>
          <w:p w14:paraId="4ED6104F">
            <w:pPr>
              <w:widowControl/>
              <w:spacing w:line="400" w:lineRule="exact"/>
              <w:jc w:val="center"/>
              <w:textAlignment w:val="center"/>
              <w:rPr>
                <w:rFonts w:ascii="仿宋" w:hAnsi="仿宋" w:eastAsia="仿宋" w:cs="仿宋"/>
                <w:sz w:val="24"/>
              </w:rPr>
            </w:pPr>
          </w:p>
        </w:tc>
        <w:tc>
          <w:tcPr>
            <w:tcW w:w="1425" w:type="dxa"/>
            <w:tcBorders>
              <w:top w:val="single" w:color="000000" w:sz="4" w:space="0"/>
              <w:left w:val="single" w:color="000000" w:sz="4" w:space="0"/>
              <w:bottom w:val="single" w:color="000000" w:sz="4" w:space="0"/>
              <w:right w:val="single" w:color="000000" w:sz="4" w:space="0"/>
            </w:tcBorders>
            <w:vAlign w:val="center"/>
          </w:tcPr>
          <w:p w14:paraId="053C9632">
            <w:pPr>
              <w:widowControl/>
              <w:spacing w:line="400" w:lineRule="exact"/>
              <w:jc w:val="center"/>
              <w:textAlignment w:val="center"/>
              <w:rPr>
                <w:rFonts w:ascii="仿宋" w:hAnsi="仿宋" w:eastAsia="仿宋" w:cs="仿宋"/>
                <w:sz w:val="24"/>
              </w:rPr>
            </w:pPr>
          </w:p>
        </w:tc>
        <w:tc>
          <w:tcPr>
            <w:tcW w:w="1410" w:type="dxa"/>
            <w:tcBorders>
              <w:top w:val="single" w:color="000000" w:sz="4" w:space="0"/>
              <w:left w:val="single" w:color="000000" w:sz="4" w:space="0"/>
              <w:bottom w:val="single" w:color="000000" w:sz="4" w:space="0"/>
              <w:right w:val="single" w:color="auto" w:sz="4" w:space="0"/>
            </w:tcBorders>
            <w:vAlign w:val="center"/>
          </w:tcPr>
          <w:p w14:paraId="005ABA6F">
            <w:pPr>
              <w:widowControl/>
              <w:spacing w:line="400" w:lineRule="exact"/>
              <w:jc w:val="center"/>
              <w:textAlignment w:val="center"/>
              <w:rPr>
                <w:rFonts w:ascii="仿宋" w:hAnsi="仿宋" w:eastAsia="仿宋" w:cs="仿宋"/>
                <w:sz w:val="24"/>
              </w:rPr>
            </w:pPr>
          </w:p>
        </w:tc>
      </w:tr>
      <w:tr w14:paraId="4D0C767F">
        <w:tblPrEx>
          <w:tblBorders>
            <w:top w:val="single" w:color="000000"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612" w:hRule="exact"/>
          <w:jc w:val="center"/>
        </w:trPr>
        <w:tc>
          <w:tcPr>
            <w:tcW w:w="808" w:type="dxa"/>
            <w:tcBorders>
              <w:top w:val="single" w:color="000000" w:sz="4" w:space="0"/>
              <w:left w:val="single" w:color="000000" w:sz="4" w:space="0"/>
              <w:bottom w:val="single" w:color="000000" w:sz="4" w:space="0"/>
              <w:right w:val="single" w:color="000000" w:sz="4" w:space="0"/>
            </w:tcBorders>
            <w:vAlign w:val="center"/>
          </w:tcPr>
          <w:p w14:paraId="57AC18E5">
            <w:pPr>
              <w:widowControl/>
              <w:spacing w:line="400" w:lineRule="exact"/>
              <w:jc w:val="center"/>
              <w:textAlignment w:val="center"/>
              <w:rPr>
                <w:rFonts w:ascii="仿宋" w:hAnsi="仿宋" w:eastAsia="仿宋" w:cs="仿宋"/>
                <w:sz w:val="24"/>
              </w:rPr>
            </w:pPr>
            <w:r>
              <w:rPr>
                <w:rFonts w:hint="eastAsia" w:ascii="仿宋" w:hAnsi="仿宋" w:eastAsia="仿宋" w:cs="仿宋"/>
                <w:sz w:val="24"/>
              </w:rPr>
              <w:t>...</w:t>
            </w:r>
          </w:p>
        </w:tc>
        <w:tc>
          <w:tcPr>
            <w:tcW w:w="2421" w:type="dxa"/>
            <w:tcBorders>
              <w:top w:val="single" w:color="000000" w:sz="4" w:space="0"/>
              <w:left w:val="single" w:color="000000" w:sz="4" w:space="0"/>
              <w:bottom w:val="single" w:color="000000" w:sz="4" w:space="0"/>
              <w:right w:val="single" w:color="000000" w:sz="4" w:space="0"/>
            </w:tcBorders>
            <w:vAlign w:val="center"/>
          </w:tcPr>
          <w:p w14:paraId="0043F564">
            <w:pPr>
              <w:widowControl/>
              <w:spacing w:line="400" w:lineRule="exact"/>
              <w:jc w:val="center"/>
              <w:textAlignment w:val="center"/>
              <w:rPr>
                <w:rFonts w:ascii="仿宋" w:hAnsi="仿宋" w:eastAsia="仿宋" w:cs="仿宋"/>
                <w:sz w:val="24"/>
              </w:rPr>
            </w:pPr>
          </w:p>
        </w:tc>
        <w:tc>
          <w:tcPr>
            <w:tcW w:w="1710" w:type="dxa"/>
            <w:tcBorders>
              <w:top w:val="single" w:color="000000" w:sz="4" w:space="0"/>
              <w:left w:val="single" w:color="000000" w:sz="4" w:space="0"/>
              <w:bottom w:val="single" w:color="000000" w:sz="4" w:space="0"/>
              <w:right w:val="single" w:color="000000" w:sz="4" w:space="0"/>
            </w:tcBorders>
            <w:vAlign w:val="center"/>
          </w:tcPr>
          <w:p w14:paraId="4A29BBE5">
            <w:pPr>
              <w:widowControl/>
              <w:spacing w:line="400" w:lineRule="exact"/>
              <w:jc w:val="center"/>
              <w:textAlignment w:val="center"/>
              <w:rPr>
                <w:rFonts w:ascii="仿宋" w:hAnsi="仿宋" w:eastAsia="仿宋" w:cs="仿宋"/>
                <w:sz w:val="24"/>
              </w:rPr>
            </w:pPr>
          </w:p>
        </w:tc>
        <w:tc>
          <w:tcPr>
            <w:tcW w:w="1350" w:type="dxa"/>
            <w:tcBorders>
              <w:top w:val="single" w:color="000000" w:sz="4" w:space="0"/>
              <w:left w:val="single" w:color="000000" w:sz="4" w:space="0"/>
              <w:bottom w:val="single" w:color="000000" w:sz="4" w:space="0"/>
              <w:right w:val="single" w:color="000000" w:sz="4" w:space="0"/>
            </w:tcBorders>
            <w:vAlign w:val="center"/>
          </w:tcPr>
          <w:p w14:paraId="3E1A0D5F">
            <w:pPr>
              <w:widowControl/>
              <w:spacing w:line="400" w:lineRule="exact"/>
              <w:jc w:val="center"/>
              <w:textAlignment w:val="center"/>
              <w:rPr>
                <w:rFonts w:ascii="仿宋" w:hAnsi="仿宋" w:eastAsia="仿宋" w:cs="仿宋"/>
                <w:sz w:val="24"/>
              </w:rPr>
            </w:pPr>
          </w:p>
        </w:tc>
        <w:tc>
          <w:tcPr>
            <w:tcW w:w="1425" w:type="dxa"/>
            <w:tcBorders>
              <w:top w:val="single" w:color="000000" w:sz="4" w:space="0"/>
              <w:left w:val="single" w:color="000000" w:sz="4" w:space="0"/>
              <w:bottom w:val="single" w:color="000000" w:sz="4" w:space="0"/>
              <w:right w:val="single" w:color="000000" w:sz="4" w:space="0"/>
            </w:tcBorders>
            <w:vAlign w:val="center"/>
          </w:tcPr>
          <w:p w14:paraId="087FBAD3">
            <w:pPr>
              <w:widowControl/>
              <w:spacing w:line="400" w:lineRule="exact"/>
              <w:jc w:val="center"/>
              <w:textAlignment w:val="center"/>
              <w:rPr>
                <w:rFonts w:ascii="仿宋" w:hAnsi="仿宋" w:eastAsia="仿宋" w:cs="仿宋"/>
                <w:sz w:val="24"/>
              </w:rPr>
            </w:pPr>
          </w:p>
        </w:tc>
        <w:tc>
          <w:tcPr>
            <w:tcW w:w="1410" w:type="dxa"/>
            <w:tcBorders>
              <w:top w:val="single" w:color="000000" w:sz="4" w:space="0"/>
              <w:left w:val="single" w:color="000000" w:sz="4" w:space="0"/>
              <w:bottom w:val="single" w:color="000000" w:sz="4" w:space="0"/>
              <w:right w:val="single" w:color="auto" w:sz="4" w:space="0"/>
            </w:tcBorders>
            <w:vAlign w:val="center"/>
          </w:tcPr>
          <w:p w14:paraId="272EE4CE">
            <w:pPr>
              <w:widowControl/>
              <w:spacing w:line="400" w:lineRule="exact"/>
              <w:jc w:val="center"/>
              <w:textAlignment w:val="center"/>
              <w:rPr>
                <w:rFonts w:ascii="仿宋" w:hAnsi="仿宋" w:eastAsia="仿宋" w:cs="仿宋"/>
                <w:sz w:val="24"/>
              </w:rPr>
            </w:pPr>
          </w:p>
        </w:tc>
      </w:tr>
    </w:tbl>
    <w:p w14:paraId="722AC0CC">
      <w:pPr>
        <w:pStyle w:val="23"/>
        <w:ind w:firstLine="0" w:firstLineChars="0"/>
        <w:rPr>
          <w:rFonts w:ascii="仿宋" w:hAnsi="仿宋" w:eastAsia="仿宋" w:cs="仿宋"/>
          <w:sz w:val="30"/>
          <w:szCs w:val="30"/>
        </w:rPr>
      </w:pPr>
    </w:p>
    <w:p w14:paraId="6D334A11">
      <w:pPr>
        <w:pStyle w:val="2"/>
        <w:rPr>
          <w:rFonts w:ascii="仿宋" w:hAnsi="仿宋" w:eastAsia="仿宋" w:cs="仿宋"/>
          <w:color w:val="auto"/>
          <w:kern w:val="2"/>
          <w:sz w:val="30"/>
          <w:szCs w:val="30"/>
        </w:rPr>
      </w:pPr>
    </w:p>
    <w:p w14:paraId="63AD6709">
      <w:pPr>
        <w:pStyle w:val="2"/>
        <w:rPr>
          <w:rFonts w:ascii="仿宋" w:hAnsi="仿宋" w:eastAsia="仿宋" w:cs="仿宋"/>
          <w:color w:val="auto"/>
          <w:kern w:val="2"/>
          <w:sz w:val="30"/>
          <w:szCs w:val="30"/>
        </w:rPr>
      </w:pPr>
    </w:p>
    <w:p w14:paraId="0E569DAA">
      <w:pPr>
        <w:pStyle w:val="2"/>
        <w:rPr>
          <w:rFonts w:ascii="仿宋" w:hAnsi="仿宋" w:eastAsia="仿宋" w:cs="仿宋"/>
          <w:color w:val="auto"/>
          <w:kern w:val="2"/>
          <w:sz w:val="30"/>
          <w:szCs w:val="30"/>
        </w:rPr>
      </w:pPr>
    </w:p>
    <w:p w14:paraId="2BEB2A9F">
      <w:pPr>
        <w:pStyle w:val="2"/>
        <w:rPr>
          <w:rFonts w:ascii="仿宋" w:hAnsi="仿宋" w:eastAsia="仿宋" w:cs="仿宋"/>
          <w:color w:val="auto"/>
          <w:kern w:val="2"/>
          <w:sz w:val="30"/>
          <w:szCs w:val="30"/>
        </w:rPr>
      </w:pPr>
    </w:p>
    <w:p w14:paraId="77CEE183">
      <w:pPr>
        <w:pStyle w:val="2"/>
        <w:rPr>
          <w:rFonts w:ascii="仿宋" w:hAnsi="仿宋" w:eastAsia="仿宋" w:cs="仿宋"/>
          <w:color w:val="auto"/>
          <w:kern w:val="2"/>
          <w:sz w:val="30"/>
          <w:szCs w:val="30"/>
        </w:rPr>
      </w:pPr>
    </w:p>
    <w:p w14:paraId="56AE50EE">
      <w:pPr>
        <w:pStyle w:val="4"/>
        <w:ind w:firstLine="482" w:firstLineChars="200"/>
      </w:pPr>
      <w:bookmarkStart w:id="27" w:name="_Toc32164"/>
      <w:r>
        <w:rPr>
          <w:rFonts w:hint="eastAsia"/>
        </w:rPr>
        <w:t>5.2 四川省外（  ）家</w:t>
      </w:r>
      <w:bookmarkEnd w:id="27"/>
    </w:p>
    <w:tbl>
      <w:tblPr>
        <w:tblStyle w:val="12"/>
        <w:tblpPr w:leftFromText="180" w:rightFromText="180" w:vertAnchor="text" w:horzAnchor="page" w:tblpXSpec="center" w:tblpY="285"/>
        <w:tblOverlap w:val="never"/>
        <w:tblW w:w="0" w:type="auto"/>
        <w:jc w:val="center"/>
        <w:tblBorders>
          <w:top w:val="single" w:color="000000" w:sz="4" w:space="0"/>
          <w:left w:val="none" w:color="auto" w:sz="4" w:space="0"/>
          <w:bottom w:val="none" w:color="auto" w:sz="4" w:space="0"/>
          <w:right w:val="none" w:color="auto" w:sz="4" w:space="0"/>
          <w:insideH w:val="none" w:color="auto" w:sz="4" w:space="0"/>
          <w:insideV w:val="none" w:color="auto" w:sz="4" w:space="0"/>
        </w:tblBorders>
        <w:tblLayout w:type="fixed"/>
        <w:tblCellMar>
          <w:top w:w="0" w:type="dxa"/>
          <w:left w:w="108" w:type="dxa"/>
          <w:bottom w:w="0" w:type="dxa"/>
          <w:right w:w="108" w:type="dxa"/>
        </w:tblCellMar>
      </w:tblPr>
      <w:tblGrid>
        <w:gridCol w:w="808"/>
        <w:gridCol w:w="2421"/>
        <w:gridCol w:w="1710"/>
        <w:gridCol w:w="1350"/>
        <w:gridCol w:w="1425"/>
        <w:gridCol w:w="1410"/>
      </w:tblGrid>
      <w:tr w14:paraId="7315D154">
        <w:tblPrEx>
          <w:tblBorders>
            <w:top w:val="single" w:color="000000"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652" w:hRule="exact"/>
          <w:jc w:val="center"/>
        </w:trPr>
        <w:tc>
          <w:tcPr>
            <w:tcW w:w="808" w:type="dxa"/>
            <w:tcBorders>
              <w:left w:val="single" w:color="000000" w:sz="4" w:space="0"/>
              <w:bottom w:val="single" w:color="000000" w:sz="4" w:space="0"/>
              <w:right w:val="single" w:color="000000" w:sz="4" w:space="0"/>
            </w:tcBorders>
            <w:vAlign w:val="center"/>
          </w:tcPr>
          <w:p w14:paraId="78639B7D">
            <w:pPr>
              <w:widowControl/>
              <w:spacing w:line="400" w:lineRule="exact"/>
              <w:jc w:val="center"/>
              <w:textAlignment w:val="center"/>
              <w:rPr>
                <w:rFonts w:ascii="仿宋" w:hAnsi="仿宋" w:eastAsia="仿宋" w:cs="仿宋"/>
                <w:sz w:val="24"/>
              </w:rPr>
            </w:pPr>
            <w:r>
              <w:rPr>
                <w:rFonts w:hint="eastAsia" w:ascii="仿宋" w:hAnsi="仿宋" w:eastAsia="仿宋" w:cs="仿宋"/>
                <w:sz w:val="24"/>
              </w:rPr>
              <w:t>序号</w:t>
            </w:r>
          </w:p>
        </w:tc>
        <w:tc>
          <w:tcPr>
            <w:tcW w:w="2421" w:type="dxa"/>
            <w:tcBorders>
              <w:left w:val="single" w:color="000000" w:sz="4" w:space="0"/>
              <w:bottom w:val="single" w:color="000000" w:sz="4" w:space="0"/>
              <w:right w:val="single" w:color="000000" w:sz="4" w:space="0"/>
            </w:tcBorders>
            <w:vAlign w:val="center"/>
          </w:tcPr>
          <w:p w14:paraId="2051133B">
            <w:pPr>
              <w:widowControl/>
              <w:spacing w:line="400" w:lineRule="exact"/>
              <w:jc w:val="center"/>
              <w:textAlignment w:val="center"/>
              <w:rPr>
                <w:rFonts w:ascii="仿宋" w:hAnsi="仿宋" w:eastAsia="仿宋" w:cs="仿宋"/>
                <w:sz w:val="24"/>
              </w:rPr>
            </w:pPr>
            <w:r>
              <w:rPr>
                <w:rFonts w:hint="eastAsia" w:ascii="仿宋" w:hAnsi="仿宋" w:eastAsia="仿宋" w:cs="仿宋"/>
                <w:sz w:val="24"/>
              </w:rPr>
              <w:t>医院名称</w:t>
            </w:r>
          </w:p>
        </w:tc>
        <w:tc>
          <w:tcPr>
            <w:tcW w:w="1710" w:type="dxa"/>
            <w:tcBorders>
              <w:left w:val="single" w:color="000000" w:sz="4" w:space="0"/>
              <w:bottom w:val="single" w:color="000000" w:sz="4" w:space="0"/>
              <w:right w:val="single" w:color="000000" w:sz="4" w:space="0"/>
            </w:tcBorders>
            <w:vAlign w:val="center"/>
          </w:tcPr>
          <w:p w14:paraId="615B8BFC">
            <w:pPr>
              <w:widowControl/>
              <w:spacing w:line="400" w:lineRule="exact"/>
              <w:jc w:val="center"/>
              <w:textAlignment w:val="center"/>
              <w:rPr>
                <w:rFonts w:ascii="仿宋" w:hAnsi="仿宋" w:eastAsia="仿宋" w:cs="仿宋"/>
                <w:sz w:val="24"/>
              </w:rPr>
            </w:pPr>
            <w:r>
              <w:rPr>
                <w:rFonts w:hint="eastAsia" w:ascii="仿宋" w:hAnsi="仿宋" w:eastAsia="仿宋" w:cs="仿宋"/>
                <w:sz w:val="24"/>
              </w:rPr>
              <w:t>合同标的</w:t>
            </w:r>
          </w:p>
        </w:tc>
        <w:tc>
          <w:tcPr>
            <w:tcW w:w="1350" w:type="dxa"/>
            <w:tcBorders>
              <w:left w:val="single" w:color="000000" w:sz="4" w:space="0"/>
              <w:bottom w:val="single" w:color="000000" w:sz="4" w:space="0"/>
              <w:right w:val="single" w:color="000000" w:sz="4" w:space="0"/>
            </w:tcBorders>
            <w:vAlign w:val="center"/>
          </w:tcPr>
          <w:p w14:paraId="10161C50">
            <w:pPr>
              <w:widowControl/>
              <w:spacing w:line="400" w:lineRule="exact"/>
              <w:jc w:val="center"/>
              <w:textAlignment w:val="center"/>
              <w:rPr>
                <w:rFonts w:ascii="仿宋" w:hAnsi="仿宋" w:eastAsia="仿宋" w:cs="仿宋"/>
                <w:sz w:val="24"/>
              </w:rPr>
            </w:pPr>
            <w:r>
              <w:rPr>
                <w:rFonts w:hint="eastAsia" w:ascii="仿宋" w:hAnsi="仿宋" w:eastAsia="仿宋" w:cs="仿宋"/>
                <w:sz w:val="24"/>
              </w:rPr>
              <w:t>合同金额</w:t>
            </w:r>
          </w:p>
        </w:tc>
        <w:tc>
          <w:tcPr>
            <w:tcW w:w="1425" w:type="dxa"/>
            <w:tcBorders>
              <w:left w:val="single" w:color="000000" w:sz="4" w:space="0"/>
              <w:bottom w:val="single" w:color="000000" w:sz="4" w:space="0"/>
              <w:right w:val="single" w:color="000000" w:sz="4" w:space="0"/>
            </w:tcBorders>
            <w:vAlign w:val="center"/>
          </w:tcPr>
          <w:p w14:paraId="3B48F3C4">
            <w:pPr>
              <w:widowControl/>
              <w:spacing w:line="400" w:lineRule="exact"/>
              <w:jc w:val="center"/>
              <w:textAlignment w:val="center"/>
              <w:rPr>
                <w:rFonts w:ascii="仿宋" w:hAnsi="仿宋" w:eastAsia="仿宋" w:cs="仿宋"/>
                <w:sz w:val="24"/>
              </w:rPr>
            </w:pPr>
            <w:r>
              <w:rPr>
                <w:rFonts w:hint="eastAsia" w:ascii="仿宋" w:hAnsi="仿宋" w:eastAsia="仿宋" w:cs="仿宋"/>
                <w:sz w:val="24"/>
              </w:rPr>
              <w:t>实施年份</w:t>
            </w:r>
          </w:p>
        </w:tc>
        <w:tc>
          <w:tcPr>
            <w:tcW w:w="1410" w:type="dxa"/>
            <w:tcBorders>
              <w:left w:val="single" w:color="000000" w:sz="4" w:space="0"/>
              <w:bottom w:val="single" w:color="000000" w:sz="4" w:space="0"/>
              <w:right w:val="single" w:color="auto" w:sz="4" w:space="0"/>
            </w:tcBorders>
            <w:vAlign w:val="center"/>
          </w:tcPr>
          <w:p w14:paraId="78BC83B6">
            <w:pPr>
              <w:widowControl/>
              <w:spacing w:line="400" w:lineRule="exact"/>
              <w:jc w:val="center"/>
              <w:textAlignment w:val="center"/>
              <w:rPr>
                <w:rFonts w:ascii="仿宋" w:hAnsi="仿宋" w:eastAsia="仿宋" w:cs="仿宋"/>
                <w:sz w:val="24"/>
              </w:rPr>
            </w:pPr>
            <w:r>
              <w:rPr>
                <w:rFonts w:hint="eastAsia" w:ascii="仿宋" w:hAnsi="仿宋" w:eastAsia="仿宋" w:cs="仿宋"/>
                <w:sz w:val="24"/>
              </w:rPr>
              <w:t>验收时间</w:t>
            </w:r>
          </w:p>
        </w:tc>
      </w:tr>
      <w:tr w14:paraId="2EB69280">
        <w:tblPrEx>
          <w:tblBorders>
            <w:top w:val="single" w:color="000000"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587" w:hRule="exact"/>
          <w:jc w:val="center"/>
        </w:trPr>
        <w:tc>
          <w:tcPr>
            <w:tcW w:w="808" w:type="dxa"/>
            <w:tcBorders>
              <w:top w:val="single" w:color="000000" w:sz="4" w:space="0"/>
              <w:left w:val="single" w:color="000000" w:sz="4" w:space="0"/>
              <w:bottom w:val="single" w:color="000000" w:sz="4" w:space="0"/>
              <w:right w:val="single" w:color="000000" w:sz="4" w:space="0"/>
            </w:tcBorders>
            <w:vAlign w:val="center"/>
          </w:tcPr>
          <w:p w14:paraId="270C793B">
            <w:pPr>
              <w:widowControl/>
              <w:spacing w:line="400" w:lineRule="exact"/>
              <w:jc w:val="center"/>
              <w:textAlignment w:val="center"/>
              <w:rPr>
                <w:rFonts w:ascii="仿宋" w:hAnsi="仿宋" w:eastAsia="仿宋" w:cs="仿宋"/>
                <w:sz w:val="24"/>
              </w:rPr>
            </w:pPr>
            <w:r>
              <w:rPr>
                <w:rFonts w:hint="eastAsia" w:ascii="仿宋" w:hAnsi="仿宋" w:eastAsia="仿宋" w:cs="仿宋"/>
                <w:sz w:val="24"/>
              </w:rPr>
              <w:t>1</w:t>
            </w:r>
          </w:p>
        </w:tc>
        <w:tc>
          <w:tcPr>
            <w:tcW w:w="2421" w:type="dxa"/>
            <w:tcBorders>
              <w:top w:val="single" w:color="000000" w:sz="4" w:space="0"/>
              <w:left w:val="single" w:color="000000" w:sz="4" w:space="0"/>
              <w:bottom w:val="single" w:color="000000" w:sz="4" w:space="0"/>
              <w:right w:val="single" w:color="000000" w:sz="4" w:space="0"/>
            </w:tcBorders>
            <w:vAlign w:val="center"/>
          </w:tcPr>
          <w:p w14:paraId="24938DB3">
            <w:pPr>
              <w:widowControl/>
              <w:spacing w:line="400" w:lineRule="exact"/>
              <w:jc w:val="center"/>
              <w:textAlignment w:val="center"/>
              <w:rPr>
                <w:rFonts w:ascii="仿宋" w:hAnsi="仿宋" w:eastAsia="仿宋" w:cs="仿宋"/>
                <w:sz w:val="24"/>
              </w:rPr>
            </w:pPr>
          </w:p>
        </w:tc>
        <w:tc>
          <w:tcPr>
            <w:tcW w:w="1710" w:type="dxa"/>
            <w:tcBorders>
              <w:top w:val="single" w:color="000000" w:sz="4" w:space="0"/>
              <w:left w:val="single" w:color="000000" w:sz="4" w:space="0"/>
              <w:bottom w:val="single" w:color="000000" w:sz="4" w:space="0"/>
              <w:right w:val="single" w:color="000000" w:sz="4" w:space="0"/>
            </w:tcBorders>
            <w:vAlign w:val="center"/>
          </w:tcPr>
          <w:p w14:paraId="4BAFC785">
            <w:pPr>
              <w:widowControl/>
              <w:spacing w:line="400" w:lineRule="exact"/>
              <w:jc w:val="center"/>
              <w:textAlignment w:val="center"/>
              <w:rPr>
                <w:rFonts w:ascii="仿宋" w:hAnsi="仿宋" w:eastAsia="仿宋" w:cs="仿宋"/>
                <w:sz w:val="24"/>
              </w:rPr>
            </w:pPr>
          </w:p>
        </w:tc>
        <w:tc>
          <w:tcPr>
            <w:tcW w:w="1350" w:type="dxa"/>
            <w:tcBorders>
              <w:top w:val="single" w:color="000000" w:sz="4" w:space="0"/>
              <w:left w:val="single" w:color="000000" w:sz="4" w:space="0"/>
              <w:bottom w:val="single" w:color="000000" w:sz="4" w:space="0"/>
              <w:right w:val="single" w:color="000000" w:sz="4" w:space="0"/>
            </w:tcBorders>
            <w:vAlign w:val="center"/>
          </w:tcPr>
          <w:p w14:paraId="31861BB3">
            <w:pPr>
              <w:widowControl/>
              <w:spacing w:line="400" w:lineRule="exact"/>
              <w:jc w:val="center"/>
              <w:textAlignment w:val="center"/>
              <w:rPr>
                <w:rFonts w:ascii="仿宋" w:hAnsi="仿宋" w:eastAsia="仿宋" w:cs="仿宋"/>
                <w:sz w:val="24"/>
              </w:rPr>
            </w:pPr>
          </w:p>
        </w:tc>
        <w:tc>
          <w:tcPr>
            <w:tcW w:w="1425" w:type="dxa"/>
            <w:tcBorders>
              <w:top w:val="single" w:color="000000" w:sz="4" w:space="0"/>
              <w:left w:val="single" w:color="000000" w:sz="4" w:space="0"/>
              <w:bottom w:val="single" w:color="000000" w:sz="4" w:space="0"/>
              <w:right w:val="single" w:color="000000" w:sz="4" w:space="0"/>
            </w:tcBorders>
            <w:vAlign w:val="center"/>
          </w:tcPr>
          <w:p w14:paraId="00E16877">
            <w:pPr>
              <w:widowControl/>
              <w:spacing w:line="400" w:lineRule="exact"/>
              <w:jc w:val="center"/>
              <w:textAlignment w:val="center"/>
              <w:rPr>
                <w:rFonts w:ascii="仿宋" w:hAnsi="仿宋" w:eastAsia="仿宋" w:cs="仿宋"/>
                <w:sz w:val="24"/>
              </w:rPr>
            </w:pPr>
          </w:p>
        </w:tc>
        <w:tc>
          <w:tcPr>
            <w:tcW w:w="1410" w:type="dxa"/>
            <w:tcBorders>
              <w:top w:val="single" w:color="000000" w:sz="4" w:space="0"/>
              <w:left w:val="single" w:color="000000" w:sz="4" w:space="0"/>
              <w:bottom w:val="single" w:color="000000" w:sz="4" w:space="0"/>
              <w:right w:val="single" w:color="auto" w:sz="4" w:space="0"/>
            </w:tcBorders>
            <w:vAlign w:val="center"/>
          </w:tcPr>
          <w:p w14:paraId="627146D0">
            <w:pPr>
              <w:widowControl/>
              <w:spacing w:line="400" w:lineRule="exact"/>
              <w:jc w:val="center"/>
              <w:textAlignment w:val="center"/>
              <w:rPr>
                <w:rFonts w:ascii="仿宋" w:hAnsi="仿宋" w:eastAsia="仿宋" w:cs="仿宋"/>
                <w:sz w:val="24"/>
              </w:rPr>
            </w:pPr>
          </w:p>
        </w:tc>
      </w:tr>
      <w:tr w14:paraId="5B1B0277">
        <w:tblPrEx>
          <w:tblBorders>
            <w:top w:val="single" w:color="000000"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607" w:hRule="exact"/>
          <w:jc w:val="center"/>
        </w:trPr>
        <w:tc>
          <w:tcPr>
            <w:tcW w:w="808" w:type="dxa"/>
            <w:tcBorders>
              <w:top w:val="single" w:color="000000" w:sz="4" w:space="0"/>
              <w:left w:val="single" w:color="000000" w:sz="4" w:space="0"/>
              <w:bottom w:val="single" w:color="000000" w:sz="4" w:space="0"/>
              <w:right w:val="single" w:color="000000" w:sz="4" w:space="0"/>
            </w:tcBorders>
            <w:vAlign w:val="center"/>
          </w:tcPr>
          <w:p w14:paraId="2D1EFDE3">
            <w:pPr>
              <w:widowControl/>
              <w:spacing w:line="400" w:lineRule="exact"/>
              <w:jc w:val="center"/>
              <w:textAlignment w:val="center"/>
              <w:rPr>
                <w:rFonts w:ascii="仿宋" w:hAnsi="仿宋" w:eastAsia="仿宋" w:cs="仿宋"/>
                <w:sz w:val="24"/>
              </w:rPr>
            </w:pPr>
            <w:r>
              <w:rPr>
                <w:rFonts w:hint="eastAsia" w:ascii="仿宋" w:hAnsi="仿宋" w:eastAsia="仿宋" w:cs="仿宋"/>
                <w:sz w:val="24"/>
              </w:rPr>
              <w:t>2</w:t>
            </w:r>
          </w:p>
        </w:tc>
        <w:tc>
          <w:tcPr>
            <w:tcW w:w="2421" w:type="dxa"/>
            <w:tcBorders>
              <w:top w:val="single" w:color="000000" w:sz="4" w:space="0"/>
              <w:left w:val="single" w:color="000000" w:sz="4" w:space="0"/>
              <w:bottom w:val="single" w:color="000000" w:sz="4" w:space="0"/>
              <w:right w:val="single" w:color="000000" w:sz="4" w:space="0"/>
            </w:tcBorders>
            <w:vAlign w:val="center"/>
          </w:tcPr>
          <w:p w14:paraId="18FEA896">
            <w:pPr>
              <w:widowControl/>
              <w:spacing w:line="400" w:lineRule="exact"/>
              <w:jc w:val="center"/>
              <w:textAlignment w:val="center"/>
              <w:rPr>
                <w:rFonts w:ascii="仿宋" w:hAnsi="仿宋" w:eastAsia="仿宋" w:cs="仿宋"/>
                <w:sz w:val="24"/>
              </w:rPr>
            </w:pPr>
          </w:p>
        </w:tc>
        <w:tc>
          <w:tcPr>
            <w:tcW w:w="1710" w:type="dxa"/>
            <w:tcBorders>
              <w:top w:val="single" w:color="000000" w:sz="4" w:space="0"/>
              <w:left w:val="single" w:color="000000" w:sz="4" w:space="0"/>
              <w:bottom w:val="single" w:color="000000" w:sz="4" w:space="0"/>
              <w:right w:val="single" w:color="000000" w:sz="4" w:space="0"/>
            </w:tcBorders>
            <w:vAlign w:val="center"/>
          </w:tcPr>
          <w:p w14:paraId="7C964207">
            <w:pPr>
              <w:widowControl/>
              <w:spacing w:line="400" w:lineRule="exact"/>
              <w:jc w:val="center"/>
              <w:textAlignment w:val="center"/>
              <w:rPr>
                <w:rFonts w:ascii="仿宋" w:hAnsi="仿宋" w:eastAsia="仿宋" w:cs="仿宋"/>
                <w:sz w:val="24"/>
              </w:rPr>
            </w:pPr>
          </w:p>
        </w:tc>
        <w:tc>
          <w:tcPr>
            <w:tcW w:w="1350" w:type="dxa"/>
            <w:tcBorders>
              <w:top w:val="single" w:color="000000" w:sz="4" w:space="0"/>
              <w:left w:val="single" w:color="000000" w:sz="4" w:space="0"/>
              <w:bottom w:val="single" w:color="000000" w:sz="4" w:space="0"/>
              <w:right w:val="single" w:color="000000" w:sz="4" w:space="0"/>
            </w:tcBorders>
            <w:vAlign w:val="center"/>
          </w:tcPr>
          <w:p w14:paraId="2B7007F2">
            <w:pPr>
              <w:widowControl/>
              <w:spacing w:line="400" w:lineRule="exact"/>
              <w:jc w:val="center"/>
              <w:textAlignment w:val="center"/>
              <w:rPr>
                <w:rFonts w:ascii="仿宋" w:hAnsi="仿宋" w:eastAsia="仿宋" w:cs="仿宋"/>
                <w:sz w:val="24"/>
              </w:rPr>
            </w:pPr>
          </w:p>
        </w:tc>
        <w:tc>
          <w:tcPr>
            <w:tcW w:w="1425" w:type="dxa"/>
            <w:tcBorders>
              <w:top w:val="single" w:color="000000" w:sz="4" w:space="0"/>
              <w:left w:val="single" w:color="000000" w:sz="4" w:space="0"/>
              <w:bottom w:val="single" w:color="000000" w:sz="4" w:space="0"/>
              <w:right w:val="single" w:color="000000" w:sz="4" w:space="0"/>
            </w:tcBorders>
            <w:vAlign w:val="center"/>
          </w:tcPr>
          <w:p w14:paraId="03ED9D11">
            <w:pPr>
              <w:widowControl/>
              <w:spacing w:line="400" w:lineRule="exact"/>
              <w:jc w:val="center"/>
              <w:textAlignment w:val="center"/>
              <w:rPr>
                <w:rFonts w:ascii="仿宋" w:hAnsi="仿宋" w:eastAsia="仿宋" w:cs="仿宋"/>
                <w:sz w:val="24"/>
              </w:rPr>
            </w:pPr>
          </w:p>
        </w:tc>
        <w:tc>
          <w:tcPr>
            <w:tcW w:w="1410" w:type="dxa"/>
            <w:tcBorders>
              <w:top w:val="single" w:color="000000" w:sz="4" w:space="0"/>
              <w:left w:val="single" w:color="000000" w:sz="4" w:space="0"/>
              <w:bottom w:val="single" w:color="000000" w:sz="4" w:space="0"/>
              <w:right w:val="single" w:color="auto" w:sz="4" w:space="0"/>
            </w:tcBorders>
            <w:vAlign w:val="center"/>
          </w:tcPr>
          <w:p w14:paraId="4DAF59F6">
            <w:pPr>
              <w:widowControl/>
              <w:spacing w:line="400" w:lineRule="exact"/>
              <w:jc w:val="center"/>
              <w:textAlignment w:val="center"/>
              <w:rPr>
                <w:rFonts w:ascii="仿宋" w:hAnsi="仿宋" w:eastAsia="仿宋" w:cs="仿宋"/>
                <w:sz w:val="24"/>
              </w:rPr>
            </w:pPr>
          </w:p>
        </w:tc>
      </w:tr>
      <w:tr w14:paraId="2C0F5928">
        <w:tblPrEx>
          <w:tblBorders>
            <w:top w:val="single" w:color="000000"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612" w:hRule="exact"/>
          <w:jc w:val="center"/>
        </w:trPr>
        <w:tc>
          <w:tcPr>
            <w:tcW w:w="808" w:type="dxa"/>
            <w:tcBorders>
              <w:top w:val="single" w:color="000000" w:sz="4" w:space="0"/>
              <w:left w:val="single" w:color="000000" w:sz="4" w:space="0"/>
              <w:bottom w:val="single" w:color="000000" w:sz="4" w:space="0"/>
              <w:right w:val="single" w:color="000000" w:sz="4" w:space="0"/>
            </w:tcBorders>
            <w:vAlign w:val="center"/>
          </w:tcPr>
          <w:p w14:paraId="363A6FBD">
            <w:pPr>
              <w:widowControl/>
              <w:spacing w:line="400" w:lineRule="exact"/>
              <w:jc w:val="center"/>
              <w:textAlignment w:val="center"/>
              <w:rPr>
                <w:rFonts w:ascii="仿宋" w:hAnsi="仿宋" w:eastAsia="仿宋" w:cs="仿宋"/>
                <w:sz w:val="24"/>
              </w:rPr>
            </w:pPr>
            <w:r>
              <w:rPr>
                <w:rFonts w:hint="eastAsia" w:ascii="仿宋" w:hAnsi="仿宋" w:eastAsia="仿宋" w:cs="仿宋"/>
                <w:sz w:val="24"/>
              </w:rPr>
              <w:t>3</w:t>
            </w:r>
          </w:p>
        </w:tc>
        <w:tc>
          <w:tcPr>
            <w:tcW w:w="2421" w:type="dxa"/>
            <w:tcBorders>
              <w:top w:val="single" w:color="000000" w:sz="4" w:space="0"/>
              <w:left w:val="single" w:color="000000" w:sz="4" w:space="0"/>
              <w:bottom w:val="single" w:color="000000" w:sz="4" w:space="0"/>
              <w:right w:val="single" w:color="000000" w:sz="4" w:space="0"/>
            </w:tcBorders>
            <w:vAlign w:val="center"/>
          </w:tcPr>
          <w:p w14:paraId="7ADD7DB3">
            <w:pPr>
              <w:widowControl/>
              <w:spacing w:line="400" w:lineRule="exact"/>
              <w:jc w:val="center"/>
              <w:textAlignment w:val="center"/>
              <w:rPr>
                <w:rFonts w:ascii="仿宋" w:hAnsi="仿宋" w:eastAsia="仿宋" w:cs="仿宋"/>
                <w:sz w:val="24"/>
              </w:rPr>
            </w:pPr>
          </w:p>
        </w:tc>
        <w:tc>
          <w:tcPr>
            <w:tcW w:w="1710" w:type="dxa"/>
            <w:tcBorders>
              <w:top w:val="single" w:color="000000" w:sz="4" w:space="0"/>
              <w:left w:val="single" w:color="000000" w:sz="4" w:space="0"/>
              <w:bottom w:val="single" w:color="000000" w:sz="4" w:space="0"/>
              <w:right w:val="single" w:color="000000" w:sz="4" w:space="0"/>
            </w:tcBorders>
            <w:vAlign w:val="center"/>
          </w:tcPr>
          <w:p w14:paraId="1E2C2647">
            <w:pPr>
              <w:widowControl/>
              <w:spacing w:line="400" w:lineRule="exact"/>
              <w:jc w:val="center"/>
              <w:textAlignment w:val="center"/>
              <w:rPr>
                <w:rFonts w:ascii="仿宋" w:hAnsi="仿宋" w:eastAsia="仿宋" w:cs="仿宋"/>
                <w:sz w:val="24"/>
              </w:rPr>
            </w:pPr>
          </w:p>
        </w:tc>
        <w:tc>
          <w:tcPr>
            <w:tcW w:w="1350" w:type="dxa"/>
            <w:tcBorders>
              <w:top w:val="single" w:color="000000" w:sz="4" w:space="0"/>
              <w:left w:val="single" w:color="000000" w:sz="4" w:space="0"/>
              <w:bottom w:val="single" w:color="000000" w:sz="4" w:space="0"/>
              <w:right w:val="single" w:color="000000" w:sz="4" w:space="0"/>
            </w:tcBorders>
            <w:vAlign w:val="center"/>
          </w:tcPr>
          <w:p w14:paraId="1EC53B26">
            <w:pPr>
              <w:widowControl/>
              <w:spacing w:line="400" w:lineRule="exact"/>
              <w:jc w:val="center"/>
              <w:textAlignment w:val="center"/>
              <w:rPr>
                <w:rFonts w:ascii="仿宋" w:hAnsi="仿宋" w:eastAsia="仿宋" w:cs="仿宋"/>
                <w:sz w:val="24"/>
              </w:rPr>
            </w:pPr>
          </w:p>
        </w:tc>
        <w:tc>
          <w:tcPr>
            <w:tcW w:w="1425" w:type="dxa"/>
            <w:tcBorders>
              <w:top w:val="single" w:color="000000" w:sz="4" w:space="0"/>
              <w:left w:val="single" w:color="000000" w:sz="4" w:space="0"/>
              <w:bottom w:val="single" w:color="000000" w:sz="4" w:space="0"/>
              <w:right w:val="single" w:color="000000" w:sz="4" w:space="0"/>
            </w:tcBorders>
            <w:vAlign w:val="center"/>
          </w:tcPr>
          <w:p w14:paraId="0F7AF3FA">
            <w:pPr>
              <w:widowControl/>
              <w:spacing w:line="400" w:lineRule="exact"/>
              <w:jc w:val="center"/>
              <w:textAlignment w:val="center"/>
              <w:rPr>
                <w:rFonts w:ascii="仿宋" w:hAnsi="仿宋" w:eastAsia="仿宋" w:cs="仿宋"/>
                <w:sz w:val="24"/>
              </w:rPr>
            </w:pPr>
          </w:p>
        </w:tc>
        <w:tc>
          <w:tcPr>
            <w:tcW w:w="1410" w:type="dxa"/>
            <w:tcBorders>
              <w:top w:val="single" w:color="000000" w:sz="4" w:space="0"/>
              <w:left w:val="single" w:color="000000" w:sz="4" w:space="0"/>
              <w:bottom w:val="single" w:color="000000" w:sz="4" w:space="0"/>
              <w:right w:val="single" w:color="auto" w:sz="4" w:space="0"/>
            </w:tcBorders>
            <w:vAlign w:val="center"/>
          </w:tcPr>
          <w:p w14:paraId="7AEE891F">
            <w:pPr>
              <w:widowControl/>
              <w:spacing w:line="400" w:lineRule="exact"/>
              <w:jc w:val="center"/>
              <w:textAlignment w:val="center"/>
              <w:rPr>
                <w:rFonts w:ascii="仿宋" w:hAnsi="仿宋" w:eastAsia="仿宋" w:cs="仿宋"/>
                <w:sz w:val="24"/>
              </w:rPr>
            </w:pPr>
          </w:p>
        </w:tc>
      </w:tr>
      <w:tr w14:paraId="486998EE">
        <w:tblPrEx>
          <w:tblBorders>
            <w:top w:val="single" w:color="000000" w:sz="4" w:space="0"/>
            <w:left w:val="none" w:color="auto" w:sz="4" w:space="0"/>
            <w:bottom w:val="non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612" w:hRule="exact"/>
          <w:jc w:val="center"/>
        </w:trPr>
        <w:tc>
          <w:tcPr>
            <w:tcW w:w="808" w:type="dxa"/>
            <w:tcBorders>
              <w:top w:val="single" w:color="000000" w:sz="4" w:space="0"/>
              <w:left w:val="single" w:color="000000" w:sz="4" w:space="0"/>
              <w:bottom w:val="single" w:color="000000" w:sz="4" w:space="0"/>
              <w:right w:val="single" w:color="000000" w:sz="4" w:space="0"/>
            </w:tcBorders>
            <w:vAlign w:val="center"/>
          </w:tcPr>
          <w:p w14:paraId="63DC26C6">
            <w:pPr>
              <w:widowControl/>
              <w:spacing w:line="400" w:lineRule="exact"/>
              <w:jc w:val="center"/>
              <w:textAlignment w:val="center"/>
              <w:rPr>
                <w:rFonts w:ascii="仿宋" w:hAnsi="仿宋" w:eastAsia="仿宋" w:cs="仿宋"/>
                <w:sz w:val="24"/>
              </w:rPr>
            </w:pPr>
            <w:r>
              <w:rPr>
                <w:rFonts w:hint="eastAsia" w:ascii="仿宋" w:hAnsi="仿宋" w:eastAsia="仿宋" w:cs="仿宋"/>
                <w:sz w:val="24"/>
              </w:rPr>
              <w:t>...</w:t>
            </w:r>
          </w:p>
        </w:tc>
        <w:tc>
          <w:tcPr>
            <w:tcW w:w="2421" w:type="dxa"/>
            <w:tcBorders>
              <w:top w:val="single" w:color="000000" w:sz="4" w:space="0"/>
              <w:left w:val="single" w:color="000000" w:sz="4" w:space="0"/>
              <w:bottom w:val="single" w:color="000000" w:sz="4" w:space="0"/>
              <w:right w:val="single" w:color="000000" w:sz="4" w:space="0"/>
            </w:tcBorders>
            <w:vAlign w:val="center"/>
          </w:tcPr>
          <w:p w14:paraId="0FC87291">
            <w:pPr>
              <w:widowControl/>
              <w:spacing w:line="400" w:lineRule="exact"/>
              <w:jc w:val="center"/>
              <w:textAlignment w:val="center"/>
              <w:rPr>
                <w:rFonts w:ascii="仿宋" w:hAnsi="仿宋" w:eastAsia="仿宋" w:cs="仿宋"/>
                <w:sz w:val="24"/>
              </w:rPr>
            </w:pPr>
          </w:p>
        </w:tc>
        <w:tc>
          <w:tcPr>
            <w:tcW w:w="1710" w:type="dxa"/>
            <w:tcBorders>
              <w:top w:val="single" w:color="000000" w:sz="4" w:space="0"/>
              <w:left w:val="single" w:color="000000" w:sz="4" w:space="0"/>
              <w:bottom w:val="single" w:color="000000" w:sz="4" w:space="0"/>
              <w:right w:val="single" w:color="000000" w:sz="4" w:space="0"/>
            </w:tcBorders>
            <w:vAlign w:val="center"/>
          </w:tcPr>
          <w:p w14:paraId="17DFE917">
            <w:pPr>
              <w:widowControl/>
              <w:spacing w:line="400" w:lineRule="exact"/>
              <w:jc w:val="center"/>
              <w:textAlignment w:val="center"/>
              <w:rPr>
                <w:rFonts w:ascii="仿宋" w:hAnsi="仿宋" w:eastAsia="仿宋" w:cs="仿宋"/>
                <w:sz w:val="24"/>
              </w:rPr>
            </w:pPr>
          </w:p>
        </w:tc>
        <w:tc>
          <w:tcPr>
            <w:tcW w:w="1350" w:type="dxa"/>
            <w:tcBorders>
              <w:top w:val="single" w:color="000000" w:sz="4" w:space="0"/>
              <w:left w:val="single" w:color="000000" w:sz="4" w:space="0"/>
              <w:bottom w:val="single" w:color="000000" w:sz="4" w:space="0"/>
              <w:right w:val="single" w:color="000000" w:sz="4" w:space="0"/>
            </w:tcBorders>
            <w:vAlign w:val="center"/>
          </w:tcPr>
          <w:p w14:paraId="03FDC49E">
            <w:pPr>
              <w:widowControl/>
              <w:spacing w:line="400" w:lineRule="exact"/>
              <w:jc w:val="center"/>
              <w:textAlignment w:val="center"/>
              <w:rPr>
                <w:rFonts w:ascii="仿宋" w:hAnsi="仿宋" w:eastAsia="仿宋" w:cs="仿宋"/>
                <w:sz w:val="24"/>
              </w:rPr>
            </w:pPr>
          </w:p>
        </w:tc>
        <w:tc>
          <w:tcPr>
            <w:tcW w:w="1425" w:type="dxa"/>
            <w:tcBorders>
              <w:top w:val="single" w:color="000000" w:sz="4" w:space="0"/>
              <w:left w:val="single" w:color="000000" w:sz="4" w:space="0"/>
              <w:bottom w:val="single" w:color="000000" w:sz="4" w:space="0"/>
              <w:right w:val="single" w:color="000000" w:sz="4" w:space="0"/>
            </w:tcBorders>
            <w:vAlign w:val="center"/>
          </w:tcPr>
          <w:p w14:paraId="396C89C9">
            <w:pPr>
              <w:widowControl/>
              <w:spacing w:line="400" w:lineRule="exact"/>
              <w:jc w:val="center"/>
              <w:textAlignment w:val="center"/>
              <w:rPr>
                <w:rFonts w:ascii="仿宋" w:hAnsi="仿宋" w:eastAsia="仿宋" w:cs="仿宋"/>
                <w:sz w:val="24"/>
              </w:rPr>
            </w:pPr>
          </w:p>
        </w:tc>
        <w:tc>
          <w:tcPr>
            <w:tcW w:w="1410" w:type="dxa"/>
            <w:tcBorders>
              <w:top w:val="single" w:color="000000" w:sz="4" w:space="0"/>
              <w:left w:val="single" w:color="000000" w:sz="4" w:space="0"/>
              <w:bottom w:val="single" w:color="000000" w:sz="4" w:space="0"/>
              <w:right w:val="single" w:color="auto" w:sz="4" w:space="0"/>
            </w:tcBorders>
            <w:vAlign w:val="center"/>
          </w:tcPr>
          <w:p w14:paraId="13EEBA31">
            <w:pPr>
              <w:widowControl/>
              <w:spacing w:line="400" w:lineRule="exact"/>
              <w:jc w:val="center"/>
              <w:textAlignment w:val="center"/>
              <w:rPr>
                <w:rFonts w:ascii="仿宋" w:hAnsi="仿宋" w:eastAsia="仿宋" w:cs="仿宋"/>
                <w:sz w:val="24"/>
              </w:rPr>
            </w:pPr>
          </w:p>
        </w:tc>
      </w:tr>
    </w:tbl>
    <w:p w14:paraId="161CC5F8"/>
    <w:p w14:paraId="68E376F6">
      <w:pPr>
        <w:pStyle w:val="3"/>
        <w:spacing w:before="100" w:after="100"/>
        <w:jc w:val="both"/>
      </w:pPr>
    </w:p>
    <w:p w14:paraId="79579A39">
      <w:pPr>
        <w:pStyle w:val="3"/>
        <w:spacing w:before="100" w:after="100"/>
        <w:jc w:val="both"/>
      </w:pPr>
    </w:p>
    <w:p w14:paraId="30C47B43">
      <w:pPr>
        <w:pStyle w:val="3"/>
        <w:spacing w:before="100" w:after="100"/>
        <w:jc w:val="both"/>
      </w:pPr>
    </w:p>
    <w:p w14:paraId="7CB98B3C">
      <w:pPr>
        <w:pStyle w:val="3"/>
        <w:spacing w:before="100" w:after="100"/>
        <w:jc w:val="both"/>
      </w:pPr>
    </w:p>
    <w:p w14:paraId="751F6B17">
      <w:pPr>
        <w:pStyle w:val="4"/>
        <w:ind w:firstLine="482" w:firstLineChars="200"/>
      </w:pPr>
    </w:p>
    <w:p w14:paraId="515C3994">
      <w:pPr>
        <w:pStyle w:val="4"/>
        <w:ind w:firstLine="482" w:firstLineChars="200"/>
      </w:pPr>
      <w:bookmarkStart w:id="28" w:name="_Toc138151651"/>
      <w:bookmarkStart w:id="29" w:name="_Toc8434"/>
      <w:r>
        <w:rPr>
          <w:rFonts w:hint="eastAsia"/>
        </w:rPr>
        <w:t>5.3三甲综合医院同类项目案例合同及验收佐证</w:t>
      </w:r>
      <w:bookmarkEnd w:id="28"/>
      <w:bookmarkEnd w:id="29"/>
    </w:p>
    <w:p w14:paraId="5A19D614">
      <w:pPr>
        <w:pStyle w:val="3"/>
        <w:spacing w:before="100" w:after="100"/>
        <w:jc w:val="both"/>
      </w:pPr>
      <w:bookmarkStart w:id="30" w:name="_Toc138151652"/>
      <w:bookmarkStart w:id="31" w:name="_Toc8761"/>
      <w:r>
        <w:rPr>
          <w:rFonts w:hint="eastAsia"/>
        </w:rPr>
        <w:t>六、报价表</w:t>
      </w:r>
      <w:bookmarkEnd w:id="30"/>
      <w:r>
        <w:rPr>
          <w:rFonts w:hint="eastAsia"/>
        </w:rPr>
        <w:t>包含内容</w:t>
      </w:r>
      <w:bookmarkEnd w:id="31"/>
    </w:p>
    <w:p w14:paraId="2C36AC03">
      <w:pPr>
        <w:pStyle w:val="2"/>
        <w:ind w:firstLine="560"/>
        <w:rPr>
          <w:rFonts w:ascii="仿宋" w:hAnsi="仿宋" w:eastAsia="仿宋" w:cs="仿宋"/>
          <w:color w:val="auto"/>
          <w:kern w:val="2"/>
        </w:rPr>
      </w:pPr>
      <w:r>
        <w:rPr>
          <w:rFonts w:hint="eastAsia" w:ascii="仿宋" w:hAnsi="仿宋" w:eastAsia="仿宋" w:cs="仿宋"/>
          <w:color w:val="auto"/>
          <w:kern w:val="2"/>
        </w:rPr>
        <w:t>1.报价包含项目实施所涉及的软件及配套硬件、成本、费用和税金，其包括但不限于软件开发、安装、调试、验收、培训、税金、第三方系统的接口开发等费用。</w:t>
      </w:r>
    </w:p>
    <w:p w14:paraId="4871B466">
      <w:pPr>
        <w:pStyle w:val="2"/>
        <w:ind w:firstLine="560"/>
        <w:rPr>
          <w:rFonts w:ascii="仿宋" w:hAnsi="仿宋" w:eastAsia="仿宋" w:cs="仿宋"/>
          <w:color w:val="auto"/>
          <w:kern w:val="2"/>
        </w:rPr>
      </w:pPr>
      <w:r>
        <w:rPr>
          <w:rFonts w:hint="eastAsia" w:ascii="仿宋" w:hAnsi="仿宋" w:eastAsia="仿宋" w:cs="仿宋"/>
          <w:color w:val="auto"/>
          <w:kern w:val="2"/>
        </w:rPr>
        <w:t>2.系统建设实施直至整体验收提供不少于1名具有实施经验的技术人员常驻医院现场。</w:t>
      </w:r>
    </w:p>
    <w:p w14:paraId="4D228791">
      <w:pPr>
        <w:pStyle w:val="2"/>
        <w:ind w:firstLine="560"/>
        <w:rPr>
          <w:rFonts w:ascii="仿宋" w:hAnsi="仿宋" w:eastAsia="仿宋" w:cs="仿宋"/>
          <w:color w:val="auto"/>
          <w:kern w:val="2"/>
        </w:rPr>
      </w:pPr>
      <w:r>
        <w:rPr>
          <w:rFonts w:hint="eastAsia" w:ascii="仿宋" w:hAnsi="仿宋" w:eastAsia="仿宋" w:cs="仿宋"/>
          <w:color w:val="auto"/>
          <w:kern w:val="2"/>
        </w:rPr>
        <w:t>3.系统整体验收合格之日起提供不少于3年的免费质保期，质保期内免费上门服务，质保期内提供免费的软件升级及接口改造服务，包括医院主要业务系统变更等。</w:t>
      </w:r>
    </w:p>
    <w:p w14:paraId="40B7AFB3">
      <w:pPr>
        <w:pStyle w:val="2"/>
        <w:ind w:firstLine="560"/>
        <w:rPr>
          <w:rFonts w:ascii="仿宋" w:hAnsi="仿宋" w:eastAsia="仿宋" w:cs="仿宋"/>
          <w:color w:val="auto"/>
          <w:kern w:val="2"/>
        </w:rPr>
      </w:pPr>
      <w:r>
        <w:rPr>
          <w:rFonts w:hint="eastAsia" w:ascii="仿宋" w:hAnsi="仿宋" w:eastAsia="仿宋" w:cs="仿宋"/>
          <w:color w:val="auto"/>
          <w:kern w:val="2"/>
        </w:rPr>
        <w:t>4.质保期之后，系统维保费率不高于招投标总价的5%。</w:t>
      </w:r>
    </w:p>
    <w:p w14:paraId="61DC40B0">
      <w:pPr>
        <w:pStyle w:val="2"/>
        <w:ind w:firstLine="560"/>
        <w:rPr>
          <w:rFonts w:ascii="仿宋" w:hAnsi="仿宋" w:eastAsia="仿宋" w:cs="仿宋"/>
          <w:color w:val="auto"/>
          <w:kern w:val="2"/>
        </w:rPr>
      </w:pPr>
      <w:r>
        <w:rPr>
          <w:rFonts w:hint="eastAsia" w:ascii="仿宋" w:hAnsi="仿宋" w:eastAsia="仿宋" w:cs="仿宋"/>
          <w:color w:val="auto"/>
          <w:kern w:val="2"/>
        </w:rPr>
        <w:t>5.支持Windows平台或国产化平台。</w:t>
      </w:r>
    </w:p>
    <w:p w14:paraId="59AA97E5">
      <w:pPr>
        <w:pStyle w:val="2"/>
        <w:ind w:firstLine="560"/>
        <w:rPr>
          <w:rFonts w:ascii="仿宋" w:hAnsi="仿宋" w:eastAsia="仿宋" w:cs="仿宋"/>
          <w:color w:val="auto"/>
          <w:kern w:val="2"/>
        </w:rPr>
      </w:pPr>
      <w:r>
        <w:rPr>
          <w:rFonts w:hint="eastAsia" w:ascii="仿宋" w:hAnsi="仿宋" w:eastAsia="仿宋" w:cs="仿宋"/>
          <w:color w:val="auto"/>
          <w:kern w:val="2"/>
        </w:rPr>
        <w:t>6.灾备中心视频监控及门禁系统须选用支持国家商用密码应用相关要求产品。</w:t>
      </w:r>
    </w:p>
    <w:p w14:paraId="009224FB">
      <w:pPr>
        <w:pStyle w:val="2"/>
        <w:ind w:firstLine="560"/>
        <w:rPr>
          <w:rFonts w:ascii="仿宋" w:hAnsi="仿宋" w:eastAsia="仿宋" w:cs="仿宋"/>
          <w:color w:val="auto"/>
          <w:kern w:val="2"/>
        </w:rPr>
      </w:pPr>
      <w:r>
        <w:rPr>
          <w:rFonts w:hint="eastAsia" w:ascii="仿宋" w:hAnsi="仿宋" w:eastAsia="仿宋" w:cs="仿宋"/>
          <w:color w:val="auto"/>
          <w:kern w:val="2"/>
        </w:rPr>
        <w:t>7.待资阳市政务服务和大数据管理局完成政务信创云项目建设后，本系统将迁移至政务信创云，需对本项目进行服务及数据迁移，业务中断≤24小时。</w:t>
      </w:r>
    </w:p>
    <w:p w14:paraId="01A15D2C">
      <w:pPr>
        <w:pStyle w:val="2"/>
        <w:rPr>
          <w:rFonts w:ascii="仿宋" w:hAnsi="仿宋" w:eastAsia="仿宋" w:cs="仿宋"/>
          <w:color w:val="auto"/>
          <w:kern w:val="2"/>
        </w:rPr>
      </w:pPr>
    </w:p>
    <w:p w14:paraId="26800601">
      <w:pPr>
        <w:pStyle w:val="3"/>
        <w:spacing w:before="100" w:after="100"/>
        <w:jc w:val="both"/>
        <w:rPr>
          <w:rFonts w:ascii="仿宋" w:hAnsi="仿宋" w:eastAsia="仿宋" w:cs="仿宋"/>
          <w:b w:val="0"/>
          <w:kern w:val="2"/>
          <w:sz w:val="24"/>
        </w:rPr>
      </w:pPr>
      <w:bookmarkStart w:id="32" w:name="_Toc30845"/>
      <w:r>
        <w:rPr>
          <w:rFonts w:hint="eastAsia"/>
        </w:rPr>
        <w:t>七、建设方案</w:t>
      </w:r>
      <w:bookmarkEnd w:id="32"/>
    </w:p>
    <w:p w14:paraId="18730900">
      <w:bookmarkStart w:id="33" w:name="_Toc138151653"/>
      <w:r>
        <w:rPr>
          <w:rFonts w:hint="eastAsia"/>
        </w:rPr>
        <w:t>（包含以内容，其他内容自拟）</w:t>
      </w:r>
    </w:p>
    <w:p w14:paraId="102D0BC6">
      <w:pPr>
        <w:pStyle w:val="4"/>
        <w:ind w:firstLine="482" w:firstLineChars="200"/>
      </w:pPr>
      <w:bookmarkStart w:id="34" w:name="_Toc21598"/>
      <w:r>
        <w:rPr>
          <w:rFonts w:hint="eastAsia"/>
        </w:rPr>
        <w:t>7.1 实施条件（实施所需的支持条件）</w:t>
      </w:r>
      <w:bookmarkEnd w:id="33"/>
      <w:bookmarkEnd w:id="34"/>
    </w:p>
    <w:p w14:paraId="2B2960B1">
      <w:pPr>
        <w:pStyle w:val="4"/>
        <w:ind w:firstLine="482" w:firstLineChars="200"/>
      </w:pPr>
      <w:bookmarkStart w:id="35" w:name="_Toc7653"/>
      <w:bookmarkStart w:id="36" w:name="_Toc138151654"/>
      <w:r>
        <w:rPr>
          <w:rFonts w:hint="eastAsia"/>
        </w:rPr>
        <w:t>7.2 实施周期</w:t>
      </w:r>
      <w:bookmarkEnd w:id="35"/>
      <w:bookmarkEnd w:id="36"/>
    </w:p>
    <w:p w14:paraId="6D6F3982">
      <w:pPr>
        <w:pStyle w:val="4"/>
        <w:ind w:firstLine="482" w:firstLineChars="200"/>
      </w:pPr>
      <w:bookmarkStart w:id="37" w:name="_Toc138151655"/>
      <w:bookmarkStart w:id="38" w:name="_Toc32321"/>
      <w:r>
        <w:rPr>
          <w:rFonts w:hint="eastAsia"/>
        </w:rPr>
        <w:t>7.3 系统运行环境</w:t>
      </w:r>
      <w:bookmarkEnd w:id="37"/>
      <w:bookmarkEnd w:id="38"/>
    </w:p>
    <w:p w14:paraId="5EFE1232">
      <w:pPr>
        <w:pStyle w:val="4"/>
        <w:ind w:firstLine="482" w:firstLineChars="200"/>
      </w:pPr>
      <w:bookmarkStart w:id="39" w:name="_Toc138151656"/>
      <w:bookmarkStart w:id="40" w:name="_Toc26889"/>
      <w:r>
        <w:rPr>
          <w:rFonts w:hint="eastAsia"/>
        </w:rPr>
        <w:t>7.4 系统总体架构</w:t>
      </w:r>
      <w:bookmarkEnd w:id="39"/>
      <w:bookmarkEnd w:id="40"/>
    </w:p>
    <w:p w14:paraId="540CE1DA"/>
    <w:p w14:paraId="0D41524C"/>
    <w:p w14:paraId="1DFEE8E1"/>
    <w:sectPr>
      <w:pgSz w:w="11906" w:h="16838"/>
      <w:pgMar w:top="1134" w:right="567"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EC59E594-2117-413C-B859-B20E9765D9DF}"/>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embedRegular r:id="rId2" w:fontKey="{27445B2B-7C2C-4A95-A872-5821464AA79B}"/>
  </w:font>
  <w:font w:name="微软雅黑">
    <w:panose1 w:val="020B0503020204020204"/>
    <w:charset w:val="86"/>
    <w:family w:val="swiss"/>
    <w:pitch w:val="default"/>
    <w:sig w:usb0="80000287" w:usb1="2ACF3C50" w:usb2="00000016" w:usb3="00000000" w:csb0="0004001F" w:csb1="00000000"/>
    <w:embedRegular r:id="rId3" w:fontKey="{A11E70DC-0AE4-4DEA-8489-DEC6B0512539}"/>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4381D9"/>
    <w:multiLevelType w:val="singleLevel"/>
    <w:tmpl w:val="A64381D9"/>
    <w:lvl w:ilvl="0" w:tentative="0">
      <w:start w:val="1"/>
      <w:numFmt w:val="decimal"/>
      <w:suff w:val="nothing"/>
      <w:lvlText w:val="（%1）"/>
      <w:lvlJc w:val="left"/>
    </w:lvl>
  </w:abstractNum>
  <w:abstractNum w:abstractNumId="1">
    <w:nsid w:val="23DEF404"/>
    <w:multiLevelType w:val="singleLevel"/>
    <w:tmpl w:val="23DEF404"/>
    <w:lvl w:ilvl="0" w:tentative="0">
      <w:start w:val="1"/>
      <w:numFmt w:val="chineseCounting"/>
      <w:suff w:val="nothing"/>
      <w:lvlText w:val="%1、"/>
      <w:lvlJc w:val="left"/>
      <w:rPr>
        <w:rFonts w:hint="eastAsia"/>
      </w:rPr>
    </w:lvl>
  </w:abstractNum>
  <w:abstractNum w:abstractNumId="2">
    <w:nsid w:val="41B94DCF"/>
    <w:multiLevelType w:val="singleLevel"/>
    <w:tmpl w:val="41B94DCF"/>
    <w:lvl w:ilvl="0" w:tentative="0">
      <w:start w:val="4"/>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JlZWZkZDMxMzg2MTBmMjU2YTlhNWI3ZmFjNDQ4MWUifQ=="/>
  </w:docVars>
  <w:rsids>
    <w:rsidRoot w:val="00E828E1"/>
    <w:rsid w:val="001C4BF3"/>
    <w:rsid w:val="003B11E1"/>
    <w:rsid w:val="003C4CA5"/>
    <w:rsid w:val="0070103D"/>
    <w:rsid w:val="00AB7E80"/>
    <w:rsid w:val="00D54BD6"/>
    <w:rsid w:val="00E05C4F"/>
    <w:rsid w:val="00E828E1"/>
    <w:rsid w:val="0224038E"/>
    <w:rsid w:val="02630FBD"/>
    <w:rsid w:val="02CE7139"/>
    <w:rsid w:val="03D3104E"/>
    <w:rsid w:val="04593878"/>
    <w:rsid w:val="0593729F"/>
    <w:rsid w:val="05E14190"/>
    <w:rsid w:val="06242FB8"/>
    <w:rsid w:val="07C537D5"/>
    <w:rsid w:val="0B187AA4"/>
    <w:rsid w:val="0C811C7B"/>
    <w:rsid w:val="0CDC4161"/>
    <w:rsid w:val="0D5422FE"/>
    <w:rsid w:val="0DB735A4"/>
    <w:rsid w:val="0DD4413B"/>
    <w:rsid w:val="0EA93CA3"/>
    <w:rsid w:val="0F000A68"/>
    <w:rsid w:val="0FA53BB8"/>
    <w:rsid w:val="121A3D4C"/>
    <w:rsid w:val="13712447"/>
    <w:rsid w:val="15CF1F26"/>
    <w:rsid w:val="16207B77"/>
    <w:rsid w:val="16B46547"/>
    <w:rsid w:val="18D92EBD"/>
    <w:rsid w:val="1AAF2DD5"/>
    <w:rsid w:val="1AE31E7C"/>
    <w:rsid w:val="1B940366"/>
    <w:rsid w:val="1C450915"/>
    <w:rsid w:val="1C486DE7"/>
    <w:rsid w:val="1DBE13B8"/>
    <w:rsid w:val="1ED65F1E"/>
    <w:rsid w:val="20E172DD"/>
    <w:rsid w:val="20E3342D"/>
    <w:rsid w:val="22A273FF"/>
    <w:rsid w:val="24C148B0"/>
    <w:rsid w:val="259E1F58"/>
    <w:rsid w:val="25C63BAB"/>
    <w:rsid w:val="25C67C05"/>
    <w:rsid w:val="283860D8"/>
    <w:rsid w:val="29FF496C"/>
    <w:rsid w:val="2A1F28C7"/>
    <w:rsid w:val="2AFE23BA"/>
    <w:rsid w:val="2B8925CC"/>
    <w:rsid w:val="2C056E97"/>
    <w:rsid w:val="2C2569BE"/>
    <w:rsid w:val="2C6F6170"/>
    <w:rsid w:val="2D755A60"/>
    <w:rsid w:val="2E8E10D4"/>
    <w:rsid w:val="305F1B4D"/>
    <w:rsid w:val="32024D28"/>
    <w:rsid w:val="33EC7B9C"/>
    <w:rsid w:val="34B66051"/>
    <w:rsid w:val="38761053"/>
    <w:rsid w:val="38A804E3"/>
    <w:rsid w:val="3A985554"/>
    <w:rsid w:val="3AAB598F"/>
    <w:rsid w:val="3ADB6241"/>
    <w:rsid w:val="3B6224F2"/>
    <w:rsid w:val="3CC2593E"/>
    <w:rsid w:val="3EBE4976"/>
    <w:rsid w:val="3EF73899"/>
    <w:rsid w:val="3FC03C8B"/>
    <w:rsid w:val="428970E4"/>
    <w:rsid w:val="42FA3846"/>
    <w:rsid w:val="447C162E"/>
    <w:rsid w:val="44827E57"/>
    <w:rsid w:val="44D37FBC"/>
    <w:rsid w:val="45C06792"/>
    <w:rsid w:val="45FB5522"/>
    <w:rsid w:val="47823284"/>
    <w:rsid w:val="485E35F8"/>
    <w:rsid w:val="48B124D9"/>
    <w:rsid w:val="49550899"/>
    <w:rsid w:val="49E732EC"/>
    <w:rsid w:val="4A6E7E54"/>
    <w:rsid w:val="4B85080B"/>
    <w:rsid w:val="4F5F64BA"/>
    <w:rsid w:val="4FB545D4"/>
    <w:rsid w:val="502E58AD"/>
    <w:rsid w:val="50FC5911"/>
    <w:rsid w:val="536B2A7D"/>
    <w:rsid w:val="53BC2C8F"/>
    <w:rsid w:val="53E51F5E"/>
    <w:rsid w:val="541505F1"/>
    <w:rsid w:val="552B51BC"/>
    <w:rsid w:val="56837A94"/>
    <w:rsid w:val="59410223"/>
    <w:rsid w:val="59484FC5"/>
    <w:rsid w:val="5A920D49"/>
    <w:rsid w:val="5BB10EFE"/>
    <w:rsid w:val="5D12731D"/>
    <w:rsid w:val="5DEA79AF"/>
    <w:rsid w:val="5E2F3B42"/>
    <w:rsid w:val="5FDD7E71"/>
    <w:rsid w:val="5FF33819"/>
    <w:rsid w:val="61054F06"/>
    <w:rsid w:val="62561308"/>
    <w:rsid w:val="62927E29"/>
    <w:rsid w:val="640D6CAC"/>
    <w:rsid w:val="647132F6"/>
    <w:rsid w:val="64BC1C2E"/>
    <w:rsid w:val="650C4189"/>
    <w:rsid w:val="67CB7B5D"/>
    <w:rsid w:val="687304EE"/>
    <w:rsid w:val="6A987C6E"/>
    <w:rsid w:val="6BB64010"/>
    <w:rsid w:val="6D4B29EE"/>
    <w:rsid w:val="6D6D71FE"/>
    <w:rsid w:val="6D8A51FD"/>
    <w:rsid w:val="6EC06CA8"/>
    <w:rsid w:val="6EED01BE"/>
    <w:rsid w:val="6FBD596D"/>
    <w:rsid w:val="70956A2A"/>
    <w:rsid w:val="709E1F5D"/>
    <w:rsid w:val="71B2000E"/>
    <w:rsid w:val="71BF53D8"/>
    <w:rsid w:val="725577F4"/>
    <w:rsid w:val="73CE3C03"/>
    <w:rsid w:val="74BE1DD0"/>
    <w:rsid w:val="75AA5052"/>
    <w:rsid w:val="75BE2C2C"/>
    <w:rsid w:val="76EB7264"/>
    <w:rsid w:val="77AE38A3"/>
    <w:rsid w:val="77F5610B"/>
    <w:rsid w:val="79175759"/>
    <w:rsid w:val="7B711D02"/>
    <w:rsid w:val="7B845591"/>
    <w:rsid w:val="7CEF5984"/>
    <w:rsid w:val="7E2A3AF8"/>
    <w:rsid w:val="7F2D0FB6"/>
    <w:rsid w:val="7F803D3C"/>
    <w:rsid w:val="7FE05D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after="330" w:line="360" w:lineRule="auto"/>
      <w:jc w:val="center"/>
      <w:outlineLvl w:val="0"/>
    </w:pPr>
    <w:rPr>
      <w:b/>
      <w:kern w:val="44"/>
      <w:sz w:val="30"/>
    </w:rPr>
  </w:style>
  <w:style w:type="paragraph" w:styleId="4">
    <w:name w:val="heading 2"/>
    <w:basedOn w:val="1"/>
    <w:next w:val="1"/>
    <w:unhideWhenUsed/>
    <w:qFormat/>
    <w:uiPriority w:val="0"/>
    <w:pPr>
      <w:keepNext/>
      <w:keepLines/>
      <w:spacing w:line="360" w:lineRule="auto"/>
      <w:outlineLvl w:val="1"/>
    </w:pPr>
    <w:rPr>
      <w:rFonts w:ascii="Arial" w:hAnsi="Arial" w:eastAsia="黑体"/>
      <w:b/>
      <w:sz w:val="24"/>
    </w:rPr>
  </w:style>
  <w:style w:type="character" w:default="1" w:styleId="14">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5">
    <w:name w:val="Body Text"/>
    <w:basedOn w:val="1"/>
    <w:next w:val="1"/>
    <w:qFormat/>
    <w:uiPriority w:val="0"/>
    <w:pPr>
      <w:spacing w:before="1" w:line="360" w:lineRule="auto"/>
    </w:pPr>
    <w:rPr>
      <w:rFonts w:ascii="宋体" w:hAnsi="宋体" w:eastAsia="仿宋" w:cs="宋体"/>
      <w:sz w:val="24"/>
      <w:lang w:val="zh-CN" w:bidi="zh-CN"/>
    </w:rPr>
  </w:style>
  <w:style w:type="paragraph" w:styleId="6">
    <w:name w:val="Balloon Text"/>
    <w:basedOn w:val="1"/>
    <w:link w:val="26"/>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link w:val="27"/>
    <w:qFormat/>
    <w:uiPriority w:val="0"/>
    <w:pPr>
      <w:tabs>
        <w:tab w:val="center" w:pos="4153"/>
        <w:tab w:val="right" w:pos="8306"/>
      </w:tabs>
      <w:snapToGrid w:val="0"/>
      <w:jc w:val="center"/>
    </w:pPr>
    <w:rPr>
      <w:sz w:val="18"/>
      <w:szCs w:val="18"/>
    </w:rPr>
  </w:style>
  <w:style w:type="paragraph" w:styleId="9">
    <w:name w:val="toc 1"/>
    <w:basedOn w:val="1"/>
    <w:next w:val="1"/>
    <w:qFormat/>
    <w:uiPriority w:val="39"/>
  </w:style>
  <w:style w:type="paragraph" w:styleId="10">
    <w:name w:val="toc 2"/>
    <w:basedOn w:val="1"/>
    <w:next w:val="1"/>
    <w:qFormat/>
    <w:uiPriority w:val="0"/>
    <w:pPr>
      <w:ind w:left="420" w:leftChars="200"/>
    </w:pPr>
  </w:style>
  <w:style w:type="paragraph" w:styleId="11">
    <w:name w:val="Normal (Web)"/>
    <w:basedOn w:val="1"/>
    <w:unhideWhenUsed/>
    <w:qFormat/>
    <w:uiPriority w:val="99"/>
    <w:pPr>
      <w:spacing w:before="100" w:beforeAutospacing="1" w:after="100" w:afterAutospacing="1"/>
    </w:pPr>
    <w:rPr>
      <w:rFonts w:ascii="宋体" w:hAnsi="宋体" w:eastAsia="宋体" w:cs="宋体"/>
      <w:sz w:val="24"/>
    </w:rPr>
  </w:style>
  <w:style w:type="table" w:styleId="13">
    <w:name w:val="Table Grid"/>
    <w:basedOn w:val="12"/>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character" w:customStyle="1" w:styleId="16">
    <w:name w:val="font81"/>
    <w:basedOn w:val="14"/>
    <w:qFormat/>
    <w:uiPriority w:val="0"/>
    <w:rPr>
      <w:rFonts w:hint="eastAsia" w:ascii="仿宋" w:hAnsi="仿宋" w:eastAsia="仿宋" w:cs="仿宋"/>
      <w:color w:val="FF0000"/>
      <w:sz w:val="24"/>
      <w:szCs w:val="24"/>
      <w:u w:val="none"/>
    </w:rPr>
  </w:style>
  <w:style w:type="character" w:customStyle="1" w:styleId="17">
    <w:name w:val="font61"/>
    <w:basedOn w:val="14"/>
    <w:qFormat/>
    <w:uiPriority w:val="0"/>
    <w:rPr>
      <w:rFonts w:hint="eastAsia" w:ascii="仿宋" w:hAnsi="仿宋" w:eastAsia="仿宋" w:cs="仿宋"/>
      <w:color w:val="000000"/>
      <w:sz w:val="24"/>
      <w:szCs w:val="24"/>
      <w:u w:val="none"/>
    </w:rPr>
  </w:style>
  <w:style w:type="character" w:customStyle="1" w:styleId="18">
    <w:name w:val="font41"/>
    <w:basedOn w:val="14"/>
    <w:qFormat/>
    <w:uiPriority w:val="0"/>
    <w:rPr>
      <w:rFonts w:hint="eastAsia" w:ascii="仿宋" w:hAnsi="仿宋" w:eastAsia="仿宋" w:cs="仿宋"/>
      <w:color w:val="000000"/>
      <w:sz w:val="24"/>
      <w:szCs w:val="24"/>
      <w:u w:val="none"/>
    </w:rPr>
  </w:style>
  <w:style w:type="character" w:customStyle="1" w:styleId="19">
    <w:name w:val="font71"/>
    <w:basedOn w:val="14"/>
    <w:qFormat/>
    <w:uiPriority w:val="0"/>
    <w:rPr>
      <w:rFonts w:hint="eastAsia" w:ascii="仿宋" w:hAnsi="仿宋" w:eastAsia="仿宋" w:cs="仿宋"/>
      <w:color w:val="0070C0"/>
      <w:sz w:val="24"/>
      <w:szCs w:val="24"/>
      <w:u w:val="none"/>
    </w:rPr>
  </w:style>
  <w:style w:type="character" w:customStyle="1" w:styleId="20">
    <w:name w:val="font51"/>
    <w:basedOn w:val="14"/>
    <w:qFormat/>
    <w:uiPriority w:val="0"/>
    <w:rPr>
      <w:rFonts w:hint="eastAsia" w:ascii="宋体" w:hAnsi="宋体" w:eastAsia="宋体" w:cs="宋体"/>
      <w:color w:val="000000"/>
      <w:sz w:val="24"/>
      <w:szCs w:val="24"/>
      <w:u w:val="none"/>
    </w:rPr>
  </w:style>
  <w:style w:type="character" w:customStyle="1" w:styleId="21">
    <w:name w:val="font21"/>
    <w:basedOn w:val="14"/>
    <w:qFormat/>
    <w:uiPriority w:val="0"/>
    <w:rPr>
      <w:rFonts w:hint="eastAsia" w:ascii="宋体" w:hAnsi="宋体" w:eastAsia="宋体" w:cs="宋体"/>
      <w:color w:val="000000"/>
      <w:sz w:val="22"/>
      <w:szCs w:val="22"/>
      <w:u w:val="none"/>
    </w:rPr>
  </w:style>
  <w:style w:type="character" w:customStyle="1" w:styleId="22">
    <w:name w:val="font11"/>
    <w:basedOn w:val="14"/>
    <w:qFormat/>
    <w:uiPriority w:val="0"/>
    <w:rPr>
      <w:rFonts w:hint="eastAsia" w:ascii="宋体" w:hAnsi="宋体" w:eastAsia="宋体" w:cs="宋体"/>
      <w:b/>
      <w:bCs/>
      <w:color w:val="000000"/>
      <w:sz w:val="24"/>
      <w:szCs w:val="24"/>
      <w:u w:val="none"/>
    </w:rPr>
  </w:style>
  <w:style w:type="paragraph" w:customStyle="1" w:styleId="23">
    <w:name w:val="段"/>
    <w:next w:val="1"/>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character" w:customStyle="1" w:styleId="24">
    <w:name w:val="font31"/>
    <w:basedOn w:val="14"/>
    <w:qFormat/>
    <w:uiPriority w:val="0"/>
    <w:rPr>
      <w:rFonts w:hint="eastAsia" w:ascii="宋体" w:hAnsi="宋体" w:eastAsia="宋体" w:cs="宋体"/>
      <w:color w:val="000000"/>
      <w:sz w:val="24"/>
      <w:szCs w:val="24"/>
      <w:u w:val="none"/>
    </w:rPr>
  </w:style>
  <w:style w:type="character" w:customStyle="1" w:styleId="25">
    <w:name w:val="font01"/>
    <w:basedOn w:val="14"/>
    <w:qFormat/>
    <w:uiPriority w:val="0"/>
    <w:rPr>
      <w:rFonts w:hint="eastAsia" w:ascii="宋体" w:hAnsi="宋体" w:eastAsia="宋体" w:cs="宋体"/>
      <w:color w:val="000000"/>
      <w:sz w:val="22"/>
      <w:szCs w:val="22"/>
      <w:u w:val="none"/>
    </w:rPr>
  </w:style>
  <w:style w:type="character" w:customStyle="1" w:styleId="26">
    <w:name w:val="批注框文本 字符"/>
    <w:basedOn w:val="14"/>
    <w:link w:val="6"/>
    <w:qFormat/>
    <w:uiPriority w:val="0"/>
    <w:rPr>
      <w:rFonts w:asciiTheme="minorHAnsi" w:hAnsiTheme="minorHAnsi" w:eastAsiaTheme="minorEastAsia" w:cstheme="minorBidi"/>
      <w:kern w:val="2"/>
      <w:sz w:val="18"/>
      <w:szCs w:val="18"/>
    </w:rPr>
  </w:style>
  <w:style w:type="character" w:customStyle="1" w:styleId="27">
    <w:name w:val="页眉 字符"/>
    <w:basedOn w:val="14"/>
    <w:link w:val="8"/>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3497</Words>
  <Characters>3707</Characters>
  <Lines>45</Lines>
  <Paragraphs>12</Paragraphs>
  <TotalTime>3</TotalTime>
  <ScaleCrop>false</ScaleCrop>
  <LinksUpToDate>false</LinksUpToDate>
  <CharactersWithSpaces>3713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2026-02-04T02:53:00Z</dcterms:created>
  <dc:creator>Administrator</dc:creator>
  <cp:lastModifiedBy>林胜</cp:lastModifiedBy>
  <cp:lastPrinted>2024-01-10T00:56:00Z</cp:lastPrinted>
  <dcterms:modified xsi:type="dcterms:W3CDTF">2026-02-04T02:56:57Z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048CF33B61B7477D9275F4150298F7CD_13</vt:lpwstr>
  </property>
  <property fmtid="{D5CDD505-2E9C-101B-9397-08002B2CF9AE}" pid="4" name="KSOTemplateDocerSaveRecord">
    <vt:lpwstr>eyJoZGlkIjoiZDA3MTY5M2E4NmE4MWI0ZDk2YWZmZGNmNjYwYmFkODgiLCJ1c2VySWQiOiIxNTYwNzMyMDI5In0=</vt:lpwstr>
  </property>
</Properties>
</file>