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59B29">
      <w:pPr>
        <w:spacing w:line="360" w:lineRule="auto"/>
        <w:rPr>
          <w:rFonts w:ascii="宋体"/>
          <w:b/>
          <w:bCs/>
          <w:sz w:val="48"/>
          <w:szCs w:val="48"/>
        </w:rPr>
      </w:pPr>
    </w:p>
    <w:p w14:paraId="494E6795">
      <w:pPr>
        <w:jc w:val="center"/>
        <w:rPr>
          <w:rFonts w:ascii="宋体" w:hAnsi="宋体" w:cs="宋体"/>
          <w:b/>
          <w:bCs/>
          <w:spacing w:val="-12"/>
          <w:sz w:val="48"/>
          <w:szCs w:val="48"/>
        </w:rPr>
      </w:pPr>
    </w:p>
    <w:p w14:paraId="0685F34E">
      <w:pPr>
        <w:jc w:val="center"/>
        <w:rPr>
          <w:rFonts w:hint="eastAsia" w:ascii="宋体" w:hAnsi="宋体" w:cs="宋体"/>
          <w:b/>
          <w:bCs/>
          <w:spacing w:val="-12"/>
          <w:sz w:val="48"/>
          <w:szCs w:val="48"/>
        </w:rPr>
      </w:pPr>
      <w:r>
        <w:rPr>
          <w:rFonts w:hint="eastAsia" w:ascii="宋体" w:hAnsi="宋体" w:cs="宋体"/>
          <w:b/>
          <w:bCs/>
          <w:spacing w:val="-12"/>
          <w:sz w:val="48"/>
          <w:szCs w:val="48"/>
        </w:rPr>
        <w:t>资阳市中心医院防统方系统维保服务</w:t>
      </w:r>
    </w:p>
    <w:p w14:paraId="5FE8AA5A">
      <w:pPr>
        <w:jc w:val="center"/>
        <w:rPr>
          <w:rFonts w:ascii="宋体" w:hAnsi="宋体" w:cs="宋体"/>
          <w:b/>
          <w:bCs/>
          <w:spacing w:val="-12"/>
          <w:sz w:val="48"/>
          <w:szCs w:val="48"/>
        </w:rPr>
      </w:pPr>
      <w:bookmarkStart w:id="39" w:name="_GoBack"/>
      <w:bookmarkEnd w:id="39"/>
      <w:r>
        <w:rPr>
          <w:rFonts w:hint="eastAsia" w:ascii="宋体" w:hAnsi="宋体" w:cs="宋体"/>
          <w:b/>
          <w:bCs/>
          <w:spacing w:val="-12"/>
          <w:sz w:val="48"/>
          <w:szCs w:val="48"/>
        </w:rPr>
        <w:t>采购项目</w:t>
      </w:r>
    </w:p>
    <w:p w14:paraId="7BDC15C2">
      <w:pPr>
        <w:spacing w:line="360" w:lineRule="auto"/>
        <w:jc w:val="center"/>
        <w:rPr>
          <w:rFonts w:ascii="宋体" w:hAnsi="宋体" w:cs="宋体"/>
          <w:b/>
          <w:bCs/>
          <w:spacing w:val="42"/>
          <w:sz w:val="72"/>
          <w:szCs w:val="72"/>
        </w:rPr>
      </w:pPr>
    </w:p>
    <w:p w14:paraId="453BB63A">
      <w:pPr>
        <w:spacing w:line="360" w:lineRule="auto"/>
        <w:jc w:val="center"/>
        <w:rPr>
          <w:rFonts w:ascii="宋体" w:hAnsi="宋体" w:cs="宋体"/>
          <w:b/>
          <w:bCs/>
          <w:spacing w:val="42"/>
          <w:sz w:val="72"/>
          <w:szCs w:val="72"/>
        </w:rPr>
      </w:pPr>
    </w:p>
    <w:p w14:paraId="1ECAA790">
      <w:pPr>
        <w:spacing w:line="360" w:lineRule="auto"/>
        <w:jc w:val="center"/>
        <w:rPr>
          <w:rFonts w:ascii="宋体"/>
          <w:b/>
          <w:bCs/>
          <w:spacing w:val="42"/>
          <w:sz w:val="72"/>
          <w:szCs w:val="72"/>
        </w:rPr>
      </w:pPr>
      <w:r>
        <w:rPr>
          <w:rFonts w:hint="eastAsia" w:ascii="宋体" w:hAnsi="宋体" w:cs="宋体"/>
          <w:b/>
          <w:bCs/>
          <w:spacing w:val="42"/>
          <w:sz w:val="72"/>
          <w:szCs w:val="72"/>
        </w:rPr>
        <w:t>比选文件</w:t>
      </w:r>
    </w:p>
    <w:p w14:paraId="5F8B06A5">
      <w:pPr>
        <w:spacing w:line="360" w:lineRule="auto"/>
        <w:jc w:val="center"/>
        <w:rPr>
          <w:rFonts w:ascii="宋体"/>
          <w:b/>
          <w:bCs/>
          <w:spacing w:val="42"/>
          <w:sz w:val="72"/>
          <w:szCs w:val="72"/>
        </w:rPr>
      </w:pPr>
    </w:p>
    <w:p w14:paraId="738ABEC8">
      <w:pPr>
        <w:jc w:val="center"/>
        <w:rPr>
          <w:rFonts w:ascii="宋体"/>
          <w:b/>
          <w:bCs/>
          <w:sz w:val="44"/>
          <w:szCs w:val="44"/>
        </w:rPr>
      </w:pPr>
    </w:p>
    <w:p w14:paraId="2CC5EC81">
      <w:pPr>
        <w:rPr>
          <w:rFonts w:ascii="宋体"/>
          <w:b/>
          <w:bCs/>
          <w:sz w:val="32"/>
          <w:szCs w:val="32"/>
        </w:rPr>
      </w:pPr>
    </w:p>
    <w:p w14:paraId="400ECF6E">
      <w:pPr>
        <w:rPr>
          <w:rFonts w:ascii="宋体"/>
          <w:b/>
          <w:bCs/>
          <w:sz w:val="32"/>
          <w:szCs w:val="32"/>
        </w:rPr>
      </w:pPr>
    </w:p>
    <w:p w14:paraId="13387C24">
      <w:pPr>
        <w:rPr>
          <w:rFonts w:ascii="宋体"/>
          <w:b/>
          <w:bCs/>
          <w:sz w:val="32"/>
          <w:szCs w:val="32"/>
        </w:rPr>
      </w:pPr>
    </w:p>
    <w:p w14:paraId="78FF27FF">
      <w:pPr>
        <w:rPr>
          <w:rFonts w:ascii="宋体"/>
          <w:b/>
          <w:bCs/>
          <w:sz w:val="32"/>
          <w:szCs w:val="32"/>
        </w:rPr>
      </w:pPr>
    </w:p>
    <w:p w14:paraId="6FAE674E">
      <w:pPr>
        <w:jc w:val="center"/>
        <w:rPr>
          <w:rFonts w:ascii="宋体"/>
          <w:b/>
          <w:bCs/>
          <w:sz w:val="32"/>
          <w:szCs w:val="32"/>
        </w:rPr>
      </w:pPr>
    </w:p>
    <w:p w14:paraId="10BE1D57">
      <w:pPr>
        <w:spacing w:line="360" w:lineRule="auto"/>
        <w:jc w:val="center"/>
        <w:rPr>
          <w:rFonts w:ascii="宋体"/>
          <w:b/>
          <w:bCs/>
          <w:sz w:val="32"/>
          <w:szCs w:val="32"/>
        </w:rPr>
      </w:pPr>
      <w:r>
        <w:rPr>
          <w:rFonts w:hint="eastAsia" w:ascii="宋体" w:hAnsi="宋体" w:cs="宋体"/>
          <w:b/>
          <w:bCs/>
          <w:sz w:val="32"/>
          <w:szCs w:val="32"/>
        </w:rPr>
        <w:t>比选人：资阳市中心医院</w:t>
      </w:r>
    </w:p>
    <w:p w14:paraId="68784BC6">
      <w:pPr>
        <w:spacing w:line="360" w:lineRule="auto"/>
        <w:jc w:val="center"/>
        <w:rPr>
          <w:rFonts w:ascii="宋体"/>
          <w:b/>
          <w:bCs/>
          <w:sz w:val="32"/>
          <w:szCs w:val="32"/>
        </w:rPr>
      </w:pPr>
      <w:r>
        <w:rPr>
          <w:rFonts w:hint="eastAsia" w:ascii="宋体" w:hAnsi="宋体" w:cs="宋体"/>
          <w:b/>
          <w:bCs/>
          <w:sz w:val="32"/>
          <w:szCs w:val="32"/>
        </w:rPr>
        <w:t>四川</w:t>
      </w:r>
      <w:r>
        <w:rPr>
          <w:rFonts w:hint="eastAsia" w:ascii="宋体" w:cs="宋体"/>
          <w:b/>
          <w:bCs/>
          <w:sz w:val="32"/>
          <w:szCs w:val="32"/>
        </w:rPr>
        <w:t>·</w:t>
      </w:r>
      <w:r>
        <w:rPr>
          <w:rFonts w:hint="eastAsia" w:ascii="宋体" w:hAnsi="宋体" w:cs="宋体"/>
          <w:b/>
          <w:bCs/>
          <w:sz w:val="32"/>
          <w:szCs w:val="32"/>
        </w:rPr>
        <w:t>资阳</w:t>
      </w:r>
    </w:p>
    <w:p w14:paraId="69FFDB78">
      <w:pPr>
        <w:spacing w:line="360" w:lineRule="auto"/>
        <w:jc w:val="center"/>
        <w:rPr>
          <w:rFonts w:ascii="宋体"/>
          <w:b/>
          <w:bCs/>
          <w:sz w:val="32"/>
          <w:szCs w:val="32"/>
        </w:rPr>
      </w:pPr>
      <w:r>
        <w:rPr>
          <w:rFonts w:hint="eastAsia" w:ascii="宋体" w:hAnsi="宋体" w:cs="宋体"/>
          <w:b/>
          <w:bCs/>
          <w:sz w:val="32"/>
          <w:szCs w:val="32"/>
        </w:rPr>
        <w:t>二</w:t>
      </w:r>
      <w:r>
        <w:rPr>
          <w:rFonts w:ascii="宋体" w:hAnsi="宋体" w:cs="宋体"/>
          <w:b/>
          <w:bCs/>
          <w:sz w:val="32"/>
          <w:szCs w:val="32"/>
        </w:rPr>
        <w:t>O</w:t>
      </w:r>
      <w:r>
        <w:rPr>
          <w:rFonts w:hint="eastAsia" w:ascii="宋体" w:hAnsi="宋体" w:cs="宋体"/>
          <w:b/>
          <w:bCs/>
          <w:sz w:val="32"/>
          <w:szCs w:val="32"/>
        </w:rPr>
        <w:t>二六年三月</w:t>
      </w:r>
    </w:p>
    <w:p w14:paraId="1793840E">
      <w:pPr>
        <w:jc w:val="center"/>
        <w:rPr>
          <w:rFonts w:ascii="宋体"/>
        </w:rPr>
      </w:pPr>
      <w:r>
        <w:rPr>
          <w:rFonts w:ascii="宋体"/>
        </w:rPr>
        <w:br w:type="page"/>
      </w:r>
    </w:p>
    <w:p w14:paraId="113DD16C">
      <w:pPr>
        <w:ind w:firstLine="614" w:firstLineChars="192"/>
        <w:jc w:val="center"/>
        <w:outlineLvl w:val="0"/>
        <w:rPr>
          <w:rFonts w:ascii="宋体"/>
          <w:b/>
          <w:bCs/>
          <w:kern w:val="44"/>
          <w:sz w:val="32"/>
          <w:szCs w:val="32"/>
        </w:rPr>
      </w:pPr>
      <w:bookmarkStart w:id="0" w:name="_Toc180296779"/>
      <w:bookmarkStart w:id="1" w:name="_Toc211679176"/>
      <w:bookmarkStart w:id="2" w:name="_Toc173895837"/>
      <w:bookmarkStart w:id="3" w:name="_Toc173895652"/>
      <w:r>
        <w:rPr>
          <w:rFonts w:hint="eastAsia" w:ascii="宋体" w:hAnsi="宋体" w:cs="宋体"/>
          <w:b/>
          <w:bCs/>
          <w:kern w:val="44"/>
          <w:sz w:val="32"/>
          <w:szCs w:val="32"/>
        </w:rPr>
        <w:t>第一章比选邀请</w:t>
      </w:r>
    </w:p>
    <w:p w14:paraId="0B97E8E4">
      <w:pPr>
        <w:pStyle w:val="15"/>
        <w:spacing w:line="360" w:lineRule="auto"/>
        <w:ind w:left="0" w:leftChars="0"/>
        <w:rPr>
          <w:rFonts w:ascii="宋体"/>
          <w:b/>
          <w:bCs/>
          <w:sz w:val="36"/>
          <w:szCs w:val="36"/>
        </w:rPr>
      </w:pPr>
    </w:p>
    <w:p w14:paraId="5DCE1F56">
      <w:pPr>
        <w:pStyle w:val="15"/>
        <w:spacing w:line="360" w:lineRule="auto"/>
        <w:ind w:left="0" w:leftChars="0" w:firstLine="420" w:firstLineChars="200"/>
        <w:rPr>
          <w:rFonts w:ascii="宋体"/>
          <w:b/>
          <w:bCs/>
          <w:kern w:val="0"/>
          <w:u w:val="single"/>
        </w:rPr>
      </w:pPr>
      <w:r>
        <w:rPr>
          <w:rFonts w:hint="eastAsia" w:ascii="宋体" w:hAnsi="宋体" w:cs="宋体"/>
          <w:b/>
          <w:bCs/>
          <w:kern w:val="0"/>
        </w:rPr>
        <w:t>采购单位</w:t>
      </w:r>
      <w:r>
        <w:rPr>
          <w:rFonts w:hint="eastAsia" w:ascii="宋体" w:hAnsi="宋体" w:cs="宋体"/>
          <w:b/>
          <w:bCs/>
          <w:kern w:val="0"/>
          <w:u w:val="single"/>
        </w:rPr>
        <w:t xml:space="preserve">资阳市中心医院 </w:t>
      </w:r>
      <w:r>
        <w:rPr>
          <w:rFonts w:hint="eastAsia" w:ascii="宋体" w:hAnsi="宋体" w:cs="宋体"/>
          <w:b/>
          <w:bCs/>
          <w:kern w:val="0"/>
        </w:rPr>
        <w:t>拟对</w:t>
      </w:r>
      <w:r>
        <w:rPr>
          <w:rFonts w:hint="eastAsia" w:ascii="宋体" w:hAnsi="宋体" w:cs="宋体"/>
          <w:b/>
          <w:bCs/>
          <w:kern w:val="0"/>
          <w:u w:val="single"/>
        </w:rPr>
        <w:t>资阳市中心医院防统方系统维保服务采购项目</w:t>
      </w:r>
      <w:r>
        <w:rPr>
          <w:rFonts w:hint="eastAsia" w:ascii="宋体" w:hAnsi="宋体" w:cs="宋体"/>
          <w:b/>
          <w:bCs/>
          <w:spacing w:val="-4"/>
          <w:kern w:val="0"/>
        </w:rPr>
        <w:t>进行比选采购，欢迎符合资质要求的供应商前来参加。</w:t>
      </w:r>
    </w:p>
    <w:p w14:paraId="4794FC09">
      <w:pPr>
        <w:pStyle w:val="15"/>
        <w:spacing w:after="0" w:line="360" w:lineRule="auto"/>
        <w:ind w:left="0" w:leftChars="0" w:firstLine="420" w:firstLineChars="200"/>
        <w:rPr>
          <w:rFonts w:ascii="宋体"/>
          <w:b/>
          <w:bCs/>
          <w:kern w:val="0"/>
        </w:rPr>
      </w:pPr>
      <w:r>
        <w:rPr>
          <w:rFonts w:hint="eastAsia" w:ascii="宋体" w:hAnsi="宋体" w:cs="宋体"/>
          <w:b/>
          <w:bCs/>
          <w:kern w:val="0"/>
        </w:rPr>
        <w:t>一、比选编号：/</w:t>
      </w:r>
    </w:p>
    <w:p w14:paraId="3995BE49">
      <w:pPr>
        <w:pStyle w:val="15"/>
        <w:spacing w:after="0" w:line="360" w:lineRule="auto"/>
        <w:ind w:left="0" w:leftChars="0" w:firstLine="420" w:firstLineChars="200"/>
        <w:rPr>
          <w:rFonts w:ascii="宋体" w:hAnsi="宋体" w:cs="宋体"/>
          <w:b/>
          <w:bCs/>
          <w:kern w:val="0"/>
        </w:rPr>
      </w:pPr>
      <w:r>
        <w:rPr>
          <w:rFonts w:hint="eastAsia" w:ascii="宋体" w:hAnsi="宋体" w:cs="宋体"/>
          <w:b/>
          <w:bCs/>
          <w:kern w:val="0"/>
        </w:rPr>
        <w:t>二、比选项目：资阳市中心医院防统方系统维保服务采购项目</w:t>
      </w:r>
    </w:p>
    <w:p w14:paraId="40B1C844">
      <w:pPr>
        <w:pStyle w:val="15"/>
        <w:spacing w:after="0" w:line="360" w:lineRule="auto"/>
        <w:ind w:left="0" w:leftChars="0" w:firstLine="420" w:firstLineChars="200"/>
        <w:rPr>
          <w:rFonts w:ascii="宋体"/>
          <w:kern w:val="0"/>
        </w:rPr>
      </w:pPr>
      <w:r>
        <w:rPr>
          <w:rFonts w:hint="eastAsia" w:ascii="宋体" w:hAnsi="宋体" w:cs="宋体"/>
          <w:b/>
          <w:bCs/>
          <w:kern w:val="0"/>
        </w:rPr>
        <w:t>三、资金来源：已落实。</w:t>
      </w:r>
    </w:p>
    <w:p w14:paraId="7F5CB90F">
      <w:pPr>
        <w:pStyle w:val="15"/>
        <w:spacing w:after="0" w:line="360" w:lineRule="auto"/>
        <w:ind w:left="0" w:leftChars="0" w:firstLine="420" w:firstLineChars="200"/>
        <w:rPr>
          <w:rFonts w:ascii="宋体"/>
          <w:b/>
          <w:bCs/>
          <w:kern w:val="0"/>
        </w:rPr>
      </w:pPr>
      <w:r>
        <w:rPr>
          <w:rFonts w:hint="eastAsia" w:ascii="宋体" w:hAnsi="宋体" w:cs="宋体"/>
          <w:b/>
          <w:bCs/>
          <w:kern w:val="0"/>
        </w:rPr>
        <w:t>四、项目简介：</w:t>
      </w:r>
    </w:p>
    <w:p w14:paraId="233464EB">
      <w:pPr>
        <w:spacing w:after="156" w:afterLines="50" w:line="420" w:lineRule="exact"/>
        <w:ind w:firstLine="404" w:firstLineChars="200"/>
        <w:rPr>
          <w:rFonts w:ascii="宋体" w:hAnsi="宋体" w:cs="宋体"/>
          <w:spacing w:val="-4"/>
        </w:rPr>
      </w:pPr>
      <w:r>
        <w:rPr>
          <w:rFonts w:hint="eastAsia" w:ascii="宋体" w:hAnsi="宋体" w:cs="宋体"/>
          <w:spacing w:val="-4"/>
        </w:rPr>
        <w:t>本项目共</w:t>
      </w:r>
      <w:r>
        <w:rPr>
          <w:rFonts w:ascii="宋体" w:hAnsi="宋体" w:cs="宋体"/>
          <w:spacing w:val="-4"/>
        </w:rPr>
        <w:t>1</w:t>
      </w:r>
      <w:r>
        <w:rPr>
          <w:rFonts w:hint="eastAsia" w:ascii="宋体" w:hAnsi="宋体" w:cs="宋体"/>
          <w:spacing w:val="-4"/>
        </w:rPr>
        <w:t>个包，资阳市中心医院防统方系统维保服务采购项目1项。</w:t>
      </w:r>
      <w:r>
        <w:rPr>
          <w:rFonts w:hint="eastAsia" w:hAnsi="宋体"/>
          <w:kern w:val="0"/>
        </w:rPr>
        <w:t>本项目最高限价4.2万元。</w:t>
      </w:r>
    </w:p>
    <w:p w14:paraId="2C105793">
      <w:pPr>
        <w:spacing w:after="156" w:afterLines="50" w:line="420" w:lineRule="exact"/>
        <w:ind w:firstLine="420" w:firstLineChars="200"/>
        <w:rPr>
          <w:rFonts w:hAnsi="宋体"/>
          <w:kern w:val="0"/>
        </w:rPr>
      </w:pPr>
      <w:r>
        <w:rPr>
          <w:rFonts w:hint="eastAsia" w:hAnsi="宋体"/>
          <w:kern w:val="0"/>
        </w:rPr>
        <w:t>（详见比选文件第三章）</w:t>
      </w:r>
    </w:p>
    <w:p w14:paraId="09FC71D4">
      <w:pPr>
        <w:pStyle w:val="16"/>
        <w:spacing w:line="360" w:lineRule="auto"/>
        <w:ind w:firstLine="420" w:firstLineChars="200"/>
        <w:rPr>
          <w:rFonts w:hAnsi="宋体" w:cs="Times New Roman"/>
          <w:b/>
          <w:bCs/>
          <w:kern w:val="0"/>
        </w:rPr>
      </w:pPr>
      <w:r>
        <w:rPr>
          <w:rFonts w:hint="eastAsia" w:hAnsi="宋体"/>
          <w:b/>
          <w:bCs/>
          <w:kern w:val="0"/>
        </w:rPr>
        <w:t>五、合格供应商应具备的资格条件：</w:t>
      </w:r>
    </w:p>
    <w:p w14:paraId="34A79A2C">
      <w:pPr>
        <w:pStyle w:val="63"/>
        <w:spacing w:line="420" w:lineRule="exact"/>
        <w:ind w:firstLine="525" w:firstLineChars="250"/>
        <w:rPr>
          <w:rFonts w:ascii="宋体"/>
        </w:rPr>
      </w:pPr>
      <w:r>
        <w:rPr>
          <w:rFonts w:ascii="宋体" w:hAnsi="宋体" w:cs="宋体"/>
        </w:rPr>
        <w:t>1</w:t>
      </w:r>
      <w:r>
        <w:rPr>
          <w:rFonts w:hint="eastAsia" w:ascii="宋体" w:hAnsi="宋体" w:cs="宋体"/>
        </w:rPr>
        <w:t>、在中华人民共和国境内注册，具有独立法人资格的合法企业（提供营业执照副本、税务登记证副本、组织机构代码证副本）。</w:t>
      </w:r>
    </w:p>
    <w:p w14:paraId="1CD260C1">
      <w:pPr>
        <w:tabs>
          <w:tab w:val="left" w:pos="7665"/>
        </w:tabs>
        <w:spacing w:line="400" w:lineRule="exact"/>
        <w:ind w:firstLine="525" w:firstLineChars="250"/>
        <w:rPr>
          <w:rFonts w:ascii="宋体"/>
        </w:rPr>
      </w:pPr>
      <w:r>
        <w:rPr>
          <w:rFonts w:ascii="宋体" w:hAnsi="宋体" w:cs="宋体"/>
        </w:rPr>
        <w:t>2</w:t>
      </w:r>
      <w:r>
        <w:rPr>
          <w:rFonts w:hint="eastAsia" w:ascii="宋体" w:hAnsi="宋体" w:cs="宋体"/>
        </w:rPr>
        <w:t>、具有良好的商业信誉和健全的财务会计制度；</w:t>
      </w:r>
    </w:p>
    <w:p w14:paraId="4DD68CA0">
      <w:pPr>
        <w:tabs>
          <w:tab w:val="left" w:pos="7665"/>
        </w:tabs>
        <w:spacing w:line="400" w:lineRule="exact"/>
        <w:ind w:firstLine="525" w:firstLineChars="250"/>
        <w:rPr>
          <w:rFonts w:ascii="宋体"/>
        </w:rPr>
      </w:pPr>
      <w:r>
        <w:rPr>
          <w:rFonts w:ascii="宋体" w:hAnsi="宋体" w:cs="宋体"/>
        </w:rPr>
        <w:t>3</w:t>
      </w:r>
      <w:r>
        <w:rPr>
          <w:rFonts w:hint="eastAsia" w:ascii="宋体" w:hAnsi="宋体" w:cs="宋体"/>
        </w:rPr>
        <w:t>、具有履行合同所必须的设备和专业技术能力；</w:t>
      </w:r>
    </w:p>
    <w:p w14:paraId="3ADDBF06">
      <w:pPr>
        <w:tabs>
          <w:tab w:val="left" w:pos="7665"/>
        </w:tabs>
        <w:spacing w:line="400" w:lineRule="exact"/>
        <w:ind w:firstLine="525" w:firstLineChars="250"/>
        <w:rPr>
          <w:rFonts w:ascii="宋体"/>
        </w:rPr>
      </w:pPr>
      <w:r>
        <w:rPr>
          <w:rFonts w:ascii="宋体" w:hAnsi="宋体" w:cs="宋体"/>
        </w:rPr>
        <w:t>4</w:t>
      </w:r>
      <w:r>
        <w:rPr>
          <w:rFonts w:hint="eastAsia" w:ascii="宋体" w:hAnsi="宋体" w:cs="宋体"/>
        </w:rPr>
        <w:t>、具有依法缴纳税收和社会保障资金的良好记录；</w:t>
      </w:r>
    </w:p>
    <w:p w14:paraId="67F62E68">
      <w:pPr>
        <w:tabs>
          <w:tab w:val="left" w:pos="7665"/>
        </w:tabs>
        <w:spacing w:line="400" w:lineRule="exact"/>
        <w:ind w:firstLine="525" w:firstLineChars="250"/>
        <w:rPr>
          <w:rFonts w:ascii="宋体"/>
        </w:rPr>
      </w:pPr>
      <w:r>
        <w:rPr>
          <w:rFonts w:ascii="宋体" w:hAnsi="宋体" w:cs="宋体"/>
        </w:rPr>
        <w:t>5</w:t>
      </w:r>
      <w:r>
        <w:rPr>
          <w:rFonts w:hint="eastAsia" w:ascii="宋体" w:hAnsi="宋体" w:cs="宋体"/>
        </w:rPr>
        <w:t>、参加本次采购活动前三年内，在经营活动中没有重大违法记录；</w:t>
      </w:r>
    </w:p>
    <w:p w14:paraId="6A5F34D4">
      <w:pPr>
        <w:pStyle w:val="63"/>
        <w:spacing w:line="420" w:lineRule="exact"/>
        <w:ind w:firstLine="525" w:firstLineChars="250"/>
        <w:rPr>
          <w:rFonts w:ascii="宋体"/>
        </w:rPr>
      </w:pPr>
      <w:r>
        <w:rPr>
          <w:rFonts w:ascii="宋体" w:hAnsi="宋体" w:cs="宋体"/>
        </w:rPr>
        <w:t>6</w:t>
      </w:r>
      <w:r>
        <w:rPr>
          <w:rFonts w:hint="eastAsia" w:ascii="宋体" w:hAnsi="宋体" w:cs="宋体"/>
        </w:rPr>
        <w:t>、符合法律、行政法规规定的其他条件</w:t>
      </w:r>
    </w:p>
    <w:p w14:paraId="617A9C2E">
      <w:pPr>
        <w:pStyle w:val="63"/>
        <w:spacing w:line="420" w:lineRule="exact"/>
        <w:ind w:firstLine="525" w:firstLineChars="250"/>
        <w:rPr>
          <w:rFonts w:ascii="宋体" w:hAnsi="宋体" w:cs="宋体"/>
        </w:rPr>
      </w:pPr>
      <w:r>
        <w:rPr>
          <w:rFonts w:ascii="宋体" w:hAnsi="宋体" w:cs="宋体"/>
        </w:rPr>
        <w:t>7</w:t>
      </w:r>
      <w:r>
        <w:rPr>
          <w:rFonts w:hint="eastAsia" w:ascii="宋体" w:hAnsi="宋体" w:cs="宋体"/>
        </w:rPr>
        <w:t>、根据采购项目提出的特殊条件：</w:t>
      </w:r>
    </w:p>
    <w:p w14:paraId="685E25D1">
      <w:pPr>
        <w:pStyle w:val="63"/>
        <w:spacing w:line="420" w:lineRule="exact"/>
        <w:ind w:firstLine="525" w:firstLineChars="250"/>
        <w:rPr>
          <w:rFonts w:ascii="宋体" w:hAnsi="宋体" w:cs="宋体"/>
        </w:rPr>
      </w:pPr>
      <w:r>
        <w:rPr>
          <w:rFonts w:hint="eastAsia" w:ascii="宋体" w:hAnsi="宋体" w:cs="宋体"/>
        </w:rPr>
        <w:t>无</w:t>
      </w:r>
    </w:p>
    <w:p w14:paraId="113B9B37">
      <w:pPr>
        <w:pStyle w:val="63"/>
        <w:spacing w:line="420" w:lineRule="exact"/>
        <w:ind w:firstLine="525" w:firstLineChars="250"/>
        <w:rPr>
          <w:rFonts w:ascii="宋体"/>
        </w:rPr>
      </w:pPr>
      <w:r>
        <w:rPr>
          <w:rFonts w:ascii="宋体" w:hAnsi="宋体" w:cs="宋体"/>
        </w:rPr>
        <w:t>8.</w:t>
      </w:r>
      <w:r>
        <w:rPr>
          <w:rFonts w:hint="eastAsia" w:ascii="宋体" w:hAnsi="宋体" w:cs="宋体"/>
        </w:rPr>
        <w:t>本项目不允许联合体参加。</w:t>
      </w:r>
    </w:p>
    <w:p w14:paraId="36BE4434">
      <w:pPr>
        <w:spacing w:line="360" w:lineRule="auto"/>
        <w:ind w:firstLine="420" w:firstLineChars="200"/>
        <w:rPr>
          <w:rFonts w:ascii="宋体"/>
        </w:rPr>
      </w:pPr>
      <w:r>
        <w:rPr>
          <w:rFonts w:hint="eastAsia" w:ascii="宋体" w:hAnsi="宋体" w:cs="宋体"/>
          <w:b/>
          <w:bCs/>
          <w:kern w:val="0"/>
        </w:rPr>
        <w:t>六、比选文件获取时间、地点：</w:t>
      </w:r>
      <w:r>
        <w:rPr>
          <w:rFonts w:hint="eastAsia" w:ascii="宋体" w:hAnsi="宋体" w:cs="宋体"/>
          <w:kern w:val="0"/>
        </w:rPr>
        <w:t>比选</w:t>
      </w:r>
      <w:r>
        <w:rPr>
          <w:rFonts w:hint="eastAsia" w:ascii="宋体" w:hAnsi="宋体" w:cs="宋体"/>
        </w:rPr>
        <w:t>文件自2026年3月10日至2026年3月13日，</w:t>
      </w:r>
      <w:r>
        <w:rPr>
          <w:rFonts w:ascii="宋体" w:hAnsi="宋体" w:cs="宋体"/>
        </w:rPr>
        <w:t>资阳市中心医院官方网站下载</w:t>
      </w:r>
      <w:r>
        <w:rPr>
          <w:rFonts w:hint="eastAsia" w:ascii="宋体" w:hAnsi="宋体" w:cs="宋体"/>
        </w:rPr>
        <w:t>。</w:t>
      </w:r>
    </w:p>
    <w:p w14:paraId="3C4B53B6">
      <w:pPr>
        <w:spacing w:line="360" w:lineRule="auto"/>
        <w:ind w:firstLine="396" w:firstLineChars="200"/>
        <w:rPr>
          <w:rFonts w:ascii="宋体"/>
          <w:spacing w:val="-6"/>
          <w:kern w:val="0"/>
        </w:rPr>
      </w:pPr>
      <w:r>
        <w:rPr>
          <w:rFonts w:hint="eastAsia" w:ascii="宋体" w:hAnsi="宋体" w:cs="宋体"/>
          <w:b/>
          <w:bCs/>
          <w:spacing w:val="-6"/>
          <w:kern w:val="0"/>
        </w:rPr>
        <w:t>七、</w:t>
      </w:r>
      <w:bookmarkStart w:id="4" w:name="OLE_LINK1"/>
      <w:bookmarkStart w:id="5" w:name="OLE_LINK2"/>
      <w:r>
        <w:rPr>
          <w:rFonts w:hint="eastAsia" w:ascii="宋体" w:hAnsi="宋体" w:cs="宋体"/>
          <w:b/>
          <w:bCs/>
          <w:spacing w:val="-6"/>
          <w:kern w:val="0"/>
        </w:rPr>
        <w:t>递交比选申请文件截止时间</w:t>
      </w:r>
      <w:bookmarkEnd w:id="4"/>
      <w:bookmarkEnd w:id="5"/>
      <w:r>
        <w:rPr>
          <w:rFonts w:hint="eastAsia" w:ascii="宋体" w:hAnsi="宋体" w:cs="宋体"/>
          <w:b/>
          <w:bCs/>
          <w:spacing w:val="-6"/>
          <w:kern w:val="0"/>
        </w:rPr>
        <w:t>及评审时间：</w:t>
      </w:r>
      <w:r>
        <w:rPr>
          <w:rFonts w:hint="eastAsia" w:ascii="宋体" w:hAnsi="宋体" w:cs="宋体"/>
          <w:spacing w:val="-6"/>
          <w:kern w:val="0"/>
        </w:rPr>
        <w:t>：2026年3月16日14时00分（北京时间），供应商应于递交比选申请文件截止时间之前当日将比选申请文件送达比选地点，逾期送达比选申请文件将被拒绝。</w:t>
      </w:r>
    </w:p>
    <w:p w14:paraId="30D73846">
      <w:pPr>
        <w:spacing w:line="360" w:lineRule="auto"/>
        <w:ind w:firstLine="420" w:firstLineChars="200"/>
        <w:rPr>
          <w:rFonts w:ascii="宋体"/>
          <w:kern w:val="0"/>
        </w:rPr>
      </w:pPr>
      <w:r>
        <w:rPr>
          <w:rFonts w:hint="eastAsia" w:ascii="宋体" w:hAnsi="宋体" w:cs="宋体"/>
          <w:b/>
          <w:bCs/>
          <w:kern w:val="0"/>
        </w:rPr>
        <w:t>八、递交比选申请文件及评审地点：</w:t>
      </w:r>
      <w:r>
        <w:rPr>
          <w:rFonts w:hint="eastAsia" w:ascii="宋体" w:hAnsi="宋体" w:cs="宋体"/>
          <w:kern w:val="0"/>
        </w:rPr>
        <w:t>资阳市中心医院采购部（四川省资阳市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健康体检楼</w:t>
      </w:r>
      <w:r>
        <w:rPr>
          <w:rFonts w:hint="eastAsia" w:ascii="宋体" w:hAnsi="宋体" w:cs="宋体"/>
          <w:kern w:val="0"/>
        </w:rPr>
        <w:t>5</w:t>
      </w:r>
      <w:r>
        <w:rPr>
          <w:rFonts w:ascii="宋体" w:hAnsi="宋体" w:cs="宋体"/>
          <w:kern w:val="0"/>
        </w:rPr>
        <w:t>20</w:t>
      </w:r>
      <w:r>
        <w:rPr>
          <w:rFonts w:hint="eastAsia" w:ascii="宋体" w:hAnsi="宋体" w:cs="宋体"/>
          <w:kern w:val="0"/>
        </w:rPr>
        <w:t>）</w:t>
      </w:r>
    </w:p>
    <w:p w14:paraId="4B969006">
      <w:pPr>
        <w:spacing w:line="360" w:lineRule="auto"/>
        <w:ind w:firstLine="396" w:firstLineChars="200"/>
        <w:rPr>
          <w:rFonts w:ascii="宋体"/>
          <w:b/>
          <w:bCs/>
          <w:kern w:val="0"/>
        </w:rPr>
      </w:pPr>
      <w:r>
        <w:rPr>
          <w:rFonts w:hint="eastAsia" w:ascii="宋体" w:hAnsi="宋体" w:cs="宋体"/>
          <w:b/>
          <w:bCs/>
          <w:spacing w:val="-6"/>
          <w:kern w:val="0"/>
        </w:rPr>
        <w:t>九、比选保证金：本项目不收取。</w:t>
      </w:r>
    </w:p>
    <w:p w14:paraId="6A2011AA">
      <w:pPr>
        <w:spacing w:line="360" w:lineRule="auto"/>
        <w:ind w:firstLine="420" w:firstLineChars="200"/>
        <w:rPr>
          <w:rFonts w:ascii="宋体"/>
          <w:b/>
          <w:bCs/>
          <w:kern w:val="0"/>
        </w:rPr>
      </w:pPr>
      <w:r>
        <w:rPr>
          <w:rFonts w:hint="eastAsia" w:ascii="宋体" w:hAnsi="宋体" w:cs="宋体"/>
          <w:b/>
          <w:bCs/>
          <w:kern w:val="0"/>
        </w:rPr>
        <w:t>十、公告发布：本比选邀请在资阳市中心医院</w:t>
      </w:r>
      <w:r>
        <w:rPr>
          <w:rFonts w:ascii="宋体" w:hAnsi="宋体" w:cs="宋体"/>
          <w:b/>
          <w:bCs/>
          <w:kern w:val="0"/>
        </w:rPr>
        <w:t>官网</w:t>
      </w:r>
      <w:r>
        <w:rPr>
          <w:rFonts w:hint="eastAsia" w:ascii="宋体" w:hAnsi="宋体" w:cs="宋体"/>
          <w:b/>
          <w:bCs/>
          <w:kern w:val="0"/>
        </w:rPr>
        <w:t>以公告形式发布。</w:t>
      </w:r>
    </w:p>
    <w:p w14:paraId="6B529EA4">
      <w:pPr>
        <w:spacing w:line="360" w:lineRule="auto"/>
        <w:ind w:firstLine="420" w:firstLineChars="200"/>
        <w:rPr>
          <w:rFonts w:ascii="宋体"/>
          <w:b/>
          <w:bCs/>
          <w:kern w:val="0"/>
        </w:rPr>
      </w:pPr>
      <w:r>
        <w:rPr>
          <w:rFonts w:hint="eastAsia" w:ascii="宋体" w:hAnsi="宋体" w:cs="宋体"/>
          <w:b/>
          <w:bCs/>
          <w:kern w:val="0"/>
        </w:rPr>
        <w:t>十二、联系方式</w:t>
      </w:r>
    </w:p>
    <w:p w14:paraId="5B9CEB65">
      <w:pPr>
        <w:tabs>
          <w:tab w:val="left" w:pos="2310"/>
        </w:tabs>
        <w:spacing w:line="360" w:lineRule="auto"/>
        <w:ind w:firstLine="420" w:firstLineChars="200"/>
        <w:rPr>
          <w:rFonts w:ascii="宋体"/>
          <w:b/>
          <w:bCs/>
          <w:kern w:val="0"/>
        </w:rPr>
      </w:pPr>
      <w:r>
        <w:rPr>
          <w:rFonts w:hint="eastAsia" w:ascii="宋体" w:hAnsi="宋体" w:cs="宋体"/>
          <w:b/>
          <w:bCs/>
          <w:kern w:val="0"/>
        </w:rPr>
        <w:t>比选人：资阳市中心医院</w:t>
      </w:r>
    </w:p>
    <w:p w14:paraId="2DFF583C">
      <w:pPr>
        <w:tabs>
          <w:tab w:val="left" w:pos="2310"/>
        </w:tabs>
        <w:spacing w:line="360" w:lineRule="auto"/>
        <w:ind w:firstLine="420" w:firstLineChars="200"/>
        <w:rPr>
          <w:rFonts w:ascii="宋体" w:hAnsi="宋体" w:cs="宋体"/>
          <w:kern w:val="0"/>
        </w:rPr>
      </w:pPr>
      <w:r>
        <w:rPr>
          <w:rFonts w:hint="eastAsia" w:ascii="宋体" w:hAnsi="宋体" w:cs="宋体"/>
          <w:kern w:val="0"/>
        </w:rPr>
        <w:t>地址：四川省资阳市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w:t>
      </w:r>
      <w:r>
        <w:rPr>
          <w:rFonts w:hint="eastAsia" w:ascii="宋体" w:hAnsi="宋体" w:cs="宋体"/>
          <w:kern w:val="0"/>
        </w:rPr>
        <w:t>体检楼五楼520</w:t>
      </w:r>
    </w:p>
    <w:p w14:paraId="37E8C7C5">
      <w:pPr>
        <w:tabs>
          <w:tab w:val="left" w:pos="2310"/>
        </w:tabs>
        <w:spacing w:line="360" w:lineRule="auto"/>
        <w:ind w:firstLine="420" w:firstLineChars="200"/>
        <w:rPr>
          <w:rFonts w:ascii="宋体"/>
          <w:kern w:val="0"/>
        </w:rPr>
      </w:pPr>
      <w:r>
        <w:rPr>
          <w:rFonts w:hint="eastAsia" w:ascii="宋体" w:hAnsi="宋体" w:cs="宋体"/>
          <w:kern w:val="0"/>
        </w:rPr>
        <w:t>项目具体事项电话及联系人：028-</w:t>
      </w:r>
      <w:r>
        <w:rPr>
          <w:rFonts w:ascii="宋体" w:hAnsi="宋体" w:cs="宋体"/>
          <w:kern w:val="0"/>
        </w:rPr>
        <w:t>2</w:t>
      </w:r>
      <w:r>
        <w:rPr>
          <w:rFonts w:hint="eastAsia" w:ascii="宋体" w:hAnsi="宋体" w:cs="宋体"/>
          <w:kern w:val="0"/>
        </w:rPr>
        <w:t>6655128朱老师</w:t>
      </w:r>
    </w:p>
    <w:p w14:paraId="78449F76">
      <w:pPr>
        <w:ind w:firstLine="518" w:firstLineChars="192"/>
        <w:jc w:val="center"/>
        <w:outlineLvl w:val="0"/>
        <w:rPr>
          <w:rFonts w:ascii="宋体"/>
          <w:b/>
          <w:bCs/>
          <w:kern w:val="44"/>
          <w:sz w:val="32"/>
          <w:szCs w:val="32"/>
        </w:rPr>
      </w:pPr>
      <w:r>
        <w:rPr>
          <w:rFonts w:ascii="宋体"/>
          <w:b/>
          <w:bCs/>
          <w:kern w:val="44"/>
          <w:sz w:val="27"/>
          <w:szCs w:val="27"/>
        </w:rPr>
        <w:br w:type="page"/>
      </w:r>
      <w:r>
        <w:rPr>
          <w:rFonts w:hint="eastAsia" w:ascii="宋体" w:hAnsi="宋体" w:cs="宋体"/>
          <w:b/>
          <w:bCs/>
          <w:kern w:val="44"/>
          <w:sz w:val="32"/>
          <w:szCs w:val="32"/>
        </w:rPr>
        <w:t>第二章比选申请文件及相关要求</w:t>
      </w:r>
      <w:bookmarkEnd w:id="0"/>
      <w:bookmarkEnd w:id="1"/>
      <w:bookmarkEnd w:id="2"/>
      <w:bookmarkEnd w:id="3"/>
      <w:bookmarkStart w:id="6" w:name="_Toc173895838"/>
      <w:bookmarkStart w:id="7" w:name="_Toc180296780"/>
      <w:bookmarkStart w:id="8" w:name="_Toc173895653"/>
      <w:bookmarkStart w:id="9" w:name="_Toc211679177"/>
    </w:p>
    <w:p w14:paraId="7BA67C55">
      <w:pPr>
        <w:spacing w:line="360" w:lineRule="auto"/>
        <w:ind w:firstLine="480" w:firstLineChars="192"/>
        <w:jc w:val="center"/>
        <w:rPr>
          <w:rFonts w:ascii="宋体"/>
          <w:b/>
          <w:bCs/>
          <w:kern w:val="44"/>
          <w:sz w:val="25"/>
          <w:szCs w:val="25"/>
        </w:rPr>
      </w:pPr>
    </w:p>
    <w:p w14:paraId="3CFCBC7E">
      <w:pPr>
        <w:pStyle w:val="3"/>
        <w:numPr>
          <w:ilvl w:val="0"/>
          <w:numId w:val="0"/>
        </w:numPr>
        <w:spacing w:before="0" w:after="0" w:line="360" w:lineRule="auto"/>
        <w:jc w:val="left"/>
        <w:rPr>
          <w:rFonts w:cs="Times New Roman"/>
        </w:rPr>
      </w:pPr>
      <w:r>
        <w:rPr>
          <w:rFonts w:hint="eastAsia"/>
        </w:rPr>
        <w:t>一、比选申请文件的组成</w:t>
      </w:r>
    </w:p>
    <w:p w14:paraId="46D8121A">
      <w:pPr>
        <w:spacing w:line="360" w:lineRule="auto"/>
        <w:ind w:firstLine="420" w:firstLineChars="200"/>
        <w:rPr>
          <w:rFonts w:ascii="宋体"/>
          <w:kern w:val="0"/>
        </w:rPr>
      </w:pPr>
      <w:r>
        <w:rPr>
          <w:rFonts w:hint="eastAsia" w:ascii="宋体" w:hAnsi="宋体" w:cs="宋体"/>
          <w:kern w:val="0"/>
        </w:rPr>
        <w:t>文件一 法定代表人授权书</w:t>
      </w:r>
    </w:p>
    <w:p w14:paraId="6A3B5199">
      <w:pPr>
        <w:spacing w:line="360" w:lineRule="auto"/>
        <w:ind w:firstLine="420" w:firstLineChars="200"/>
        <w:rPr>
          <w:rFonts w:ascii="宋体"/>
          <w:kern w:val="0"/>
        </w:rPr>
      </w:pPr>
      <w:r>
        <w:rPr>
          <w:rFonts w:hint="eastAsia" w:ascii="宋体" w:hAnsi="宋体" w:cs="宋体"/>
          <w:kern w:val="0"/>
        </w:rPr>
        <w:t>文件二 报价一览表</w:t>
      </w:r>
    </w:p>
    <w:p w14:paraId="00B658D7">
      <w:pPr>
        <w:spacing w:line="360" w:lineRule="auto"/>
        <w:ind w:firstLine="420" w:firstLineChars="200"/>
        <w:rPr>
          <w:rFonts w:ascii="宋体"/>
          <w:kern w:val="0"/>
        </w:rPr>
      </w:pPr>
      <w:r>
        <w:rPr>
          <w:rFonts w:hint="eastAsia" w:ascii="宋体" w:hAnsi="宋体" w:cs="宋体"/>
          <w:kern w:val="0"/>
        </w:rPr>
        <w:t>文件三</w:t>
      </w:r>
      <w:bookmarkStart w:id="10" w:name="_Toc173895655"/>
      <w:bookmarkStart w:id="11" w:name="_Toc173895840"/>
      <w:bookmarkStart w:id="12" w:name="_Toc211679179"/>
      <w:bookmarkStart w:id="13" w:name="_Toc180296782"/>
      <w:r>
        <w:rPr>
          <w:rFonts w:hint="eastAsia" w:ascii="宋体" w:hAnsi="宋体" w:cs="宋体"/>
          <w:kern w:val="0"/>
        </w:rPr>
        <w:t xml:space="preserve"> 供应商资格证明</w:t>
      </w:r>
      <w:bookmarkEnd w:id="10"/>
      <w:bookmarkEnd w:id="11"/>
      <w:bookmarkEnd w:id="12"/>
      <w:bookmarkEnd w:id="13"/>
      <w:r>
        <w:rPr>
          <w:rFonts w:hint="eastAsia" w:ascii="宋体" w:hAnsi="宋体" w:cs="宋体"/>
          <w:kern w:val="0"/>
        </w:rPr>
        <w:t>材料</w:t>
      </w:r>
    </w:p>
    <w:p w14:paraId="6E7AE60D">
      <w:pPr>
        <w:spacing w:line="360" w:lineRule="auto"/>
        <w:ind w:firstLine="420" w:firstLineChars="200"/>
        <w:rPr>
          <w:rFonts w:ascii="宋体"/>
          <w:kern w:val="0"/>
        </w:rPr>
      </w:pPr>
      <w:r>
        <w:rPr>
          <w:rFonts w:hint="eastAsia" w:ascii="宋体" w:hAnsi="宋体" w:cs="宋体"/>
          <w:kern w:val="0"/>
        </w:rPr>
        <w:t>文件四 承诺函</w:t>
      </w:r>
    </w:p>
    <w:p w14:paraId="7BD87888">
      <w:pPr>
        <w:spacing w:line="360" w:lineRule="auto"/>
        <w:ind w:firstLine="420" w:firstLineChars="200"/>
        <w:rPr>
          <w:rFonts w:ascii="宋体" w:hAnsi="宋体" w:cs="宋体"/>
          <w:kern w:val="0"/>
        </w:rPr>
      </w:pPr>
      <w:r>
        <w:rPr>
          <w:rFonts w:hint="eastAsia" w:ascii="宋体" w:hAnsi="宋体" w:cs="宋体"/>
          <w:kern w:val="0"/>
        </w:rPr>
        <w:t>文件五 其他资格证明文件（如有）</w:t>
      </w:r>
    </w:p>
    <w:p w14:paraId="22C86E26">
      <w:pPr>
        <w:tabs>
          <w:tab w:val="left" w:pos="720"/>
          <w:tab w:val="left" w:pos="1140"/>
        </w:tabs>
        <w:spacing w:line="360" w:lineRule="auto"/>
        <w:ind w:firstLine="420" w:firstLineChars="200"/>
        <w:rPr>
          <w:rFonts w:ascii="宋体"/>
          <w:kern w:val="0"/>
        </w:rPr>
      </w:pPr>
      <w:r>
        <w:rPr>
          <w:rFonts w:hint="eastAsia" w:ascii="宋体" w:hAnsi="宋体" w:cs="宋体"/>
          <w:kern w:val="0"/>
        </w:rPr>
        <w:t xml:space="preserve">文件六 </w:t>
      </w:r>
      <w:r>
        <w:rPr>
          <w:rFonts w:hint="eastAsia" w:hAnsi="宋体"/>
          <w:kern w:val="0"/>
        </w:rPr>
        <w:t>项目清单</w:t>
      </w:r>
      <w:r>
        <w:rPr>
          <w:rFonts w:hint="eastAsia" w:ascii="宋体" w:hAnsi="宋体" w:cs="宋体"/>
          <w:kern w:val="0"/>
        </w:rPr>
        <w:t>应答表；</w:t>
      </w:r>
    </w:p>
    <w:p w14:paraId="3A94EFDE">
      <w:pPr>
        <w:tabs>
          <w:tab w:val="left" w:pos="720"/>
          <w:tab w:val="left" w:pos="1140"/>
        </w:tabs>
        <w:spacing w:line="360" w:lineRule="auto"/>
        <w:ind w:firstLine="420" w:firstLineChars="200"/>
        <w:rPr>
          <w:rFonts w:ascii="宋体"/>
          <w:kern w:val="0"/>
        </w:rPr>
      </w:pPr>
      <w:r>
        <w:rPr>
          <w:rFonts w:hint="eastAsia" w:ascii="宋体" w:hAnsi="宋体" w:cs="宋体"/>
          <w:kern w:val="0"/>
        </w:rPr>
        <w:t xml:space="preserve">文件七 </w:t>
      </w:r>
      <w:r>
        <w:rPr>
          <w:rFonts w:hint="eastAsia" w:hAnsi="宋体"/>
          <w:kern w:val="0"/>
        </w:rPr>
        <w:t>服务要求</w:t>
      </w:r>
      <w:r>
        <w:rPr>
          <w:rFonts w:hint="eastAsia" w:ascii="宋体" w:hAnsi="宋体" w:cs="宋体"/>
          <w:kern w:val="0"/>
        </w:rPr>
        <w:t>应答表；</w:t>
      </w:r>
    </w:p>
    <w:p w14:paraId="7EC2F83A">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文件八 商务应答表</w:t>
      </w:r>
    </w:p>
    <w:p w14:paraId="107AC3D4">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 xml:space="preserve">文件九 </w:t>
      </w:r>
      <w:r>
        <w:rPr>
          <w:rFonts w:hint="eastAsia" w:hAnsi="宋体"/>
          <w:kern w:val="0"/>
        </w:rPr>
        <w:t>服务考核</w:t>
      </w:r>
      <w:r>
        <w:rPr>
          <w:rFonts w:hint="eastAsia" w:ascii="宋体" w:hAnsi="宋体" w:cs="宋体"/>
          <w:kern w:val="0"/>
        </w:rPr>
        <w:t>应答表</w:t>
      </w:r>
    </w:p>
    <w:p w14:paraId="18B9CE72">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文件十 廉洁</w:t>
      </w:r>
      <w:r>
        <w:rPr>
          <w:rFonts w:ascii="宋体" w:hAnsi="宋体" w:cs="宋体"/>
          <w:kern w:val="0"/>
        </w:rPr>
        <w:t>承诺书</w:t>
      </w:r>
    </w:p>
    <w:p w14:paraId="2B31AB2E">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文件十一 最后报价表</w:t>
      </w:r>
    </w:p>
    <w:p w14:paraId="2B80CD4B">
      <w:pPr>
        <w:tabs>
          <w:tab w:val="left" w:pos="720"/>
          <w:tab w:val="left" w:pos="1140"/>
        </w:tabs>
        <w:spacing w:line="360" w:lineRule="auto"/>
        <w:ind w:firstLine="420" w:firstLineChars="200"/>
        <w:rPr>
          <w:rFonts w:ascii="宋体"/>
          <w:kern w:val="0"/>
        </w:rPr>
      </w:pPr>
      <w:r>
        <w:rPr>
          <w:rFonts w:hint="eastAsia" w:ascii="宋体" w:hAnsi="宋体" w:cs="宋体"/>
          <w:kern w:val="0"/>
        </w:rPr>
        <w:t>文件十二 其他材料（如有）</w:t>
      </w:r>
    </w:p>
    <w:p w14:paraId="075077F6">
      <w:pPr>
        <w:tabs>
          <w:tab w:val="left" w:pos="720"/>
          <w:tab w:val="left" w:pos="1140"/>
        </w:tabs>
        <w:spacing w:line="360" w:lineRule="auto"/>
        <w:ind w:firstLine="420" w:firstLineChars="200"/>
        <w:rPr>
          <w:rFonts w:ascii="宋体"/>
          <w:kern w:val="0"/>
        </w:rPr>
      </w:pPr>
    </w:p>
    <w:p w14:paraId="3516D74F">
      <w:pPr>
        <w:pStyle w:val="3"/>
        <w:numPr>
          <w:ilvl w:val="0"/>
          <w:numId w:val="0"/>
        </w:numPr>
        <w:spacing w:before="0" w:after="0" w:line="360" w:lineRule="auto"/>
        <w:jc w:val="left"/>
        <w:rPr>
          <w:rFonts w:cs="Times New Roman"/>
        </w:rPr>
      </w:pPr>
      <w:r>
        <w:rPr>
          <w:rFonts w:hint="eastAsia"/>
        </w:rPr>
        <w:t>二、比选申请的责任</w:t>
      </w:r>
    </w:p>
    <w:p w14:paraId="484EBB5B">
      <w:pPr>
        <w:spacing w:line="360" w:lineRule="auto"/>
        <w:ind w:firstLine="420" w:firstLineChars="200"/>
        <w:rPr>
          <w:rFonts w:ascii="宋体"/>
          <w:kern w:val="0"/>
        </w:rPr>
      </w:pPr>
      <w:r>
        <w:rPr>
          <w:rFonts w:hint="eastAsia" w:ascii="宋体" w:hAnsi="宋体" w:cs="宋体"/>
          <w:kern w:val="0"/>
        </w:rPr>
        <w:t>供应商应认真阅读比选文件中所有的事项、报价格式和项目要求等。供应商没有对比选文件全面做出实质性响应是供应商的责任。</w:t>
      </w:r>
    </w:p>
    <w:p w14:paraId="0F765ABE">
      <w:pPr>
        <w:spacing w:line="360" w:lineRule="auto"/>
        <w:ind w:firstLine="428" w:firstLineChars="204"/>
        <w:rPr>
          <w:rFonts w:ascii="宋体"/>
          <w:kern w:val="0"/>
        </w:rPr>
      </w:pPr>
    </w:p>
    <w:p w14:paraId="4A83E5D8">
      <w:pPr>
        <w:pStyle w:val="3"/>
        <w:numPr>
          <w:ilvl w:val="0"/>
          <w:numId w:val="0"/>
        </w:numPr>
        <w:spacing w:before="0" w:after="0" w:line="360" w:lineRule="auto"/>
        <w:jc w:val="left"/>
        <w:rPr>
          <w:rFonts w:cs="Times New Roman"/>
        </w:rPr>
      </w:pPr>
      <w:r>
        <w:rPr>
          <w:rFonts w:hint="eastAsia"/>
        </w:rPr>
        <w:t>三、比选申请文件的书写</w:t>
      </w:r>
    </w:p>
    <w:p w14:paraId="41155980">
      <w:pPr>
        <w:spacing w:line="360" w:lineRule="auto"/>
        <w:ind w:firstLine="428" w:firstLineChars="204"/>
        <w:rPr>
          <w:rFonts w:ascii="宋体"/>
          <w:kern w:val="0"/>
        </w:rPr>
      </w:pPr>
      <w:r>
        <w:rPr>
          <w:rFonts w:hint="eastAsia" w:ascii="宋体" w:hAnsi="宋体" w:cs="宋体"/>
          <w:kern w:val="0"/>
        </w:rPr>
        <w:t>比选申请文件使用的所有文件均采用简体中文书写。</w:t>
      </w:r>
    </w:p>
    <w:p w14:paraId="6B1748A8">
      <w:pPr>
        <w:spacing w:line="360" w:lineRule="auto"/>
        <w:ind w:firstLine="428" w:firstLineChars="204"/>
        <w:rPr>
          <w:rFonts w:ascii="宋体"/>
          <w:b/>
          <w:bCs/>
          <w:kern w:val="0"/>
        </w:rPr>
      </w:pPr>
    </w:p>
    <w:p w14:paraId="774B47F8">
      <w:pPr>
        <w:pStyle w:val="3"/>
        <w:numPr>
          <w:ilvl w:val="0"/>
          <w:numId w:val="0"/>
        </w:numPr>
        <w:spacing w:before="0" w:after="0" w:line="360" w:lineRule="auto"/>
        <w:jc w:val="left"/>
        <w:rPr>
          <w:rFonts w:cs="Times New Roman"/>
        </w:rPr>
      </w:pPr>
      <w:r>
        <w:rPr>
          <w:rFonts w:hint="eastAsia"/>
        </w:rPr>
        <w:t>四、报价（实质性要求）</w:t>
      </w:r>
    </w:p>
    <w:p w14:paraId="1E14E783">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、所有报价一律以人民币报价；比选人不接受任何非人民币币种的报价。</w:t>
      </w:r>
    </w:p>
    <w:p w14:paraId="23024E27">
      <w:pPr>
        <w:spacing w:line="360" w:lineRule="auto"/>
        <w:ind w:firstLine="420" w:firstLineChars="200"/>
        <w:rPr>
          <w:rFonts w:ascii="宋体"/>
          <w:kern w:val="0"/>
        </w:rPr>
      </w:pPr>
      <w:r>
        <w:rPr>
          <w:rFonts w:ascii="宋体" w:hAnsi="宋体" w:cs="宋体"/>
          <w:kern w:val="0"/>
        </w:rPr>
        <w:t>2</w:t>
      </w:r>
      <w:r>
        <w:rPr>
          <w:rFonts w:hint="eastAsia" w:ascii="宋体" w:hAnsi="宋体" w:cs="宋体"/>
          <w:kern w:val="0"/>
        </w:rPr>
        <w:t>、供应商要按报价表格式内容填写单价及其他事项；不得遗漏。</w:t>
      </w:r>
    </w:p>
    <w:p w14:paraId="2A7D0589">
      <w:pPr>
        <w:spacing w:line="360" w:lineRule="auto"/>
        <w:ind w:firstLine="420" w:firstLineChars="200"/>
        <w:rPr>
          <w:rFonts w:ascii="宋体"/>
          <w:kern w:val="0"/>
        </w:rPr>
      </w:pPr>
      <w:r>
        <w:rPr>
          <w:rFonts w:ascii="宋体" w:hAnsi="宋体" w:cs="宋体"/>
          <w:kern w:val="0"/>
        </w:rPr>
        <w:t>3</w:t>
      </w:r>
      <w:r>
        <w:rPr>
          <w:rFonts w:hint="eastAsia" w:ascii="宋体" w:hAnsi="宋体" w:cs="宋体"/>
          <w:kern w:val="0"/>
        </w:rPr>
        <w:t>、供应商报价按照比选文件要求，履行完成项目所要求工作的总承包价格包括货物运输、保险、代理、培训、税费和比选文件规定的其它费用。</w:t>
      </w:r>
    </w:p>
    <w:p w14:paraId="194A2AAB">
      <w:pPr>
        <w:spacing w:line="360" w:lineRule="auto"/>
        <w:ind w:firstLine="420" w:firstLineChars="200"/>
        <w:rPr>
          <w:rFonts w:ascii="宋体"/>
          <w:kern w:val="0"/>
        </w:rPr>
      </w:pPr>
      <w:r>
        <w:rPr>
          <w:rFonts w:ascii="宋体" w:hAnsi="宋体" w:cs="宋体"/>
          <w:kern w:val="0"/>
        </w:rPr>
        <w:t>4</w:t>
      </w:r>
      <w:r>
        <w:rPr>
          <w:rFonts w:hint="eastAsia" w:ascii="宋体" w:hAnsi="宋体" w:cs="宋体"/>
          <w:kern w:val="0"/>
        </w:rPr>
        <w:t>、供应商应本着实事求是原则合理报价。</w:t>
      </w:r>
    </w:p>
    <w:p w14:paraId="4D53AA0D">
      <w:pPr>
        <w:spacing w:line="360" w:lineRule="auto"/>
        <w:ind w:firstLine="420" w:firstLineChars="200"/>
        <w:rPr>
          <w:rFonts w:ascii="宋体" w:hAnsi="宋体" w:cs="宋体"/>
          <w:kern w:val="0"/>
        </w:rPr>
      </w:pPr>
      <w:r>
        <w:rPr>
          <w:rFonts w:hint="eastAsia" w:ascii="宋体" w:hAnsi="宋体" w:cs="宋体"/>
          <w:kern w:val="0"/>
        </w:rPr>
        <w:t>5、比选申请文件中报价如果出现下列不一致的，可按以下原则进行修改：</w:t>
      </w:r>
    </w:p>
    <w:p w14:paraId="1DAF9CF3">
      <w:pPr>
        <w:spacing w:line="360" w:lineRule="auto"/>
        <w:ind w:firstLine="420" w:firstLineChars="200"/>
        <w:rPr>
          <w:rFonts w:ascii="宋体" w:hAnsi="宋体" w:cs="宋体"/>
          <w:kern w:val="0"/>
        </w:rPr>
      </w:pPr>
      <w:r>
        <w:rPr>
          <w:rFonts w:hint="eastAsia" w:ascii="宋体" w:hAnsi="宋体" w:cs="宋体"/>
          <w:kern w:val="0"/>
        </w:rPr>
        <w:t>5.1大写金额和小写金额不一致的，以大写金额为准，但大写金额文字存在错误的，应当先对大写金额的文字错误进行澄清、说明或者更正，再行修正。</w:t>
      </w:r>
    </w:p>
    <w:p w14:paraId="7524E327">
      <w:pPr>
        <w:spacing w:line="360" w:lineRule="auto"/>
        <w:ind w:firstLine="420" w:firstLineChars="200"/>
        <w:rPr>
          <w:rFonts w:ascii="宋体" w:hAnsi="宋体" w:cs="宋体"/>
          <w:kern w:val="0"/>
        </w:rPr>
      </w:pPr>
      <w:r>
        <w:rPr>
          <w:rFonts w:hint="eastAsia" w:ascii="宋体" w:hAnsi="宋体" w:cs="宋体"/>
          <w:kern w:val="0"/>
        </w:rPr>
        <w:t>5.2总价金额与按单价汇总金额不一致的，以单价金额计算结果为准，但单价或者单价汇总金额存在数字或者文字错误的，应当先对数字或者文字错误进行澄清、说明或者更正，再行修正。</w:t>
      </w:r>
    </w:p>
    <w:p w14:paraId="232B36F2">
      <w:pPr>
        <w:spacing w:line="360" w:lineRule="auto"/>
        <w:ind w:firstLine="420" w:firstLineChars="200"/>
        <w:rPr>
          <w:rFonts w:ascii="宋体" w:hAnsi="宋体" w:cs="宋体"/>
          <w:kern w:val="0"/>
        </w:rPr>
      </w:pPr>
      <w:r>
        <w:rPr>
          <w:rFonts w:hint="eastAsia" w:ascii="宋体" w:hAnsi="宋体" w:cs="宋体"/>
          <w:kern w:val="0"/>
        </w:rPr>
        <w:t>5.3单价金额小数点或者百分比有明显错位的，以总价为准，修正单价。</w:t>
      </w:r>
    </w:p>
    <w:p w14:paraId="4BE7AB6B">
      <w:pPr>
        <w:spacing w:line="360" w:lineRule="auto"/>
        <w:ind w:firstLine="420" w:firstLineChars="200"/>
        <w:rPr>
          <w:rFonts w:ascii="宋体" w:hAnsi="宋体" w:cs="宋体"/>
          <w:kern w:val="0"/>
        </w:rPr>
      </w:pPr>
      <w:r>
        <w:rPr>
          <w:rFonts w:hint="eastAsia" w:ascii="宋体" w:hAnsi="宋体" w:cs="宋体"/>
          <w:kern w:val="0"/>
        </w:rPr>
        <w:t>同时出现两种以上不一致的，按照上述规定的顺序修正。修正后的报价经供应商确认后产生约束力，供应商不确认的，其比选申请文件作为无效处理。供应商确认采取书面且加盖单位公章或者供应商授权代表签字的方式。</w:t>
      </w:r>
    </w:p>
    <w:p w14:paraId="11A808FB">
      <w:pPr>
        <w:pStyle w:val="3"/>
        <w:numPr>
          <w:ilvl w:val="0"/>
          <w:numId w:val="0"/>
        </w:numPr>
        <w:spacing w:before="0" w:after="0" w:line="360" w:lineRule="auto"/>
        <w:jc w:val="left"/>
        <w:rPr>
          <w:rFonts w:cs="Times New Roman"/>
        </w:rPr>
      </w:pPr>
      <w:r>
        <w:rPr>
          <w:rFonts w:hint="eastAsia"/>
        </w:rPr>
        <w:t>五、比选申请文件编制、装订及递交</w:t>
      </w:r>
    </w:p>
    <w:p w14:paraId="766D483E">
      <w:pPr>
        <w:spacing w:line="360" w:lineRule="auto"/>
        <w:ind w:firstLine="470" w:firstLineChars="196"/>
        <w:rPr>
          <w:rFonts w:ascii="宋体" w:hAnsi="宋体" w:cs="宋体"/>
          <w:b/>
          <w:bCs/>
          <w:color w:val="000000"/>
          <w:sz w:val="24"/>
        </w:rPr>
      </w:pPr>
      <w:r>
        <w:rPr>
          <w:rFonts w:hint="eastAsia" w:ascii="宋体" w:hAnsi="宋体" w:cs="宋体"/>
          <w:b/>
          <w:bCs/>
          <w:color w:val="000000"/>
          <w:sz w:val="24"/>
        </w:rPr>
        <w:t>1、比选申请文件的编制和签署</w:t>
      </w:r>
    </w:p>
    <w:p w14:paraId="5979622A">
      <w:pPr>
        <w:spacing w:line="360" w:lineRule="auto"/>
        <w:ind w:firstLine="420" w:firstLineChars="200"/>
        <w:rPr>
          <w:rFonts w:ascii="宋体" w:hAnsi="宋体" w:cs="宋体"/>
          <w:kern w:val="0"/>
        </w:rPr>
      </w:pPr>
      <w:r>
        <w:rPr>
          <w:rFonts w:hint="eastAsia" w:ascii="宋体" w:hAnsi="宋体" w:cs="宋体"/>
          <w:kern w:val="0"/>
        </w:rPr>
        <w:t>1.1比选申请文件正本1份</w:t>
      </w:r>
      <w:r>
        <w:rPr>
          <w:rFonts w:hint="eastAsia" w:ascii="宋体" w:hAnsi="宋体" w:cs="宋体"/>
          <w:b/>
          <w:bCs/>
          <w:kern w:val="0"/>
        </w:rPr>
        <w:t>（实质性要求）</w:t>
      </w:r>
      <w:r>
        <w:rPr>
          <w:rFonts w:hint="eastAsia" w:ascii="宋体" w:hAnsi="宋体" w:cs="宋体"/>
          <w:kern w:val="0"/>
        </w:rPr>
        <w:t>，并在其封面上清楚地标明比选申请文件、采购项目名称、采购项目编号、采购包、供应商名称。</w:t>
      </w:r>
    </w:p>
    <w:p w14:paraId="20B7D7FA">
      <w:pPr>
        <w:spacing w:line="360" w:lineRule="auto"/>
        <w:ind w:firstLine="420" w:firstLineChars="200"/>
        <w:rPr>
          <w:rFonts w:ascii="宋体" w:hAnsi="宋体" w:cs="宋体"/>
          <w:kern w:val="0"/>
        </w:rPr>
      </w:pPr>
      <w:r>
        <w:rPr>
          <w:rFonts w:hint="eastAsia" w:ascii="宋体" w:hAnsi="宋体" w:cs="宋体"/>
          <w:kern w:val="0"/>
        </w:rPr>
        <w:t>1.2比选申请文件需打印或用不褪色、不变质的墨水书写，并在规定签章处签字和盖章。</w:t>
      </w:r>
    </w:p>
    <w:p w14:paraId="47E548D1">
      <w:pPr>
        <w:spacing w:line="360" w:lineRule="auto"/>
        <w:ind w:firstLine="420" w:firstLineChars="200"/>
        <w:rPr>
          <w:rFonts w:ascii="宋体" w:hAnsi="宋体" w:cs="宋体"/>
          <w:kern w:val="0"/>
        </w:rPr>
      </w:pPr>
      <w:r>
        <w:rPr>
          <w:rFonts w:hint="eastAsia" w:ascii="宋体" w:hAnsi="宋体" w:cs="宋体"/>
          <w:kern w:val="0"/>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14:paraId="42276034">
      <w:pPr>
        <w:spacing w:line="360" w:lineRule="auto"/>
        <w:ind w:firstLine="420" w:firstLineChars="200"/>
        <w:rPr>
          <w:rFonts w:ascii="宋体" w:hAnsi="宋体" w:cs="宋体"/>
          <w:kern w:val="0"/>
        </w:rPr>
      </w:pPr>
      <w:r>
        <w:rPr>
          <w:rFonts w:hint="eastAsia" w:ascii="宋体" w:hAnsi="宋体" w:cs="宋体"/>
          <w:kern w:val="0"/>
        </w:rPr>
        <w:t>1.4</w:t>
      </w:r>
      <w:r>
        <w:rPr>
          <w:rFonts w:hint="eastAsia" w:ascii="宋体" w:hAnsi="宋体" w:cs="宋体"/>
          <w:b/>
          <w:bCs/>
          <w:kern w:val="0"/>
        </w:rPr>
        <w:t>（实质性要求）</w:t>
      </w:r>
      <w:r>
        <w:rPr>
          <w:rFonts w:hint="eastAsia" w:ascii="宋体" w:hAnsi="宋体" w:cs="宋体"/>
          <w:kern w:val="0"/>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14:paraId="7BA28267">
      <w:pPr>
        <w:spacing w:line="360" w:lineRule="auto"/>
        <w:ind w:firstLine="420" w:firstLineChars="200"/>
        <w:rPr>
          <w:rFonts w:ascii="宋体" w:hAnsi="宋体" w:cs="宋体"/>
          <w:kern w:val="0"/>
        </w:rPr>
      </w:pPr>
      <w:r>
        <w:rPr>
          <w:rFonts w:hint="eastAsia" w:ascii="宋体" w:hAnsi="宋体" w:cs="宋体"/>
          <w:kern w:val="0"/>
        </w:rPr>
        <w:t>1.5比选申请文件需要逐页编目编码。</w:t>
      </w:r>
    </w:p>
    <w:p w14:paraId="2471AF9E">
      <w:pPr>
        <w:spacing w:line="360" w:lineRule="auto"/>
        <w:ind w:firstLine="420" w:firstLineChars="200"/>
        <w:rPr>
          <w:rFonts w:ascii="宋体" w:hAnsi="宋体" w:cs="宋体"/>
          <w:kern w:val="0"/>
        </w:rPr>
      </w:pPr>
      <w:r>
        <w:rPr>
          <w:rFonts w:hint="eastAsia" w:ascii="宋体" w:hAnsi="宋体" w:cs="宋体"/>
          <w:kern w:val="0"/>
        </w:rPr>
        <w:t>1.6比选申请文件正本应当装订成册，不得散装或者活页装订。</w:t>
      </w:r>
    </w:p>
    <w:p w14:paraId="386B002A">
      <w:pPr>
        <w:spacing w:line="360" w:lineRule="auto"/>
        <w:ind w:firstLine="420" w:firstLineChars="200"/>
        <w:rPr>
          <w:rFonts w:ascii="宋体" w:hAnsi="宋体" w:cs="宋体"/>
          <w:kern w:val="0"/>
        </w:rPr>
      </w:pPr>
      <w:r>
        <w:rPr>
          <w:rFonts w:hint="eastAsia" w:ascii="宋体" w:hAnsi="宋体" w:cs="宋体"/>
          <w:kern w:val="0"/>
        </w:rPr>
        <w:t>1.7比选申请文件统一用A4幅面纸印制，除另有规定外。</w:t>
      </w:r>
    </w:p>
    <w:p w14:paraId="7BF214D6">
      <w:pPr>
        <w:pStyle w:val="14"/>
        <w:spacing w:after="0" w:line="360" w:lineRule="auto"/>
        <w:ind w:firstLine="460" w:firstLineChars="192"/>
        <w:rPr>
          <w:rFonts w:ascii="宋体" w:hAnsi="宋体" w:cs="宋体"/>
          <w:b/>
          <w:bCs/>
          <w:color w:val="000000"/>
          <w:sz w:val="24"/>
        </w:rPr>
      </w:pPr>
      <w:r>
        <w:rPr>
          <w:rFonts w:hint="eastAsia" w:ascii="宋体" w:hAnsi="宋体" w:cs="宋体"/>
          <w:b/>
          <w:bCs/>
          <w:color w:val="000000"/>
          <w:sz w:val="24"/>
        </w:rPr>
        <w:t>2、比选申请文件的密封和标注</w:t>
      </w:r>
    </w:p>
    <w:p w14:paraId="11163DD2">
      <w:pPr>
        <w:spacing w:line="360" w:lineRule="auto"/>
        <w:ind w:firstLine="420" w:firstLineChars="200"/>
        <w:rPr>
          <w:rFonts w:ascii="宋体" w:hAnsi="宋体" w:cs="宋体"/>
          <w:kern w:val="0"/>
        </w:rPr>
      </w:pPr>
      <w:r>
        <w:rPr>
          <w:rFonts w:hint="eastAsia" w:ascii="宋体" w:hAnsi="宋体" w:cs="宋体"/>
          <w:kern w:val="0"/>
        </w:rPr>
        <w:t>2.1、比选申请文件1份应按要求进行有效签署，装订成册封装于一个密封包装内。</w:t>
      </w:r>
    </w:p>
    <w:p w14:paraId="1D4E604E">
      <w:pPr>
        <w:spacing w:line="360" w:lineRule="auto"/>
        <w:ind w:firstLine="420" w:firstLineChars="200"/>
        <w:rPr>
          <w:rFonts w:ascii="宋体" w:hAnsi="宋体" w:cs="宋体"/>
          <w:kern w:val="0"/>
        </w:rPr>
      </w:pPr>
      <w:r>
        <w:rPr>
          <w:rFonts w:hint="eastAsia" w:ascii="宋体" w:hAnsi="宋体" w:cs="宋体"/>
          <w:kern w:val="0"/>
        </w:rPr>
        <w:t>2.2、密封袋正面写明：比选项目名称，包号，供应商名称，比选申请日期等，密封处应贴密封条。</w:t>
      </w:r>
    </w:p>
    <w:p w14:paraId="62D160F5">
      <w:pPr>
        <w:spacing w:line="360" w:lineRule="auto"/>
        <w:ind w:firstLine="420" w:firstLineChars="200"/>
        <w:rPr>
          <w:rFonts w:ascii="宋体" w:hAnsi="宋体" w:cs="宋体"/>
          <w:kern w:val="0"/>
        </w:rPr>
      </w:pPr>
      <w:r>
        <w:rPr>
          <w:rFonts w:hint="eastAsia" w:ascii="宋体" w:hAnsi="宋体" w:cs="宋体"/>
          <w:kern w:val="0"/>
        </w:rPr>
        <w:t>2.3、密封袋按“比选文件”内容，在正面载明：“2026年**月**日**：**前请勿启封”之字样；密封袋供应商名称及密封条处须加盖供应商鲜章。</w:t>
      </w:r>
    </w:p>
    <w:p w14:paraId="158181EE">
      <w:pPr>
        <w:spacing w:line="360" w:lineRule="auto"/>
        <w:ind w:firstLine="420" w:firstLineChars="200"/>
        <w:rPr>
          <w:rFonts w:ascii="宋体" w:hAnsi="宋体" w:cs="宋体"/>
          <w:kern w:val="0"/>
        </w:rPr>
      </w:pPr>
      <w:r>
        <w:rPr>
          <w:rFonts w:hint="eastAsia" w:ascii="宋体" w:hAnsi="宋体" w:cs="宋体"/>
          <w:kern w:val="0"/>
        </w:rPr>
        <w:t>2.4、供应商应于比选文件中规定的递交比选申请文件截止时间前将比选申请文件送达比选邀请中的指定地点。</w:t>
      </w:r>
    </w:p>
    <w:p w14:paraId="246242A8">
      <w:pPr>
        <w:pStyle w:val="14"/>
        <w:spacing w:after="0" w:line="360" w:lineRule="auto"/>
        <w:ind w:firstLine="403" w:firstLineChars="192"/>
        <w:rPr>
          <w:rFonts w:ascii="宋体" w:hAnsi="宋体" w:cs="宋体"/>
          <w:b/>
          <w:bCs/>
          <w:kern w:val="0"/>
        </w:rPr>
      </w:pPr>
      <w:r>
        <w:rPr>
          <w:rFonts w:hint="eastAsia" w:ascii="宋体" w:hAnsi="宋体" w:cs="宋体"/>
          <w:b/>
          <w:bCs/>
          <w:kern w:val="0"/>
        </w:rPr>
        <w:t>未按以上要求进行密封和标注的比选申请文件，采购人将拒收或者在时间允许的范围内（递交比选申请文件截止时间前），要求修改完善后接收。</w:t>
      </w:r>
    </w:p>
    <w:p w14:paraId="68A3ED89">
      <w:pPr>
        <w:pStyle w:val="14"/>
        <w:spacing w:after="0" w:line="360" w:lineRule="auto"/>
        <w:ind w:firstLine="460" w:firstLineChars="192"/>
        <w:rPr>
          <w:rFonts w:ascii="宋体" w:hAnsi="宋体" w:cs="宋体"/>
          <w:b/>
          <w:bCs/>
          <w:color w:val="000000"/>
          <w:sz w:val="24"/>
        </w:rPr>
      </w:pPr>
      <w:r>
        <w:rPr>
          <w:rFonts w:hint="eastAsia" w:ascii="宋体" w:hAnsi="宋体" w:cs="宋体"/>
          <w:b/>
          <w:bCs/>
          <w:color w:val="000000"/>
          <w:sz w:val="24"/>
        </w:rPr>
        <w:t>3、比选申请文件的递交</w:t>
      </w:r>
    </w:p>
    <w:p w14:paraId="73DC9E0C">
      <w:pPr>
        <w:spacing w:line="360" w:lineRule="auto"/>
        <w:ind w:firstLine="420" w:firstLineChars="200"/>
        <w:rPr>
          <w:rFonts w:ascii="宋体" w:hAnsi="宋体" w:cs="宋体"/>
          <w:kern w:val="0"/>
        </w:rPr>
      </w:pPr>
      <w:r>
        <w:rPr>
          <w:rFonts w:hint="eastAsia" w:ascii="宋体" w:hAnsi="宋体" w:cs="宋体"/>
          <w:kern w:val="0"/>
        </w:rPr>
        <w:t>3.1比选申请文件应于递交比选申请文件截止时间前送达指定地点，采购人拒绝接收截止时间后送达的比选申请文件。</w:t>
      </w:r>
    </w:p>
    <w:p w14:paraId="71A8272B">
      <w:pPr>
        <w:spacing w:line="360" w:lineRule="auto"/>
        <w:ind w:firstLine="420" w:firstLineChars="200"/>
        <w:rPr>
          <w:rFonts w:ascii="宋体" w:hAnsi="宋体" w:cs="宋体"/>
          <w:kern w:val="0"/>
        </w:rPr>
      </w:pPr>
      <w:r>
        <w:rPr>
          <w:rFonts w:hint="eastAsia" w:ascii="宋体" w:hAnsi="宋体" w:cs="宋体"/>
          <w:kern w:val="0"/>
        </w:rPr>
        <w:t>3.2最后报价表在资格审查后，评审小组要求供应商进行最后报价时递交。</w:t>
      </w:r>
    </w:p>
    <w:p w14:paraId="5AF3A3B7">
      <w:pPr>
        <w:spacing w:line="360" w:lineRule="auto"/>
        <w:ind w:firstLine="420" w:firstLineChars="200"/>
        <w:rPr>
          <w:rFonts w:ascii="宋体" w:hAnsi="宋体" w:cs="宋体"/>
          <w:kern w:val="0"/>
        </w:rPr>
      </w:pPr>
      <w:r>
        <w:rPr>
          <w:rFonts w:hint="eastAsia" w:ascii="宋体" w:hAnsi="宋体" w:cs="宋体"/>
          <w:kern w:val="0"/>
        </w:rPr>
        <w:t>3.3本次采购不接收邮寄的比选申请文件。</w:t>
      </w:r>
    </w:p>
    <w:p w14:paraId="4FDC9080">
      <w:pPr>
        <w:pStyle w:val="14"/>
        <w:spacing w:after="0" w:line="360" w:lineRule="auto"/>
        <w:ind w:firstLine="403" w:firstLineChars="192"/>
        <w:rPr>
          <w:rFonts w:ascii="宋体"/>
          <w:kern w:val="0"/>
        </w:rPr>
      </w:pPr>
    </w:p>
    <w:p w14:paraId="5BA0635A">
      <w:pPr>
        <w:pStyle w:val="3"/>
        <w:numPr>
          <w:ilvl w:val="0"/>
          <w:numId w:val="0"/>
        </w:numPr>
        <w:spacing w:before="0" w:after="0" w:line="360" w:lineRule="auto"/>
        <w:jc w:val="left"/>
        <w:rPr>
          <w:rFonts w:cs="Times New Roman"/>
        </w:rPr>
      </w:pPr>
      <w:r>
        <w:rPr>
          <w:rFonts w:hint="eastAsia"/>
        </w:rPr>
        <w:t>六、无效文件（实质性要求）</w:t>
      </w:r>
    </w:p>
    <w:p w14:paraId="33106044">
      <w:pPr>
        <w:pStyle w:val="14"/>
        <w:spacing w:after="0" w:line="360" w:lineRule="auto"/>
        <w:ind w:firstLine="403" w:firstLineChars="192"/>
        <w:rPr>
          <w:rFonts w:ascii="宋体"/>
          <w:kern w:val="0"/>
        </w:rPr>
      </w:pPr>
      <w:r>
        <w:rPr>
          <w:rFonts w:hint="eastAsia" w:ascii="宋体" w:hAnsi="宋体" w:cs="宋体"/>
          <w:kern w:val="0"/>
        </w:rPr>
        <w:t>比选申请文件属于以下情况的将被视为无效文件：</w:t>
      </w:r>
    </w:p>
    <w:p w14:paraId="1649F21D">
      <w:pPr>
        <w:spacing w:line="360" w:lineRule="auto"/>
        <w:ind w:firstLine="403" w:firstLineChars="192"/>
        <w:rPr>
          <w:rFonts w:ascii="宋体"/>
          <w:kern w:val="0"/>
        </w:rPr>
      </w:pPr>
      <w:r>
        <w:rPr>
          <w:rFonts w:ascii="宋体" w:hAnsi="宋体" w:cs="宋体"/>
          <w:kern w:val="0"/>
        </w:rPr>
        <w:t>1</w:t>
      </w:r>
      <w:r>
        <w:rPr>
          <w:rFonts w:hint="eastAsia" w:ascii="宋体" w:hAnsi="宋体" w:cs="宋体"/>
          <w:kern w:val="0"/>
        </w:rPr>
        <w:t>、未按比选文件要求提供有效资格证明材料的；</w:t>
      </w:r>
    </w:p>
    <w:p w14:paraId="2DD9FB1C">
      <w:pPr>
        <w:spacing w:line="360" w:lineRule="auto"/>
        <w:ind w:firstLine="403" w:firstLineChars="192"/>
        <w:rPr>
          <w:rFonts w:ascii="宋体"/>
          <w:kern w:val="0"/>
        </w:rPr>
      </w:pPr>
      <w:r>
        <w:rPr>
          <w:rFonts w:ascii="宋体" w:hAnsi="宋体" w:cs="宋体"/>
          <w:kern w:val="0"/>
        </w:rPr>
        <w:t>2</w:t>
      </w:r>
      <w:r>
        <w:rPr>
          <w:rFonts w:hint="eastAsia" w:ascii="宋体" w:hAnsi="宋体" w:cs="宋体"/>
          <w:kern w:val="0"/>
        </w:rPr>
        <w:t>、未按比选文件要求完成报价的；</w:t>
      </w:r>
    </w:p>
    <w:p w14:paraId="1E8319F8">
      <w:pPr>
        <w:spacing w:line="360" w:lineRule="auto"/>
        <w:ind w:firstLine="403" w:firstLineChars="192"/>
        <w:rPr>
          <w:rFonts w:ascii="宋体"/>
          <w:kern w:val="0"/>
        </w:rPr>
      </w:pPr>
      <w:r>
        <w:rPr>
          <w:rFonts w:hint="eastAsia" w:ascii="宋体" w:hAnsi="宋体" w:cs="宋体"/>
          <w:kern w:val="0"/>
        </w:rPr>
        <w:t>3、工作内容不满足比选文件基本要求的；</w:t>
      </w:r>
    </w:p>
    <w:p w14:paraId="26880CCC">
      <w:pPr>
        <w:spacing w:line="360" w:lineRule="auto"/>
        <w:ind w:firstLine="403" w:firstLineChars="192"/>
        <w:rPr>
          <w:rFonts w:ascii="宋体"/>
          <w:kern w:val="0"/>
        </w:rPr>
      </w:pPr>
      <w:r>
        <w:rPr>
          <w:rFonts w:hint="eastAsia" w:ascii="宋体" w:hAnsi="宋体" w:cs="宋体"/>
          <w:kern w:val="0"/>
        </w:rPr>
        <w:t>4、有重大技术偏离的；</w:t>
      </w:r>
    </w:p>
    <w:p w14:paraId="4C5FAF72">
      <w:pPr>
        <w:spacing w:line="360" w:lineRule="auto"/>
        <w:ind w:firstLine="403" w:firstLineChars="192"/>
        <w:rPr>
          <w:rFonts w:ascii="宋体"/>
          <w:kern w:val="0"/>
        </w:rPr>
      </w:pPr>
      <w:r>
        <w:rPr>
          <w:rFonts w:hint="eastAsia" w:ascii="宋体" w:hAnsi="宋体" w:cs="宋体"/>
          <w:kern w:val="0"/>
        </w:rPr>
        <w:t>5、未按比选文件要求比选保证金缴纳凭证的。</w:t>
      </w:r>
    </w:p>
    <w:p w14:paraId="0DDA913E">
      <w:pPr>
        <w:spacing w:line="360" w:lineRule="auto"/>
        <w:rPr>
          <w:rFonts w:ascii="宋体"/>
          <w:kern w:val="0"/>
        </w:rPr>
      </w:pPr>
    </w:p>
    <w:p w14:paraId="68478F41">
      <w:pPr>
        <w:pStyle w:val="3"/>
        <w:numPr>
          <w:ilvl w:val="0"/>
          <w:numId w:val="0"/>
        </w:numPr>
        <w:spacing w:before="0" w:after="0" w:line="360" w:lineRule="auto"/>
        <w:jc w:val="left"/>
        <w:rPr>
          <w:rFonts w:cs="Times New Roman"/>
        </w:rPr>
      </w:pPr>
      <w:bookmarkStart w:id="14" w:name="_Toc210211733"/>
      <w:bookmarkStart w:id="15" w:name="_Toc177466666"/>
      <w:bookmarkStart w:id="16" w:name="_Toc115628325"/>
      <w:r>
        <w:rPr>
          <w:rFonts w:hint="eastAsia"/>
        </w:rPr>
        <w:t>七、评审步骤和办法（最低价评标法）</w:t>
      </w:r>
    </w:p>
    <w:p w14:paraId="5B62CD9A">
      <w:pPr>
        <w:spacing w:line="360" w:lineRule="auto"/>
        <w:ind w:firstLine="420" w:firstLineChars="200"/>
        <w:rPr>
          <w:rFonts w:ascii="宋体"/>
          <w:kern w:val="0"/>
        </w:rPr>
      </w:pPr>
      <w:r>
        <w:rPr>
          <w:rFonts w:hint="eastAsia" w:ascii="宋体" w:hAnsi="宋体" w:cs="宋体"/>
          <w:kern w:val="0"/>
        </w:rPr>
        <w:t>本次项目按最低价评标法，评审小组按照报价由低到高的顺序推荐</w:t>
      </w:r>
      <w:r>
        <w:rPr>
          <w:rFonts w:hint="eastAsia" w:ascii="宋体" w:hAnsi="宋体" w:cs="宋体"/>
        </w:rPr>
        <w:t>成交</w:t>
      </w:r>
      <w:r>
        <w:rPr>
          <w:rFonts w:hint="eastAsia" w:ascii="宋体" w:hAnsi="宋体" w:cs="宋体"/>
          <w:kern w:val="0"/>
        </w:rPr>
        <w:t>候选人。</w:t>
      </w:r>
    </w:p>
    <w:p w14:paraId="41F70773">
      <w:pPr>
        <w:spacing w:line="360" w:lineRule="auto"/>
        <w:ind w:firstLine="420" w:firstLineChars="200"/>
        <w:rPr>
          <w:rFonts w:ascii="宋体"/>
          <w:b/>
          <w:bCs/>
          <w:kern w:val="0"/>
        </w:rPr>
      </w:pPr>
      <w:r>
        <w:rPr>
          <w:rFonts w:hint="eastAsia" w:ascii="宋体" w:hAnsi="宋体" w:cs="宋体"/>
          <w:b/>
          <w:bCs/>
          <w:kern w:val="0"/>
        </w:rPr>
        <w:t>1、最低价评标法：</w:t>
      </w:r>
    </w:p>
    <w:tbl>
      <w:tblPr>
        <w:tblStyle w:val="27"/>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56"/>
        <w:gridCol w:w="772"/>
        <w:gridCol w:w="4275"/>
        <w:gridCol w:w="2347"/>
      </w:tblGrid>
      <w:tr w14:paraId="18C77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14:paraId="366B16BC">
            <w:pPr>
              <w:ind w:firstLine="28"/>
              <w:jc w:val="center"/>
              <w:rPr>
                <w:rFonts w:ascii="宋体" w:hAnsi="宋体"/>
              </w:rPr>
            </w:pPr>
            <w:r>
              <w:rPr>
                <w:rFonts w:hint="eastAsia" w:ascii="宋体" w:hAnsi="宋体" w:cs="仿宋"/>
              </w:rPr>
              <w:t>序号</w:t>
            </w:r>
          </w:p>
        </w:tc>
        <w:tc>
          <w:tcPr>
            <w:tcW w:w="630" w:type="pct"/>
            <w:vAlign w:val="center"/>
          </w:tcPr>
          <w:p w14:paraId="19A55B40">
            <w:pPr>
              <w:ind w:firstLine="28"/>
              <w:jc w:val="center"/>
              <w:rPr>
                <w:rFonts w:ascii="宋体" w:hAnsi="宋体"/>
              </w:rPr>
            </w:pPr>
            <w:r>
              <w:rPr>
                <w:rFonts w:hint="eastAsia" w:ascii="宋体" w:hAnsi="宋体" w:cs="仿宋"/>
              </w:rPr>
              <w:t>评分因素及权重</w:t>
            </w:r>
          </w:p>
        </w:tc>
        <w:tc>
          <w:tcPr>
            <w:tcW w:w="421" w:type="pct"/>
            <w:vAlign w:val="center"/>
          </w:tcPr>
          <w:p w14:paraId="3568A4E5">
            <w:pPr>
              <w:ind w:firstLine="28"/>
              <w:jc w:val="center"/>
              <w:rPr>
                <w:rFonts w:ascii="宋体" w:hAnsi="宋体"/>
              </w:rPr>
            </w:pPr>
            <w:r>
              <w:rPr>
                <w:rFonts w:hint="eastAsia" w:ascii="宋体" w:hAnsi="宋体" w:cs="仿宋"/>
              </w:rPr>
              <w:t>分值</w:t>
            </w:r>
          </w:p>
        </w:tc>
        <w:tc>
          <w:tcPr>
            <w:tcW w:w="2330" w:type="pct"/>
            <w:vAlign w:val="center"/>
          </w:tcPr>
          <w:p w14:paraId="343DAB98">
            <w:pPr>
              <w:ind w:firstLine="28"/>
              <w:jc w:val="center"/>
              <w:rPr>
                <w:rFonts w:ascii="宋体" w:hAnsi="宋体"/>
              </w:rPr>
            </w:pPr>
            <w:r>
              <w:rPr>
                <w:rFonts w:hint="eastAsia" w:ascii="宋体" w:hAnsi="宋体" w:cs="仿宋"/>
              </w:rPr>
              <w:t>评分标准</w:t>
            </w:r>
          </w:p>
        </w:tc>
        <w:tc>
          <w:tcPr>
            <w:tcW w:w="1280" w:type="pct"/>
            <w:vAlign w:val="center"/>
          </w:tcPr>
          <w:p w14:paraId="25D2E8EB">
            <w:pPr>
              <w:jc w:val="center"/>
              <w:rPr>
                <w:rFonts w:ascii="宋体" w:hAnsi="宋体"/>
              </w:rPr>
            </w:pPr>
            <w:r>
              <w:rPr>
                <w:rFonts w:hint="eastAsia" w:ascii="宋体" w:hAnsi="宋体" w:cs="仿宋"/>
              </w:rPr>
              <w:t>说明</w:t>
            </w:r>
          </w:p>
        </w:tc>
      </w:tr>
      <w:tr w14:paraId="1C9F4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14:paraId="08AB37C7">
            <w:pPr>
              <w:ind w:firstLine="28"/>
              <w:jc w:val="center"/>
              <w:rPr>
                <w:rFonts w:ascii="宋体" w:hAnsi="宋体" w:cs="仿宋"/>
              </w:rPr>
            </w:pPr>
            <w:r>
              <w:rPr>
                <w:rFonts w:ascii="宋体" w:hAnsi="宋体" w:cs="仿宋"/>
              </w:rPr>
              <w:t>1</w:t>
            </w:r>
          </w:p>
        </w:tc>
        <w:tc>
          <w:tcPr>
            <w:tcW w:w="630" w:type="pct"/>
            <w:vAlign w:val="center"/>
          </w:tcPr>
          <w:p w14:paraId="275EC273">
            <w:pPr>
              <w:ind w:firstLine="28"/>
              <w:jc w:val="center"/>
              <w:rPr>
                <w:rFonts w:ascii="宋体" w:hAnsi="宋体" w:cs="仿宋"/>
              </w:rPr>
            </w:pPr>
            <w:r>
              <w:rPr>
                <w:rFonts w:hint="eastAsia" w:ascii="宋体" w:hAnsi="宋体" w:cs="仿宋"/>
              </w:rPr>
              <w:t>报价</w:t>
            </w:r>
            <w:r>
              <w:rPr>
                <w:rFonts w:ascii="宋体" w:hAnsi="宋体" w:cs="仿宋"/>
              </w:rPr>
              <w:t>100%</w:t>
            </w:r>
          </w:p>
        </w:tc>
        <w:tc>
          <w:tcPr>
            <w:tcW w:w="421" w:type="pct"/>
            <w:vAlign w:val="center"/>
          </w:tcPr>
          <w:p w14:paraId="15B96C2C">
            <w:pPr>
              <w:ind w:firstLine="28"/>
              <w:jc w:val="center"/>
              <w:rPr>
                <w:rFonts w:ascii="宋体" w:hAnsi="宋体" w:cs="仿宋"/>
              </w:rPr>
            </w:pPr>
            <w:r>
              <w:rPr>
                <w:rFonts w:ascii="宋体" w:hAnsi="宋体" w:cs="仿宋"/>
              </w:rPr>
              <w:t>100</w:t>
            </w:r>
          </w:p>
        </w:tc>
        <w:tc>
          <w:tcPr>
            <w:tcW w:w="2330" w:type="pct"/>
            <w:vAlign w:val="center"/>
          </w:tcPr>
          <w:p w14:paraId="10BCAB5A">
            <w:pPr>
              <w:rPr>
                <w:rFonts w:ascii="宋体" w:hAnsi="宋体"/>
              </w:rPr>
            </w:pPr>
            <w:r>
              <w:rPr>
                <w:rFonts w:hint="eastAsia" w:ascii="宋体" w:hAnsi="宋体" w:cs="仿宋"/>
              </w:rPr>
              <w:t>满足比选文件要求,</w:t>
            </w:r>
            <w:r>
              <w:rPr>
                <w:rFonts w:ascii="宋体" w:hAnsi="宋体" w:cs="仿宋"/>
              </w:rPr>
              <w:t>按照</w:t>
            </w:r>
            <w:r>
              <w:rPr>
                <w:rFonts w:hint="eastAsia" w:ascii="宋体" w:hAnsi="宋体" w:cs="仿宋"/>
              </w:rPr>
              <w:t>报价价格由低到高依次</w:t>
            </w:r>
            <w:r>
              <w:rPr>
                <w:rFonts w:ascii="宋体" w:hAnsi="宋体" w:cs="仿宋"/>
              </w:rPr>
              <w:t>排名。</w:t>
            </w:r>
          </w:p>
        </w:tc>
        <w:tc>
          <w:tcPr>
            <w:tcW w:w="1280" w:type="pct"/>
            <w:vAlign w:val="center"/>
          </w:tcPr>
          <w:p w14:paraId="1D51DE7B">
            <w:pPr>
              <w:rPr>
                <w:rFonts w:ascii="宋体" w:hAnsi="宋体" w:cs="仿宋"/>
              </w:rPr>
            </w:pPr>
            <w:r>
              <w:rPr>
                <w:rFonts w:hint="eastAsia" w:ascii="宋体" w:hAnsi="宋体" w:cs="仿宋"/>
              </w:rPr>
              <w:t>如存在不唯一最低价，采取随机抽取的形式产生中标人。</w:t>
            </w:r>
          </w:p>
        </w:tc>
      </w:tr>
    </w:tbl>
    <w:p w14:paraId="0D90A730">
      <w:pPr>
        <w:spacing w:line="360" w:lineRule="auto"/>
        <w:ind w:firstLine="403" w:firstLineChars="192"/>
        <w:rPr>
          <w:rFonts w:ascii="宋体" w:hAnsi="宋体" w:cs="宋体"/>
          <w:b/>
          <w:kern w:val="0"/>
        </w:rPr>
      </w:pPr>
      <w:r>
        <w:rPr>
          <w:rFonts w:hint="eastAsia" w:ascii="宋体" w:hAnsi="宋体" w:cs="宋体"/>
          <w:b/>
          <w:kern w:val="0"/>
        </w:rPr>
        <w:t>2、提供相同品牌产品处理。（实质性要求）</w:t>
      </w:r>
    </w:p>
    <w:p w14:paraId="016AA32D">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.1 提供相同品牌产品且通过资格审查、符合性审查的不同供应商参加同一合同项下比选的，按一家供应商计算，评审后价格最低的同品牌供应商获得成交人推荐资格；价格相同的，由采购人采取随机抽取方式确定一个供应商获得成交人推荐资格，其他同品牌供应商不作为成交候选人。</w:t>
      </w:r>
    </w:p>
    <w:p w14:paraId="45059B81">
      <w:pPr>
        <w:spacing w:line="360" w:lineRule="auto"/>
        <w:ind w:firstLine="403" w:firstLineChars="192"/>
        <w:rPr>
          <w:rFonts w:ascii="宋体" w:hAnsi="宋体" w:cs="宋体"/>
          <w:b/>
          <w:kern w:val="0"/>
        </w:rPr>
      </w:pPr>
      <w:bookmarkStart w:id="17" w:name="_Toc508279863"/>
      <w:r>
        <w:rPr>
          <w:rFonts w:hint="eastAsia" w:ascii="宋体" w:hAnsi="宋体" w:cs="宋体"/>
          <w:b/>
          <w:kern w:val="0"/>
        </w:rPr>
        <w:t>3、 资格性审查。</w:t>
      </w:r>
      <w:bookmarkEnd w:id="17"/>
    </w:p>
    <w:p w14:paraId="032B6AD3">
      <w:pPr>
        <w:spacing w:line="360" w:lineRule="auto"/>
        <w:ind w:firstLine="403" w:firstLineChars="192"/>
        <w:rPr>
          <w:rFonts w:ascii="宋体" w:hAnsi="宋体" w:cs="宋体"/>
          <w:kern w:val="0"/>
        </w:rPr>
      </w:pPr>
      <w:r>
        <w:rPr>
          <w:rFonts w:hint="eastAsia" w:ascii="宋体" w:hAnsi="宋体" w:cs="宋体"/>
          <w:kern w:val="0"/>
        </w:rPr>
        <w:t>本项目需要进行资格性检查。</w:t>
      </w:r>
    </w:p>
    <w:p w14:paraId="33ADD4A7">
      <w:pPr>
        <w:spacing w:line="360" w:lineRule="auto"/>
        <w:ind w:firstLine="403" w:firstLineChars="192"/>
        <w:rPr>
          <w:rFonts w:ascii="宋体" w:hAnsi="宋体" w:cs="宋体"/>
          <w:kern w:val="0"/>
        </w:rPr>
      </w:pPr>
      <w:bookmarkStart w:id="18" w:name="_Toc508279864"/>
      <w:r>
        <w:rPr>
          <w:rFonts w:hint="eastAsia" w:ascii="宋体" w:hAnsi="宋体" w:cs="宋体"/>
          <w:kern w:val="0"/>
        </w:rPr>
        <w:t>3.1应依据法律法规和比选文件的规定，对比选申请文件是否按照规定要求提供资格性证明材料、是否属于禁止参加比选的供应商等进行审查，以确定供应商是否具备成交资格。</w:t>
      </w:r>
      <w:bookmarkEnd w:id="18"/>
    </w:p>
    <w:p w14:paraId="2EC3E6C2">
      <w:pPr>
        <w:spacing w:line="360" w:lineRule="auto"/>
        <w:ind w:firstLine="403" w:firstLineChars="192"/>
        <w:rPr>
          <w:rFonts w:ascii="宋体" w:hAnsi="宋体" w:cs="宋体"/>
          <w:kern w:val="0"/>
        </w:rPr>
      </w:pPr>
      <w:bookmarkStart w:id="19" w:name="_Toc508279865"/>
      <w:r>
        <w:rPr>
          <w:rFonts w:hint="eastAsia" w:ascii="宋体" w:hAnsi="宋体" w:cs="宋体"/>
          <w:kern w:val="0"/>
        </w:rPr>
        <w:t>3.2资格性审查结束后，出具资格性审查表。</w:t>
      </w:r>
      <w:bookmarkEnd w:id="19"/>
    </w:p>
    <w:p w14:paraId="2C787406">
      <w:pPr>
        <w:spacing w:line="360" w:lineRule="auto"/>
        <w:ind w:firstLine="403" w:firstLineChars="192"/>
        <w:rPr>
          <w:rFonts w:ascii="宋体" w:hAnsi="宋体" w:cs="宋体"/>
          <w:kern w:val="0"/>
        </w:rPr>
      </w:pPr>
      <w:bookmarkStart w:id="20" w:name="_Toc508279866"/>
      <w:r>
        <w:rPr>
          <w:rFonts w:hint="eastAsia" w:ascii="宋体" w:hAnsi="宋体" w:cs="宋体"/>
          <w:kern w:val="0"/>
        </w:rPr>
        <w:t>3.3评审小组应依据比选文件规定的要求，对符合资格的比选申请文件进行有效性、完整性和响应程度审查，以确定参加比选的供应商名单。</w:t>
      </w:r>
      <w:bookmarkEnd w:id="20"/>
    </w:p>
    <w:p w14:paraId="2407D1F7">
      <w:pPr>
        <w:spacing w:line="360" w:lineRule="auto"/>
        <w:ind w:firstLine="403" w:firstLineChars="192"/>
        <w:rPr>
          <w:rFonts w:ascii="宋体" w:hAnsi="宋体" w:cs="宋体"/>
          <w:kern w:val="0"/>
        </w:rPr>
      </w:pPr>
      <w:r>
        <w:rPr>
          <w:rFonts w:hint="eastAsia" w:ascii="宋体" w:hAnsi="宋体" w:cs="宋体"/>
          <w:kern w:val="0"/>
        </w:rPr>
        <w:t>有效性、完整性和响应程度审查内容：</w:t>
      </w:r>
    </w:p>
    <w:p w14:paraId="5B0EA4A8">
      <w:pPr>
        <w:spacing w:line="360" w:lineRule="auto"/>
        <w:ind w:firstLine="403" w:firstLineChars="192"/>
        <w:rPr>
          <w:rFonts w:ascii="宋体" w:hAnsi="宋体" w:cs="宋体"/>
          <w:kern w:val="0"/>
        </w:rPr>
      </w:pPr>
      <w:r>
        <w:rPr>
          <w:rFonts w:hint="eastAsia" w:ascii="宋体" w:hAnsi="宋体" w:cs="宋体"/>
          <w:kern w:val="0"/>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14:paraId="5BCF9626">
      <w:pPr>
        <w:spacing w:line="360" w:lineRule="auto"/>
        <w:ind w:firstLine="403" w:firstLineChars="192"/>
        <w:rPr>
          <w:rFonts w:ascii="宋体" w:hAnsi="宋体" w:cs="宋体"/>
          <w:kern w:val="0"/>
        </w:rPr>
      </w:pPr>
      <w:r>
        <w:rPr>
          <w:rFonts w:hint="eastAsia" w:ascii="宋体" w:hAnsi="宋体" w:cs="宋体"/>
          <w:kern w:val="0"/>
        </w:rPr>
        <w:t>（2）比选文件第三章中标注“★”的条款为本项目的实质性条款，供应商不满足的，将按照无效响应处理。</w:t>
      </w:r>
    </w:p>
    <w:p w14:paraId="45C016D5">
      <w:pPr>
        <w:spacing w:line="360" w:lineRule="auto"/>
        <w:ind w:firstLine="403" w:firstLineChars="192"/>
        <w:rPr>
          <w:rFonts w:ascii="宋体" w:hAnsi="宋体" w:cs="宋体"/>
          <w:kern w:val="0"/>
        </w:rPr>
      </w:pPr>
      <w:r>
        <w:rPr>
          <w:rFonts w:hint="eastAsia" w:ascii="宋体" w:hAnsi="宋体" w:cs="宋体"/>
          <w:kern w:val="0"/>
        </w:rPr>
        <w:t>（3）比选文件第二章中标注“</w:t>
      </w:r>
      <w:r>
        <w:rPr>
          <w:rFonts w:hint="eastAsia"/>
        </w:rPr>
        <w:t>实质性要求</w:t>
      </w:r>
      <w:r>
        <w:rPr>
          <w:rFonts w:hint="eastAsia" w:ascii="宋体" w:hAnsi="宋体" w:cs="宋体"/>
          <w:kern w:val="0"/>
        </w:rPr>
        <w:t>”的条款为本项目的实质性条款，供应商不满足的，将按照无效响应处理。</w:t>
      </w:r>
    </w:p>
    <w:p w14:paraId="7538B9D9">
      <w:pPr>
        <w:spacing w:line="360" w:lineRule="auto"/>
        <w:ind w:firstLine="403" w:firstLineChars="192"/>
        <w:rPr>
          <w:rFonts w:ascii="宋体" w:hAnsi="宋体" w:cs="宋体"/>
          <w:kern w:val="0"/>
        </w:rPr>
      </w:pPr>
      <w:bookmarkStart w:id="21" w:name="_Toc508279868"/>
      <w:r>
        <w:rPr>
          <w:rFonts w:hint="eastAsia" w:ascii="宋体" w:hAnsi="宋体" w:cs="宋体"/>
          <w:kern w:val="0"/>
        </w:rPr>
        <w:t>3.4通过资格性审查的供应商不足3家的，终止本次采购活动，并发布终止采购活动公告。</w:t>
      </w:r>
      <w:bookmarkEnd w:id="21"/>
    </w:p>
    <w:p w14:paraId="1C3EBD2F">
      <w:pPr>
        <w:spacing w:line="360" w:lineRule="auto"/>
        <w:ind w:firstLine="403" w:firstLineChars="192"/>
        <w:rPr>
          <w:rFonts w:ascii="宋体" w:hAnsi="宋体" w:cs="宋体"/>
          <w:b/>
          <w:kern w:val="0"/>
        </w:rPr>
      </w:pPr>
      <w:r>
        <w:rPr>
          <w:rFonts w:hint="eastAsia" w:ascii="宋体" w:hAnsi="宋体" w:cs="宋体"/>
          <w:b/>
          <w:kern w:val="0"/>
        </w:rPr>
        <w:t>4、 最后报价</w:t>
      </w:r>
    </w:p>
    <w:p w14:paraId="2DEC7796">
      <w:pPr>
        <w:spacing w:line="360" w:lineRule="auto"/>
        <w:ind w:firstLine="403" w:firstLineChars="192"/>
        <w:rPr>
          <w:rFonts w:ascii="宋体" w:hAnsi="宋体" w:cs="宋体"/>
          <w:kern w:val="0"/>
        </w:rPr>
      </w:pPr>
      <w:r>
        <w:rPr>
          <w:rFonts w:hint="eastAsia" w:ascii="宋体" w:hAnsi="宋体" w:cs="宋体"/>
          <w:kern w:val="0"/>
        </w:rPr>
        <w:t>4.1资格审查结束后，评审小组应当要求所有实质性响应的供应商在规定时间内提交最后报价，提交最后报价的供应商不得少于</w:t>
      </w:r>
      <w:r>
        <w:rPr>
          <w:rFonts w:hint="eastAsia" w:ascii="宋体" w:hAnsi="宋体" w:cs="宋体"/>
          <w:b/>
          <w:bCs/>
          <w:kern w:val="0"/>
          <w:u w:val="single"/>
        </w:rPr>
        <w:t>3</w:t>
      </w:r>
      <w:r>
        <w:rPr>
          <w:rFonts w:hint="eastAsia" w:ascii="宋体" w:hAnsi="宋体" w:cs="宋体"/>
          <w:kern w:val="0"/>
        </w:rPr>
        <w:t>家。</w:t>
      </w:r>
    </w:p>
    <w:p w14:paraId="63B48238">
      <w:pPr>
        <w:spacing w:line="360" w:lineRule="auto"/>
        <w:ind w:firstLine="403" w:firstLineChars="192"/>
        <w:rPr>
          <w:rFonts w:ascii="宋体" w:hAnsi="宋体" w:cs="宋体"/>
          <w:kern w:val="0"/>
        </w:rPr>
      </w:pPr>
      <w:r>
        <w:rPr>
          <w:rFonts w:hint="eastAsia" w:ascii="宋体" w:hAnsi="宋体" w:cs="宋体"/>
          <w:kern w:val="0"/>
        </w:rPr>
        <w:t>4.2供应商最后报价不得高于对该项目之前的报价，否则，评审小组应当对其比选申请文件按无效处理，并说明理由。</w:t>
      </w:r>
    </w:p>
    <w:p w14:paraId="1EF4782F">
      <w:pPr>
        <w:spacing w:line="360" w:lineRule="auto"/>
        <w:ind w:firstLine="403" w:firstLineChars="192"/>
        <w:rPr>
          <w:rFonts w:ascii="宋体" w:hAnsi="宋体" w:cs="宋体"/>
          <w:kern w:val="0"/>
        </w:rPr>
      </w:pPr>
      <w:r>
        <w:rPr>
          <w:rFonts w:hint="eastAsia" w:ascii="宋体" w:hAnsi="宋体" w:cs="宋体"/>
          <w:kern w:val="0"/>
        </w:rPr>
        <w:t>4.3供应商最后报价应当由法定代表人（负责人）/主要负责人/本人或其授权代表签字确认或加盖公章。最后报价是供应商比选申请文件的有效组成部分。</w:t>
      </w:r>
    </w:p>
    <w:p w14:paraId="23B374C0">
      <w:pPr>
        <w:spacing w:line="360" w:lineRule="auto"/>
        <w:ind w:firstLine="403" w:firstLineChars="192"/>
        <w:rPr>
          <w:rFonts w:ascii="宋体" w:hAnsi="宋体" w:cs="宋体"/>
          <w:kern w:val="0"/>
        </w:rPr>
      </w:pPr>
      <w:r>
        <w:rPr>
          <w:rFonts w:hint="eastAsia" w:ascii="宋体" w:hAnsi="宋体" w:cs="宋体"/>
          <w:kern w:val="0"/>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14:paraId="36929CC7">
      <w:pPr>
        <w:spacing w:line="360" w:lineRule="auto"/>
        <w:ind w:firstLine="403" w:firstLineChars="192"/>
        <w:rPr>
          <w:rFonts w:ascii="宋体" w:hAnsi="宋体" w:cs="宋体"/>
          <w:b/>
          <w:kern w:val="0"/>
        </w:rPr>
      </w:pPr>
      <w:r>
        <w:rPr>
          <w:rFonts w:hint="eastAsia" w:ascii="宋体" w:hAnsi="宋体" w:cs="宋体"/>
          <w:b/>
          <w:kern w:val="0"/>
        </w:rPr>
        <w:t>5、编写评审报告</w:t>
      </w:r>
    </w:p>
    <w:p w14:paraId="31954C85">
      <w:pPr>
        <w:spacing w:line="36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14:paraId="47A55612">
      <w:pPr>
        <w:spacing w:line="360" w:lineRule="auto"/>
        <w:ind w:firstLine="403" w:firstLineChars="192"/>
        <w:rPr>
          <w:rFonts w:ascii="宋体" w:hAnsi="宋体" w:cs="宋体"/>
          <w:kern w:val="0"/>
        </w:rPr>
      </w:pPr>
      <w:r>
        <w:rPr>
          <w:rFonts w:hint="eastAsia" w:ascii="宋体" w:hAnsi="宋体" w:cs="宋体"/>
          <w:kern w:val="0"/>
        </w:rPr>
        <w:t>（1）邀请供应商参加采购活动的具体方式和相关情况，以及参加采购活动的供应商名单；</w:t>
      </w:r>
    </w:p>
    <w:p w14:paraId="2CE3BC85">
      <w:pPr>
        <w:spacing w:line="360" w:lineRule="auto"/>
        <w:ind w:firstLine="403" w:firstLineChars="192"/>
        <w:rPr>
          <w:rFonts w:ascii="宋体" w:hAnsi="宋体" w:cs="宋体"/>
          <w:kern w:val="0"/>
        </w:rPr>
      </w:pPr>
      <w:r>
        <w:rPr>
          <w:rFonts w:hint="eastAsia" w:ascii="宋体" w:hAnsi="宋体" w:cs="宋体"/>
          <w:kern w:val="0"/>
        </w:rPr>
        <w:t>（2）评审日期和地点，评审小组成员名单；</w:t>
      </w:r>
    </w:p>
    <w:p w14:paraId="37C3F4D6">
      <w:pPr>
        <w:spacing w:line="360" w:lineRule="auto"/>
        <w:ind w:firstLine="403" w:firstLineChars="192"/>
        <w:rPr>
          <w:rFonts w:ascii="宋体" w:hAnsi="宋体" w:cs="宋体"/>
          <w:kern w:val="0"/>
        </w:rPr>
      </w:pPr>
      <w:r>
        <w:rPr>
          <w:rFonts w:hint="eastAsia" w:ascii="宋体" w:hAnsi="宋体" w:cs="宋体"/>
          <w:kern w:val="0"/>
        </w:rPr>
        <w:t>（3）评审情况记录和说明，包括对供应商的资格审查情况、报价情况等；</w:t>
      </w:r>
    </w:p>
    <w:p w14:paraId="73948A42">
      <w:pPr>
        <w:spacing w:line="360" w:lineRule="auto"/>
        <w:ind w:firstLine="403" w:firstLineChars="192"/>
        <w:rPr>
          <w:rFonts w:ascii="宋体" w:hAnsi="宋体" w:cs="宋体"/>
          <w:kern w:val="0"/>
        </w:rPr>
      </w:pPr>
      <w:r>
        <w:rPr>
          <w:rFonts w:hint="eastAsia" w:ascii="宋体" w:hAnsi="宋体" w:cs="宋体"/>
          <w:kern w:val="0"/>
        </w:rPr>
        <w:t>（4）推荐的成交候选人的名单。</w:t>
      </w:r>
    </w:p>
    <w:p w14:paraId="248901FC">
      <w:pPr>
        <w:spacing w:line="360" w:lineRule="auto"/>
        <w:ind w:firstLine="403" w:firstLineChars="192"/>
        <w:rPr>
          <w:rFonts w:ascii="宋体" w:hAnsi="宋体" w:cs="宋体"/>
          <w:kern w:val="0"/>
        </w:rPr>
      </w:pPr>
      <w:r>
        <w:rPr>
          <w:rFonts w:hint="eastAsia" w:ascii="宋体" w:hAnsi="宋体" w:cs="宋体"/>
          <w:kern w:val="0"/>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371DEBB3">
      <w:pPr>
        <w:spacing w:line="360" w:lineRule="auto"/>
        <w:ind w:firstLine="403" w:firstLineChars="192"/>
        <w:rPr>
          <w:rFonts w:ascii="宋体" w:hAnsi="宋体" w:cs="宋体"/>
          <w:b/>
          <w:kern w:val="0"/>
        </w:rPr>
      </w:pPr>
      <w:r>
        <w:rPr>
          <w:rFonts w:hint="eastAsia" w:ascii="宋体" w:hAnsi="宋体" w:cs="宋体"/>
          <w:b/>
          <w:kern w:val="0"/>
        </w:rPr>
        <w:t>6、供应商澄清、说明</w:t>
      </w:r>
    </w:p>
    <w:p w14:paraId="11E812FD">
      <w:pPr>
        <w:spacing w:line="360" w:lineRule="auto"/>
        <w:ind w:firstLine="403" w:firstLineChars="192"/>
        <w:rPr>
          <w:rFonts w:ascii="宋体" w:hAnsi="宋体" w:cs="宋体"/>
          <w:kern w:val="0"/>
        </w:rPr>
      </w:pPr>
      <w:r>
        <w:rPr>
          <w:rFonts w:hint="eastAsia" w:ascii="宋体" w:hAnsi="宋体" w:cs="宋体"/>
          <w:kern w:val="0"/>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14:paraId="0F2D290A">
      <w:pPr>
        <w:spacing w:line="360" w:lineRule="auto"/>
        <w:ind w:firstLine="403" w:firstLineChars="192"/>
        <w:rPr>
          <w:rFonts w:ascii="宋体" w:hAnsi="宋体" w:cs="宋体"/>
          <w:kern w:val="0"/>
        </w:rPr>
      </w:pPr>
      <w:r>
        <w:rPr>
          <w:rFonts w:hint="eastAsia" w:ascii="宋体" w:hAnsi="宋体" w:cs="宋体"/>
          <w:kern w:val="0"/>
        </w:rPr>
        <w:t>6.2评审小组要求供应商澄清、说明或者更正比选申请文件应当以书面形式作出。供应商的澄清、说明或者更正应当由法定代表人（负责人）/主要负责人/本人或其授权代表签字或者加盖公章。</w:t>
      </w:r>
    </w:p>
    <w:p w14:paraId="528C0FCA">
      <w:pPr>
        <w:pStyle w:val="3"/>
        <w:numPr>
          <w:ilvl w:val="0"/>
          <w:numId w:val="0"/>
        </w:numPr>
        <w:spacing w:before="0" w:after="0" w:line="360" w:lineRule="auto"/>
        <w:jc w:val="left"/>
      </w:pPr>
      <w:r>
        <w:rPr>
          <w:rFonts w:hint="eastAsia"/>
        </w:rPr>
        <w:t>八</w:t>
      </w:r>
      <w:r>
        <w:t>、重新</w:t>
      </w:r>
      <w:r>
        <w:rPr>
          <w:rFonts w:hint="eastAsia"/>
        </w:rPr>
        <w:t>比选</w:t>
      </w:r>
      <w:r>
        <w:t>或终止比选</w:t>
      </w:r>
    </w:p>
    <w:p w14:paraId="6246AA32">
      <w:pPr>
        <w:spacing w:line="360" w:lineRule="auto"/>
        <w:ind w:firstLine="403" w:firstLineChars="192"/>
        <w:rPr>
          <w:rFonts w:ascii="宋体" w:hAnsi="宋体" w:cs="宋体"/>
          <w:kern w:val="0"/>
        </w:rPr>
      </w:pPr>
      <w:r>
        <w:rPr>
          <w:rFonts w:hint="eastAsia" w:ascii="宋体" w:hAnsi="宋体" w:cs="宋体"/>
          <w:kern w:val="0"/>
        </w:rPr>
        <w:t>本次比选活动中，出现下列情形之一的，予以重新比选或终止比选：</w:t>
      </w:r>
    </w:p>
    <w:p w14:paraId="4BFC3CFF">
      <w:pPr>
        <w:spacing w:line="360" w:lineRule="auto"/>
        <w:ind w:firstLine="403" w:firstLineChars="192"/>
        <w:rPr>
          <w:rFonts w:ascii="宋体" w:hAnsi="宋体" w:cs="宋体"/>
          <w:kern w:val="0"/>
        </w:rPr>
      </w:pPr>
      <w:r>
        <w:rPr>
          <w:rFonts w:hint="eastAsia" w:ascii="宋体" w:hAnsi="宋体" w:cs="宋体"/>
          <w:kern w:val="0"/>
        </w:rPr>
        <w:t>（1）所有比选</w:t>
      </w:r>
      <w:r>
        <w:rPr>
          <w:rFonts w:ascii="宋体" w:hAnsi="宋体" w:cs="宋体"/>
          <w:kern w:val="0"/>
        </w:rPr>
        <w:t>申请文件</w:t>
      </w:r>
      <w:r>
        <w:rPr>
          <w:rFonts w:hint="eastAsia" w:ascii="宋体" w:hAnsi="宋体" w:cs="宋体"/>
          <w:kern w:val="0"/>
        </w:rPr>
        <w:t>都不符合比选文件要求，并被全部否决的；</w:t>
      </w:r>
    </w:p>
    <w:p w14:paraId="26BCCDA4">
      <w:pPr>
        <w:spacing w:line="360" w:lineRule="auto"/>
        <w:ind w:firstLine="403" w:firstLineChars="192"/>
        <w:rPr>
          <w:rFonts w:ascii="宋体" w:hAnsi="宋体" w:cs="宋体"/>
          <w:kern w:val="0"/>
        </w:rPr>
      </w:pPr>
      <w:r>
        <w:rPr>
          <w:rFonts w:hint="eastAsia" w:ascii="宋体" w:hAnsi="宋体" w:cs="宋体"/>
          <w:kern w:val="0"/>
        </w:rPr>
        <w:t>（2）出现影响比选公正的违法、违规行为的；</w:t>
      </w:r>
    </w:p>
    <w:p w14:paraId="3429DF9A">
      <w:pPr>
        <w:spacing w:line="360" w:lineRule="auto"/>
        <w:ind w:firstLine="403" w:firstLineChars="192"/>
        <w:rPr>
          <w:rFonts w:ascii="宋体" w:hAnsi="宋体" w:cs="宋体"/>
          <w:kern w:val="0"/>
        </w:rPr>
      </w:pPr>
      <w:r>
        <w:rPr>
          <w:rFonts w:hint="eastAsia" w:ascii="宋体" w:hAnsi="宋体" w:cs="宋体"/>
          <w:kern w:val="0"/>
        </w:rPr>
        <w:t>（3）因重大变故，比选采购任务取消的；</w:t>
      </w:r>
    </w:p>
    <w:p w14:paraId="4573D450">
      <w:pPr>
        <w:pStyle w:val="3"/>
        <w:numPr>
          <w:ilvl w:val="0"/>
          <w:numId w:val="0"/>
        </w:numPr>
        <w:spacing w:before="0" w:after="0" w:line="360" w:lineRule="auto"/>
        <w:jc w:val="left"/>
        <w:rPr>
          <w:rFonts w:cs="Times New Roman"/>
        </w:rPr>
      </w:pPr>
      <w:r>
        <w:rPr>
          <w:rFonts w:hint="eastAsia"/>
        </w:rPr>
        <w:t>九、合同签订</w:t>
      </w:r>
    </w:p>
    <w:p w14:paraId="07A4D1D7">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、由比选人确定成交供应商后，向成交人发出成交通知书，供应商应按成交通知书规定的时间和地点，与比选人签订采购合同。</w:t>
      </w:r>
    </w:p>
    <w:p w14:paraId="5912D13D">
      <w:pPr>
        <w:spacing w:line="360" w:lineRule="auto"/>
        <w:ind w:firstLine="404" w:firstLineChars="200"/>
        <w:rPr>
          <w:rFonts w:ascii="宋体" w:hAnsi="宋体" w:cs="宋体"/>
          <w:spacing w:val="-4"/>
          <w:kern w:val="0"/>
        </w:rPr>
      </w:pPr>
      <w:r>
        <w:rPr>
          <w:rFonts w:ascii="宋体" w:hAnsi="宋体" w:cs="宋体"/>
          <w:spacing w:val="-4"/>
          <w:kern w:val="0"/>
        </w:rPr>
        <w:t>2</w:t>
      </w:r>
      <w:r>
        <w:rPr>
          <w:rFonts w:hint="eastAsia" w:ascii="宋体" w:hAnsi="宋体" w:cs="宋体"/>
          <w:spacing w:val="-4"/>
          <w:kern w:val="0"/>
        </w:rPr>
        <w:t>、比选文件、供应商提交的比选申请文件以及成交通知书均成为有法律约束力的合同的组成内容。</w:t>
      </w:r>
      <w:bookmarkEnd w:id="6"/>
      <w:bookmarkEnd w:id="7"/>
      <w:bookmarkEnd w:id="8"/>
      <w:bookmarkEnd w:id="9"/>
      <w:bookmarkEnd w:id="14"/>
      <w:bookmarkEnd w:id="15"/>
      <w:bookmarkEnd w:id="16"/>
      <w:bookmarkStart w:id="22" w:name="_Toc180296784"/>
      <w:bookmarkStart w:id="23" w:name="_Toc173895842"/>
      <w:bookmarkStart w:id="24" w:name="_Toc211679181"/>
      <w:bookmarkStart w:id="25" w:name="_Toc173895657"/>
    </w:p>
    <w:p w14:paraId="41F1EA7A">
      <w:pPr>
        <w:spacing w:line="360" w:lineRule="auto"/>
        <w:ind w:firstLine="404" w:firstLineChars="200"/>
        <w:rPr>
          <w:rFonts w:ascii="宋体" w:hAnsi="宋体" w:cs="宋体"/>
          <w:spacing w:val="-4"/>
          <w:kern w:val="0"/>
        </w:rPr>
      </w:pPr>
      <w:r>
        <w:rPr>
          <w:rFonts w:hint="eastAsia" w:ascii="宋体" w:hAnsi="宋体" w:cs="宋体"/>
          <w:spacing w:val="-4"/>
          <w:kern w:val="0"/>
        </w:rPr>
        <w:t>3、合同分包：不允许。</w:t>
      </w:r>
    </w:p>
    <w:p w14:paraId="78BD1193">
      <w:pPr>
        <w:spacing w:line="360" w:lineRule="auto"/>
        <w:ind w:firstLine="404" w:firstLineChars="200"/>
        <w:rPr>
          <w:rFonts w:ascii="宋体"/>
          <w:spacing w:val="-4"/>
          <w:kern w:val="0"/>
        </w:rPr>
      </w:pPr>
      <w:r>
        <w:rPr>
          <w:rFonts w:hint="eastAsia" w:ascii="宋体" w:hAnsi="宋体" w:cs="宋体"/>
          <w:spacing w:val="-4"/>
          <w:kern w:val="0"/>
        </w:rPr>
        <w:t>4、合同转包：不允许。</w:t>
      </w:r>
      <w:r>
        <w:rPr>
          <w:rFonts w:ascii="宋体"/>
          <w:spacing w:val="-4"/>
        </w:rPr>
        <w:br w:type="page"/>
      </w:r>
    </w:p>
    <w:p w14:paraId="08582AA5">
      <w:pPr>
        <w:ind w:firstLine="614" w:firstLineChars="192"/>
        <w:jc w:val="center"/>
        <w:outlineLvl w:val="0"/>
        <w:rPr>
          <w:rFonts w:ascii="宋体"/>
          <w:b/>
          <w:bCs/>
          <w:kern w:val="44"/>
          <w:sz w:val="32"/>
          <w:szCs w:val="32"/>
        </w:rPr>
      </w:pPr>
      <w:r>
        <w:rPr>
          <w:rFonts w:hint="eastAsia" w:ascii="宋体" w:hAnsi="宋体" w:cs="宋体"/>
          <w:b/>
          <w:bCs/>
          <w:kern w:val="44"/>
          <w:sz w:val="32"/>
          <w:szCs w:val="32"/>
        </w:rPr>
        <w:t>第三章采购</w:t>
      </w:r>
      <w:bookmarkEnd w:id="22"/>
      <w:bookmarkEnd w:id="23"/>
      <w:bookmarkEnd w:id="24"/>
      <w:bookmarkEnd w:id="25"/>
      <w:r>
        <w:rPr>
          <w:rFonts w:hint="eastAsia" w:ascii="宋体" w:hAnsi="宋体" w:cs="宋体"/>
          <w:b/>
          <w:bCs/>
          <w:kern w:val="44"/>
          <w:sz w:val="32"/>
          <w:szCs w:val="32"/>
        </w:rPr>
        <w:t>清单及技术要求</w:t>
      </w:r>
    </w:p>
    <w:p w14:paraId="3968A155">
      <w:pPr>
        <w:pStyle w:val="3"/>
        <w:numPr>
          <w:ilvl w:val="0"/>
          <w:numId w:val="0"/>
        </w:numPr>
        <w:spacing w:line="400" w:lineRule="exact"/>
        <w:jc w:val="left"/>
        <w:rPr>
          <w:rFonts w:cs="Times New Roman"/>
          <w:sz w:val="24"/>
          <w:szCs w:val="24"/>
        </w:rPr>
      </w:pPr>
      <w:r>
        <w:rPr>
          <w:rFonts w:hint="eastAsia"/>
          <w:sz w:val="24"/>
          <w:szCs w:val="24"/>
        </w:rPr>
        <w:t>前提：本章中标注“</w:t>
      </w:r>
      <w:r>
        <w:rPr>
          <w:rFonts w:hint="eastAsia" w:ascii="仿宋" w:hAnsi="仿宋" w:eastAsia="仿宋" w:cs="仿宋"/>
          <w:sz w:val="24"/>
          <w:szCs w:val="24"/>
        </w:rPr>
        <w:t>★</w:t>
      </w:r>
      <w:r>
        <w:rPr>
          <w:rFonts w:hint="eastAsia"/>
          <w:sz w:val="24"/>
          <w:szCs w:val="24"/>
        </w:rPr>
        <w:t>”的条款为本项目的实质性条款，供应商不满足的，将按照无效响应处理。</w:t>
      </w:r>
    </w:p>
    <w:p w14:paraId="7E0205DA">
      <w:pPr>
        <w:rPr>
          <w:rFonts w:ascii="宋体"/>
        </w:rPr>
      </w:pPr>
    </w:p>
    <w:p w14:paraId="7AA3BC9A">
      <w:pPr>
        <w:pStyle w:val="3"/>
        <w:numPr>
          <w:ilvl w:val="0"/>
          <w:numId w:val="0"/>
        </w:numPr>
        <w:spacing w:before="0" w:after="0" w:line="336" w:lineRule="auto"/>
        <w:jc w:val="left"/>
        <w:rPr>
          <w:rFonts w:cs="Times New Roman"/>
        </w:rPr>
      </w:pPr>
      <w:r>
        <w:rPr>
          <w:rFonts w:hint="eastAsia" w:ascii="仿宋" w:hAnsi="仿宋" w:eastAsia="仿宋" w:cs="仿宋"/>
          <w:sz w:val="24"/>
          <w:szCs w:val="24"/>
        </w:rPr>
        <w:t>★</w:t>
      </w:r>
      <w:r>
        <w:rPr>
          <w:rFonts w:hint="eastAsia"/>
        </w:rPr>
        <w:t>一、项目概况</w:t>
      </w:r>
    </w:p>
    <w:p w14:paraId="5701AA0D">
      <w:pPr>
        <w:spacing w:after="156" w:afterLines="50" w:line="420" w:lineRule="exact"/>
        <w:ind w:firstLine="420" w:firstLineChars="200"/>
        <w:rPr>
          <w:rFonts w:hAnsi="宋体"/>
          <w:kern w:val="0"/>
        </w:rPr>
      </w:pPr>
      <w:r>
        <w:rPr>
          <w:rFonts w:hAnsi="宋体"/>
          <w:kern w:val="0"/>
        </w:rPr>
        <w:t>为保障医院防统方系统稳定、安全、高效运行，强化医疗行为规范与廉政风险防控，</w:t>
      </w:r>
      <w:r>
        <w:rPr>
          <w:rFonts w:hint="eastAsia" w:hAnsi="宋体"/>
          <w:kern w:val="0"/>
        </w:rPr>
        <w:t>拟采购防统方系统维保服务，</w:t>
      </w:r>
      <w:r>
        <w:rPr>
          <w:rFonts w:hAnsi="宋体"/>
          <w:kern w:val="0"/>
        </w:rPr>
        <w:t>快速响应故障，保障数据准确安全，定期巡检及数据分析，助力医院规范医疗行为。</w:t>
      </w:r>
    </w:p>
    <w:p w14:paraId="257C2B48">
      <w:pPr>
        <w:pStyle w:val="3"/>
        <w:numPr>
          <w:ilvl w:val="0"/>
          <w:numId w:val="0"/>
        </w:numPr>
        <w:spacing w:before="0" w:after="0" w:line="336" w:lineRule="auto"/>
        <w:jc w:val="left"/>
      </w:pPr>
      <w:r>
        <w:rPr>
          <w:rFonts w:hint="eastAsia"/>
        </w:rPr>
        <w:t>★二、项目清单：</w:t>
      </w:r>
    </w:p>
    <w:tbl>
      <w:tblPr>
        <w:tblStyle w:val="28"/>
        <w:tblpPr w:leftFromText="180" w:rightFromText="180" w:vertAnchor="text" w:horzAnchor="page" w:tblpX="1642" w:tblpY="113"/>
        <w:tblOverlap w:val="never"/>
        <w:tblW w:w="50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2432"/>
        <w:gridCol w:w="2500"/>
        <w:gridCol w:w="1375"/>
        <w:gridCol w:w="2052"/>
      </w:tblGrid>
      <w:tr w14:paraId="4AF29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465" w:type="pct"/>
          </w:tcPr>
          <w:p w14:paraId="6BD55115">
            <w:pPr>
              <w:jc w:val="center"/>
              <w:rPr>
                <w:rFonts w:ascii="宋体" w:hAnsi="宋体" w:cs="宋体"/>
              </w:rPr>
            </w:pPr>
            <w:r>
              <w:rPr>
                <w:rFonts w:hint="eastAsia" w:ascii="宋体" w:hAnsi="宋体" w:cs="宋体"/>
              </w:rPr>
              <w:t>序号</w:t>
            </w:r>
          </w:p>
        </w:tc>
        <w:tc>
          <w:tcPr>
            <w:tcW w:w="1319" w:type="pct"/>
          </w:tcPr>
          <w:p w14:paraId="50418CB9">
            <w:pPr>
              <w:jc w:val="center"/>
              <w:rPr>
                <w:rFonts w:ascii="宋体" w:hAnsi="宋体" w:cs="宋体"/>
              </w:rPr>
            </w:pPr>
            <w:r>
              <w:rPr>
                <w:rFonts w:hint="eastAsia" w:ascii="宋体" w:hAnsi="宋体" w:cs="宋体"/>
              </w:rPr>
              <w:t>标的名称</w:t>
            </w:r>
          </w:p>
        </w:tc>
        <w:tc>
          <w:tcPr>
            <w:tcW w:w="1356" w:type="pct"/>
          </w:tcPr>
          <w:p w14:paraId="1764F836">
            <w:pPr>
              <w:jc w:val="center"/>
              <w:rPr>
                <w:rFonts w:ascii="宋体" w:hAnsi="宋体" w:cs="宋体"/>
              </w:rPr>
            </w:pPr>
            <w:r>
              <w:rPr>
                <w:rFonts w:hint="eastAsia" w:ascii="宋体" w:hAnsi="宋体" w:cs="宋体"/>
              </w:rPr>
              <w:t>单价最高限价（万元/年）</w:t>
            </w:r>
          </w:p>
        </w:tc>
        <w:tc>
          <w:tcPr>
            <w:tcW w:w="745" w:type="pct"/>
          </w:tcPr>
          <w:p w14:paraId="7526BB67">
            <w:pPr>
              <w:jc w:val="center"/>
              <w:rPr>
                <w:rFonts w:ascii="宋体" w:hAnsi="宋体" w:cs="宋体"/>
              </w:rPr>
            </w:pPr>
            <w:r>
              <w:rPr>
                <w:rFonts w:hint="eastAsia" w:ascii="宋体" w:hAnsi="宋体" w:cs="宋体"/>
              </w:rPr>
              <w:t>服务期限</w:t>
            </w:r>
          </w:p>
        </w:tc>
        <w:tc>
          <w:tcPr>
            <w:tcW w:w="1113" w:type="pct"/>
          </w:tcPr>
          <w:p w14:paraId="46721D91">
            <w:pPr>
              <w:jc w:val="center"/>
              <w:rPr>
                <w:rFonts w:ascii="宋体" w:hAnsi="宋体" w:cs="宋体"/>
              </w:rPr>
            </w:pPr>
            <w:r>
              <w:rPr>
                <w:rFonts w:hint="eastAsia" w:ascii="宋体" w:hAnsi="宋体" w:cs="宋体"/>
              </w:rPr>
              <w:t>总价最高限价（万元）</w:t>
            </w:r>
          </w:p>
        </w:tc>
      </w:tr>
      <w:tr w14:paraId="07036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465" w:type="pct"/>
          </w:tcPr>
          <w:p w14:paraId="726FC0CA">
            <w:pPr>
              <w:jc w:val="center"/>
              <w:rPr>
                <w:rFonts w:ascii="宋体" w:hAnsi="宋体" w:cs="宋体"/>
              </w:rPr>
            </w:pPr>
            <w:r>
              <w:rPr>
                <w:rFonts w:hint="eastAsia" w:ascii="宋体" w:hAnsi="宋体" w:cs="宋体"/>
              </w:rPr>
              <w:t>1</w:t>
            </w:r>
          </w:p>
        </w:tc>
        <w:tc>
          <w:tcPr>
            <w:tcW w:w="1319" w:type="pct"/>
          </w:tcPr>
          <w:p w14:paraId="10E86B74">
            <w:pPr>
              <w:jc w:val="center"/>
              <w:rPr>
                <w:rFonts w:ascii="宋体" w:hAnsi="宋体" w:cs="宋体"/>
              </w:rPr>
            </w:pPr>
            <w:r>
              <w:rPr>
                <w:rFonts w:hint="eastAsia" w:ascii="宋体" w:hAnsi="宋体" w:cs="宋体"/>
              </w:rPr>
              <w:t>防统方系统维保服务</w:t>
            </w:r>
          </w:p>
        </w:tc>
        <w:tc>
          <w:tcPr>
            <w:tcW w:w="1356" w:type="pct"/>
          </w:tcPr>
          <w:p w14:paraId="02214736">
            <w:pPr>
              <w:jc w:val="center"/>
              <w:rPr>
                <w:rFonts w:ascii="宋体" w:hAnsi="宋体" w:cs="宋体"/>
              </w:rPr>
            </w:pPr>
            <w:r>
              <w:rPr>
                <w:rFonts w:hint="eastAsia" w:ascii="宋体" w:hAnsi="宋体" w:cs="宋体"/>
              </w:rPr>
              <w:t>1.4</w:t>
            </w:r>
          </w:p>
        </w:tc>
        <w:tc>
          <w:tcPr>
            <w:tcW w:w="745" w:type="pct"/>
          </w:tcPr>
          <w:p w14:paraId="2A6E9574">
            <w:pPr>
              <w:jc w:val="center"/>
              <w:rPr>
                <w:rFonts w:ascii="宋体" w:hAnsi="宋体" w:cs="宋体"/>
              </w:rPr>
            </w:pPr>
            <w:r>
              <w:rPr>
                <w:rFonts w:hint="eastAsia" w:ascii="宋体" w:hAnsi="宋体" w:cs="宋体"/>
              </w:rPr>
              <w:t>3年</w:t>
            </w:r>
          </w:p>
        </w:tc>
        <w:tc>
          <w:tcPr>
            <w:tcW w:w="1113" w:type="pct"/>
          </w:tcPr>
          <w:p w14:paraId="319DE169">
            <w:pPr>
              <w:jc w:val="center"/>
              <w:rPr>
                <w:rFonts w:ascii="宋体" w:hAnsi="宋体" w:cs="宋体"/>
              </w:rPr>
            </w:pPr>
            <w:r>
              <w:rPr>
                <w:rFonts w:hint="eastAsia" w:ascii="宋体" w:hAnsi="宋体" w:cs="宋体"/>
              </w:rPr>
              <w:t>4.2</w:t>
            </w:r>
          </w:p>
        </w:tc>
      </w:tr>
      <w:tr w14:paraId="2E757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3886" w:type="pct"/>
            <w:gridSpan w:val="4"/>
          </w:tcPr>
          <w:p w14:paraId="5603E436">
            <w:pPr>
              <w:jc w:val="center"/>
              <w:rPr>
                <w:rFonts w:ascii="宋体" w:hAnsi="宋体" w:cs="宋体"/>
              </w:rPr>
            </w:pPr>
            <w:r>
              <w:rPr>
                <w:rFonts w:hint="eastAsia" w:ascii="宋体" w:hAnsi="宋体" w:cs="宋体"/>
              </w:rPr>
              <w:t>总预算（万元）</w:t>
            </w:r>
          </w:p>
        </w:tc>
        <w:tc>
          <w:tcPr>
            <w:tcW w:w="1113" w:type="pct"/>
          </w:tcPr>
          <w:p w14:paraId="3E7CF9F0">
            <w:pPr>
              <w:jc w:val="center"/>
              <w:rPr>
                <w:rFonts w:ascii="宋体" w:hAnsi="宋体" w:cs="宋体"/>
              </w:rPr>
            </w:pPr>
            <w:r>
              <w:rPr>
                <w:rFonts w:hint="eastAsia" w:ascii="宋体" w:hAnsi="宋体" w:cs="宋体"/>
              </w:rPr>
              <w:t>4.2</w:t>
            </w:r>
          </w:p>
        </w:tc>
      </w:tr>
    </w:tbl>
    <w:p w14:paraId="63125043">
      <w:pPr>
        <w:pStyle w:val="3"/>
        <w:numPr>
          <w:ilvl w:val="0"/>
          <w:numId w:val="0"/>
        </w:numPr>
        <w:spacing w:before="0" w:after="0" w:line="336" w:lineRule="auto"/>
        <w:jc w:val="left"/>
      </w:pPr>
      <w:r>
        <w:rPr>
          <w:rFonts w:hint="eastAsia"/>
        </w:rPr>
        <w:t>★三、服务要求</w:t>
      </w:r>
    </w:p>
    <w:p w14:paraId="28EB5287">
      <w:pPr>
        <w:spacing w:line="520" w:lineRule="exact"/>
        <w:rPr>
          <w:rFonts w:ascii="宋体" w:hAnsi="宋体"/>
        </w:rPr>
      </w:pPr>
      <w:r>
        <w:rPr>
          <w:rFonts w:hint="eastAsia" w:ascii="宋体" w:hAnsi="宋体"/>
        </w:rPr>
        <w:t>1.基础维保服务。负责防统方系统全流程维保，涵盖服务器、存储设备等硬件，及操作系统、数据库等软件。确保硬件无故障运行，软件兼容稳定。</w:t>
      </w:r>
    </w:p>
    <w:p w14:paraId="435FED4E">
      <w:pPr>
        <w:spacing w:line="520" w:lineRule="exact"/>
        <w:rPr>
          <w:rFonts w:ascii="宋体" w:hAnsi="宋体"/>
        </w:rPr>
      </w:pPr>
      <w:r>
        <w:rPr>
          <w:rFonts w:hint="eastAsia" w:ascii="宋体" w:hAnsi="宋体"/>
        </w:rPr>
        <w:t>2.核心功能保障及需求响应服务。（1）实时开展防统方报警分析，提供专业咨询建议；（2）结合医院业务变化，优化系统规则与策略，提升风险识别精准度；（3）保障防统方数据采集准确、统计高效，支持多维度数据查询与合规导出；（4）配合完成新增第三方业务系统的防统方监控接入与调试，确保数据采集全面无遗漏；（5）协助医院完成高风险问题溯源和处理，时间≤5个工作日。</w:t>
      </w:r>
    </w:p>
    <w:p w14:paraId="0BA6896A">
      <w:pPr>
        <w:spacing w:line="520" w:lineRule="exact"/>
        <w:rPr>
          <w:rFonts w:ascii="宋体" w:hAnsi="宋体"/>
        </w:rPr>
      </w:pPr>
      <w:r>
        <w:rPr>
          <w:rFonts w:hint="eastAsia" w:ascii="宋体" w:hAnsi="宋体"/>
        </w:rPr>
        <w:t>3.技术支持与现场服务。提供7×24小时线上技术支持及答疑服务，工作日及节假日需安排专人负责本项目运维，确保响应及时性；系统出现日常故障时，10分钟内响应，2小时内解决；系统出现重大故障（功能模块失效、系统整体瘫痪）时，需在10分钟内响应，30分钟内出具解决方案，1小时内完成故障处置。若远程技术手段无法排除故障，须在2小时内派遣更高级别工程师抵达现场排查处理，全力压缩故障处置时长。采购人可根据业务紧急程度，提出更严格的处置时限要求。</w:t>
      </w:r>
    </w:p>
    <w:p w14:paraId="7A6C6DBA">
      <w:pPr>
        <w:spacing w:line="520" w:lineRule="exact"/>
        <w:rPr>
          <w:rFonts w:ascii="宋体" w:hAnsi="宋体"/>
        </w:rPr>
      </w:pPr>
      <w:r>
        <w:rPr>
          <w:rFonts w:hint="eastAsia" w:ascii="宋体" w:hAnsi="宋体"/>
        </w:rPr>
        <w:t>4.安全分析与巡检服务。每月进行1次巡检，每季度提交系统运维报告，每年开展1次系统运行及风险数据综合分析，提交书面年度报告，为医院廉政风险防控及管理决策提供数据支撑。</w:t>
      </w:r>
    </w:p>
    <w:p w14:paraId="25374F4D">
      <w:pPr>
        <w:spacing w:line="520" w:lineRule="exact"/>
        <w:rPr>
          <w:rFonts w:ascii="宋体" w:hAnsi="宋体"/>
        </w:rPr>
      </w:pPr>
      <w:r>
        <w:rPr>
          <w:rFonts w:hint="eastAsia" w:ascii="宋体" w:hAnsi="宋体"/>
        </w:rPr>
        <w:t>5.培训与沟通要求。每年至少组织1次系统操作及安全培训，建立专属沟通渠道，及时响应医院各部门的技术咨询与需求反馈，提供其它医院防统方系统运行经验及参访途径。</w:t>
      </w:r>
    </w:p>
    <w:p w14:paraId="2FFB9D36">
      <w:pPr>
        <w:spacing w:line="520" w:lineRule="exact"/>
        <w:rPr>
          <w:rFonts w:ascii="宋体" w:hAnsi="宋体"/>
        </w:rPr>
      </w:pPr>
      <w:r>
        <w:rPr>
          <w:rFonts w:hint="eastAsia" w:ascii="宋体" w:hAnsi="宋体"/>
        </w:rPr>
        <w:t>6.迁移、灾备要求。项目运维期内，若因国家政策调整、采购人业务需求变化，需对本项目系统进行服务调整、数据迁移，或需按采购人要求将业务系统及数据灾备部署至其他云环境、本地环境、异地环境的，中标人须无条件承接并实施相关工作。实施过程中须严格控制业务中断时长，确保业务中断时间≤24小时，保障采购人业务连续稳定开展。所有数据迁移、系统改造、配合实施、应急响应及灾备部署相关工作，中标人不得向采购人或第三方收取任何费用，相关费用已包含在投标总价中。</w:t>
      </w:r>
    </w:p>
    <w:p w14:paraId="5FAEC2BA">
      <w:pPr>
        <w:pStyle w:val="3"/>
        <w:numPr>
          <w:ilvl w:val="0"/>
          <w:numId w:val="0"/>
        </w:numPr>
        <w:spacing w:before="0" w:after="0" w:line="336" w:lineRule="auto"/>
        <w:jc w:val="left"/>
        <w:rPr>
          <w:rFonts w:cs="Times New Roman"/>
        </w:rPr>
      </w:pPr>
      <w:r>
        <w:rPr>
          <w:rFonts w:hint="eastAsia"/>
        </w:rPr>
        <w:t>★四、商务要求</w:t>
      </w:r>
    </w:p>
    <w:tbl>
      <w:tblPr>
        <w:tblStyle w:val="28"/>
        <w:tblpPr w:leftFromText="180" w:rightFromText="180" w:vertAnchor="text" w:horzAnchor="page" w:tblpX="1412" w:tblpY="346"/>
        <w:tblOverlap w:val="never"/>
        <w:tblW w:w="94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1897"/>
        <w:gridCol w:w="6867"/>
      </w:tblGrid>
      <w:tr w14:paraId="16CC3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Align w:val="center"/>
          </w:tcPr>
          <w:p w14:paraId="68F47B45">
            <w:pPr>
              <w:jc w:val="center"/>
              <w:rPr>
                <w:rFonts w:ascii="宋体" w:hAnsi="宋体" w:cs="宋体"/>
              </w:rPr>
            </w:pPr>
            <w:r>
              <w:rPr>
                <w:rFonts w:hint="eastAsia" w:ascii="宋体" w:hAnsi="宋体" w:cs="宋体"/>
              </w:rPr>
              <w:t>序号</w:t>
            </w:r>
          </w:p>
        </w:tc>
        <w:tc>
          <w:tcPr>
            <w:tcW w:w="1897" w:type="dxa"/>
            <w:vAlign w:val="center"/>
          </w:tcPr>
          <w:p w14:paraId="1C29A9AB">
            <w:pPr>
              <w:jc w:val="center"/>
              <w:rPr>
                <w:rFonts w:ascii="宋体" w:hAnsi="宋体" w:cs="宋体"/>
              </w:rPr>
            </w:pPr>
            <w:r>
              <w:rPr>
                <w:rFonts w:hint="eastAsia" w:ascii="宋体" w:hAnsi="宋体" w:cs="宋体"/>
              </w:rPr>
              <w:t>内容</w:t>
            </w:r>
          </w:p>
        </w:tc>
        <w:tc>
          <w:tcPr>
            <w:tcW w:w="6867" w:type="dxa"/>
            <w:vAlign w:val="center"/>
          </w:tcPr>
          <w:p w14:paraId="1D3C1314">
            <w:pPr>
              <w:jc w:val="center"/>
              <w:rPr>
                <w:rFonts w:ascii="宋体" w:hAnsi="宋体" w:cs="宋体"/>
              </w:rPr>
            </w:pPr>
            <w:r>
              <w:rPr>
                <w:rFonts w:hint="eastAsia" w:ascii="宋体" w:hAnsi="宋体" w:cs="宋体"/>
              </w:rPr>
              <w:t>招标/采购要求</w:t>
            </w:r>
          </w:p>
        </w:tc>
      </w:tr>
      <w:tr w14:paraId="2BDBF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643" w:type="dxa"/>
            <w:vAlign w:val="center"/>
          </w:tcPr>
          <w:p w14:paraId="19E79B5C">
            <w:pPr>
              <w:jc w:val="center"/>
              <w:rPr>
                <w:rFonts w:ascii="宋体" w:hAnsi="宋体" w:cs="宋体"/>
              </w:rPr>
            </w:pPr>
            <w:r>
              <w:rPr>
                <w:rFonts w:hint="eastAsia" w:ascii="宋体" w:hAnsi="宋体" w:cs="宋体"/>
              </w:rPr>
              <w:t>1</w:t>
            </w:r>
          </w:p>
        </w:tc>
        <w:tc>
          <w:tcPr>
            <w:tcW w:w="1897" w:type="dxa"/>
            <w:vAlign w:val="center"/>
          </w:tcPr>
          <w:p w14:paraId="7424C20A">
            <w:pPr>
              <w:jc w:val="center"/>
              <w:rPr>
                <w:rFonts w:ascii="宋体" w:hAnsi="宋体" w:cs="宋体"/>
              </w:rPr>
            </w:pPr>
            <w:r>
              <w:rPr>
                <w:rFonts w:hint="eastAsia" w:ascii="宋体" w:hAnsi="宋体" w:cs="宋体"/>
              </w:rPr>
              <w:t>服务期限</w:t>
            </w:r>
          </w:p>
        </w:tc>
        <w:tc>
          <w:tcPr>
            <w:tcW w:w="6867" w:type="dxa"/>
            <w:vAlign w:val="center"/>
          </w:tcPr>
          <w:p w14:paraId="48F57E98">
            <w:pPr>
              <w:rPr>
                <w:rFonts w:ascii="宋体" w:hAnsi="宋体" w:cs="宋体"/>
              </w:rPr>
            </w:pPr>
            <w:r>
              <w:rPr>
                <w:rFonts w:hint="eastAsia" w:ascii="宋体" w:hAnsi="宋体" w:cs="宋体"/>
              </w:rPr>
              <w:t>3年，合同签订后，双方签署《入场确认单》之日起开始计算。</w:t>
            </w:r>
          </w:p>
        </w:tc>
      </w:tr>
      <w:tr w14:paraId="60C4D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643" w:type="dxa"/>
            <w:vAlign w:val="center"/>
          </w:tcPr>
          <w:p w14:paraId="65BF37ED">
            <w:pPr>
              <w:jc w:val="center"/>
              <w:rPr>
                <w:rFonts w:ascii="宋体" w:hAnsi="宋体" w:cs="宋体"/>
              </w:rPr>
            </w:pPr>
            <w:r>
              <w:rPr>
                <w:rFonts w:hint="eastAsia" w:ascii="宋体" w:hAnsi="宋体" w:cs="宋体"/>
              </w:rPr>
              <w:t>2</w:t>
            </w:r>
          </w:p>
        </w:tc>
        <w:tc>
          <w:tcPr>
            <w:tcW w:w="1897" w:type="dxa"/>
            <w:vAlign w:val="center"/>
          </w:tcPr>
          <w:p w14:paraId="7019BBCD">
            <w:pPr>
              <w:jc w:val="center"/>
              <w:rPr>
                <w:rFonts w:ascii="宋体" w:hAnsi="宋体" w:cs="宋体"/>
              </w:rPr>
            </w:pPr>
            <w:r>
              <w:rPr>
                <w:rFonts w:hint="eastAsia" w:ascii="宋体" w:hAnsi="宋体" w:cs="宋体"/>
              </w:rPr>
              <w:t>服务地点</w:t>
            </w:r>
          </w:p>
        </w:tc>
        <w:tc>
          <w:tcPr>
            <w:tcW w:w="6867" w:type="dxa"/>
            <w:vAlign w:val="center"/>
          </w:tcPr>
          <w:p w14:paraId="4F32820E">
            <w:pPr>
              <w:rPr>
                <w:rFonts w:ascii="宋体" w:hAnsi="宋体" w:cs="宋体"/>
              </w:rPr>
            </w:pPr>
            <w:r>
              <w:rPr>
                <w:rFonts w:hint="eastAsia" w:ascii="宋体" w:hAnsi="宋体" w:cs="宋体"/>
              </w:rPr>
              <w:t>资阳市中心医院采购人指定地点</w:t>
            </w:r>
          </w:p>
        </w:tc>
      </w:tr>
      <w:tr w14:paraId="7ED16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643" w:type="dxa"/>
            <w:vAlign w:val="center"/>
          </w:tcPr>
          <w:p w14:paraId="2FAADEF3">
            <w:pPr>
              <w:jc w:val="center"/>
              <w:rPr>
                <w:rFonts w:ascii="宋体" w:hAnsi="宋体" w:cs="宋体"/>
              </w:rPr>
            </w:pPr>
            <w:r>
              <w:rPr>
                <w:rFonts w:hint="eastAsia" w:ascii="宋体" w:hAnsi="宋体" w:cs="宋体"/>
              </w:rPr>
              <w:t>3</w:t>
            </w:r>
          </w:p>
        </w:tc>
        <w:tc>
          <w:tcPr>
            <w:tcW w:w="1897" w:type="dxa"/>
            <w:vAlign w:val="center"/>
          </w:tcPr>
          <w:p w14:paraId="4ECC8D8B">
            <w:pPr>
              <w:jc w:val="center"/>
              <w:rPr>
                <w:rFonts w:ascii="宋体" w:hAnsi="宋体" w:cs="宋体"/>
              </w:rPr>
            </w:pPr>
            <w:r>
              <w:rPr>
                <w:rFonts w:hint="eastAsia" w:ascii="宋体" w:hAnsi="宋体" w:cs="宋体"/>
              </w:rPr>
              <w:t>报价要求</w:t>
            </w:r>
          </w:p>
        </w:tc>
        <w:tc>
          <w:tcPr>
            <w:tcW w:w="6867" w:type="dxa"/>
            <w:vAlign w:val="center"/>
          </w:tcPr>
          <w:p w14:paraId="413CCA59">
            <w:pPr>
              <w:jc w:val="left"/>
            </w:pPr>
            <w:r>
              <w:rPr>
                <w:rFonts w:hint="eastAsia" w:ascii="宋体" w:hAnsi="宋体" w:cs="宋体"/>
              </w:rPr>
              <w:t>1.报价要求：供应商报价是响应采购项目要求的全部工作内容的价格体 现，包含完成本项目所涉及软件维保、硬件维修更换、驻场人员薪酬、培训、差旅费、税费等所有费用以及采购文件规定的一切费用，采购人无须另支付其他任何费用。</w:t>
            </w:r>
          </w:p>
        </w:tc>
      </w:tr>
      <w:tr w14:paraId="684C7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3" w:type="dxa"/>
            <w:vAlign w:val="center"/>
          </w:tcPr>
          <w:p w14:paraId="0913E3F3">
            <w:pPr>
              <w:jc w:val="center"/>
              <w:rPr>
                <w:rFonts w:ascii="宋体" w:hAnsi="宋体" w:cs="宋体"/>
              </w:rPr>
            </w:pPr>
            <w:r>
              <w:rPr>
                <w:rFonts w:hint="eastAsia" w:ascii="宋体" w:hAnsi="宋体" w:cs="宋体"/>
              </w:rPr>
              <w:t>4</w:t>
            </w:r>
          </w:p>
        </w:tc>
        <w:tc>
          <w:tcPr>
            <w:tcW w:w="1897" w:type="dxa"/>
            <w:vAlign w:val="center"/>
          </w:tcPr>
          <w:p w14:paraId="7EB02EB2">
            <w:pPr>
              <w:jc w:val="center"/>
              <w:rPr>
                <w:rFonts w:ascii="宋体" w:hAnsi="宋体" w:cs="宋体"/>
              </w:rPr>
            </w:pPr>
            <w:r>
              <w:rPr>
                <w:rFonts w:hint="eastAsia" w:ascii="宋体" w:hAnsi="宋体" w:cs="宋体"/>
              </w:rPr>
              <w:t>履约、验收要求与标准</w:t>
            </w:r>
          </w:p>
        </w:tc>
        <w:tc>
          <w:tcPr>
            <w:tcW w:w="6867" w:type="dxa"/>
            <w:vAlign w:val="center"/>
          </w:tcPr>
          <w:p w14:paraId="56BDCD0C">
            <w:pPr>
              <w:numPr>
                <w:ilvl w:val="0"/>
                <w:numId w:val="3"/>
              </w:numPr>
              <w:rPr>
                <w:rFonts w:ascii="宋体" w:hAnsi="宋体" w:cs="宋体"/>
              </w:rPr>
            </w:pPr>
            <w:r>
              <w:rPr>
                <w:rFonts w:ascii="宋体" w:hAnsi="宋体" w:cs="宋体"/>
              </w:rPr>
              <w:t>按国家有关规定以及采购文件的质量要求和技术指标、采购文件及承诺与合同验约定标准进行验收；</w:t>
            </w:r>
            <w:r>
              <w:rPr>
                <w:rFonts w:hint="eastAsia" w:ascii="宋体" w:hAnsi="宋体" w:cs="宋体"/>
              </w:rPr>
              <w:t>医院</w:t>
            </w:r>
            <w:r>
              <w:rPr>
                <w:rFonts w:ascii="宋体" w:hAnsi="宋体" w:cs="宋体"/>
              </w:rPr>
              <w:t>及</w:t>
            </w:r>
            <w:r>
              <w:rPr>
                <w:rFonts w:hint="eastAsia" w:ascii="宋体" w:hAnsi="宋体" w:cs="宋体"/>
              </w:rPr>
              <w:t>各潜在供应商</w:t>
            </w:r>
            <w:r>
              <w:rPr>
                <w:rFonts w:ascii="宋体" w:hAnsi="宋体" w:cs="宋体"/>
              </w:rPr>
              <w:t>双方如对质量要求和技术指标的约定标准有相互抵触或异议的事项，由</w:t>
            </w:r>
            <w:r>
              <w:rPr>
                <w:rFonts w:hint="eastAsia" w:ascii="宋体" w:hAnsi="宋体" w:cs="宋体"/>
              </w:rPr>
              <w:t>医院</w:t>
            </w:r>
            <w:r>
              <w:rPr>
                <w:rFonts w:ascii="宋体" w:hAnsi="宋体" w:cs="宋体"/>
              </w:rPr>
              <w:t>在采购文件、响应文件中按质量要求和技术指标比较优胜的原则确定该项的约定标准进行验收；</w:t>
            </w:r>
          </w:p>
          <w:p w14:paraId="4D10E722">
            <w:pPr>
              <w:numPr>
                <w:ilvl w:val="0"/>
                <w:numId w:val="3"/>
              </w:numPr>
              <w:rPr>
                <w:rFonts w:ascii="宋体" w:hAnsi="宋体" w:cs="宋体"/>
              </w:rPr>
            </w:pPr>
            <w:r>
              <w:rPr>
                <w:rFonts w:ascii="宋体" w:hAnsi="宋体" w:cs="宋体"/>
              </w:rPr>
              <w:t>符合国家（或行业）相关标准并通过</w:t>
            </w:r>
            <w:r>
              <w:rPr>
                <w:rFonts w:hint="eastAsia" w:ascii="宋体" w:hAnsi="宋体" w:cs="宋体"/>
              </w:rPr>
              <w:t>医院</w:t>
            </w:r>
            <w:r>
              <w:rPr>
                <w:rFonts w:ascii="宋体" w:hAnsi="宋体" w:cs="宋体"/>
              </w:rPr>
              <w:t>组织的验收考核，并严格按照《财政部关于进一步加强政府采购需求和履约验收管理的指导意见》（财库〔2016〕205号）、《政府采购需求管理办法》（财库〔2021〕22号）等政府采购相关法律法规的要求组织验收。</w:t>
            </w:r>
          </w:p>
          <w:p w14:paraId="562BA6BC">
            <w:pPr>
              <w:numPr>
                <w:ilvl w:val="0"/>
                <w:numId w:val="3"/>
              </w:numPr>
              <w:rPr>
                <w:rFonts w:ascii="宋体" w:hAnsi="宋体" w:cs="宋体"/>
              </w:rPr>
            </w:pPr>
            <w:r>
              <w:rPr>
                <w:rFonts w:ascii="宋体" w:hAnsi="宋体" w:cs="宋体"/>
              </w:rPr>
              <w:t>如验收合格，双方签署验收报告。</w:t>
            </w:r>
          </w:p>
        </w:tc>
      </w:tr>
      <w:tr w14:paraId="246AB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Align w:val="center"/>
          </w:tcPr>
          <w:p w14:paraId="4E4C4880">
            <w:pPr>
              <w:jc w:val="center"/>
              <w:rPr>
                <w:rFonts w:ascii="宋体" w:hAnsi="宋体" w:cs="宋体"/>
              </w:rPr>
            </w:pPr>
            <w:r>
              <w:rPr>
                <w:rFonts w:hint="eastAsia" w:ascii="宋体" w:hAnsi="宋体" w:cs="宋体"/>
              </w:rPr>
              <w:t>5</w:t>
            </w:r>
          </w:p>
        </w:tc>
        <w:tc>
          <w:tcPr>
            <w:tcW w:w="1897" w:type="dxa"/>
            <w:vAlign w:val="center"/>
          </w:tcPr>
          <w:p w14:paraId="46D30455">
            <w:pPr>
              <w:jc w:val="center"/>
              <w:rPr>
                <w:rFonts w:ascii="宋体" w:hAnsi="宋体" w:cs="宋体"/>
              </w:rPr>
            </w:pPr>
            <w:r>
              <w:rPr>
                <w:rFonts w:hint="eastAsia" w:ascii="宋体" w:hAnsi="宋体" w:cs="宋体"/>
              </w:rPr>
              <w:t>款项支付方式、进度</w:t>
            </w:r>
          </w:p>
        </w:tc>
        <w:tc>
          <w:tcPr>
            <w:tcW w:w="6867" w:type="dxa"/>
            <w:vAlign w:val="center"/>
          </w:tcPr>
          <w:p w14:paraId="081FCCCC">
            <w:pPr>
              <w:pStyle w:val="7"/>
              <w:ind w:firstLine="0" w:firstLineChars="0"/>
              <w:rPr>
                <w:rFonts w:ascii="宋体" w:hAnsi="宋体" w:cs="宋体"/>
              </w:rPr>
            </w:pPr>
            <w:r>
              <w:rPr>
                <w:rFonts w:hint="eastAsia" w:ascii="宋体" w:hAnsi="宋体" w:cs="宋体"/>
              </w:rPr>
              <w:t>（1）服务期第一年结束后且完成《项目维护运行报告》、《</w:t>
            </w:r>
            <w:r>
              <w:rPr>
                <w:rFonts w:hint="eastAsia" w:ascii="宋体" w:hAnsi="宋体" w:cs="宋体"/>
                <w:kern w:val="0"/>
                <w:lang w:bidi="ar"/>
              </w:rPr>
              <w:t>系统运行及风险数据综合分析报告</w:t>
            </w:r>
            <w:r>
              <w:rPr>
                <w:rFonts w:hint="eastAsia" w:ascii="宋体" w:hAnsi="宋体" w:cs="宋体"/>
              </w:rPr>
              <w:t>》、《</w:t>
            </w:r>
            <w:r>
              <w:t>服务考核表</w:t>
            </w:r>
            <w:r>
              <w:rPr>
                <w:rFonts w:hint="eastAsia"/>
              </w:rPr>
              <w:t>》，医院</w:t>
            </w:r>
            <w:r>
              <w:rPr>
                <w:rFonts w:hint="eastAsia" w:ascii="宋体" w:hAnsi="宋体" w:cs="宋体"/>
              </w:rPr>
              <w:t>收到供应商出具的合法有效完整的完税发票及凭证资料，达到付款条件30日内，按实际维保系统服务时间支付第一年度服务费。</w:t>
            </w:r>
          </w:p>
          <w:p w14:paraId="36C89A98">
            <w:pPr>
              <w:pStyle w:val="7"/>
              <w:ind w:firstLine="0" w:firstLineChars="0"/>
              <w:rPr>
                <w:rFonts w:ascii="宋体" w:hAnsi="宋体" w:cs="宋体"/>
              </w:rPr>
            </w:pPr>
            <w:r>
              <w:rPr>
                <w:rFonts w:hint="eastAsia" w:ascii="宋体" w:hAnsi="宋体" w:cs="宋体"/>
              </w:rPr>
              <w:t>（2）服务期第二年结束后且完成《项目维护运行报告》、《</w:t>
            </w:r>
            <w:r>
              <w:rPr>
                <w:rFonts w:hint="eastAsia" w:ascii="宋体" w:hAnsi="宋体" w:cs="宋体"/>
                <w:kern w:val="0"/>
                <w:lang w:bidi="ar"/>
              </w:rPr>
              <w:t>系统运行及风险数据综合分析报告</w:t>
            </w:r>
            <w:r>
              <w:rPr>
                <w:rFonts w:hint="eastAsia" w:ascii="宋体" w:hAnsi="宋体" w:cs="宋体"/>
              </w:rPr>
              <w:t>》、《</w:t>
            </w:r>
            <w:r>
              <w:t>服务考核表</w:t>
            </w:r>
            <w:r>
              <w:rPr>
                <w:rFonts w:hint="eastAsia"/>
              </w:rPr>
              <w:t>》，医院</w:t>
            </w:r>
            <w:r>
              <w:rPr>
                <w:rFonts w:hint="eastAsia" w:ascii="宋体" w:hAnsi="宋体" w:cs="宋体"/>
              </w:rPr>
              <w:t>收到供应商出具的合法有效完整的完税发票及凭证资料，达到付款条件30日内，按实际维保系统服务时间支付第二年度服务费。</w:t>
            </w:r>
          </w:p>
          <w:p w14:paraId="6EA373A5">
            <w:pPr>
              <w:pStyle w:val="7"/>
              <w:ind w:firstLine="0" w:firstLineChars="0"/>
              <w:rPr>
                <w:rFonts w:ascii="宋体" w:hAnsi="宋体" w:cs="宋体"/>
              </w:rPr>
            </w:pPr>
            <w:r>
              <w:rPr>
                <w:rFonts w:hint="eastAsia" w:ascii="宋体" w:hAnsi="宋体" w:cs="宋体"/>
              </w:rPr>
              <w:t>（3）服务期第三年结束后且完成《项目维护运行报告》、《</w:t>
            </w:r>
            <w:r>
              <w:rPr>
                <w:rFonts w:hint="eastAsia" w:ascii="宋体" w:hAnsi="宋体" w:cs="宋体"/>
                <w:kern w:val="0"/>
                <w:lang w:bidi="ar"/>
              </w:rPr>
              <w:t>系统运行及风险数据综合分析报告</w:t>
            </w:r>
            <w:r>
              <w:rPr>
                <w:rFonts w:hint="eastAsia" w:ascii="宋体" w:hAnsi="宋体" w:cs="宋体"/>
              </w:rPr>
              <w:t>》、《</w:t>
            </w:r>
            <w:r>
              <w:t>服务考核表</w:t>
            </w:r>
            <w:r>
              <w:rPr>
                <w:rFonts w:hint="eastAsia"/>
              </w:rPr>
              <w:t>》，医院</w:t>
            </w:r>
            <w:r>
              <w:rPr>
                <w:rFonts w:hint="eastAsia" w:ascii="宋体" w:hAnsi="宋体" w:cs="宋体"/>
              </w:rPr>
              <w:t>收到供应商出具的合法有效完整的完税发票及凭证资料，达到付款条件30日内，按实际维保系统服务赶时间支付第三年度服务费。</w:t>
            </w:r>
          </w:p>
          <w:p w14:paraId="6ABF99A6">
            <w:pPr>
              <w:rPr>
                <w:rFonts w:ascii="宋体" w:hAnsi="宋体" w:cs="宋体"/>
              </w:rPr>
            </w:pPr>
            <w:r>
              <w:rPr>
                <w:rFonts w:hint="eastAsia" w:ascii="宋体" w:hAnsi="宋体" w:cs="宋体"/>
              </w:rPr>
              <w:t>（4）《项目维护运行报告》应包含每月系统运行状况、故障处理情况、维护工作内容等；《服务考核表》由医院根据供应商服务质量进行评分。</w:t>
            </w:r>
          </w:p>
        </w:tc>
      </w:tr>
      <w:tr w14:paraId="48709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7" w:hRule="atLeast"/>
        </w:trPr>
        <w:tc>
          <w:tcPr>
            <w:tcW w:w="643" w:type="dxa"/>
            <w:vAlign w:val="center"/>
          </w:tcPr>
          <w:p w14:paraId="2346AF6B">
            <w:pPr>
              <w:jc w:val="center"/>
              <w:rPr>
                <w:rFonts w:ascii="宋体" w:hAnsi="宋体" w:cs="宋体"/>
              </w:rPr>
            </w:pPr>
            <w:r>
              <w:rPr>
                <w:rFonts w:hint="eastAsia" w:ascii="宋体" w:hAnsi="宋体" w:cs="宋体"/>
              </w:rPr>
              <w:t>6</w:t>
            </w:r>
          </w:p>
        </w:tc>
        <w:tc>
          <w:tcPr>
            <w:tcW w:w="1897" w:type="dxa"/>
            <w:vAlign w:val="center"/>
          </w:tcPr>
          <w:p w14:paraId="2C5467A1">
            <w:pPr>
              <w:jc w:val="center"/>
              <w:rPr>
                <w:rFonts w:ascii="宋体" w:hAnsi="宋体" w:cs="宋体"/>
              </w:rPr>
            </w:pPr>
            <w:r>
              <w:rPr>
                <w:rFonts w:hint="eastAsia" w:ascii="宋体" w:hAnsi="宋体" w:cs="宋体"/>
              </w:rPr>
              <w:t>人员配置要求</w:t>
            </w:r>
          </w:p>
        </w:tc>
        <w:tc>
          <w:tcPr>
            <w:tcW w:w="6867" w:type="dxa"/>
            <w:vAlign w:val="center"/>
          </w:tcPr>
          <w:p w14:paraId="358696BD">
            <w:pPr>
              <w:jc w:val="left"/>
              <w:rPr>
                <w:rFonts w:ascii="宋体" w:hAnsi="宋体" w:cs="宋体"/>
              </w:rPr>
            </w:pPr>
            <w:r>
              <w:rPr>
                <w:rFonts w:hint="eastAsia" w:ascii="宋体" w:hAnsi="宋体" w:cs="宋体"/>
              </w:rPr>
              <w:t>1.中标人应为本项目提供稳定的服务团队，负责解决系统技术问题、运维项目管理和沟通协调等，能够及时为采购人解决系统各种问题，保障医院信息系统稳定运行。投标文件必须提供本项目拟定的项目组成员，承诺项目服务期间技术维护人员不得少于 1人，并且技术维护人员具备不少于3年从事医疗行业系统运行维护的相关服务经验。同时，根据具体工作情况，合理安排并增加技术维护人员数，以满足医院系统的实际工作需要。</w:t>
            </w:r>
          </w:p>
          <w:p w14:paraId="70565680">
            <w:pPr>
              <w:jc w:val="center"/>
              <w:rPr>
                <w:rFonts w:ascii="宋体" w:hAnsi="宋体" w:cs="宋体"/>
              </w:rPr>
            </w:pPr>
            <w:r>
              <w:rPr>
                <w:rFonts w:hint="eastAsia" w:ascii="宋体" w:hAnsi="宋体" w:cs="宋体"/>
              </w:rPr>
              <w:t>2.因中标人自身等原因确需更换技术维护人员，应书面形式（加盖公章）通知采购人，并且技术维护人员应与中标方的投标文件所确定的人员的主要条件（资质、项目从业经验）一致或更优，未得到采购人确认同意的情</w:t>
            </w:r>
          </w:p>
          <w:p w14:paraId="33DD2DAC">
            <w:r>
              <w:rPr>
                <w:rFonts w:hint="eastAsia" w:ascii="宋体" w:hAnsi="宋体" w:cs="宋体"/>
              </w:rPr>
              <w:t>况下不得调换。采购人有权利要求中标人调换不称职的技术维护人。</w:t>
            </w:r>
          </w:p>
        </w:tc>
      </w:tr>
      <w:tr w14:paraId="52B6C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2" w:hRule="atLeast"/>
        </w:trPr>
        <w:tc>
          <w:tcPr>
            <w:tcW w:w="643" w:type="dxa"/>
            <w:vAlign w:val="center"/>
          </w:tcPr>
          <w:p w14:paraId="0F0DCFA8">
            <w:pPr>
              <w:jc w:val="center"/>
              <w:rPr>
                <w:rFonts w:ascii="宋体" w:hAnsi="宋体" w:cs="宋体"/>
              </w:rPr>
            </w:pPr>
            <w:r>
              <w:rPr>
                <w:rFonts w:hint="eastAsia" w:ascii="宋体" w:hAnsi="宋体" w:cs="宋体"/>
              </w:rPr>
              <w:t>7</w:t>
            </w:r>
          </w:p>
        </w:tc>
        <w:tc>
          <w:tcPr>
            <w:tcW w:w="1897" w:type="dxa"/>
            <w:vAlign w:val="center"/>
          </w:tcPr>
          <w:p w14:paraId="7A9C5224">
            <w:pPr>
              <w:jc w:val="center"/>
              <w:rPr>
                <w:rFonts w:ascii="宋体" w:hAnsi="宋体" w:cs="宋体"/>
              </w:rPr>
            </w:pPr>
            <w:r>
              <w:rPr>
                <w:rFonts w:hint="eastAsia" w:ascii="宋体" w:hAnsi="宋体" w:cs="宋体"/>
              </w:rPr>
              <w:t>知识产权归属和处理方式</w:t>
            </w:r>
          </w:p>
        </w:tc>
        <w:tc>
          <w:tcPr>
            <w:tcW w:w="6867" w:type="dxa"/>
            <w:vAlign w:val="center"/>
          </w:tcPr>
          <w:p w14:paraId="1BABB87B">
            <w:pPr>
              <w:rPr>
                <w:rFonts w:ascii="宋体" w:hAnsi="宋体" w:cs="宋体"/>
              </w:rPr>
            </w:pPr>
            <w:r>
              <w:rPr>
                <w:rFonts w:hint="eastAsia" w:ascii="宋体" w:hAnsi="宋体" w:cs="宋体"/>
              </w:rPr>
              <w:t>1.投标人应保证在本项目使用（包括部分使用）的任何产品和服务时，不会产生因第三方提出侵犯其专利权、商标权或其它知识产权而引起的法律和经济纠纷，如因专利权、商标权或其它知识产权而引起法律和经济纠纷，由投标人承担所有相关责任。</w:t>
            </w:r>
          </w:p>
          <w:p w14:paraId="0ACF48A6">
            <w:pPr>
              <w:rPr>
                <w:rFonts w:ascii="宋体" w:hAnsi="宋体" w:cs="宋体"/>
              </w:rPr>
            </w:pPr>
            <w:r>
              <w:rPr>
                <w:rFonts w:hint="eastAsia" w:ascii="宋体" w:hAnsi="宋体" w:cs="宋体"/>
              </w:rPr>
              <w:t>2.如采用投标人所不拥有的知识产权，则在投标报价中必须包括合法获取该知识产权的相关费用。</w:t>
            </w:r>
          </w:p>
          <w:p w14:paraId="1A364FA8">
            <w:pPr>
              <w:rPr>
                <w:rFonts w:ascii="宋体" w:hAnsi="宋体" w:cs="宋体"/>
              </w:rPr>
            </w:pPr>
            <w:r>
              <w:rPr>
                <w:rFonts w:hint="eastAsia" w:ascii="宋体" w:hAnsi="宋体" w:cs="宋体"/>
              </w:rPr>
              <w:t>3.采购人享有本项目实施过程中产生的相关知识成果及知识产权的永久使用权。合同终止或中止或合同出现争议期间，中标人不得设置任何软件登陆密码等方式，限制采购人正常使用。因中标人单方面限制导致采购人无法使用软件造成院方的损失，均由中标人负责及承担。</w:t>
            </w:r>
          </w:p>
        </w:tc>
      </w:tr>
      <w:tr w14:paraId="49D4F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Align w:val="center"/>
          </w:tcPr>
          <w:p w14:paraId="04AEC099">
            <w:pPr>
              <w:jc w:val="center"/>
              <w:rPr>
                <w:rFonts w:ascii="宋体" w:hAnsi="宋体" w:cs="宋体"/>
              </w:rPr>
            </w:pPr>
            <w:r>
              <w:rPr>
                <w:rFonts w:hint="eastAsia" w:ascii="宋体" w:hAnsi="宋体" w:cs="宋体"/>
              </w:rPr>
              <w:t>8</w:t>
            </w:r>
          </w:p>
        </w:tc>
        <w:tc>
          <w:tcPr>
            <w:tcW w:w="1897" w:type="dxa"/>
            <w:vAlign w:val="center"/>
          </w:tcPr>
          <w:p w14:paraId="666A1208">
            <w:pPr>
              <w:jc w:val="center"/>
              <w:rPr>
                <w:rFonts w:ascii="宋体" w:hAnsi="宋体" w:cs="宋体"/>
              </w:rPr>
            </w:pPr>
            <w:r>
              <w:rPr>
                <w:rFonts w:hint="eastAsia" w:ascii="宋体" w:hAnsi="宋体" w:cs="宋体"/>
              </w:rPr>
              <w:t>违约责任与解决争议的方法</w:t>
            </w:r>
          </w:p>
        </w:tc>
        <w:tc>
          <w:tcPr>
            <w:tcW w:w="6867" w:type="dxa"/>
            <w:vAlign w:val="center"/>
          </w:tcPr>
          <w:p w14:paraId="4DD71933">
            <w:pPr>
              <w:numPr>
                <w:ilvl w:val="0"/>
                <w:numId w:val="4"/>
              </w:numPr>
              <w:rPr>
                <w:rFonts w:ascii="宋体" w:hAnsi="宋体" w:cs="宋体"/>
              </w:rPr>
            </w:pPr>
            <w:r>
              <w:rPr>
                <w:rFonts w:hint="eastAsia" w:ascii="宋体" w:hAnsi="宋体" w:cs="宋体"/>
              </w:rPr>
              <w:t xml:space="preserve">采购人与投标人双方必须遵守采购合同并执行合同中的各项约定，保证采购合同的正常履行。若一方违约，应向对方支付采购合同总金额的 20%的违约金，但违约金总额最高不超过合同总金额的 30%。违约金不足以弥补对方损失的， 还应就不足弥补部分进行赔偿。 </w:t>
            </w:r>
          </w:p>
          <w:p w14:paraId="4506B806">
            <w:pPr>
              <w:numPr>
                <w:ilvl w:val="0"/>
                <w:numId w:val="4"/>
              </w:numPr>
              <w:rPr>
                <w:rFonts w:ascii="宋体" w:hAnsi="宋体" w:cs="宋体"/>
              </w:rPr>
            </w:pPr>
            <w:r>
              <w:rPr>
                <w:rFonts w:hint="eastAsia" w:ascii="宋体" w:hAnsi="宋体" w:cs="宋体"/>
              </w:rPr>
              <w:t xml:space="preserve">如因供应商工作人员在履行职务过程中的疏忽、失职、过错等故意或者过失原因给采购人造成损失或侵害，包括但不限于采购人本身的财产损失、由此而导致的采购人对任何第三方的法律责任等，供应商对此均应承担全部的赔偿责任。 </w:t>
            </w:r>
          </w:p>
          <w:p w14:paraId="648E4F14">
            <w:pPr>
              <w:numPr>
                <w:ilvl w:val="0"/>
                <w:numId w:val="4"/>
              </w:numPr>
              <w:rPr>
                <w:rFonts w:ascii="宋体" w:hAnsi="宋体" w:cs="宋体"/>
              </w:rPr>
            </w:pPr>
            <w:r>
              <w:rPr>
                <w:rFonts w:hint="eastAsia" w:ascii="宋体" w:hAnsi="宋体" w:cs="宋体"/>
              </w:rPr>
              <w:t xml:space="preserve">服务期内，供应商若未按采购合同约定履行相应服务的，采购人有权解除采购合同，供应商应向采购人支付合同金额 20%的违约金。 </w:t>
            </w:r>
          </w:p>
          <w:p w14:paraId="47FCED6E">
            <w:pPr>
              <w:numPr>
                <w:ilvl w:val="0"/>
                <w:numId w:val="4"/>
              </w:numPr>
              <w:rPr>
                <w:rFonts w:ascii="宋体" w:hAnsi="宋体" w:cs="宋体"/>
              </w:rPr>
            </w:pPr>
            <w:r>
              <w:rPr>
                <w:rFonts w:hint="eastAsia" w:ascii="宋体" w:hAnsi="宋体" w:cs="宋体"/>
              </w:rPr>
              <w:t xml:space="preserve">采购人下达限期整改通知书要求供应商限期整改，而供应商拒不整改或经两次整改仍达不到采购人要求或采购合同约定标准的，采购人有权单方解除采购合同，并要求供应商支付合同总金额 20%的违约金，违约金不能弥补采购人损失的，供应商还应就不能弥补部分进行赔偿。 </w:t>
            </w:r>
          </w:p>
          <w:p w14:paraId="02476812">
            <w:pPr>
              <w:numPr>
                <w:ilvl w:val="0"/>
                <w:numId w:val="4"/>
              </w:numPr>
              <w:rPr>
                <w:rFonts w:ascii="宋体" w:hAnsi="宋体" w:cs="宋体"/>
              </w:rPr>
            </w:pPr>
            <w:r>
              <w:rPr>
                <w:rFonts w:hint="eastAsia" w:ascii="宋体" w:hAnsi="宋体" w:cs="宋体"/>
              </w:rPr>
              <w:t xml:space="preserve">供应商应保证所提供的服务完全符合中标文件要求。否则，采购人有权解除合同，供应商应退回已付合同价款并按合同总价的20%支付违约金，如违约金不足以弥补采购人因此遭受的损失（包括行政处罚等）的，应当予以全额补足。如供应商拒不支付赔偿款的，采购人有权从应付费用中扣除。 </w:t>
            </w:r>
          </w:p>
          <w:p w14:paraId="5A5DB5E3">
            <w:pPr>
              <w:numPr>
                <w:ilvl w:val="0"/>
                <w:numId w:val="4"/>
              </w:numPr>
              <w:rPr>
                <w:rFonts w:ascii="宋体" w:hAnsi="宋体" w:cs="宋体"/>
              </w:rPr>
            </w:pPr>
            <w:r>
              <w:rPr>
                <w:rFonts w:hint="eastAsia" w:ascii="宋体" w:hAnsi="宋体" w:cs="宋体"/>
              </w:rPr>
              <w:t>采购人有权在该项目协议约定范围内享有供应商提供的合法合规的相关服务。采购人有权对合同规定范围内供应商的服务行为进行监督和检查，拥有监管权。有权定期核对供应商提供的服务质量。对采购人认为不合理的部分有权下达整改通知书，并要求供应商限期整改。</w:t>
            </w:r>
          </w:p>
          <w:p w14:paraId="1DF4B091">
            <w:pPr>
              <w:numPr>
                <w:ilvl w:val="0"/>
                <w:numId w:val="4"/>
              </w:numPr>
              <w:rPr>
                <w:rFonts w:ascii="宋体" w:hAnsi="宋体" w:cs="宋体"/>
              </w:rPr>
            </w:pPr>
            <w:r>
              <w:rPr>
                <w:rFonts w:hint="eastAsia" w:ascii="宋体" w:hAnsi="宋体" w:cs="宋体"/>
              </w:rPr>
              <w:t>合同履行过程中，中标人出现下列情形之一的，须及时告知采购人：①因经营状况不良等自身原因无法持续履行合同；②转移财产、抽逃资金以逃避债务；③丧失商业信誉；④存在其他丧失或可能丧失履约能力的情形。采购人有权书面通知中标人中止合同，要求其在合理期限内消除相关情形或提供担保；中标人提供有效担保的，合同继续履行；若30日内未恢复履约能力且未提供担保的，视为拒绝履约，采购人有权解除合同并要求中标人承担全部损失。</w:t>
            </w:r>
          </w:p>
          <w:p w14:paraId="66A52304">
            <w:pPr>
              <w:numPr>
                <w:ilvl w:val="0"/>
                <w:numId w:val="4"/>
              </w:numPr>
              <w:rPr>
                <w:rFonts w:ascii="宋体" w:hAnsi="宋体" w:cs="宋体"/>
              </w:rPr>
            </w:pPr>
            <w:r>
              <w:rPr>
                <w:rFonts w:hint="eastAsia" w:ascii="宋体" w:hAnsi="宋体" w:cs="宋体"/>
              </w:rPr>
              <w:t>若标的物包含相关成果，中标人保证该成果权利无瑕疵（包括报告所有权、知识产权等）。若第三方经法院（或仲裁机构）裁决对该成果主张权利的，中标人除退还已收全部款项外，还须按合同总金额20%支付违约金，并赔偿采购人因此遭受的一切损失。</w:t>
            </w:r>
          </w:p>
          <w:p w14:paraId="27A8481B">
            <w:pPr>
              <w:numPr>
                <w:ilvl w:val="0"/>
                <w:numId w:val="4"/>
              </w:numPr>
              <w:rPr>
                <w:rFonts w:ascii="宋体" w:hAnsi="宋体" w:cs="宋体"/>
              </w:rPr>
            </w:pPr>
            <w:r>
              <w:rPr>
                <w:rFonts w:hint="eastAsia" w:ascii="宋体" w:hAnsi="宋体" w:cs="宋体"/>
              </w:rPr>
              <w:t>中标人在履行合同过程中，存在违法、违约、违规或违背社会伦理道德等行为，被媒体曝光、引发社会关注或受到国家机关行政处罚，可能直接或间接导致采购人声誉、名誉及社会评价下降的，采购人有权单方提前解除合同，中标人须支付合同总金额20%的违约金，同时通过相同或相当影响力的媒体及传播途径澄清事实、恢复采购人声誉，相关费用及一切责任、损失（包括但不限于采购人损失、第三人损失及中标人自身损失）均由中标人承担，采购人不承担任何责任。</w:t>
            </w:r>
          </w:p>
          <w:p w14:paraId="3A30E1F1">
            <w:pPr>
              <w:numPr>
                <w:ilvl w:val="0"/>
                <w:numId w:val="4"/>
              </w:numPr>
              <w:rPr>
                <w:rFonts w:ascii="宋体" w:hAnsi="宋体" w:cs="宋体"/>
              </w:rPr>
            </w:pPr>
            <w:r>
              <w:rPr>
                <w:rFonts w:hint="eastAsia" w:ascii="宋体" w:hAnsi="宋体" w:cs="宋体"/>
              </w:rPr>
              <w:t>因系统故障导致采购人业务停顿、引发医疗风险或人员财产受损的，由中标人承担法律责任。中标人未按约定时间到场服务、作出响应或完成故障修复的，每逾期8小时按合同总金额的0.1%支付违约金；因中标人原因导致采购人信息灭失、泄露，或因正常临床业务无法运行引发医疗争议、纠纷的，每发生一次按合同总金额0.1%支付违约金，违约金不足以弥补损失的予以补足，本条约定的违约金累计不超过人民币贰拾万元整。</w:t>
            </w:r>
          </w:p>
          <w:p w14:paraId="38E8A1FF">
            <w:pPr>
              <w:numPr>
                <w:ilvl w:val="0"/>
                <w:numId w:val="4"/>
              </w:numPr>
              <w:rPr>
                <w:rFonts w:ascii="宋体" w:hAnsi="宋体" w:cs="宋体"/>
              </w:rPr>
            </w:pPr>
            <w:r>
              <w:rPr>
                <w:rFonts w:hint="eastAsia" w:ascii="宋体" w:hAnsi="宋体" w:cs="宋体"/>
              </w:rPr>
              <w:t>合同履约过程中，未经采购人同意，中标人擅自变动项目组成员、撤离项目团队或存在其他不履行合同的违约情形，须按实际损失赔偿采购人，同时支付合同总金额5%的违约金/次，累计违约金不超过合同总金额的20%；情节严重（如未按要求限期改正导致项目长期无法推进、发生重大信息安全事故等）的，采购人有权解除合同。</w:t>
            </w:r>
          </w:p>
          <w:p w14:paraId="4A73EA25">
            <w:pPr>
              <w:numPr>
                <w:ilvl w:val="0"/>
                <w:numId w:val="4"/>
              </w:numPr>
              <w:rPr>
                <w:rFonts w:ascii="宋体" w:hAnsi="宋体" w:cs="宋体"/>
              </w:rPr>
            </w:pPr>
            <w:r>
              <w:rPr>
                <w:rFonts w:hint="eastAsia" w:ascii="宋体" w:hAnsi="宋体" w:cs="宋体"/>
              </w:rPr>
              <w:t>因供应商违约行为给采购人造成损失的，违约金不足以弥补采购人损失的，采购人有权向供应商主张全部损失，包含但不限于：鉴定费、公证费、律师费、诉讼费、保全费、保全担保费等实现债权的全部费用，以上费用金额以开具的合格发票金额为准。</w:t>
            </w:r>
          </w:p>
          <w:p w14:paraId="1E3A65E3">
            <w:pPr>
              <w:numPr>
                <w:ilvl w:val="0"/>
                <w:numId w:val="4"/>
              </w:numPr>
              <w:rPr>
                <w:rFonts w:ascii="宋体" w:hAnsi="宋体" w:cs="宋体"/>
              </w:rPr>
            </w:pPr>
            <w:r>
              <w:rPr>
                <w:rFonts w:hint="eastAsia" w:ascii="宋体" w:hAnsi="宋体" w:cs="宋体"/>
              </w:rPr>
              <w:t>若供应商开具的发票为虚假发票，或提供由他人开具的与实际经营业务不符的发票。因此引起发票无法认证、认证不符或其他任何因发票瑕疵导致发票作废等情形，由供应商承担相关责任。</w:t>
            </w:r>
          </w:p>
          <w:p w14:paraId="10A58701">
            <w:pPr>
              <w:numPr>
                <w:ilvl w:val="0"/>
                <w:numId w:val="4"/>
              </w:numPr>
              <w:rPr>
                <w:rFonts w:ascii="宋体" w:hAnsi="宋体" w:cs="宋体"/>
              </w:rPr>
            </w:pPr>
            <w:r>
              <w:rPr>
                <w:rFonts w:hint="eastAsia" w:ascii="宋体" w:hAnsi="宋体" w:cs="宋体"/>
              </w:rPr>
              <w:t>供应商在参与本项目采购过程中，因自身围标、串标或提供虚假材料（承诺）谋取中标等行为被质疑成立、投诉成立或被相关上级部门通报处罚的，采购人有权解除合同，并追究供应商相关责任。解决合同纠纷的方式:合同在履行中发生争议，采购人与投标人双方协商解决，协商不成的，任何一方可向采购人所在地的人民法院提起诉讼解决。</w:t>
            </w:r>
          </w:p>
          <w:p w14:paraId="78F306B5">
            <w:pPr>
              <w:numPr>
                <w:ilvl w:val="0"/>
                <w:numId w:val="4"/>
              </w:numPr>
              <w:rPr>
                <w:rFonts w:ascii="宋体" w:hAnsi="宋体" w:cs="宋体"/>
              </w:rPr>
            </w:pPr>
            <w:r>
              <w:rPr>
                <w:rFonts w:hint="eastAsia" w:ascii="宋体" w:hAnsi="宋体" w:cs="宋体"/>
                <w:color w:val="000000" w:themeColor="text1"/>
                <w14:textFill>
                  <w14:solidFill>
                    <w14:schemeClr w14:val="tx1"/>
                  </w14:solidFill>
                </w14:textFill>
              </w:rPr>
              <w:t>合同履行过程中发生争议的，双方优先协商解决；协商不成的，任何一方可向采购人所在地人民法院提起诉讼。所有应扣款优先从就近应付账款中扣除，不足部分由中标人补足支付。</w:t>
            </w:r>
          </w:p>
        </w:tc>
      </w:tr>
      <w:tr w14:paraId="015EE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Align w:val="center"/>
          </w:tcPr>
          <w:p w14:paraId="6F86E33B">
            <w:pPr>
              <w:jc w:val="center"/>
              <w:rPr>
                <w:rFonts w:ascii="宋体" w:hAnsi="宋体" w:cs="宋体"/>
              </w:rPr>
            </w:pPr>
            <w:r>
              <w:rPr>
                <w:rFonts w:hint="eastAsia" w:ascii="宋体" w:hAnsi="宋体" w:cs="宋体"/>
              </w:rPr>
              <w:t>9</w:t>
            </w:r>
          </w:p>
        </w:tc>
        <w:tc>
          <w:tcPr>
            <w:tcW w:w="1897" w:type="dxa"/>
            <w:vAlign w:val="center"/>
          </w:tcPr>
          <w:p w14:paraId="38FF1BB5">
            <w:pPr>
              <w:jc w:val="center"/>
              <w:rPr>
                <w:rFonts w:ascii="宋体" w:hAnsi="宋体" w:cs="宋体"/>
              </w:rPr>
            </w:pPr>
            <w:r>
              <w:rPr>
                <w:rFonts w:hint="eastAsia" w:ascii="宋体" w:hAnsi="宋体" w:cs="宋体"/>
              </w:rPr>
              <w:t>培训要求</w:t>
            </w:r>
          </w:p>
        </w:tc>
        <w:tc>
          <w:tcPr>
            <w:tcW w:w="6867" w:type="dxa"/>
            <w:vAlign w:val="center"/>
          </w:tcPr>
          <w:p w14:paraId="57BED4A8">
            <w:pPr>
              <w:rPr>
                <w:rFonts w:ascii="宋体" w:hAnsi="宋体" w:cs="宋体"/>
              </w:rPr>
            </w:pPr>
            <w:r>
              <w:rPr>
                <w:rFonts w:hint="eastAsia" w:ascii="宋体" w:hAnsi="宋体" w:cs="宋体"/>
                <w:color w:val="000000" w:themeColor="text1"/>
                <w14:textFill>
                  <w14:solidFill>
                    <w14:schemeClr w14:val="tx1"/>
                  </w14:solidFill>
                </w14:textFill>
              </w:rPr>
              <w:t>中标方须负责制定专项培训计划、编制完整培训资料，全面覆盖以下培训内容，确保培训效果达标：（1）现场培训：中标人须为采购人指定的系统管理及运维人员提供集中现场培训，详细讲授各类软件产品的安装、操作流程及应用软件系统的全流程管理方法，确保运维人员能够熟练开展系统维护、故障诊断、日常检修及综合管理工作。须针对系统软硬件的常规维护、参数设置、基础操作等内容，对采购人操作及维修技术人员开展针对性培训，确保操作人员可独立完成日常业务操作，维护人员能妥善处理各类常见故障。（2）技术培训：中标人须对所有系统使用人员开展全员操作培训，培训内容涵盖系统常规操作规范、异常情况处置流程、信息安全防护要点及应用系统前沿技术知识与实操技能，全面提升使用人员的操作能力与风险防控意识。</w:t>
            </w:r>
          </w:p>
        </w:tc>
      </w:tr>
      <w:tr w14:paraId="4F3C9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Align w:val="center"/>
          </w:tcPr>
          <w:p w14:paraId="712B74F0">
            <w:pPr>
              <w:jc w:val="center"/>
              <w:rPr>
                <w:rFonts w:ascii="宋体" w:hAnsi="宋体" w:cs="宋体"/>
                <w:b/>
                <w:bCs/>
              </w:rPr>
            </w:pPr>
            <w:r>
              <w:rPr>
                <w:rFonts w:hint="eastAsia" w:ascii="宋体" w:hAnsi="宋体" w:cs="宋体"/>
              </w:rPr>
              <w:t>10</w:t>
            </w:r>
          </w:p>
        </w:tc>
        <w:tc>
          <w:tcPr>
            <w:tcW w:w="1897" w:type="dxa"/>
            <w:vAlign w:val="center"/>
          </w:tcPr>
          <w:p w14:paraId="44F9FBF8">
            <w:pPr>
              <w:jc w:val="center"/>
              <w:rPr>
                <w:rFonts w:ascii="宋体" w:hAnsi="宋体" w:cs="宋体"/>
                <w:b/>
                <w:bCs/>
              </w:rPr>
            </w:pPr>
            <w:r>
              <w:rPr>
                <w:rFonts w:hint="eastAsia" w:ascii="宋体" w:hAnsi="宋体" w:cs="宋体"/>
              </w:rPr>
              <w:t>保密要求</w:t>
            </w:r>
          </w:p>
        </w:tc>
        <w:tc>
          <w:tcPr>
            <w:tcW w:w="6867" w:type="dxa"/>
            <w:vAlign w:val="center"/>
          </w:tcPr>
          <w:p w14:paraId="00B521A4">
            <w:pPr>
              <w:pStyle w:val="95"/>
              <w:widowControl w:val="0"/>
              <w:jc w:val="both"/>
              <w:rPr>
                <w:rFonts w:hint="default"/>
                <w:b/>
                <w:bCs/>
              </w:rPr>
            </w:pPr>
            <w:r>
              <w:rPr>
                <w:rFonts w:ascii="宋体" w:hAnsi="宋体" w:eastAsia="宋体" w:cs="宋体"/>
                <w:color w:val="000000" w:themeColor="text1"/>
                <w:kern w:val="2"/>
                <w:sz w:val="21"/>
                <w:szCs w:val="21"/>
                <w:lang w:eastAsia="zh-CN"/>
                <w14:textFill>
                  <w14:solidFill>
                    <w14:schemeClr w14:val="tx1"/>
                  </w14:solidFill>
                </w14:textFill>
              </w:rPr>
              <w:t>（1）中标人应自觉维护采购人利益，严格遵守保密相关法律法规及采购人规定，不得向任何单位或个人泄露采购人任何资料信息，不得利用所掌握的信息数据牟取私利。中标人须强化保密管理，对参与本项目的工作人员开展背景审查、签署保密协议，确保自身及工作人员不向第三方公开或披露任何保密信息。无论采购人以直接、间接、口头或书面等形式披露的信息，只要属于采购人未发表、未公开的非公众信息，均纳入保密范围，具体包括：①技术信息：采购人信息化建设中的软件技术、数据、管理文件等；②人事信息：采购人人事档案、薪酬、考核等人力资源管理信息；③运行信息：采购人业务运行数据、经营方向、决策、定价政策及内部合同、协议、项目方案等；④财务信息：采购人财务报表、成本预算报告、员工工资等；⑤患者信息：门诊及住院患者基本信息、诊疗计划、病历、费用、处方等诊疗相关信息；⑥采购人依法对外承担保密义务的其他事项。（2）未经采购人书面批准，中标人不得以任何直接或间接方式向第三方透露采购人保密信息（含本项目文件、技术方案、实施计划等），不得买卖相关信息谋取不正当利益。（3）中标人不得为药品生产经营企业及其他人员，提供采购人药品、器械、耗材使用信息或商业目的“统方”服务，不得利用工作便利或个人关系为医药营销人员统方提供信息数据支持。（4）采购人提供的系统登录用户名及密码，中标人仅可用于项目维护工作，不得擅自挪作他用或泄露给第三方。（5）中标人不得利用采购人提供的电脑及网络系统，私自连接外网、发送垃圾邮件、攻击网络及计算机系统，不得私自使用外来移动存储介质（如硬盘、U盘、光盘等），严防计算机病毒传播、危害网络信息安全；不得在运行的信息系统上私自开发、挂靠与业务无关的软件或系统，不得擅自发布通知、广告。（6）中标人无论故意或过失违反保密规定，须立即停止侵害行为，第一时间采取必要措施防止保密信息扩散、最大程度消除影响，并及时告知采购人。（7）中标人违反保密规定的，承担全部责任及费用（含律师费、诉讼费、差旅费、调查费、评估费、鉴定费等），向采购人支付违约金（按实际损失确定，无上限）；违约金不影响采购人主张损害赔偿的权利，赔偿金额以采购人实际损失为限。（8）本保密条款在合同变更、解除或无效后仍持续有效，保密义务期限为永久（直至保密信息成为公开信息）。</w:t>
            </w:r>
          </w:p>
        </w:tc>
      </w:tr>
      <w:tr w14:paraId="7EC30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Align w:val="center"/>
          </w:tcPr>
          <w:p w14:paraId="48820A4D">
            <w:pPr>
              <w:jc w:val="center"/>
              <w:rPr>
                <w:rFonts w:ascii="宋体" w:hAnsi="宋体" w:cs="宋体"/>
              </w:rPr>
            </w:pPr>
            <w:r>
              <w:rPr>
                <w:rFonts w:hint="eastAsia" w:ascii="宋体" w:hAnsi="宋体" w:cs="宋体"/>
              </w:rPr>
              <w:t>11</w:t>
            </w:r>
          </w:p>
        </w:tc>
        <w:tc>
          <w:tcPr>
            <w:tcW w:w="1897" w:type="dxa"/>
            <w:vAlign w:val="center"/>
          </w:tcPr>
          <w:p w14:paraId="50C16BE8">
            <w:pPr>
              <w:jc w:val="center"/>
              <w:rPr>
                <w:rFonts w:ascii="宋体" w:hAnsi="宋体" w:cs="宋体"/>
              </w:rPr>
            </w:pPr>
            <w:r>
              <w:rPr>
                <w:rFonts w:hint="eastAsia" w:ascii="宋体" w:hAnsi="宋体" w:cs="宋体"/>
              </w:rPr>
              <w:t>安全管理要求</w:t>
            </w:r>
          </w:p>
        </w:tc>
        <w:tc>
          <w:tcPr>
            <w:tcW w:w="6867" w:type="dxa"/>
            <w:vAlign w:val="center"/>
          </w:tcPr>
          <w:p w14:paraId="665FECDF">
            <w:pPr>
              <w:rPr>
                <w:rFonts w:ascii="宋体" w:hAnsi="宋体" w:cs="宋体"/>
              </w:rPr>
            </w:pPr>
            <w:r>
              <w:rPr>
                <w:rFonts w:hint="eastAsia" w:ascii="宋体" w:hAnsi="宋体" w:cs="宋体"/>
              </w:rPr>
              <w:t>1.投标人</w:t>
            </w:r>
            <w:r>
              <w:rPr>
                <w:rFonts w:ascii="宋体" w:hAnsi="宋体" w:cs="宋体"/>
              </w:rPr>
              <w:t>必须遵守有关安全生产的法律、法规及采购人相关安全生产管理规定，加强安全生产管理，</w:t>
            </w:r>
            <w:r>
              <w:rPr>
                <w:rFonts w:hint="eastAsia" w:ascii="宋体" w:hAnsi="宋体" w:cs="宋体"/>
              </w:rPr>
              <w:t>投标人</w:t>
            </w:r>
            <w:r>
              <w:rPr>
                <w:rFonts w:ascii="宋体" w:hAnsi="宋体" w:cs="宋体"/>
              </w:rPr>
              <w:t>为该项目的安全责任人，建立、健全安全生产责任制度，完善安全生产条件，确保安全生产。</w:t>
            </w:r>
          </w:p>
          <w:p w14:paraId="0D0D0E12">
            <w:pPr>
              <w:rPr>
                <w:rFonts w:ascii="宋体" w:hAnsi="宋体" w:cs="宋体"/>
              </w:rPr>
            </w:pPr>
            <w:r>
              <w:rPr>
                <w:rFonts w:hint="eastAsia" w:ascii="宋体" w:hAnsi="宋体" w:cs="宋体"/>
              </w:rPr>
              <w:t>2.投标人</w:t>
            </w:r>
            <w:r>
              <w:rPr>
                <w:rFonts w:ascii="宋体" w:hAnsi="宋体" w:cs="宋体"/>
              </w:rPr>
              <w:t>在项目供货、安装、实施、使用、维护服务、售后服务期间，</w:t>
            </w:r>
            <w:r>
              <w:rPr>
                <w:rFonts w:hint="eastAsia" w:ascii="宋体" w:hAnsi="宋体" w:cs="宋体"/>
              </w:rPr>
              <w:t>投标人</w:t>
            </w:r>
            <w:r>
              <w:rPr>
                <w:rFonts w:ascii="宋体" w:hAnsi="宋体" w:cs="宋体"/>
              </w:rPr>
              <w:t>应严格遵守操作规程以及采购人相应的规章制度或规定，</w:t>
            </w:r>
            <w:r>
              <w:rPr>
                <w:rFonts w:hint="eastAsia" w:ascii="宋体" w:hAnsi="宋体" w:cs="宋体"/>
              </w:rPr>
              <w:t>投标人</w:t>
            </w:r>
            <w:r>
              <w:rPr>
                <w:rFonts w:ascii="宋体" w:hAnsi="宋体" w:cs="宋体"/>
              </w:rPr>
              <w:t>所发生的和因</w:t>
            </w:r>
            <w:r>
              <w:rPr>
                <w:rFonts w:hint="eastAsia" w:ascii="宋体" w:hAnsi="宋体" w:cs="宋体"/>
              </w:rPr>
              <w:t>投标人</w:t>
            </w:r>
            <w:r>
              <w:rPr>
                <w:rFonts w:ascii="宋体" w:hAnsi="宋体" w:cs="宋体"/>
              </w:rPr>
              <w:t>引起的一切安全事故或劳动纠纷等，其责任均由</w:t>
            </w:r>
            <w:r>
              <w:rPr>
                <w:rFonts w:hint="eastAsia" w:ascii="宋体" w:hAnsi="宋体" w:cs="宋体"/>
              </w:rPr>
              <w:t>投标人</w:t>
            </w:r>
            <w:r>
              <w:rPr>
                <w:rFonts w:ascii="宋体" w:hAnsi="宋体" w:cs="宋体"/>
              </w:rPr>
              <w:t>单方承担，与采购人无关。且不得因此影响项目进度。</w:t>
            </w:r>
          </w:p>
          <w:p w14:paraId="1925813D">
            <w:pPr>
              <w:rPr>
                <w:rFonts w:ascii="宋体" w:hAnsi="宋体" w:cs="宋体"/>
              </w:rPr>
            </w:pPr>
            <w:r>
              <w:rPr>
                <w:rFonts w:hint="eastAsia" w:ascii="宋体" w:hAnsi="宋体" w:cs="宋体"/>
              </w:rPr>
              <w:t>3.投标人</w:t>
            </w:r>
            <w:r>
              <w:rPr>
                <w:rFonts w:ascii="宋体" w:hAnsi="宋体" w:cs="宋体"/>
              </w:rPr>
              <w:t>必须遵守有关网络安全法律法规及采购人相关网络安全管理规定，因</w:t>
            </w:r>
            <w:r>
              <w:rPr>
                <w:rFonts w:hint="eastAsia" w:ascii="宋体" w:hAnsi="宋体" w:cs="宋体"/>
              </w:rPr>
              <w:t>投标人</w:t>
            </w:r>
            <w:r>
              <w:rPr>
                <w:rFonts w:ascii="宋体" w:hAnsi="宋体" w:cs="宋体"/>
              </w:rPr>
              <w:t>过失导致网络安全事故发生，</w:t>
            </w:r>
            <w:r>
              <w:rPr>
                <w:rFonts w:hint="eastAsia" w:ascii="宋体" w:hAnsi="宋体" w:cs="宋体"/>
              </w:rPr>
              <w:t>投标人</w:t>
            </w:r>
            <w:r>
              <w:rPr>
                <w:rFonts w:ascii="宋体" w:hAnsi="宋体" w:cs="宋体"/>
              </w:rPr>
              <w:t>应承担全部责任。</w:t>
            </w:r>
          </w:p>
          <w:p w14:paraId="05A24C87">
            <w:pPr>
              <w:rPr>
                <w:rFonts w:ascii="宋体" w:hAnsi="宋体" w:cs="宋体"/>
              </w:rPr>
            </w:pPr>
            <w:r>
              <w:rPr>
                <w:rFonts w:hint="eastAsia" w:ascii="宋体" w:hAnsi="宋体" w:cs="宋体"/>
              </w:rPr>
              <w:t>4.投标人</w:t>
            </w:r>
            <w:r>
              <w:rPr>
                <w:rFonts w:ascii="宋体" w:hAnsi="宋体" w:cs="宋体"/>
              </w:rPr>
              <w:t>应定期对系统进行安全漏洞扫描和评估，及时修复安全漏洞，确保系统符合国家网络安全等级保护第三级的要求</w:t>
            </w:r>
            <w:r>
              <w:rPr>
                <w:rFonts w:hint="eastAsia" w:ascii="宋体" w:hAnsi="宋体" w:cs="宋体"/>
              </w:rPr>
              <w:t>。</w:t>
            </w:r>
          </w:p>
          <w:p w14:paraId="0F5A100C">
            <w:pPr>
              <w:rPr>
                <w:rFonts w:ascii="宋体" w:hAnsi="宋体" w:cs="宋体"/>
              </w:rPr>
            </w:pPr>
            <w:r>
              <w:rPr>
                <w:rFonts w:hint="eastAsia" w:ascii="宋体" w:hAnsi="宋体" w:cs="宋体"/>
              </w:rPr>
              <w:t>5.</w:t>
            </w:r>
            <w:r>
              <w:rPr>
                <w:rFonts w:ascii="宋体" w:hAnsi="宋体" w:cs="宋体"/>
              </w:rPr>
              <w:t>若因</w:t>
            </w:r>
            <w:r>
              <w:rPr>
                <w:rFonts w:hint="eastAsia" w:ascii="宋体" w:hAnsi="宋体" w:cs="宋体"/>
              </w:rPr>
              <w:t>投标人</w:t>
            </w:r>
            <w:r>
              <w:rPr>
                <w:rFonts w:ascii="宋体" w:hAnsi="宋体" w:cs="宋体"/>
              </w:rPr>
              <w:t>原因导致系统发生安全事故，</w:t>
            </w:r>
            <w:r>
              <w:rPr>
                <w:rFonts w:hint="eastAsia" w:ascii="宋体" w:hAnsi="宋体" w:cs="宋体"/>
              </w:rPr>
              <w:t>投标人</w:t>
            </w:r>
            <w:r>
              <w:rPr>
                <w:rFonts w:ascii="宋体" w:hAnsi="宋体" w:cs="宋体"/>
              </w:rPr>
              <w:t>应在1小时内通知采购人，并在 24 小时内提交事故报告和解决方案，同时承担由此给采购人造成的全部损失</w:t>
            </w:r>
            <w:r>
              <w:rPr>
                <w:rFonts w:hint="eastAsia" w:ascii="宋体" w:hAnsi="宋体" w:cs="宋体"/>
              </w:rPr>
              <w:t>。</w:t>
            </w:r>
          </w:p>
        </w:tc>
      </w:tr>
      <w:tr w14:paraId="385F4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Align w:val="center"/>
          </w:tcPr>
          <w:p w14:paraId="3066EB03">
            <w:pPr>
              <w:jc w:val="center"/>
              <w:rPr>
                <w:rFonts w:ascii="宋体" w:hAnsi="宋体" w:cs="宋体"/>
              </w:rPr>
            </w:pPr>
            <w:r>
              <w:rPr>
                <w:rFonts w:hint="eastAsia" w:ascii="宋体" w:hAnsi="宋体" w:cs="宋体"/>
              </w:rPr>
              <w:t>12</w:t>
            </w:r>
          </w:p>
        </w:tc>
        <w:tc>
          <w:tcPr>
            <w:tcW w:w="1897" w:type="dxa"/>
            <w:vAlign w:val="center"/>
          </w:tcPr>
          <w:p w14:paraId="1BFB1175">
            <w:pPr>
              <w:jc w:val="center"/>
              <w:rPr>
                <w:rFonts w:ascii="宋体" w:hAnsi="宋体" w:cs="宋体"/>
              </w:rPr>
            </w:pPr>
            <w:r>
              <w:rPr>
                <w:rFonts w:hint="eastAsia" w:ascii="宋体" w:hAnsi="宋体" w:cs="宋体"/>
                <w:color w:val="000000" w:themeColor="text1"/>
                <w14:textFill>
                  <w14:solidFill>
                    <w14:schemeClr w14:val="tx1"/>
                  </w14:solidFill>
                </w14:textFill>
              </w:rPr>
              <w:t>源代码提交承诺</w:t>
            </w:r>
          </w:p>
        </w:tc>
        <w:tc>
          <w:tcPr>
            <w:tcW w:w="6867" w:type="dxa"/>
            <w:vAlign w:val="center"/>
          </w:tcPr>
          <w:p w14:paraId="5B7BC538">
            <w:pPr>
              <w:pStyle w:val="95"/>
              <w:widowControl w:val="0"/>
              <w:jc w:val="both"/>
              <w:rPr>
                <w:rFonts w:hint="default" w:ascii="宋体" w:hAnsi="宋体" w:eastAsia="宋体" w:cs="宋体"/>
                <w:sz w:val="21"/>
                <w:szCs w:val="21"/>
                <w:lang w:eastAsia="zh-CN"/>
              </w:rPr>
            </w:pPr>
            <w:r>
              <w:rPr>
                <w:rFonts w:ascii="宋体" w:hAnsi="宋体" w:eastAsia="宋体" w:cs="宋体"/>
                <w:kern w:val="2"/>
                <w:sz w:val="21"/>
                <w:szCs w:val="21"/>
                <w:lang w:eastAsia="zh-CN"/>
              </w:rPr>
              <w:t>中标人承诺，若因自身经营原因（包括但不限于企业倒闭、停止运营、丧失服务能力等）无法继续为采购人提供本项目相关维护服务，须在该情形发生后【7】个工作日内，将本项目全部相关源代码（含基础源代码、二次开发源代码、接口开发代码及配套注释文件）完整、无加密地提交给采购人，确保采购人可独立开展系统维护工作。(中标人须单独提供加盖公章的书面承诺函)</w:t>
            </w:r>
          </w:p>
        </w:tc>
      </w:tr>
      <w:tr w14:paraId="06E13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Align w:val="center"/>
          </w:tcPr>
          <w:p w14:paraId="3E10D674">
            <w:pPr>
              <w:jc w:val="center"/>
              <w:rPr>
                <w:rFonts w:ascii="宋体" w:hAnsi="宋体" w:cs="宋体"/>
              </w:rPr>
            </w:pPr>
            <w:r>
              <w:rPr>
                <w:rFonts w:hint="eastAsia" w:ascii="宋体" w:hAnsi="宋体" w:cs="宋体"/>
              </w:rPr>
              <w:t>13</w:t>
            </w:r>
          </w:p>
        </w:tc>
        <w:tc>
          <w:tcPr>
            <w:tcW w:w="1897" w:type="dxa"/>
            <w:vAlign w:val="center"/>
          </w:tcPr>
          <w:p w14:paraId="13ECB90F">
            <w:pPr>
              <w:jc w:val="center"/>
              <w:rPr>
                <w:rFonts w:ascii="宋体" w:hAnsi="宋体" w:cs="宋体"/>
              </w:rPr>
            </w:pPr>
            <w:r>
              <w:rPr>
                <w:rFonts w:hint="eastAsia" w:ascii="宋体" w:hAnsi="宋体" w:cs="宋体"/>
                <w:color w:val="000000" w:themeColor="text1"/>
                <w14:textFill>
                  <w14:solidFill>
                    <w14:schemeClr w14:val="tx1"/>
                  </w14:solidFill>
                </w14:textFill>
              </w:rPr>
              <w:t>争议处理及服务保障</w:t>
            </w:r>
          </w:p>
        </w:tc>
        <w:tc>
          <w:tcPr>
            <w:tcW w:w="6867" w:type="dxa"/>
            <w:vAlign w:val="center"/>
          </w:tcPr>
          <w:p w14:paraId="47D7879F">
            <w:pPr>
              <w:pStyle w:val="95"/>
              <w:widowControl w:val="0"/>
              <w:jc w:val="both"/>
              <w:rPr>
                <w:rFonts w:hint="default" w:ascii="宋体" w:hAnsi="宋体" w:eastAsia="宋体" w:cs="宋体"/>
                <w:sz w:val="21"/>
                <w:szCs w:val="21"/>
                <w:lang w:eastAsia="zh-CN"/>
              </w:rPr>
            </w:pPr>
            <w:r>
              <w:rPr>
                <w:rFonts w:ascii="宋体" w:hAnsi="宋体" w:eastAsia="宋体" w:cs="宋体"/>
                <w:kern w:val="2"/>
                <w:sz w:val="21"/>
                <w:szCs w:val="21"/>
                <w:lang w:eastAsia="zh-CN"/>
              </w:rPr>
              <w:t>在本项目服务执行过程中，若采购人与中标人之间产生争议，或因任何原因导致服务无法按预期推进，双方均应秉持合作互信、高效务实的态度，优先通过友好协商、积极沟通的方式解决分歧，共同制定妥善解决方案。协商期间，中标人须按采购人合理要求持续提供服务，保障项目建设进度、服务连续性及已上线系统稳定安全运行，确保项目目标顺利达成，不得以任何理由停用系统。若协商不成，按本文件“违约责任与解决争议的方法”条款约定处理。</w:t>
            </w:r>
          </w:p>
        </w:tc>
      </w:tr>
    </w:tbl>
    <w:p w14:paraId="67986877">
      <w:pPr>
        <w:pStyle w:val="3"/>
        <w:numPr>
          <w:ilvl w:val="0"/>
          <w:numId w:val="0"/>
        </w:numPr>
        <w:spacing w:before="0" w:after="0" w:line="336" w:lineRule="auto"/>
        <w:jc w:val="left"/>
        <w:rPr>
          <w:rFonts w:cs="Times New Roman"/>
        </w:rPr>
      </w:pPr>
      <w:r>
        <w:rPr>
          <w:rFonts w:hint="eastAsia"/>
        </w:rPr>
        <w:t>★五、服务考核</w:t>
      </w:r>
    </w:p>
    <w:p w14:paraId="72D5C9C6">
      <w:pPr>
        <w:ind w:firstLine="420" w:firstLineChars="200"/>
        <w:rPr>
          <w:rFonts w:ascii="宋体" w:hAnsi="宋体" w:cs="宋体"/>
        </w:rPr>
      </w:pPr>
      <w:r>
        <w:rPr>
          <w:rFonts w:ascii="宋体" w:hAnsi="宋体" w:cs="宋体"/>
          <w:color w:val="7030A0"/>
        </w:rPr>
        <w:t>1．</w:t>
      </w:r>
      <w:r>
        <w:rPr>
          <w:rFonts w:hint="eastAsia" w:ascii="宋体" w:hAnsi="宋体" w:cs="宋体"/>
        </w:rPr>
        <w:t>考核总则</w:t>
      </w:r>
    </w:p>
    <w:p w14:paraId="5A2C6E48">
      <w:pPr>
        <w:ind w:firstLine="420" w:firstLineChars="200"/>
        <w:rPr>
          <w:rFonts w:ascii="宋体" w:hAnsi="宋体" w:cs="宋体"/>
        </w:rPr>
      </w:pPr>
      <w:r>
        <w:rPr>
          <w:rFonts w:hint="eastAsia" w:ascii="宋体" w:hAnsi="宋体" w:cs="宋体"/>
        </w:rPr>
        <w:t>（1）核心目的：强化项目日常运维监管，规范中标方服务行为，保障系统稳定运行与服务质效，考核结果作为年度服务款项支付比例的核心依据，与“四、商务要求”中质量保修范围和质保期、违约责任与解决争议的方法条款互补衔接，不重复追责。</w:t>
      </w:r>
    </w:p>
    <w:p w14:paraId="7379C41B">
      <w:pPr>
        <w:ind w:firstLine="420" w:firstLineChars="200"/>
        <w:rPr>
          <w:rFonts w:ascii="宋体" w:hAnsi="宋体" w:cs="宋体"/>
        </w:rPr>
      </w:pPr>
      <w:r>
        <w:rPr>
          <w:rFonts w:hint="eastAsia" w:ascii="宋体" w:hAnsi="宋体" w:cs="宋体"/>
        </w:rPr>
        <w:t>（2）适用范围：覆盖项目质保期全周期，仅考核明确约定的日常运维细节，不涉及工期延误、重大违约、安全事故赔偿等已明确责任界定的情形。</w:t>
      </w:r>
    </w:p>
    <w:p w14:paraId="029643D3">
      <w:pPr>
        <w:ind w:firstLine="420" w:firstLineChars="200"/>
        <w:rPr>
          <w:rFonts w:ascii="宋体" w:hAnsi="宋体" w:cs="宋体"/>
        </w:rPr>
      </w:pPr>
      <w:r>
        <w:rPr>
          <w:rFonts w:ascii="宋体" w:hAnsi="宋体" w:cs="宋体"/>
          <w:color w:val="7030A0"/>
        </w:rPr>
        <w:t>2．</w:t>
      </w:r>
      <w:r>
        <w:rPr>
          <w:rFonts w:hint="eastAsia" w:ascii="宋体" w:hAnsi="宋体" w:cs="宋体"/>
        </w:rPr>
        <w:t>考核周期及结果应用</w:t>
      </w:r>
    </w:p>
    <w:p w14:paraId="1205D0AC">
      <w:pPr>
        <w:ind w:firstLine="420" w:firstLineChars="200"/>
        <w:rPr>
          <w:rFonts w:ascii="宋体" w:hAnsi="宋体" w:cs="宋体"/>
        </w:rPr>
      </w:pPr>
      <w:r>
        <w:rPr>
          <w:rFonts w:hint="eastAsia" w:ascii="宋体" w:hAnsi="宋体" w:cs="宋体"/>
        </w:rPr>
        <w:t>考核频率为□月度1次</w:t>
      </w:r>
      <w:r>
        <w:rPr>
          <w:rFonts w:hint="eastAsia" w:ascii="宋体" w:hAnsi="宋体" w:cs="宋体"/>
        </w:rPr>
        <w:sym w:font="Wingdings 2" w:char="00A3"/>
      </w:r>
      <w:r>
        <w:rPr>
          <w:rFonts w:hint="eastAsia" w:ascii="宋体" w:hAnsi="宋体" w:cs="宋体"/>
        </w:rPr>
        <w:t>季度1次□半年1次</w:t>
      </w:r>
      <w:r>
        <w:rPr>
          <w:rFonts w:hint="eastAsia" w:ascii="宋体" w:hAnsi="宋体" w:cs="宋体"/>
        </w:rPr>
        <w:sym w:font="Wingdings 2" w:char="0052"/>
      </w:r>
      <w:r>
        <w:rPr>
          <w:rFonts w:hint="eastAsia" w:ascii="宋体" w:hAnsi="宋体" w:cs="宋体"/>
        </w:rPr>
        <w:t>年度1次</w:t>
      </w:r>
      <w:r>
        <w:rPr>
          <w:rFonts w:hint="eastAsia" w:ascii="宋体" w:hAnsi="宋体" w:cs="宋体"/>
        </w:rPr>
        <w:sym w:font="Wingdings 2" w:char="00A3"/>
      </w:r>
      <w:r>
        <w:rPr>
          <w:rFonts w:hint="eastAsia" w:ascii="宋体" w:hAnsi="宋体" w:cs="宋体"/>
        </w:rPr>
        <w:t>整个服务期1次，考核后取全周期平均得分作为最终考核得分，对应年度服务款项支付比例如下：</w:t>
      </w:r>
    </w:p>
    <w:tbl>
      <w:tblPr>
        <w:tblStyle w:val="28"/>
        <w:tblpPr w:leftFromText="180" w:rightFromText="180" w:vertAnchor="text" w:horzAnchor="page" w:tblpXSpec="center" w:tblpY="339"/>
        <w:tblOverlap w:val="never"/>
        <w:tblW w:w="9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7"/>
        <w:gridCol w:w="2988"/>
        <w:gridCol w:w="4420"/>
      </w:tblGrid>
      <w:tr w14:paraId="5D830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tcPr>
          <w:p w14:paraId="52E7747B">
            <w:pPr>
              <w:widowControl/>
              <w:jc w:val="center"/>
              <w:textAlignment w:val="top"/>
              <w:rPr>
                <w:rFonts w:ascii="宋体" w:hAnsi="宋体" w:cs="宋体"/>
                <w:kern w:val="0"/>
                <w:lang w:bidi="ar"/>
              </w:rPr>
            </w:pPr>
            <w:r>
              <w:rPr>
                <w:rFonts w:hint="eastAsia" w:ascii="宋体" w:hAnsi="宋体" w:cs="宋体"/>
                <w:kern w:val="0"/>
                <w:lang w:bidi="ar"/>
              </w:rPr>
              <w:t>序号</w:t>
            </w:r>
          </w:p>
        </w:tc>
        <w:tc>
          <w:tcPr>
            <w:tcW w:w="2988" w:type="dxa"/>
          </w:tcPr>
          <w:p w14:paraId="5B997E74">
            <w:pPr>
              <w:widowControl/>
              <w:jc w:val="center"/>
              <w:textAlignment w:val="top"/>
              <w:rPr>
                <w:rFonts w:ascii="宋体" w:hAnsi="宋体" w:cs="宋体"/>
              </w:rPr>
            </w:pPr>
            <w:r>
              <w:rPr>
                <w:rFonts w:hint="eastAsia" w:ascii="宋体" w:hAnsi="宋体" w:cs="宋体"/>
                <w:kern w:val="0"/>
                <w:lang w:bidi="ar"/>
              </w:rPr>
              <w:t>全周期考核得分</w:t>
            </w:r>
          </w:p>
        </w:tc>
        <w:tc>
          <w:tcPr>
            <w:tcW w:w="4420" w:type="dxa"/>
          </w:tcPr>
          <w:p w14:paraId="1A111F36">
            <w:pPr>
              <w:widowControl/>
              <w:jc w:val="center"/>
              <w:textAlignment w:val="top"/>
              <w:rPr>
                <w:rFonts w:ascii="宋体" w:hAnsi="宋体" w:cs="宋体"/>
              </w:rPr>
            </w:pPr>
            <w:r>
              <w:rPr>
                <w:rFonts w:hint="eastAsia" w:ascii="宋体" w:hAnsi="宋体" w:cs="宋体"/>
                <w:kern w:val="0"/>
                <w:lang w:bidi="ar"/>
              </w:rPr>
              <w:t>年度服务款支付比例</w:t>
            </w:r>
          </w:p>
        </w:tc>
      </w:tr>
      <w:tr w14:paraId="5F1D8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2267" w:type="dxa"/>
          </w:tcPr>
          <w:p w14:paraId="6D994E34">
            <w:pPr>
              <w:widowControl/>
              <w:jc w:val="center"/>
              <w:textAlignment w:val="top"/>
              <w:rPr>
                <w:rFonts w:ascii="宋体" w:hAnsi="宋体" w:cs="宋体"/>
                <w:kern w:val="0"/>
                <w:lang w:bidi="ar"/>
              </w:rPr>
            </w:pPr>
            <w:r>
              <w:rPr>
                <w:rFonts w:hint="eastAsia" w:ascii="宋体" w:hAnsi="宋体" w:cs="宋体"/>
                <w:kern w:val="0"/>
                <w:lang w:bidi="ar"/>
              </w:rPr>
              <w:t>1</w:t>
            </w:r>
          </w:p>
        </w:tc>
        <w:tc>
          <w:tcPr>
            <w:tcW w:w="2988" w:type="dxa"/>
          </w:tcPr>
          <w:p w14:paraId="1756FECE">
            <w:pPr>
              <w:widowControl/>
              <w:jc w:val="center"/>
              <w:textAlignment w:val="top"/>
              <w:rPr>
                <w:rFonts w:ascii="宋体" w:hAnsi="宋体" w:cs="宋体"/>
              </w:rPr>
            </w:pPr>
            <w:r>
              <w:rPr>
                <w:rFonts w:hint="eastAsia" w:ascii="宋体" w:hAnsi="宋体" w:cs="宋体"/>
                <w:kern w:val="0"/>
                <w:lang w:bidi="ar"/>
              </w:rPr>
              <w:t>≥90分</w:t>
            </w:r>
          </w:p>
        </w:tc>
        <w:tc>
          <w:tcPr>
            <w:tcW w:w="4420" w:type="dxa"/>
          </w:tcPr>
          <w:p w14:paraId="2E45C847">
            <w:pPr>
              <w:widowControl/>
              <w:jc w:val="center"/>
              <w:textAlignment w:val="top"/>
              <w:rPr>
                <w:rFonts w:ascii="宋体" w:hAnsi="宋体" w:cs="宋体"/>
              </w:rPr>
            </w:pPr>
            <w:r>
              <w:rPr>
                <w:rFonts w:hint="eastAsia" w:ascii="宋体" w:hAnsi="宋体" w:cs="宋体"/>
                <w:kern w:val="0"/>
                <w:lang w:bidi="ar"/>
              </w:rPr>
              <w:t>100%</w:t>
            </w:r>
          </w:p>
        </w:tc>
      </w:tr>
      <w:tr w14:paraId="0F0A7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tcPr>
          <w:p w14:paraId="2F38B0E9">
            <w:pPr>
              <w:widowControl/>
              <w:jc w:val="center"/>
              <w:textAlignment w:val="top"/>
              <w:rPr>
                <w:rFonts w:ascii="宋体" w:hAnsi="宋体" w:cs="宋体"/>
                <w:kern w:val="0"/>
                <w:lang w:bidi="ar"/>
              </w:rPr>
            </w:pPr>
            <w:r>
              <w:rPr>
                <w:rFonts w:hint="eastAsia" w:ascii="宋体" w:hAnsi="宋体" w:cs="宋体"/>
                <w:kern w:val="0"/>
                <w:lang w:bidi="ar"/>
              </w:rPr>
              <w:t>2</w:t>
            </w:r>
          </w:p>
        </w:tc>
        <w:tc>
          <w:tcPr>
            <w:tcW w:w="2988" w:type="dxa"/>
          </w:tcPr>
          <w:p w14:paraId="0B6C3197">
            <w:pPr>
              <w:widowControl/>
              <w:jc w:val="center"/>
              <w:textAlignment w:val="top"/>
              <w:rPr>
                <w:rFonts w:ascii="宋体" w:hAnsi="宋体" w:cs="宋体"/>
              </w:rPr>
            </w:pPr>
            <w:r>
              <w:rPr>
                <w:rFonts w:hint="eastAsia" w:ascii="宋体" w:hAnsi="宋体" w:cs="宋体"/>
                <w:kern w:val="0"/>
                <w:lang w:bidi="ar"/>
              </w:rPr>
              <w:t>89分</w:t>
            </w:r>
            <w:r>
              <w:rPr>
                <w:rFonts w:hint="eastAsia" w:ascii="宋体" w:hAnsi="宋体" w:cs="宋体"/>
                <w:shd w:val="clear" w:color="auto" w:fill="FFFFFF"/>
              </w:rPr>
              <w:t>＞</w:t>
            </w:r>
            <w:r>
              <w:rPr>
                <w:rFonts w:hint="eastAsia" w:ascii="宋体" w:hAnsi="宋体" w:cs="宋体"/>
                <w:kern w:val="0"/>
                <w:lang w:bidi="ar"/>
              </w:rPr>
              <w:t>得分≥80</w:t>
            </w:r>
          </w:p>
        </w:tc>
        <w:tc>
          <w:tcPr>
            <w:tcW w:w="4420" w:type="dxa"/>
          </w:tcPr>
          <w:p w14:paraId="29B78259">
            <w:pPr>
              <w:widowControl/>
              <w:jc w:val="center"/>
              <w:textAlignment w:val="top"/>
              <w:rPr>
                <w:rFonts w:ascii="宋体" w:hAnsi="宋体" w:cs="宋体"/>
              </w:rPr>
            </w:pPr>
            <w:r>
              <w:rPr>
                <w:rFonts w:hint="eastAsia" w:ascii="宋体" w:hAnsi="宋体" w:cs="宋体"/>
                <w:kern w:val="0"/>
                <w:lang w:bidi="ar"/>
              </w:rPr>
              <w:t>95%</w:t>
            </w:r>
          </w:p>
        </w:tc>
      </w:tr>
      <w:tr w14:paraId="74388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67" w:type="dxa"/>
          </w:tcPr>
          <w:p w14:paraId="3B715529">
            <w:pPr>
              <w:widowControl/>
              <w:jc w:val="center"/>
              <w:textAlignment w:val="top"/>
              <w:rPr>
                <w:rFonts w:ascii="宋体" w:hAnsi="宋体" w:cs="宋体"/>
                <w:kern w:val="0"/>
                <w:lang w:bidi="ar"/>
              </w:rPr>
            </w:pPr>
            <w:r>
              <w:rPr>
                <w:rFonts w:hint="eastAsia" w:ascii="宋体" w:hAnsi="宋体" w:cs="宋体"/>
                <w:kern w:val="0"/>
                <w:lang w:bidi="ar"/>
              </w:rPr>
              <w:t>3</w:t>
            </w:r>
          </w:p>
        </w:tc>
        <w:tc>
          <w:tcPr>
            <w:tcW w:w="2988" w:type="dxa"/>
          </w:tcPr>
          <w:p w14:paraId="64D3DD59">
            <w:pPr>
              <w:widowControl/>
              <w:jc w:val="center"/>
              <w:textAlignment w:val="top"/>
              <w:rPr>
                <w:rFonts w:ascii="宋体" w:hAnsi="宋体" w:cs="宋体"/>
              </w:rPr>
            </w:pPr>
            <w:r>
              <w:rPr>
                <w:rFonts w:hint="eastAsia" w:ascii="宋体" w:hAnsi="宋体" w:cs="宋体"/>
                <w:kern w:val="0"/>
                <w:lang w:bidi="ar"/>
              </w:rPr>
              <w:t>79分</w:t>
            </w:r>
            <w:r>
              <w:rPr>
                <w:rFonts w:hint="eastAsia" w:ascii="宋体" w:hAnsi="宋体" w:cs="宋体"/>
                <w:shd w:val="clear" w:color="auto" w:fill="FFFFFF"/>
              </w:rPr>
              <w:t>＞</w:t>
            </w:r>
            <w:r>
              <w:rPr>
                <w:rFonts w:hint="eastAsia" w:ascii="宋体" w:hAnsi="宋体" w:cs="宋体"/>
                <w:kern w:val="0"/>
                <w:lang w:bidi="ar"/>
              </w:rPr>
              <w:t>得分≥70</w:t>
            </w:r>
          </w:p>
        </w:tc>
        <w:tc>
          <w:tcPr>
            <w:tcW w:w="4420" w:type="dxa"/>
          </w:tcPr>
          <w:p w14:paraId="552CD27C">
            <w:pPr>
              <w:widowControl/>
              <w:jc w:val="center"/>
              <w:textAlignment w:val="top"/>
              <w:rPr>
                <w:rFonts w:ascii="宋体" w:hAnsi="宋体" w:cs="宋体"/>
              </w:rPr>
            </w:pPr>
            <w:r>
              <w:rPr>
                <w:rFonts w:hint="eastAsia" w:ascii="宋体" w:hAnsi="宋体" w:cs="宋体"/>
                <w:kern w:val="0"/>
                <w:lang w:bidi="ar"/>
              </w:rPr>
              <w:t>85%</w:t>
            </w:r>
          </w:p>
        </w:tc>
      </w:tr>
      <w:tr w14:paraId="747FF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tcPr>
          <w:p w14:paraId="1F6AC2BA">
            <w:pPr>
              <w:widowControl/>
              <w:jc w:val="center"/>
              <w:textAlignment w:val="top"/>
              <w:rPr>
                <w:rFonts w:ascii="宋体" w:hAnsi="宋体" w:cs="宋体"/>
                <w:kern w:val="0"/>
                <w:lang w:bidi="ar"/>
              </w:rPr>
            </w:pPr>
            <w:r>
              <w:rPr>
                <w:rFonts w:hint="eastAsia" w:ascii="宋体" w:hAnsi="宋体" w:cs="宋体"/>
                <w:kern w:val="0"/>
                <w:lang w:bidi="ar"/>
              </w:rPr>
              <w:t>4</w:t>
            </w:r>
          </w:p>
        </w:tc>
        <w:tc>
          <w:tcPr>
            <w:tcW w:w="2988" w:type="dxa"/>
          </w:tcPr>
          <w:p w14:paraId="0889DA52">
            <w:pPr>
              <w:widowControl/>
              <w:jc w:val="center"/>
              <w:textAlignment w:val="top"/>
              <w:rPr>
                <w:rFonts w:ascii="宋体" w:hAnsi="宋体" w:cs="宋体"/>
              </w:rPr>
            </w:pPr>
            <w:r>
              <w:rPr>
                <w:rFonts w:hint="eastAsia" w:ascii="宋体" w:hAnsi="宋体" w:cs="宋体"/>
                <w:kern w:val="0"/>
                <w:lang w:bidi="ar"/>
              </w:rPr>
              <w:t>69分</w:t>
            </w:r>
            <w:r>
              <w:rPr>
                <w:rFonts w:hint="eastAsia" w:ascii="宋体" w:hAnsi="宋体" w:cs="宋体"/>
                <w:shd w:val="clear" w:color="auto" w:fill="FFFFFF"/>
              </w:rPr>
              <w:t>＞</w:t>
            </w:r>
            <w:r>
              <w:rPr>
                <w:rFonts w:hint="eastAsia" w:ascii="宋体" w:hAnsi="宋体" w:cs="宋体"/>
                <w:kern w:val="0"/>
                <w:lang w:bidi="ar"/>
              </w:rPr>
              <w:t>得分≥60</w:t>
            </w:r>
          </w:p>
        </w:tc>
        <w:tc>
          <w:tcPr>
            <w:tcW w:w="4420" w:type="dxa"/>
          </w:tcPr>
          <w:p w14:paraId="1446490D">
            <w:pPr>
              <w:widowControl/>
              <w:jc w:val="center"/>
              <w:textAlignment w:val="top"/>
              <w:rPr>
                <w:rFonts w:ascii="宋体" w:hAnsi="宋体" w:cs="宋体"/>
              </w:rPr>
            </w:pPr>
            <w:r>
              <w:rPr>
                <w:rFonts w:hint="eastAsia" w:ascii="宋体" w:hAnsi="宋体" w:cs="宋体"/>
                <w:kern w:val="0"/>
                <w:lang w:bidi="ar"/>
              </w:rPr>
              <w:t>70%</w:t>
            </w:r>
          </w:p>
        </w:tc>
      </w:tr>
      <w:tr w14:paraId="23F4C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tcPr>
          <w:p w14:paraId="49D547B1">
            <w:pPr>
              <w:widowControl/>
              <w:jc w:val="center"/>
              <w:textAlignment w:val="top"/>
              <w:rPr>
                <w:rFonts w:ascii="宋体" w:hAnsi="宋体" w:cs="宋体"/>
                <w:kern w:val="0"/>
                <w:lang w:bidi="ar"/>
              </w:rPr>
            </w:pPr>
            <w:r>
              <w:rPr>
                <w:rFonts w:hint="eastAsia" w:ascii="宋体" w:hAnsi="宋体" w:cs="宋体"/>
                <w:kern w:val="0"/>
                <w:lang w:bidi="ar"/>
              </w:rPr>
              <w:t>5</w:t>
            </w:r>
          </w:p>
        </w:tc>
        <w:tc>
          <w:tcPr>
            <w:tcW w:w="2988" w:type="dxa"/>
          </w:tcPr>
          <w:p w14:paraId="192F9A45">
            <w:pPr>
              <w:widowControl/>
              <w:jc w:val="center"/>
              <w:textAlignment w:val="top"/>
              <w:rPr>
                <w:rFonts w:ascii="宋体" w:hAnsi="宋体" w:cs="宋体"/>
              </w:rPr>
            </w:pPr>
            <w:r>
              <w:rPr>
                <w:rFonts w:hint="eastAsia" w:ascii="宋体" w:hAnsi="宋体" w:cs="宋体"/>
                <w:kern w:val="0"/>
                <w:lang w:bidi="ar"/>
              </w:rPr>
              <w:t>＜60分</w:t>
            </w:r>
          </w:p>
        </w:tc>
        <w:tc>
          <w:tcPr>
            <w:tcW w:w="4420" w:type="dxa"/>
          </w:tcPr>
          <w:p w14:paraId="1ABA27C4">
            <w:pPr>
              <w:widowControl/>
              <w:jc w:val="center"/>
              <w:textAlignment w:val="top"/>
              <w:rPr>
                <w:rFonts w:ascii="宋体" w:hAnsi="宋体" w:cs="宋体"/>
              </w:rPr>
            </w:pPr>
            <w:r>
              <w:rPr>
                <w:rFonts w:hint="eastAsia" w:ascii="宋体" w:hAnsi="宋体" w:cs="宋体"/>
                <w:kern w:val="0"/>
                <w:lang w:bidi="ar"/>
              </w:rPr>
              <w:t>50%</w:t>
            </w:r>
          </w:p>
        </w:tc>
      </w:tr>
    </w:tbl>
    <w:p w14:paraId="7442171D">
      <w:pPr>
        <w:rPr>
          <w:rFonts w:ascii="宋体" w:hAnsi="宋体" w:cs="宋体"/>
        </w:rPr>
      </w:pPr>
    </w:p>
    <w:p w14:paraId="07224063">
      <w:pPr>
        <w:ind w:firstLine="420" w:firstLineChars="200"/>
        <w:rPr>
          <w:rFonts w:ascii="宋体" w:hAnsi="宋体" w:cs="宋体"/>
        </w:rPr>
      </w:pPr>
      <w:r>
        <w:rPr>
          <w:rFonts w:ascii="宋体" w:hAnsi="宋体" w:cs="宋体"/>
          <w:color w:val="7030A0"/>
        </w:rPr>
        <w:t>3．</w:t>
      </w:r>
      <w:r>
        <w:rPr>
          <w:rFonts w:hint="eastAsia" w:ascii="宋体" w:hAnsi="宋体" w:cs="宋体"/>
        </w:rPr>
        <w:t>考核明细（（基础分：100 分，加分项累计≤10 分，最终得分 = 基础分 + 加分项，满分110分）</w:t>
      </w:r>
    </w:p>
    <w:p w14:paraId="5615403A">
      <w:pPr>
        <w:ind w:firstLine="420" w:firstLineChars="200"/>
        <w:rPr>
          <w:rFonts w:ascii="宋体" w:hAnsi="宋体" w:cs="宋体"/>
        </w:rPr>
      </w:pPr>
      <w:r>
        <w:rPr>
          <w:rFonts w:hint="eastAsia" w:ascii="宋体" w:hAnsi="宋体" w:cs="宋体"/>
        </w:rPr>
        <w:t>采购人有权调整考核明细内容，得分低于60分的，采购人将对中标人进行警告，要求中标人立即进行整改，连续两次得分低于60分的，采购人有权利终止合同。采购人考核人员包含使用科室、业务分管职能部门、信息部等，每个科室不少于1人，总评分人数不低于5人（单数）。</w:t>
      </w:r>
    </w:p>
    <w:tbl>
      <w:tblPr>
        <w:tblStyle w:val="27"/>
        <w:tblW w:w="5561" w:type="pct"/>
        <w:jc w:val="center"/>
        <w:tblLayout w:type="fixed"/>
        <w:tblCellMar>
          <w:top w:w="0" w:type="dxa"/>
          <w:left w:w="108" w:type="dxa"/>
          <w:bottom w:w="0" w:type="dxa"/>
          <w:right w:w="108" w:type="dxa"/>
        </w:tblCellMar>
      </w:tblPr>
      <w:tblGrid>
        <w:gridCol w:w="720"/>
        <w:gridCol w:w="1290"/>
        <w:gridCol w:w="7042"/>
        <w:gridCol w:w="1151"/>
      </w:tblGrid>
      <w:tr w14:paraId="6575D230">
        <w:tblPrEx>
          <w:tblCellMar>
            <w:top w:w="0" w:type="dxa"/>
            <w:left w:w="108" w:type="dxa"/>
            <w:bottom w:w="0" w:type="dxa"/>
            <w:right w:w="108" w:type="dxa"/>
          </w:tblCellMar>
        </w:tblPrEx>
        <w:trPr>
          <w:trHeight w:val="600" w:hRule="atLeast"/>
          <w:jc w:val="center"/>
        </w:trPr>
        <w:tc>
          <w:tcPr>
            <w:tcW w:w="353" w:type="pct"/>
            <w:tcBorders>
              <w:top w:val="single" w:color="000000" w:sz="4" w:space="0"/>
              <w:left w:val="single" w:color="000000" w:sz="4" w:space="0"/>
              <w:bottom w:val="single" w:color="000000" w:sz="4" w:space="0"/>
              <w:right w:val="single" w:color="000000" w:sz="4" w:space="0"/>
            </w:tcBorders>
            <w:vAlign w:val="center"/>
          </w:tcPr>
          <w:p w14:paraId="25DC05A4">
            <w:pPr>
              <w:jc w:val="center"/>
              <w:rPr>
                <w:rFonts w:ascii="宋体" w:hAnsi="宋体" w:cs="宋体"/>
              </w:rPr>
            </w:pPr>
            <w:r>
              <w:rPr>
                <w:rFonts w:hint="eastAsia" w:ascii="宋体" w:hAnsi="宋体" w:cs="宋体"/>
              </w:rPr>
              <w:t>序号</w:t>
            </w:r>
          </w:p>
        </w:tc>
        <w:tc>
          <w:tcPr>
            <w:tcW w:w="632" w:type="pct"/>
            <w:tcBorders>
              <w:top w:val="single" w:color="000000" w:sz="4" w:space="0"/>
              <w:left w:val="single" w:color="000000" w:sz="4" w:space="0"/>
              <w:bottom w:val="single" w:color="000000" w:sz="4" w:space="0"/>
              <w:right w:val="single" w:color="000000" w:sz="4" w:space="0"/>
            </w:tcBorders>
            <w:vAlign w:val="center"/>
          </w:tcPr>
          <w:p w14:paraId="761E1917">
            <w:pPr>
              <w:rPr>
                <w:rFonts w:ascii="宋体" w:hAnsi="宋体" w:cs="宋体"/>
              </w:rPr>
            </w:pPr>
            <w:r>
              <w:rPr>
                <w:rFonts w:hint="eastAsia" w:ascii="宋体" w:hAnsi="宋体" w:cs="宋体"/>
              </w:rPr>
              <w:t>考核内容</w:t>
            </w:r>
          </w:p>
        </w:tc>
        <w:tc>
          <w:tcPr>
            <w:tcW w:w="3450" w:type="pct"/>
            <w:tcBorders>
              <w:top w:val="single" w:color="000000" w:sz="4" w:space="0"/>
              <w:left w:val="single" w:color="000000" w:sz="4" w:space="0"/>
              <w:bottom w:val="single" w:color="000000" w:sz="4" w:space="0"/>
              <w:right w:val="single" w:color="000000" w:sz="4" w:space="0"/>
            </w:tcBorders>
            <w:vAlign w:val="center"/>
          </w:tcPr>
          <w:p w14:paraId="3A2D5516">
            <w:pPr>
              <w:ind w:firstLine="420" w:firstLineChars="200"/>
              <w:jc w:val="center"/>
              <w:rPr>
                <w:rFonts w:ascii="宋体" w:hAnsi="宋体" w:cs="宋体"/>
              </w:rPr>
            </w:pPr>
            <w:r>
              <w:rPr>
                <w:rFonts w:hint="eastAsia" w:ascii="宋体" w:hAnsi="宋体" w:cs="宋体"/>
              </w:rPr>
              <w:t>具体考核（计分标准）</w:t>
            </w:r>
          </w:p>
        </w:tc>
        <w:tc>
          <w:tcPr>
            <w:tcW w:w="563" w:type="pct"/>
            <w:tcBorders>
              <w:top w:val="single" w:color="000000" w:sz="4" w:space="0"/>
              <w:left w:val="single" w:color="000000" w:sz="4" w:space="0"/>
              <w:bottom w:val="single" w:color="000000" w:sz="4" w:space="0"/>
              <w:right w:val="single" w:color="000000" w:sz="4" w:space="0"/>
            </w:tcBorders>
            <w:vAlign w:val="center"/>
          </w:tcPr>
          <w:p w14:paraId="3D3393C1">
            <w:pPr>
              <w:widowControl/>
              <w:jc w:val="center"/>
              <w:textAlignment w:val="center"/>
              <w:rPr>
                <w:rFonts w:ascii="宋体" w:hAnsi="宋体" w:cs="宋体"/>
              </w:rPr>
            </w:pPr>
            <w:r>
              <w:rPr>
                <w:rFonts w:hint="eastAsia" w:ascii="宋体" w:hAnsi="宋体" w:cs="宋体"/>
                <w:kern w:val="0"/>
                <w:lang w:bidi="ar"/>
              </w:rPr>
              <w:t>分值</w:t>
            </w:r>
          </w:p>
        </w:tc>
      </w:tr>
      <w:tr w14:paraId="725EBAF4">
        <w:tblPrEx>
          <w:tblCellMar>
            <w:top w:w="0" w:type="dxa"/>
            <w:left w:w="108" w:type="dxa"/>
            <w:bottom w:w="0" w:type="dxa"/>
            <w:right w:w="108" w:type="dxa"/>
          </w:tblCellMar>
        </w:tblPrEx>
        <w:trPr>
          <w:trHeight w:val="1035" w:hRule="atLeast"/>
          <w:jc w:val="center"/>
        </w:trPr>
        <w:tc>
          <w:tcPr>
            <w:tcW w:w="353" w:type="pct"/>
            <w:tcBorders>
              <w:top w:val="single" w:color="000000" w:sz="4" w:space="0"/>
              <w:left w:val="single" w:color="000000" w:sz="4" w:space="0"/>
              <w:bottom w:val="single" w:color="000000" w:sz="4" w:space="0"/>
              <w:right w:val="single" w:color="000000" w:sz="4" w:space="0"/>
            </w:tcBorders>
            <w:vAlign w:val="center"/>
          </w:tcPr>
          <w:p w14:paraId="563E2D86">
            <w:pPr>
              <w:jc w:val="center"/>
              <w:rPr>
                <w:rFonts w:ascii="宋体" w:hAnsi="宋体" w:cs="宋体"/>
              </w:rPr>
            </w:pPr>
            <w:r>
              <w:rPr>
                <w:rFonts w:hint="eastAsia" w:ascii="宋体" w:hAnsi="宋体" w:cs="宋体"/>
              </w:rPr>
              <w:t>1</w:t>
            </w:r>
          </w:p>
        </w:tc>
        <w:tc>
          <w:tcPr>
            <w:tcW w:w="632" w:type="pct"/>
            <w:tcBorders>
              <w:top w:val="single" w:color="000000" w:sz="4" w:space="0"/>
              <w:left w:val="single" w:color="000000" w:sz="4" w:space="0"/>
              <w:bottom w:val="single" w:color="000000" w:sz="4" w:space="0"/>
              <w:right w:val="single" w:color="000000" w:sz="4" w:space="0"/>
            </w:tcBorders>
            <w:vAlign w:val="center"/>
          </w:tcPr>
          <w:p w14:paraId="1F345FE9">
            <w:pPr>
              <w:rPr>
                <w:rFonts w:ascii="宋体" w:hAnsi="宋体" w:cs="宋体"/>
              </w:rPr>
            </w:pPr>
            <w:r>
              <w:rPr>
                <w:rFonts w:hint="eastAsia" w:ascii="宋体" w:hAnsi="宋体" w:cs="宋体"/>
              </w:rPr>
              <w:t>故障响应及时性</w:t>
            </w:r>
          </w:p>
        </w:tc>
        <w:tc>
          <w:tcPr>
            <w:tcW w:w="3450" w:type="pct"/>
            <w:tcBorders>
              <w:top w:val="single" w:color="000000" w:sz="4" w:space="0"/>
              <w:left w:val="single" w:color="000000" w:sz="4" w:space="0"/>
              <w:bottom w:val="single" w:color="000000" w:sz="4" w:space="0"/>
              <w:right w:val="single" w:color="000000" w:sz="4" w:space="0"/>
            </w:tcBorders>
            <w:vAlign w:val="center"/>
          </w:tcPr>
          <w:p w14:paraId="5FBA54D7">
            <w:pPr>
              <w:rPr>
                <w:rFonts w:ascii="宋体" w:hAnsi="宋体" w:cs="宋体"/>
              </w:rPr>
            </w:pPr>
            <w:r>
              <w:rPr>
                <w:rFonts w:hint="eastAsia" w:ascii="宋体" w:hAnsi="宋体" w:cs="宋体"/>
              </w:rPr>
              <w:t>1.定义：按故障等级明确响应时限（按 “三、服务要求”) 执行，未按对应时限响应即计入“未及时响应”；</w:t>
            </w:r>
            <w:r>
              <w:rPr>
                <w:rFonts w:hint="eastAsia" w:ascii="宋体" w:hAnsi="宋体" w:cs="宋体"/>
              </w:rPr>
              <w:br w:type="textWrapping"/>
            </w:r>
            <w:r>
              <w:rPr>
                <w:rFonts w:hint="eastAsia" w:ascii="宋体" w:hAnsi="宋体" w:cs="宋体"/>
              </w:rPr>
              <w:t>2.扣分梯度：累计3（不含）-10（含）次扣1分；10（不含）-20（含）次扣3分；20（不含）-30（含）次扣6分；30次以上扣完本项10分。</w:t>
            </w:r>
          </w:p>
        </w:tc>
        <w:tc>
          <w:tcPr>
            <w:tcW w:w="563" w:type="pct"/>
            <w:tcBorders>
              <w:top w:val="single" w:color="000000" w:sz="4" w:space="0"/>
              <w:left w:val="single" w:color="000000" w:sz="4" w:space="0"/>
              <w:bottom w:val="single" w:color="000000" w:sz="4" w:space="0"/>
              <w:right w:val="single" w:color="000000" w:sz="4" w:space="0"/>
            </w:tcBorders>
            <w:vAlign w:val="center"/>
          </w:tcPr>
          <w:p w14:paraId="68EBF83A">
            <w:pPr>
              <w:widowControl/>
              <w:jc w:val="center"/>
              <w:textAlignment w:val="center"/>
              <w:rPr>
                <w:rFonts w:ascii="宋体" w:hAnsi="宋体" w:cs="宋体"/>
              </w:rPr>
            </w:pPr>
            <w:r>
              <w:rPr>
                <w:rFonts w:hint="eastAsia" w:ascii="宋体" w:hAnsi="宋体" w:cs="宋体"/>
                <w:kern w:val="0"/>
                <w:lang w:bidi="ar"/>
              </w:rPr>
              <w:t>10</w:t>
            </w:r>
          </w:p>
        </w:tc>
      </w:tr>
      <w:tr w14:paraId="162E17F0">
        <w:tblPrEx>
          <w:tblCellMar>
            <w:top w:w="0" w:type="dxa"/>
            <w:left w:w="108" w:type="dxa"/>
            <w:bottom w:w="0" w:type="dxa"/>
            <w:right w:w="108" w:type="dxa"/>
          </w:tblCellMar>
        </w:tblPrEx>
        <w:trPr>
          <w:trHeight w:val="1035" w:hRule="atLeast"/>
          <w:jc w:val="center"/>
        </w:trPr>
        <w:tc>
          <w:tcPr>
            <w:tcW w:w="353" w:type="pct"/>
            <w:tcBorders>
              <w:top w:val="single" w:color="000000" w:sz="4" w:space="0"/>
              <w:left w:val="single" w:color="000000" w:sz="4" w:space="0"/>
              <w:bottom w:val="single" w:color="000000" w:sz="4" w:space="0"/>
              <w:right w:val="single" w:color="000000" w:sz="4" w:space="0"/>
            </w:tcBorders>
            <w:vAlign w:val="center"/>
          </w:tcPr>
          <w:p w14:paraId="36C90411">
            <w:pPr>
              <w:jc w:val="center"/>
              <w:rPr>
                <w:rFonts w:ascii="宋体" w:hAnsi="宋体" w:cs="宋体"/>
              </w:rPr>
            </w:pPr>
            <w:r>
              <w:rPr>
                <w:rFonts w:hint="eastAsia" w:ascii="宋体" w:hAnsi="宋体" w:cs="宋体"/>
              </w:rPr>
              <w:t>2</w:t>
            </w:r>
          </w:p>
        </w:tc>
        <w:tc>
          <w:tcPr>
            <w:tcW w:w="632" w:type="pct"/>
            <w:tcBorders>
              <w:top w:val="single" w:color="000000" w:sz="4" w:space="0"/>
              <w:left w:val="single" w:color="000000" w:sz="4" w:space="0"/>
              <w:bottom w:val="single" w:color="000000" w:sz="4" w:space="0"/>
              <w:right w:val="single" w:color="000000" w:sz="4" w:space="0"/>
            </w:tcBorders>
            <w:vAlign w:val="center"/>
          </w:tcPr>
          <w:p w14:paraId="7B816CD9">
            <w:pPr>
              <w:rPr>
                <w:rFonts w:ascii="宋体" w:hAnsi="宋体" w:cs="宋体"/>
              </w:rPr>
            </w:pPr>
            <w:r>
              <w:rPr>
                <w:rFonts w:hint="eastAsia" w:ascii="宋体" w:hAnsi="宋体" w:cs="宋体"/>
              </w:rPr>
              <w:t>故障处理及时性</w:t>
            </w:r>
          </w:p>
        </w:tc>
        <w:tc>
          <w:tcPr>
            <w:tcW w:w="3450" w:type="pct"/>
            <w:tcBorders>
              <w:top w:val="single" w:color="000000" w:sz="4" w:space="0"/>
              <w:left w:val="single" w:color="000000" w:sz="4" w:space="0"/>
              <w:bottom w:val="single" w:color="000000" w:sz="4" w:space="0"/>
              <w:right w:val="single" w:color="000000" w:sz="4" w:space="0"/>
            </w:tcBorders>
            <w:vAlign w:val="center"/>
          </w:tcPr>
          <w:p w14:paraId="70F25984">
            <w:pPr>
              <w:rPr>
                <w:rFonts w:ascii="宋体" w:hAnsi="宋体" w:cs="宋体"/>
              </w:rPr>
            </w:pPr>
            <w:r>
              <w:rPr>
                <w:rFonts w:hint="eastAsia" w:ascii="宋体" w:hAnsi="宋体" w:cs="宋体"/>
              </w:rPr>
              <w:t>1.定义：按故障等级明确处理时限（按 “三、服务要求” )执行，未按对应时限闭环即计入“未及时处理”；</w:t>
            </w:r>
            <w:r>
              <w:rPr>
                <w:rFonts w:hint="eastAsia" w:ascii="宋体" w:hAnsi="宋体" w:cs="宋体"/>
              </w:rPr>
              <w:br w:type="textWrapping"/>
            </w:r>
            <w:r>
              <w:rPr>
                <w:rFonts w:hint="eastAsia" w:ascii="宋体" w:hAnsi="宋体" w:cs="宋体"/>
              </w:rPr>
              <w:t>2.扣分梯度：累计3（不含）-10（含）次扣1分；10（不含）-20（含）次扣3分；20（不含）-30（含）次扣6分；30次以上扣完本项10分。</w:t>
            </w:r>
          </w:p>
        </w:tc>
        <w:tc>
          <w:tcPr>
            <w:tcW w:w="563" w:type="pct"/>
            <w:tcBorders>
              <w:top w:val="single" w:color="000000" w:sz="4" w:space="0"/>
              <w:left w:val="single" w:color="000000" w:sz="4" w:space="0"/>
              <w:bottom w:val="single" w:color="000000" w:sz="4" w:space="0"/>
              <w:right w:val="single" w:color="000000" w:sz="4" w:space="0"/>
            </w:tcBorders>
            <w:vAlign w:val="center"/>
          </w:tcPr>
          <w:p w14:paraId="2383A21E">
            <w:pPr>
              <w:widowControl/>
              <w:jc w:val="center"/>
              <w:textAlignment w:val="center"/>
              <w:rPr>
                <w:rFonts w:ascii="宋体" w:hAnsi="宋体" w:cs="宋体"/>
              </w:rPr>
            </w:pPr>
            <w:r>
              <w:rPr>
                <w:rFonts w:hint="eastAsia" w:ascii="宋体" w:hAnsi="宋体" w:cs="宋体"/>
                <w:kern w:val="0"/>
                <w:lang w:bidi="ar"/>
              </w:rPr>
              <w:t>10</w:t>
            </w:r>
          </w:p>
        </w:tc>
      </w:tr>
      <w:tr w14:paraId="4BDAEDBB">
        <w:tblPrEx>
          <w:tblCellMar>
            <w:top w:w="0" w:type="dxa"/>
            <w:left w:w="108" w:type="dxa"/>
            <w:bottom w:w="0" w:type="dxa"/>
            <w:right w:w="108" w:type="dxa"/>
          </w:tblCellMar>
        </w:tblPrEx>
        <w:trPr>
          <w:trHeight w:val="1380" w:hRule="atLeast"/>
          <w:jc w:val="center"/>
        </w:trPr>
        <w:tc>
          <w:tcPr>
            <w:tcW w:w="353" w:type="pct"/>
            <w:tcBorders>
              <w:top w:val="single" w:color="000000" w:sz="4" w:space="0"/>
              <w:left w:val="single" w:color="000000" w:sz="4" w:space="0"/>
              <w:bottom w:val="single" w:color="000000" w:sz="4" w:space="0"/>
              <w:right w:val="single" w:color="000000" w:sz="4" w:space="0"/>
            </w:tcBorders>
            <w:vAlign w:val="center"/>
          </w:tcPr>
          <w:p w14:paraId="2B494FE0">
            <w:pPr>
              <w:jc w:val="center"/>
              <w:rPr>
                <w:rFonts w:ascii="宋体" w:hAnsi="宋体" w:cs="宋体"/>
              </w:rPr>
            </w:pPr>
            <w:r>
              <w:rPr>
                <w:rFonts w:hint="eastAsia" w:ascii="宋体" w:hAnsi="宋体" w:cs="宋体"/>
              </w:rPr>
              <w:t>3</w:t>
            </w:r>
          </w:p>
        </w:tc>
        <w:tc>
          <w:tcPr>
            <w:tcW w:w="632" w:type="pct"/>
            <w:tcBorders>
              <w:top w:val="single" w:color="000000" w:sz="4" w:space="0"/>
              <w:left w:val="single" w:color="000000" w:sz="4" w:space="0"/>
              <w:bottom w:val="single" w:color="000000" w:sz="4" w:space="0"/>
              <w:right w:val="single" w:color="000000" w:sz="4" w:space="0"/>
            </w:tcBorders>
            <w:vAlign w:val="center"/>
          </w:tcPr>
          <w:p w14:paraId="6D5AE727">
            <w:pPr>
              <w:rPr>
                <w:rFonts w:ascii="宋体" w:hAnsi="宋体" w:cs="宋体"/>
              </w:rPr>
            </w:pPr>
            <w:r>
              <w:rPr>
                <w:rFonts w:hint="eastAsia" w:ascii="宋体" w:hAnsi="宋体" w:cs="宋体"/>
              </w:rPr>
              <w:t>一类需求（政策/检查类）完成及时性</w:t>
            </w:r>
          </w:p>
        </w:tc>
        <w:tc>
          <w:tcPr>
            <w:tcW w:w="3450" w:type="pct"/>
            <w:tcBorders>
              <w:top w:val="single" w:color="000000" w:sz="4" w:space="0"/>
              <w:left w:val="single" w:color="000000" w:sz="4" w:space="0"/>
              <w:bottom w:val="single" w:color="000000" w:sz="4" w:space="0"/>
              <w:right w:val="single" w:color="000000" w:sz="4" w:space="0"/>
            </w:tcBorders>
            <w:vAlign w:val="center"/>
          </w:tcPr>
          <w:p w14:paraId="72E941AE">
            <w:pPr>
              <w:rPr>
                <w:rFonts w:ascii="宋体" w:hAnsi="宋体" w:cs="宋体"/>
              </w:rPr>
            </w:pPr>
            <w:r>
              <w:rPr>
                <w:rFonts w:hint="eastAsia" w:ascii="宋体" w:hAnsi="宋体" w:cs="宋体"/>
              </w:rPr>
              <w:t>1.定义：一类需求指评级、审计、巡查、医保等政策要求及行政检查相关需求；</w:t>
            </w:r>
            <w:r>
              <w:rPr>
                <w:rFonts w:hint="eastAsia" w:ascii="宋体" w:hAnsi="宋体" w:cs="宋体"/>
              </w:rPr>
              <w:br w:type="textWrapping"/>
            </w:r>
            <w:r>
              <w:rPr>
                <w:rFonts w:hint="eastAsia" w:ascii="宋体" w:hAnsi="宋体" w:cs="宋体"/>
              </w:rPr>
              <w:t>2.扣分梯度：延迟1-3个工作日扣2分；延迟4-7个工作日扣5分；延迟7个工作日以上扣完本项17分；</w:t>
            </w:r>
            <w:r>
              <w:rPr>
                <w:rFonts w:hint="eastAsia" w:ascii="宋体" w:hAnsi="宋体" w:cs="宋体"/>
              </w:rPr>
              <w:br w:type="textWrapping"/>
            </w:r>
            <w:r>
              <w:rPr>
                <w:rFonts w:hint="eastAsia" w:ascii="宋体" w:hAnsi="宋体" w:cs="宋体"/>
              </w:rPr>
              <w:t>3.特殊说明：因政策调整导致时限变更的，需采购人确认后可顺延，不计入扣分。</w:t>
            </w:r>
          </w:p>
        </w:tc>
        <w:tc>
          <w:tcPr>
            <w:tcW w:w="563" w:type="pct"/>
            <w:tcBorders>
              <w:top w:val="single" w:color="000000" w:sz="4" w:space="0"/>
              <w:left w:val="single" w:color="000000" w:sz="4" w:space="0"/>
              <w:bottom w:val="single" w:color="000000" w:sz="4" w:space="0"/>
              <w:right w:val="single" w:color="000000" w:sz="4" w:space="0"/>
            </w:tcBorders>
            <w:vAlign w:val="center"/>
          </w:tcPr>
          <w:p w14:paraId="3D693D8F">
            <w:pPr>
              <w:widowControl/>
              <w:jc w:val="center"/>
              <w:textAlignment w:val="center"/>
              <w:rPr>
                <w:rFonts w:ascii="宋体" w:hAnsi="宋体" w:cs="宋体"/>
              </w:rPr>
            </w:pPr>
            <w:r>
              <w:rPr>
                <w:rFonts w:hint="eastAsia" w:ascii="宋体" w:hAnsi="宋体" w:cs="宋体"/>
                <w:kern w:val="0"/>
                <w:lang w:bidi="ar"/>
              </w:rPr>
              <w:t>17</w:t>
            </w:r>
          </w:p>
        </w:tc>
      </w:tr>
      <w:tr w14:paraId="24FA5EC9">
        <w:tblPrEx>
          <w:tblCellMar>
            <w:top w:w="0" w:type="dxa"/>
            <w:left w:w="108" w:type="dxa"/>
            <w:bottom w:w="0" w:type="dxa"/>
            <w:right w:w="108" w:type="dxa"/>
          </w:tblCellMar>
        </w:tblPrEx>
        <w:trPr>
          <w:trHeight w:val="1740" w:hRule="atLeast"/>
          <w:jc w:val="center"/>
        </w:trPr>
        <w:tc>
          <w:tcPr>
            <w:tcW w:w="353" w:type="pct"/>
            <w:tcBorders>
              <w:top w:val="single" w:color="000000" w:sz="4" w:space="0"/>
              <w:left w:val="single" w:color="000000" w:sz="4" w:space="0"/>
              <w:bottom w:val="single" w:color="000000" w:sz="4" w:space="0"/>
              <w:right w:val="single" w:color="000000" w:sz="4" w:space="0"/>
            </w:tcBorders>
            <w:vAlign w:val="center"/>
          </w:tcPr>
          <w:p w14:paraId="25452D77">
            <w:pPr>
              <w:jc w:val="center"/>
              <w:rPr>
                <w:rFonts w:ascii="宋体" w:hAnsi="宋体" w:cs="宋体"/>
              </w:rPr>
            </w:pPr>
            <w:r>
              <w:rPr>
                <w:rFonts w:hint="eastAsia" w:ascii="宋体" w:hAnsi="宋体" w:cs="宋体"/>
              </w:rPr>
              <w:t>4</w:t>
            </w:r>
          </w:p>
        </w:tc>
        <w:tc>
          <w:tcPr>
            <w:tcW w:w="632" w:type="pct"/>
            <w:tcBorders>
              <w:top w:val="single" w:color="000000" w:sz="4" w:space="0"/>
              <w:left w:val="single" w:color="000000" w:sz="4" w:space="0"/>
              <w:bottom w:val="single" w:color="000000" w:sz="4" w:space="0"/>
              <w:right w:val="single" w:color="000000" w:sz="4" w:space="0"/>
            </w:tcBorders>
            <w:vAlign w:val="center"/>
          </w:tcPr>
          <w:p w14:paraId="56B184F7">
            <w:pPr>
              <w:rPr>
                <w:rFonts w:ascii="宋体" w:hAnsi="宋体" w:cs="宋体"/>
              </w:rPr>
            </w:pPr>
            <w:r>
              <w:rPr>
                <w:rFonts w:hint="eastAsia" w:ascii="宋体" w:hAnsi="宋体" w:cs="宋体"/>
              </w:rPr>
              <w:t>二类需求（优化类）完成及时性</w:t>
            </w:r>
          </w:p>
        </w:tc>
        <w:tc>
          <w:tcPr>
            <w:tcW w:w="3450" w:type="pct"/>
            <w:tcBorders>
              <w:top w:val="single" w:color="000000" w:sz="4" w:space="0"/>
              <w:left w:val="single" w:color="000000" w:sz="4" w:space="0"/>
              <w:bottom w:val="single" w:color="000000" w:sz="4" w:space="0"/>
              <w:right w:val="single" w:color="000000" w:sz="4" w:space="0"/>
            </w:tcBorders>
            <w:vAlign w:val="center"/>
          </w:tcPr>
          <w:p w14:paraId="3110ADE8">
            <w:pPr>
              <w:rPr>
                <w:rFonts w:ascii="宋体" w:hAnsi="宋体" w:cs="宋体"/>
              </w:rPr>
            </w:pPr>
            <w:r>
              <w:rPr>
                <w:rFonts w:hint="eastAsia" w:ascii="宋体" w:hAnsi="宋体" w:cs="宋体"/>
              </w:rPr>
              <w:t>1.定义：二类需求指业务流程优化、系统接口适配、功能迭代等优化类需求；</w:t>
            </w:r>
            <w:r>
              <w:rPr>
                <w:rFonts w:hint="eastAsia" w:ascii="宋体" w:hAnsi="宋体" w:cs="宋体"/>
              </w:rPr>
              <w:br w:type="textWrapping"/>
            </w:r>
            <w:r>
              <w:rPr>
                <w:rFonts w:hint="eastAsia" w:ascii="宋体" w:hAnsi="宋体" w:cs="宋体"/>
              </w:rPr>
              <w:t>2.扣分梯度：累计3（不含）-10（含）次未按时完成扣3分；10（不含）-20（含）次扣6分；20（不含）-30（含）次扣8分；30次以上扣完本项10分。</w:t>
            </w:r>
          </w:p>
        </w:tc>
        <w:tc>
          <w:tcPr>
            <w:tcW w:w="563" w:type="pct"/>
            <w:tcBorders>
              <w:top w:val="single" w:color="000000" w:sz="4" w:space="0"/>
              <w:left w:val="single" w:color="000000" w:sz="4" w:space="0"/>
              <w:bottom w:val="single" w:color="000000" w:sz="4" w:space="0"/>
              <w:right w:val="single" w:color="000000" w:sz="4" w:space="0"/>
            </w:tcBorders>
            <w:vAlign w:val="center"/>
          </w:tcPr>
          <w:p w14:paraId="1132A5C9">
            <w:pPr>
              <w:widowControl/>
              <w:jc w:val="center"/>
              <w:textAlignment w:val="center"/>
              <w:rPr>
                <w:rFonts w:ascii="宋体" w:hAnsi="宋体" w:cs="宋体"/>
              </w:rPr>
            </w:pPr>
            <w:r>
              <w:rPr>
                <w:rFonts w:hint="eastAsia" w:ascii="宋体" w:hAnsi="宋体" w:cs="宋体"/>
                <w:kern w:val="0"/>
                <w:lang w:bidi="ar"/>
              </w:rPr>
              <w:t>10</w:t>
            </w:r>
          </w:p>
        </w:tc>
      </w:tr>
      <w:tr w14:paraId="2ACDB225">
        <w:tblPrEx>
          <w:tblCellMar>
            <w:top w:w="0" w:type="dxa"/>
            <w:left w:w="108" w:type="dxa"/>
            <w:bottom w:w="0" w:type="dxa"/>
            <w:right w:w="108" w:type="dxa"/>
          </w:tblCellMar>
        </w:tblPrEx>
        <w:trPr>
          <w:trHeight w:val="1380" w:hRule="atLeast"/>
          <w:jc w:val="center"/>
        </w:trPr>
        <w:tc>
          <w:tcPr>
            <w:tcW w:w="353" w:type="pct"/>
            <w:tcBorders>
              <w:top w:val="single" w:color="000000" w:sz="4" w:space="0"/>
              <w:left w:val="single" w:color="000000" w:sz="4" w:space="0"/>
              <w:bottom w:val="single" w:color="000000" w:sz="4" w:space="0"/>
              <w:right w:val="single" w:color="000000" w:sz="4" w:space="0"/>
            </w:tcBorders>
            <w:vAlign w:val="center"/>
          </w:tcPr>
          <w:p w14:paraId="59F040F3">
            <w:pPr>
              <w:jc w:val="center"/>
              <w:rPr>
                <w:rFonts w:ascii="宋体" w:hAnsi="宋体" w:cs="宋体"/>
              </w:rPr>
            </w:pPr>
            <w:r>
              <w:rPr>
                <w:rFonts w:hint="eastAsia" w:ascii="宋体" w:hAnsi="宋体" w:cs="宋体"/>
              </w:rPr>
              <w:t>5</w:t>
            </w:r>
          </w:p>
        </w:tc>
        <w:tc>
          <w:tcPr>
            <w:tcW w:w="632" w:type="pct"/>
            <w:tcBorders>
              <w:top w:val="single" w:color="000000" w:sz="4" w:space="0"/>
              <w:left w:val="single" w:color="000000" w:sz="4" w:space="0"/>
              <w:bottom w:val="single" w:color="000000" w:sz="4" w:space="0"/>
              <w:right w:val="single" w:color="000000" w:sz="4" w:space="0"/>
            </w:tcBorders>
            <w:vAlign w:val="center"/>
          </w:tcPr>
          <w:p w14:paraId="338E548F">
            <w:pPr>
              <w:rPr>
                <w:rFonts w:ascii="宋体" w:hAnsi="宋体" w:cs="宋体"/>
              </w:rPr>
            </w:pPr>
            <w:r>
              <w:rPr>
                <w:rFonts w:hint="eastAsia" w:ascii="宋体" w:hAnsi="宋体" w:cs="宋体"/>
              </w:rPr>
              <w:t>需求拒绝处理</w:t>
            </w:r>
          </w:p>
        </w:tc>
        <w:tc>
          <w:tcPr>
            <w:tcW w:w="3450" w:type="pct"/>
            <w:tcBorders>
              <w:top w:val="single" w:color="000000" w:sz="4" w:space="0"/>
              <w:left w:val="single" w:color="000000" w:sz="4" w:space="0"/>
              <w:bottom w:val="single" w:color="000000" w:sz="4" w:space="0"/>
              <w:right w:val="single" w:color="000000" w:sz="4" w:space="0"/>
            </w:tcBorders>
            <w:vAlign w:val="center"/>
          </w:tcPr>
          <w:p w14:paraId="7FA5F525">
            <w:pPr>
              <w:rPr>
                <w:rFonts w:ascii="宋体" w:hAnsi="宋体" w:cs="宋体"/>
              </w:rPr>
            </w:pPr>
            <w:r>
              <w:rPr>
                <w:rFonts w:hint="eastAsia" w:ascii="宋体" w:hAnsi="宋体" w:cs="宋体"/>
              </w:rPr>
              <w:t>1.二类需求拒绝：无充分理由（如技术不可实现需提供书面说明）拒绝二类需求，首次扣5分，二次扣10分，三次及以上扣完本项20分；同一需求重复拒绝按1次计；</w:t>
            </w:r>
            <w:r>
              <w:rPr>
                <w:rFonts w:hint="eastAsia" w:ascii="宋体" w:hAnsi="宋体" w:cs="宋体"/>
              </w:rPr>
              <w:br w:type="textWrapping"/>
            </w:r>
            <w:r>
              <w:rPr>
                <w:rFonts w:hint="eastAsia" w:ascii="宋体" w:hAnsi="宋体" w:cs="宋体"/>
              </w:rPr>
              <w:t>2.一类需求拒绝：无论何种理由（政策要求不可拒绝）拒绝一类需求，每次扣10分，扣完本项20分为止。</w:t>
            </w:r>
          </w:p>
        </w:tc>
        <w:tc>
          <w:tcPr>
            <w:tcW w:w="563" w:type="pct"/>
            <w:tcBorders>
              <w:top w:val="single" w:color="000000" w:sz="4" w:space="0"/>
              <w:left w:val="single" w:color="000000" w:sz="4" w:space="0"/>
              <w:bottom w:val="single" w:color="000000" w:sz="4" w:space="0"/>
              <w:right w:val="single" w:color="000000" w:sz="4" w:space="0"/>
            </w:tcBorders>
            <w:vAlign w:val="center"/>
          </w:tcPr>
          <w:p w14:paraId="1538EA4B">
            <w:pPr>
              <w:widowControl/>
              <w:jc w:val="center"/>
              <w:textAlignment w:val="center"/>
              <w:rPr>
                <w:rFonts w:ascii="宋体" w:hAnsi="宋体" w:cs="宋体"/>
              </w:rPr>
            </w:pPr>
            <w:r>
              <w:rPr>
                <w:rFonts w:hint="eastAsia" w:ascii="宋体" w:hAnsi="宋体" w:cs="宋体"/>
                <w:kern w:val="0"/>
                <w:lang w:bidi="ar"/>
              </w:rPr>
              <w:t>20</w:t>
            </w:r>
          </w:p>
        </w:tc>
      </w:tr>
      <w:tr w14:paraId="1798AE73">
        <w:tblPrEx>
          <w:tblCellMar>
            <w:top w:w="0" w:type="dxa"/>
            <w:left w:w="108" w:type="dxa"/>
            <w:bottom w:w="0" w:type="dxa"/>
            <w:right w:w="108" w:type="dxa"/>
          </w:tblCellMar>
        </w:tblPrEx>
        <w:trPr>
          <w:trHeight w:val="470" w:hRule="atLeast"/>
          <w:jc w:val="center"/>
        </w:trPr>
        <w:tc>
          <w:tcPr>
            <w:tcW w:w="353" w:type="pct"/>
            <w:tcBorders>
              <w:top w:val="single" w:color="000000" w:sz="4" w:space="0"/>
              <w:left w:val="single" w:color="000000" w:sz="4" w:space="0"/>
              <w:bottom w:val="single" w:color="000000" w:sz="4" w:space="0"/>
              <w:right w:val="single" w:color="000000" w:sz="4" w:space="0"/>
            </w:tcBorders>
            <w:vAlign w:val="center"/>
          </w:tcPr>
          <w:p w14:paraId="1BF7D841">
            <w:pPr>
              <w:jc w:val="center"/>
              <w:rPr>
                <w:rFonts w:ascii="宋体" w:hAnsi="宋体" w:cs="宋体"/>
              </w:rPr>
            </w:pPr>
            <w:r>
              <w:rPr>
                <w:rFonts w:hint="eastAsia" w:ascii="宋体" w:hAnsi="宋体" w:cs="宋体"/>
              </w:rPr>
              <w:t>6</w:t>
            </w:r>
          </w:p>
        </w:tc>
        <w:tc>
          <w:tcPr>
            <w:tcW w:w="632" w:type="pct"/>
            <w:tcBorders>
              <w:top w:val="single" w:color="000000" w:sz="4" w:space="0"/>
              <w:left w:val="single" w:color="000000" w:sz="4" w:space="0"/>
              <w:bottom w:val="single" w:color="000000" w:sz="4" w:space="0"/>
              <w:right w:val="single" w:color="000000" w:sz="4" w:space="0"/>
            </w:tcBorders>
            <w:vAlign w:val="center"/>
          </w:tcPr>
          <w:p w14:paraId="275BCC2F">
            <w:pPr>
              <w:rPr>
                <w:rFonts w:ascii="宋体" w:hAnsi="宋体" w:cs="宋体"/>
              </w:rPr>
            </w:pPr>
            <w:r>
              <w:rPr>
                <w:rFonts w:hint="eastAsia" w:ascii="宋体" w:hAnsi="宋体" w:cs="宋体"/>
              </w:rPr>
              <w:t>常规资料提交</w:t>
            </w:r>
          </w:p>
        </w:tc>
        <w:tc>
          <w:tcPr>
            <w:tcW w:w="3450" w:type="pct"/>
            <w:tcBorders>
              <w:top w:val="single" w:color="000000" w:sz="4" w:space="0"/>
              <w:left w:val="single" w:color="000000" w:sz="4" w:space="0"/>
              <w:bottom w:val="single" w:color="000000" w:sz="4" w:space="0"/>
              <w:right w:val="single" w:color="000000" w:sz="4" w:space="0"/>
            </w:tcBorders>
            <w:vAlign w:val="center"/>
          </w:tcPr>
          <w:p w14:paraId="743F4CD8">
            <w:pPr>
              <w:numPr>
                <w:ilvl w:val="0"/>
                <w:numId w:val="5"/>
              </w:numPr>
              <w:rPr>
                <w:rFonts w:ascii="宋体" w:hAnsi="宋体" w:cs="宋体"/>
              </w:rPr>
            </w:pPr>
            <w:r>
              <w:rPr>
                <w:rFonts w:hint="eastAsia" w:ascii="宋体" w:hAnsi="宋体" w:cs="宋体"/>
              </w:rPr>
              <w:t>资料范围：运维报告、巡查记录、系统运行及风险数据综合分析、需求处理总结等采购人要求提交的资料；</w:t>
            </w:r>
          </w:p>
          <w:p w14:paraId="3DED511A">
            <w:pPr>
              <w:rPr>
                <w:rFonts w:ascii="宋体" w:hAnsi="宋体" w:cs="宋体"/>
              </w:rPr>
            </w:pPr>
            <w:r>
              <w:rPr>
                <w:rFonts w:hint="eastAsia" w:ascii="宋体" w:hAnsi="宋体" w:cs="宋体"/>
              </w:rPr>
              <w:t>2.扣分标准：未按要求时限（每月5日前提交上月资料）提交基础资料，每次扣0.5分；资料缺失关键项（如故障原因、整改措施、数据支撑）视为“未提交佐证材料”，每次扣1分；连续【2】个考核期未提交，第2期额外扣3分，扣完本项5分为止；</w:t>
            </w:r>
          </w:p>
        </w:tc>
        <w:tc>
          <w:tcPr>
            <w:tcW w:w="563" w:type="pct"/>
            <w:tcBorders>
              <w:top w:val="single" w:color="000000" w:sz="4" w:space="0"/>
              <w:left w:val="single" w:color="000000" w:sz="4" w:space="0"/>
              <w:bottom w:val="single" w:color="000000" w:sz="4" w:space="0"/>
              <w:right w:val="single" w:color="000000" w:sz="4" w:space="0"/>
            </w:tcBorders>
            <w:vAlign w:val="center"/>
          </w:tcPr>
          <w:p w14:paraId="61BC71F2">
            <w:pPr>
              <w:widowControl/>
              <w:jc w:val="center"/>
              <w:textAlignment w:val="center"/>
              <w:rPr>
                <w:rFonts w:ascii="宋体" w:hAnsi="宋体" w:cs="宋体"/>
              </w:rPr>
            </w:pPr>
            <w:r>
              <w:rPr>
                <w:rFonts w:hint="eastAsia" w:ascii="宋体" w:hAnsi="宋体" w:cs="宋体"/>
                <w:kern w:val="0"/>
                <w:lang w:bidi="ar"/>
              </w:rPr>
              <w:t>5</w:t>
            </w:r>
          </w:p>
        </w:tc>
      </w:tr>
      <w:tr w14:paraId="61ADD0CB">
        <w:tblPrEx>
          <w:tblCellMar>
            <w:top w:w="0" w:type="dxa"/>
            <w:left w:w="108" w:type="dxa"/>
            <w:bottom w:w="0" w:type="dxa"/>
            <w:right w:w="108" w:type="dxa"/>
          </w:tblCellMar>
        </w:tblPrEx>
        <w:trPr>
          <w:trHeight w:val="1445" w:hRule="atLeast"/>
          <w:jc w:val="center"/>
        </w:trPr>
        <w:tc>
          <w:tcPr>
            <w:tcW w:w="353" w:type="pct"/>
            <w:tcBorders>
              <w:top w:val="single" w:color="000000" w:sz="4" w:space="0"/>
              <w:left w:val="single" w:color="000000" w:sz="4" w:space="0"/>
              <w:bottom w:val="single" w:color="000000" w:sz="4" w:space="0"/>
              <w:right w:val="single" w:color="000000" w:sz="4" w:space="0"/>
            </w:tcBorders>
            <w:vAlign w:val="center"/>
          </w:tcPr>
          <w:p w14:paraId="5A538E71">
            <w:pPr>
              <w:jc w:val="center"/>
              <w:rPr>
                <w:rFonts w:ascii="宋体" w:hAnsi="宋体" w:cs="宋体"/>
              </w:rPr>
            </w:pPr>
            <w:r>
              <w:rPr>
                <w:rFonts w:hint="eastAsia" w:ascii="宋体" w:hAnsi="宋体" w:cs="宋体"/>
              </w:rPr>
              <w:t>7</w:t>
            </w:r>
          </w:p>
        </w:tc>
        <w:tc>
          <w:tcPr>
            <w:tcW w:w="632" w:type="pct"/>
            <w:tcBorders>
              <w:top w:val="single" w:color="000000" w:sz="4" w:space="0"/>
              <w:left w:val="single" w:color="000000" w:sz="4" w:space="0"/>
              <w:bottom w:val="single" w:color="000000" w:sz="4" w:space="0"/>
              <w:right w:val="single" w:color="000000" w:sz="4" w:space="0"/>
            </w:tcBorders>
            <w:vAlign w:val="center"/>
          </w:tcPr>
          <w:p w14:paraId="7625173A">
            <w:pPr>
              <w:rPr>
                <w:rFonts w:ascii="宋体" w:hAnsi="宋体" w:cs="宋体"/>
              </w:rPr>
            </w:pPr>
            <w:r>
              <w:rPr>
                <w:rFonts w:hint="eastAsia" w:ascii="宋体" w:hAnsi="宋体" w:cs="宋体"/>
              </w:rPr>
              <w:t>安全巡检完成情况</w:t>
            </w:r>
          </w:p>
        </w:tc>
        <w:tc>
          <w:tcPr>
            <w:tcW w:w="3450" w:type="pct"/>
            <w:tcBorders>
              <w:top w:val="single" w:color="000000" w:sz="4" w:space="0"/>
              <w:left w:val="single" w:color="000000" w:sz="4" w:space="0"/>
              <w:bottom w:val="single" w:color="000000" w:sz="4" w:space="0"/>
              <w:right w:val="single" w:color="000000" w:sz="4" w:space="0"/>
            </w:tcBorders>
            <w:vAlign w:val="center"/>
          </w:tcPr>
          <w:p w14:paraId="65829DC5">
            <w:pPr>
              <w:rPr>
                <w:rFonts w:ascii="宋体" w:hAnsi="宋体" w:cs="宋体"/>
              </w:rPr>
            </w:pPr>
            <w:r>
              <w:rPr>
                <w:rFonts w:hint="eastAsia" w:ascii="宋体" w:hAnsi="宋体" w:cs="宋体"/>
              </w:rPr>
              <w:t>1.巡检要求：每月至少开展1次全面安全巡检；</w:t>
            </w:r>
            <w:r>
              <w:rPr>
                <w:rFonts w:hint="eastAsia" w:ascii="宋体" w:hAnsi="宋体" w:cs="宋体"/>
              </w:rPr>
              <w:br w:type="textWrapping"/>
            </w:r>
            <w:r>
              <w:rPr>
                <w:rFonts w:hint="eastAsia" w:ascii="宋体" w:hAnsi="宋体" w:cs="宋体"/>
              </w:rPr>
              <w:t>2.扣分标准：未按频次完成巡检，每次扣1分；巡检记录缺失关键项（如服务器状态、数据库隐患、整改措施及完成时限），每次扣0.5分；巡检数据不实（与实际运行状态不符），每次扣1分，扣完本项3分为止；</w:t>
            </w:r>
          </w:p>
        </w:tc>
        <w:tc>
          <w:tcPr>
            <w:tcW w:w="563" w:type="pct"/>
            <w:tcBorders>
              <w:top w:val="single" w:color="000000" w:sz="4" w:space="0"/>
              <w:left w:val="single" w:color="000000" w:sz="4" w:space="0"/>
              <w:bottom w:val="single" w:color="000000" w:sz="4" w:space="0"/>
              <w:right w:val="single" w:color="000000" w:sz="4" w:space="0"/>
            </w:tcBorders>
            <w:vAlign w:val="center"/>
          </w:tcPr>
          <w:p w14:paraId="1206499B">
            <w:pPr>
              <w:widowControl/>
              <w:jc w:val="center"/>
              <w:textAlignment w:val="center"/>
              <w:rPr>
                <w:rFonts w:ascii="宋体" w:hAnsi="宋体" w:cs="宋体"/>
              </w:rPr>
            </w:pPr>
            <w:r>
              <w:rPr>
                <w:rFonts w:hint="eastAsia" w:ascii="宋体" w:hAnsi="宋体" w:cs="宋体"/>
                <w:kern w:val="0"/>
                <w:lang w:bidi="ar"/>
              </w:rPr>
              <w:t>3</w:t>
            </w:r>
          </w:p>
        </w:tc>
      </w:tr>
      <w:tr w14:paraId="25A7D37A">
        <w:tblPrEx>
          <w:tblCellMar>
            <w:top w:w="0" w:type="dxa"/>
            <w:left w:w="108" w:type="dxa"/>
            <w:bottom w:w="0" w:type="dxa"/>
            <w:right w:w="108" w:type="dxa"/>
          </w:tblCellMar>
        </w:tblPrEx>
        <w:trPr>
          <w:trHeight w:val="2415" w:hRule="atLeast"/>
          <w:jc w:val="center"/>
        </w:trPr>
        <w:tc>
          <w:tcPr>
            <w:tcW w:w="353" w:type="pct"/>
            <w:tcBorders>
              <w:top w:val="single" w:color="000000" w:sz="4" w:space="0"/>
              <w:left w:val="single" w:color="000000" w:sz="4" w:space="0"/>
              <w:bottom w:val="single" w:color="000000" w:sz="4" w:space="0"/>
              <w:right w:val="single" w:color="000000" w:sz="4" w:space="0"/>
            </w:tcBorders>
            <w:vAlign w:val="center"/>
          </w:tcPr>
          <w:p w14:paraId="0616C036">
            <w:pPr>
              <w:jc w:val="center"/>
              <w:rPr>
                <w:rFonts w:ascii="宋体" w:hAnsi="宋体" w:cs="宋体"/>
              </w:rPr>
            </w:pPr>
            <w:r>
              <w:rPr>
                <w:rFonts w:hint="eastAsia" w:ascii="宋体" w:hAnsi="宋体" w:cs="宋体"/>
              </w:rPr>
              <w:t>8</w:t>
            </w:r>
          </w:p>
        </w:tc>
        <w:tc>
          <w:tcPr>
            <w:tcW w:w="632" w:type="pct"/>
            <w:tcBorders>
              <w:top w:val="single" w:color="000000" w:sz="4" w:space="0"/>
              <w:left w:val="single" w:color="000000" w:sz="4" w:space="0"/>
              <w:bottom w:val="single" w:color="000000" w:sz="4" w:space="0"/>
              <w:right w:val="single" w:color="000000" w:sz="4" w:space="0"/>
            </w:tcBorders>
            <w:vAlign w:val="center"/>
          </w:tcPr>
          <w:p w14:paraId="3EF10B88">
            <w:pPr>
              <w:rPr>
                <w:rFonts w:ascii="宋体" w:hAnsi="宋体" w:cs="宋体"/>
              </w:rPr>
            </w:pPr>
            <w:r>
              <w:rPr>
                <w:rFonts w:hint="eastAsia" w:ascii="宋体" w:hAnsi="宋体" w:cs="宋体"/>
              </w:rPr>
              <w:t>应急保障与联系畅通性</w:t>
            </w:r>
          </w:p>
        </w:tc>
        <w:tc>
          <w:tcPr>
            <w:tcW w:w="3450" w:type="pct"/>
            <w:tcBorders>
              <w:top w:val="single" w:color="000000" w:sz="4" w:space="0"/>
              <w:left w:val="single" w:color="000000" w:sz="4" w:space="0"/>
              <w:bottom w:val="single" w:color="000000" w:sz="4" w:space="0"/>
              <w:right w:val="single" w:color="000000" w:sz="4" w:space="0"/>
            </w:tcBorders>
            <w:vAlign w:val="center"/>
          </w:tcPr>
          <w:p w14:paraId="2DBFB278">
            <w:pPr>
              <w:rPr>
                <w:rFonts w:ascii="宋体" w:hAnsi="宋体" w:cs="宋体"/>
              </w:rPr>
            </w:pPr>
            <w:r>
              <w:rPr>
                <w:rFonts w:hint="eastAsia" w:ascii="宋体" w:hAnsi="宋体" w:cs="宋体"/>
              </w:rPr>
              <w:t>1.联系畅通要求：应急联系人需7×24小时保持电话畅通，采购人拨打后10分钟内未接通且未回电，视为“联系不上”；应急联系人变更需提前3个工作日书面报备采购人，未报备视为违规；</w:t>
            </w:r>
            <w:r>
              <w:rPr>
                <w:rFonts w:hint="eastAsia" w:ascii="宋体" w:hAnsi="宋体" w:cs="宋体"/>
              </w:rPr>
              <w:br w:type="textWrapping"/>
            </w:r>
            <w:r>
              <w:rPr>
                <w:rFonts w:hint="eastAsia" w:ascii="宋体" w:hAnsi="宋体" w:cs="宋体"/>
              </w:rPr>
              <w:t>2.应急团队要求：重大紧急故障（单一功能模块失效、系统整体瘫痪、核心业务数据丢失/篡改）发生后，中标人需在1小时内调配不少于2名高级工程师组成应急团队支援；未及时调配视为“未支援”，每次扣1分；</w:t>
            </w:r>
            <w:r>
              <w:rPr>
                <w:rFonts w:hint="eastAsia" w:ascii="宋体" w:hAnsi="宋体" w:cs="宋体"/>
              </w:rPr>
              <w:br w:type="textWrapping"/>
            </w:r>
            <w:r>
              <w:rPr>
                <w:rFonts w:hint="eastAsia" w:ascii="宋体" w:hAnsi="宋体" w:cs="宋体"/>
              </w:rPr>
              <w:t>3.扣分标准：联系不上每次扣0.5分；变更未报备每次加扣0.5分；未及时支援每次扣1分，扣完本项3分为止。</w:t>
            </w:r>
          </w:p>
        </w:tc>
        <w:tc>
          <w:tcPr>
            <w:tcW w:w="563" w:type="pct"/>
            <w:tcBorders>
              <w:top w:val="single" w:color="000000" w:sz="4" w:space="0"/>
              <w:left w:val="single" w:color="000000" w:sz="4" w:space="0"/>
              <w:bottom w:val="single" w:color="000000" w:sz="4" w:space="0"/>
              <w:right w:val="single" w:color="000000" w:sz="4" w:space="0"/>
            </w:tcBorders>
            <w:vAlign w:val="center"/>
          </w:tcPr>
          <w:p w14:paraId="2EF1DC74">
            <w:pPr>
              <w:widowControl/>
              <w:jc w:val="center"/>
              <w:textAlignment w:val="center"/>
              <w:rPr>
                <w:rFonts w:ascii="宋体" w:hAnsi="宋体" w:cs="宋体"/>
              </w:rPr>
            </w:pPr>
            <w:r>
              <w:rPr>
                <w:rFonts w:hint="eastAsia" w:ascii="宋体" w:hAnsi="宋体" w:cs="宋体"/>
                <w:kern w:val="0"/>
                <w:lang w:bidi="ar"/>
              </w:rPr>
              <w:t>3</w:t>
            </w:r>
          </w:p>
        </w:tc>
      </w:tr>
      <w:tr w14:paraId="7E016C25">
        <w:tblPrEx>
          <w:tblCellMar>
            <w:top w:w="0" w:type="dxa"/>
            <w:left w:w="108" w:type="dxa"/>
            <w:bottom w:w="0" w:type="dxa"/>
            <w:right w:w="108" w:type="dxa"/>
          </w:tblCellMar>
        </w:tblPrEx>
        <w:trPr>
          <w:trHeight w:val="1380" w:hRule="atLeast"/>
          <w:jc w:val="center"/>
        </w:trPr>
        <w:tc>
          <w:tcPr>
            <w:tcW w:w="353" w:type="pct"/>
            <w:tcBorders>
              <w:top w:val="single" w:color="000000" w:sz="4" w:space="0"/>
              <w:left w:val="single" w:color="000000" w:sz="4" w:space="0"/>
              <w:bottom w:val="single" w:color="000000" w:sz="4" w:space="0"/>
              <w:right w:val="single" w:color="000000" w:sz="4" w:space="0"/>
            </w:tcBorders>
            <w:vAlign w:val="center"/>
          </w:tcPr>
          <w:p w14:paraId="09D81BD0">
            <w:pPr>
              <w:jc w:val="center"/>
              <w:rPr>
                <w:rFonts w:ascii="宋体" w:hAnsi="宋体" w:cs="宋体"/>
              </w:rPr>
            </w:pPr>
            <w:r>
              <w:rPr>
                <w:rFonts w:hint="eastAsia" w:ascii="宋体" w:hAnsi="宋体" w:cs="宋体"/>
              </w:rPr>
              <w:t>9</w:t>
            </w:r>
          </w:p>
        </w:tc>
        <w:tc>
          <w:tcPr>
            <w:tcW w:w="632" w:type="pct"/>
            <w:tcBorders>
              <w:top w:val="single" w:color="000000" w:sz="4" w:space="0"/>
              <w:left w:val="single" w:color="000000" w:sz="4" w:space="0"/>
              <w:bottom w:val="single" w:color="000000" w:sz="4" w:space="0"/>
              <w:right w:val="single" w:color="000000" w:sz="4" w:space="0"/>
            </w:tcBorders>
            <w:vAlign w:val="center"/>
          </w:tcPr>
          <w:p w14:paraId="5BAB08FC">
            <w:pPr>
              <w:rPr>
                <w:rFonts w:ascii="宋体" w:hAnsi="宋体" w:cs="宋体"/>
              </w:rPr>
            </w:pPr>
            <w:r>
              <w:rPr>
                <w:rFonts w:hint="eastAsia" w:ascii="宋体" w:hAnsi="宋体" w:cs="宋体"/>
              </w:rPr>
              <w:t>现场沟通对接配合</w:t>
            </w:r>
          </w:p>
        </w:tc>
        <w:tc>
          <w:tcPr>
            <w:tcW w:w="3450" w:type="pct"/>
            <w:tcBorders>
              <w:top w:val="single" w:color="000000" w:sz="4" w:space="0"/>
              <w:left w:val="single" w:color="000000" w:sz="4" w:space="0"/>
              <w:bottom w:val="single" w:color="000000" w:sz="4" w:space="0"/>
              <w:right w:val="single" w:color="000000" w:sz="4" w:space="0"/>
            </w:tcBorders>
            <w:vAlign w:val="center"/>
          </w:tcPr>
          <w:p w14:paraId="26782029">
            <w:pPr>
              <w:rPr>
                <w:rFonts w:ascii="宋体" w:hAnsi="宋体" w:cs="宋体"/>
              </w:rPr>
            </w:pPr>
            <w:r>
              <w:rPr>
                <w:rFonts w:hint="eastAsia" w:ascii="宋体" w:hAnsi="宋体" w:cs="宋体"/>
              </w:rPr>
              <w:t>1.对接要求：按考核周期开展1次现场沟通会，中标人需派员（项目经理或核心维护人员）参会，通报运维情况、需求进展；</w:t>
            </w:r>
            <w:r>
              <w:rPr>
                <w:rFonts w:hint="eastAsia" w:ascii="宋体" w:hAnsi="宋体" w:cs="宋体"/>
              </w:rPr>
              <w:br w:type="textWrapping"/>
            </w:r>
            <w:r>
              <w:rPr>
                <w:rFonts w:hint="eastAsia" w:ascii="宋体" w:hAnsi="宋体" w:cs="宋体"/>
              </w:rPr>
              <w:t>2.扣分标准：无故缺席（无书面请假说明）且未在3个工作日内补做沟通（提交书面进展报告+沟通），每个考核期扣1分，扣完本项1分为止。</w:t>
            </w:r>
          </w:p>
        </w:tc>
        <w:tc>
          <w:tcPr>
            <w:tcW w:w="563" w:type="pct"/>
            <w:tcBorders>
              <w:top w:val="single" w:color="000000" w:sz="4" w:space="0"/>
              <w:left w:val="single" w:color="000000" w:sz="4" w:space="0"/>
              <w:bottom w:val="single" w:color="000000" w:sz="4" w:space="0"/>
              <w:right w:val="single" w:color="000000" w:sz="4" w:space="0"/>
            </w:tcBorders>
            <w:vAlign w:val="center"/>
          </w:tcPr>
          <w:p w14:paraId="33278B3C">
            <w:pPr>
              <w:widowControl/>
              <w:jc w:val="center"/>
              <w:textAlignment w:val="center"/>
              <w:rPr>
                <w:rFonts w:ascii="宋体" w:hAnsi="宋体" w:cs="宋体"/>
              </w:rPr>
            </w:pPr>
            <w:r>
              <w:rPr>
                <w:rFonts w:hint="eastAsia" w:ascii="宋体" w:hAnsi="宋体" w:cs="宋体"/>
                <w:kern w:val="0"/>
                <w:lang w:bidi="ar"/>
              </w:rPr>
              <w:t>1</w:t>
            </w:r>
          </w:p>
        </w:tc>
      </w:tr>
      <w:tr w14:paraId="55E5C730">
        <w:tblPrEx>
          <w:tblCellMar>
            <w:top w:w="0" w:type="dxa"/>
            <w:left w:w="108" w:type="dxa"/>
            <w:bottom w:w="0" w:type="dxa"/>
            <w:right w:w="108" w:type="dxa"/>
          </w:tblCellMar>
        </w:tblPrEx>
        <w:trPr>
          <w:trHeight w:val="690" w:hRule="atLeast"/>
          <w:jc w:val="center"/>
        </w:trPr>
        <w:tc>
          <w:tcPr>
            <w:tcW w:w="353" w:type="pct"/>
            <w:tcBorders>
              <w:top w:val="single" w:color="000000" w:sz="4" w:space="0"/>
              <w:left w:val="single" w:color="000000" w:sz="4" w:space="0"/>
              <w:bottom w:val="single" w:color="000000" w:sz="4" w:space="0"/>
              <w:right w:val="single" w:color="000000" w:sz="4" w:space="0"/>
            </w:tcBorders>
            <w:vAlign w:val="center"/>
          </w:tcPr>
          <w:p w14:paraId="445272F3">
            <w:pPr>
              <w:jc w:val="center"/>
              <w:rPr>
                <w:rFonts w:ascii="宋体" w:hAnsi="宋体" w:cs="宋体"/>
              </w:rPr>
            </w:pPr>
            <w:r>
              <w:rPr>
                <w:rFonts w:hint="eastAsia" w:ascii="宋体" w:hAnsi="宋体" w:cs="宋体"/>
              </w:rPr>
              <w:t>10</w:t>
            </w:r>
          </w:p>
        </w:tc>
        <w:tc>
          <w:tcPr>
            <w:tcW w:w="632" w:type="pct"/>
            <w:tcBorders>
              <w:top w:val="single" w:color="000000" w:sz="4" w:space="0"/>
              <w:left w:val="single" w:color="000000" w:sz="4" w:space="0"/>
              <w:bottom w:val="single" w:color="000000" w:sz="4" w:space="0"/>
              <w:right w:val="single" w:color="000000" w:sz="4" w:space="0"/>
            </w:tcBorders>
            <w:vAlign w:val="center"/>
          </w:tcPr>
          <w:p w14:paraId="7DBBFCC3">
            <w:pPr>
              <w:rPr>
                <w:rFonts w:ascii="宋体" w:hAnsi="宋体" w:cs="宋体"/>
              </w:rPr>
            </w:pPr>
            <w:r>
              <w:rPr>
                <w:rFonts w:hint="eastAsia" w:ascii="宋体" w:hAnsi="宋体" w:cs="宋体"/>
              </w:rPr>
              <w:t>培训开展情况</w:t>
            </w:r>
          </w:p>
        </w:tc>
        <w:tc>
          <w:tcPr>
            <w:tcW w:w="3450" w:type="pct"/>
            <w:tcBorders>
              <w:top w:val="single" w:color="000000" w:sz="4" w:space="0"/>
              <w:left w:val="single" w:color="000000" w:sz="4" w:space="0"/>
              <w:bottom w:val="single" w:color="000000" w:sz="4" w:space="0"/>
              <w:right w:val="single" w:color="000000" w:sz="4" w:space="0"/>
            </w:tcBorders>
            <w:vAlign w:val="center"/>
          </w:tcPr>
          <w:p w14:paraId="493E9943">
            <w:pPr>
              <w:rPr>
                <w:rFonts w:ascii="宋体" w:hAnsi="宋体" w:cs="宋体"/>
              </w:rPr>
            </w:pPr>
            <w:r>
              <w:rPr>
                <w:rFonts w:hint="eastAsia" w:ascii="宋体" w:hAnsi="宋体" w:cs="宋体"/>
              </w:rPr>
              <w:t>1.培训要求：每个考核期内至少开展1次系统操作培训；</w:t>
            </w:r>
            <w:r>
              <w:rPr>
                <w:rFonts w:hint="eastAsia" w:ascii="宋体" w:hAnsi="宋体" w:cs="宋体"/>
              </w:rPr>
              <w:br w:type="textWrapping"/>
            </w:r>
            <w:r>
              <w:rPr>
                <w:rFonts w:hint="eastAsia" w:ascii="宋体" w:hAnsi="宋体" w:cs="宋体"/>
              </w:rPr>
              <w:t>2.扣分标准：未开展培训（少于1次）扣1分，扣完本项1分为止。</w:t>
            </w:r>
          </w:p>
        </w:tc>
        <w:tc>
          <w:tcPr>
            <w:tcW w:w="563" w:type="pct"/>
            <w:tcBorders>
              <w:top w:val="single" w:color="000000" w:sz="4" w:space="0"/>
              <w:left w:val="single" w:color="000000" w:sz="4" w:space="0"/>
              <w:bottom w:val="single" w:color="000000" w:sz="4" w:space="0"/>
              <w:right w:val="single" w:color="000000" w:sz="4" w:space="0"/>
            </w:tcBorders>
            <w:vAlign w:val="center"/>
          </w:tcPr>
          <w:p w14:paraId="4729E9EC">
            <w:pPr>
              <w:widowControl/>
              <w:jc w:val="center"/>
              <w:textAlignment w:val="center"/>
              <w:rPr>
                <w:rFonts w:ascii="宋体" w:hAnsi="宋体" w:cs="宋体"/>
              </w:rPr>
            </w:pPr>
            <w:r>
              <w:rPr>
                <w:rFonts w:hint="eastAsia" w:ascii="宋体" w:hAnsi="宋体" w:cs="宋体"/>
                <w:kern w:val="0"/>
                <w:lang w:bidi="ar"/>
              </w:rPr>
              <w:t>1</w:t>
            </w:r>
          </w:p>
        </w:tc>
      </w:tr>
      <w:tr w14:paraId="30357BD1">
        <w:tblPrEx>
          <w:tblCellMar>
            <w:top w:w="0" w:type="dxa"/>
            <w:left w:w="108" w:type="dxa"/>
            <w:bottom w:w="0" w:type="dxa"/>
            <w:right w:w="108" w:type="dxa"/>
          </w:tblCellMar>
        </w:tblPrEx>
        <w:trPr>
          <w:trHeight w:val="1380" w:hRule="atLeast"/>
          <w:jc w:val="center"/>
        </w:trPr>
        <w:tc>
          <w:tcPr>
            <w:tcW w:w="353" w:type="pct"/>
            <w:tcBorders>
              <w:top w:val="single" w:color="000000" w:sz="4" w:space="0"/>
              <w:left w:val="single" w:color="000000" w:sz="4" w:space="0"/>
              <w:bottom w:val="single" w:color="000000" w:sz="4" w:space="0"/>
              <w:right w:val="single" w:color="000000" w:sz="4" w:space="0"/>
            </w:tcBorders>
            <w:vAlign w:val="center"/>
          </w:tcPr>
          <w:p w14:paraId="27C51BF8">
            <w:pPr>
              <w:jc w:val="center"/>
              <w:rPr>
                <w:rFonts w:ascii="宋体" w:hAnsi="宋体" w:cs="宋体"/>
              </w:rPr>
            </w:pPr>
            <w:r>
              <w:rPr>
                <w:rFonts w:hint="eastAsia" w:ascii="宋体" w:hAnsi="宋体" w:cs="宋体"/>
              </w:rPr>
              <w:t>11</w:t>
            </w:r>
          </w:p>
        </w:tc>
        <w:tc>
          <w:tcPr>
            <w:tcW w:w="632" w:type="pct"/>
            <w:tcBorders>
              <w:top w:val="single" w:color="000000" w:sz="4" w:space="0"/>
              <w:left w:val="single" w:color="000000" w:sz="4" w:space="0"/>
              <w:bottom w:val="single" w:color="000000" w:sz="4" w:space="0"/>
              <w:right w:val="single" w:color="000000" w:sz="4" w:space="0"/>
            </w:tcBorders>
            <w:vAlign w:val="center"/>
          </w:tcPr>
          <w:p w14:paraId="3DC5CFDA">
            <w:pPr>
              <w:rPr>
                <w:rFonts w:ascii="宋体" w:hAnsi="宋体" w:cs="宋体"/>
              </w:rPr>
            </w:pPr>
            <w:r>
              <w:rPr>
                <w:rFonts w:hint="eastAsia" w:ascii="宋体" w:hAnsi="宋体" w:cs="宋体"/>
              </w:rPr>
              <w:t>服务态度及院内投诉</w:t>
            </w:r>
          </w:p>
        </w:tc>
        <w:tc>
          <w:tcPr>
            <w:tcW w:w="3450" w:type="pct"/>
            <w:tcBorders>
              <w:top w:val="single" w:color="000000" w:sz="4" w:space="0"/>
              <w:left w:val="single" w:color="000000" w:sz="4" w:space="0"/>
              <w:bottom w:val="single" w:color="000000" w:sz="4" w:space="0"/>
              <w:right w:val="single" w:color="000000" w:sz="4" w:space="0"/>
            </w:tcBorders>
            <w:vAlign w:val="center"/>
          </w:tcPr>
          <w:p w14:paraId="747AF50D">
            <w:pPr>
              <w:rPr>
                <w:rFonts w:ascii="宋体" w:hAnsi="宋体" w:cs="宋体"/>
              </w:rPr>
            </w:pPr>
            <w:r>
              <w:rPr>
                <w:rFonts w:hint="eastAsia" w:ascii="宋体" w:hAnsi="宋体" w:cs="宋体"/>
              </w:rPr>
              <w:t>1.投诉界定：业务科室对服务态度进行投诉（如推诿责任、沟通不耐烦、消极应付），经采购人核实无误后计入；</w:t>
            </w:r>
            <w:r>
              <w:rPr>
                <w:rFonts w:hint="eastAsia" w:ascii="宋体" w:hAnsi="宋体" w:cs="宋体"/>
              </w:rPr>
              <w:br w:type="textWrapping"/>
            </w:r>
            <w:r>
              <w:rPr>
                <w:rFonts w:hint="eastAsia" w:ascii="宋体" w:hAnsi="宋体" w:cs="宋体"/>
              </w:rPr>
              <w:t>2.扣分标准：单次投诉扣0.5分；同一问题引发2个及以上科室联名投诉，每次扣1分，扣完本项10分为止。</w:t>
            </w:r>
          </w:p>
        </w:tc>
        <w:tc>
          <w:tcPr>
            <w:tcW w:w="563" w:type="pct"/>
            <w:tcBorders>
              <w:top w:val="single" w:color="000000" w:sz="4" w:space="0"/>
              <w:left w:val="single" w:color="000000" w:sz="4" w:space="0"/>
              <w:bottom w:val="single" w:color="000000" w:sz="4" w:space="0"/>
              <w:right w:val="single" w:color="000000" w:sz="4" w:space="0"/>
            </w:tcBorders>
            <w:vAlign w:val="center"/>
          </w:tcPr>
          <w:p w14:paraId="2B92BAC4">
            <w:pPr>
              <w:widowControl/>
              <w:jc w:val="center"/>
              <w:textAlignment w:val="center"/>
              <w:rPr>
                <w:rFonts w:ascii="宋体" w:hAnsi="宋体" w:cs="宋体"/>
              </w:rPr>
            </w:pPr>
            <w:r>
              <w:rPr>
                <w:rFonts w:hint="eastAsia" w:ascii="宋体" w:hAnsi="宋体" w:cs="宋体"/>
                <w:kern w:val="0"/>
                <w:lang w:bidi="ar"/>
              </w:rPr>
              <w:t>10</w:t>
            </w:r>
          </w:p>
        </w:tc>
      </w:tr>
      <w:tr w14:paraId="0255463B">
        <w:tblPrEx>
          <w:tblCellMar>
            <w:top w:w="0" w:type="dxa"/>
            <w:left w:w="108" w:type="dxa"/>
            <w:bottom w:w="0" w:type="dxa"/>
            <w:right w:w="108" w:type="dxa"/>
          </w:tblCellMar>
        </w:tblPrEx>
        <w:trPr>
          <w:trHeight w:val="260" w:hRule="atLeast"/>
          <w:jc w:val="center"/>
        </w:trPr>
        <w:tc>
          <w:tcPr>
            <w:tcW w:w="353" w:type="pct"/>
            <w:tcBorders>
              <w:top w:val="single" w:color="000000" w:sz="4" w:space="0"/>
              <w:left w:val="single" w:color="000000" w:sz="4" w:space="0"/>
              <w:bottom w:val="single" w:color="000000" w:sz="4" w:space="0"/>
              <w:right w:val="single" w:color="000000" w:sz="4" w:space="0"/>
            </w:tcBorders>
            <w:vAlign w:val="center"/>
          </w:tcPr>
          <w:p w14:paraId="1205113C">
            <w:pPr>
              <w:jc w:val="center"/>
              <w:rPr>
                <w:rFonts w:ascii="宋体" w:hAnsi="宋体" w:cs="宋体"/>
              </w:rPr>
            </w:pPr>
            <w:r>
              <w:rPr>
                <w:rFonts w:hint="eastAsia" w:ascii="宋体" w:hAnsi="宋体" w:cs="宋体"/>
              </w:rPr>
              <w:t>12</w:t>
            </w:r>
          </w:p>
        </w:tc>
        <w:tc>
          <w:tcPr>
            <w:tcW w:w="632" w:type="pct"/>
            <w:tcBorders>
              <w:top w:val="single" w:color="000000" w:sz="4" w:space="0"/>
              <w:left w:val="single" w:color="000000" w:sz="4" w:space="0"/>
              <w:bottom w:val="single" w:color="000000" w:sz="4" w:space="0"/>
              <w:right w:val="single" w:color="000000" w:sz="4" w:space="0"/>
            </w:tcBorders>
            <w:vAlign w:val="center"/>
          </w:tcPr>
          <w:p w14:paraId="73BEA470">
            <w:pPr>
              <w:rPr>
                <w:rFonts w:ascii="宋体" w:hAnsi="宋体" w:cs="宋体"/>
              </w:rPr>
            </w:pPr>
            <w:r>
              <w:rPr>
                <w:rFonts w:hint="eastAsia" w:ascii="宋体" w:hAnsi="宋体" w:cs="宋体"/>
              </w:rPr>
              <w:t>系统原因导致院外投诉</w:t>
            </w:r>
          </w:p>
        </w:tc>
        <w:tc>
          <w:tcPr>
            <w:tcW w:w="3450" w:type="pct"/>
            <w:tcBorders>
              <w:top w:val="single" w:color="000000" w:sz="4" w:space="0"/>
              <w:left w:val="single" w:color="000000" w:sz="4" w:space="0"/>
              <w:bottom w:val="single" w:color="000000" w:sz="4" w:space="0"/>
              <w:right w:val="single" w:color="000000" w:sz="4" w:space="0"/>
            </w:tcBorders>
            <w:vAlign w:val="center"/>
          </w:tcPr>
          <w:p w14:paraId="11C79435">
            <w:pPr>
              <w:rPr>
                <w:rFonts w:ascii="宋体" w:hAnsi="宋体" w:cs="宋体"/>
              </w:rPr>
            </w:pPr>
            <w:r>
              <w:rPr>
                <w:rFonts w:hint="eastAsia" w:ascii="宋体" w:hAnsi="宋体" w:cs="宋体"/>
              </w:rPr>
              <w:t>1.投诉界定：因系统故障、数据错误、服务失当导致患者或外部单位向监管部门（如卫健委、医保局）、媒体投诉，经查实与中标人责任相关的；</w:t>
            </w:r>
            <w:r>
              <w:rPr>
                <w:rFonts w:hint="eastAsia" w:ascii="宋体" w:hAnsi="宋体" w:cs="宋体"/>
              </w:rPr>
              <w:br w:type="textWrapping"/>
            </w:r>
            <w:r>
              <w:rPr>
                <w:rFonts w:hint="eastAsia" w:ascii="宋体" w:hAnsi="宋体" w:cs="宋体"/>
              </w:rPr>
              <w:t>2.扣分标准：普通院外投诉每次扣1分；被监管部门通报批评或媒体曝光，每次加扣3分，扣完本项10分为止。</w:t>
            </w:r>
          </w:p>
        </w:tc>
        <w:tc>
          <w:tcPr>
            <w:tcW w:w="563" w:type="pct"/>
            <w:tcBorders>
              <w:top w:val="single" w:color="000000" w:sz="4" w:space="0"/>
              <w:left w:val="single" w:color="000000" w:sz="4" w:space="0"/>
              <w:bottom w:val="single" w:color="000000" w:sz="4" w:space="0"/>
              <w:right w:val="single" w:color="000000" w:sz="4" w:space="0"/>
            </w:tcBorders>
            <w:vAlign w:val="center"/>
          </w:tcPr>
          <w:p w14:paraId="3BB9A6FA">
            <w:pPr>
              <w:widowControl/>
              <w:jc w:val="center"/>
              <w:textAlignment w:val="center"/>
              <w:rPr>
                <w:rFonts w:ascii="宋体" w:hAnsi="宋体" w:cs="宋体"/>
              </w:rPr>
            </w:pPr>
            <w:r>
              <w:rPr>
                <w:rFonts w:hint="eastAsia" w:ascii="宋体" w:hAnsi="宋体" w:cs="宋体"/>
                <w:kern w:val="0"/>
                <w:lang w:bidi="ar"/>
              </w:rPr>
              <w:t>10</w:t>
            </w:r>
          </w:p>
        </w:tc>
      </w:tr>
      <w:tr w14:paraId="6A7D638A">
        <w:tblPrEx>
          <w:tblCellMar>
            <w:top w:w="0" w:type="dxa"/>
            <w:left w:w="108" w:type="dxa"/>
            <w:bottom w:w="0" w:type="dxa"/>
            <w:right w:w="108" w:type="dxa"/>
          </w:tblCellMar>
        </w:tblPrEx>
        <w:trPr>
          <w:trHeight w:val="1320" w:hRule="atLeast"/>
          <w:jc w:val="center"/>
        </w:trPr>
        <w:tc>
          <w:tcPr>
            <w:tcW w:w="353" w:type="pct"/>
            <w:tcBorders>
              <w:top w:val="single" w:color="000000" w:sz="4" w:space="0"/>
              <w:left w:val="single" w:color="000000" w:sz="4" w:space="0"/>
              <w:bottom w:val="single" w:color="000000" w:sz="4" w:space="0"/>
              <w:right w:val="single" w:color="000000" w:sz="4" w:space="0"/>
            </w:tcBorders>
            <w:vAlign w:val="center"/>
          </w:tcPr>
          <w:p w14:paraId="1E38F14E">
            <w:pPr>
              <w:jc w:val="center"/>
              <w:rPr>
                <w:rFonts w:ascii="宋体" w:hAnsi="宋体" w:cs="宋体"/>
              </w:rPr>
            </w:pPr>
            <w:r>
              <w:rPr>
                <w:rFonts w:hint="eastAsia" w:ascii="宋体" w:hAnsi="宋体" w:cs="宋体"/>
              </w:rPr>
              <w:t>加分项</w:t>
            </w:r>
          </w:p>
        </w:tc>
        <w:tc>
          <w:tcPr>
            <w:tcW w:w="632" w:type="pct"/>
            <w:tcBorders>
              <w:top w:val="single" w:color="000000" w:sz="4" w:space="0"/>
              <w:left w:val="single" w:color="000000" w:sz="4" w:space="0"/>
              <w:bottom w:val="single" w:color="000000" w:sz="4" w:space="0"/>
              <w:right w:val="single" w:color="000000" w:sz="4" w:space="0"/>
            </w:tcBorders>
            <w:vAlign w:val="center"/>
          </w:tcPr>
          <w:p w14:paraId="79CAA8F6">
            <w:pPr>
              <w:rPr>
                <w:rFonts w:ascii="宋体" w:hAnsi="宋体" w:cs="宋体"/>
              </w:rPr>
            </w:pPr>
            <w:r>
              <w:rPr>
                <w:rFonts w:hint="eastAsia" w:ascii="宋体" w:hAnsi="宋体" w:cs="宋体"/>
              </w:rPr>
              <w:t>用户肯定或表扬</w:t>
            </w:r>
          </w:p>
        </w:tc>
        <w:tc>
          <w:tcPr>
            <w:tcW w:w="3450" w:type="pct"/>
            <w:tcBorders>
              <w:top w:val="single" w:color="000000" w:sz="4" w:space="0"/>
              <w:left w:val="single" w:color="000000" w:sz="4" w:space="0"/>
              <w:bottom w:val="single" w:color="000000" w:sz="4" w:space="0"/>
              <w:right w:val="single" w:color="000000" w:sz="4" w:space="0"/>
            </w:tcBorders>
            <w:vAlign w:val="center"/>
          </w:tcPr>
          <w:p w14:paraId="0EFF33CB">
            <w:pPr>
              <w:rPr>
                <w:rFonts w:ascii="宋体" w:hAnsi="宋体" w:cs="宋体"/>
              </w:rPr>
            </w:pPr>
            <w:r>
              <w:rPr>
                <w:rFonts w:hint="eastAsia" w:ascii="宋体" w:hAnsi="宋体" w:cs="宋体"/>
              </w:rPr>
              <w:t>1.加分场景：①采购人认可的工作群内的不少于10个字公开肯定；②业务科室提交的书面表扬信或感谢信；③中标人主动发现系统潜在隐患（如数据安全漏洞、性能瓶颈）并提前整改，经采购人核实；④主动优化系统功能/流程，提升运行效率，经采购人书面确认；</w:t>
            </w:r>
            <w:r>
              <w:rPr>
                <w:rFonts w:hint="eastAsia" w:ascii="宋体" w:hAnsi="宋体" w:cs="宋体"/>
              </w:rPr>
              <w:br w:type="textWrapping"/>
            </w:r>
            <w:r>
              <w:rPr>
                <w:rFonts w:hint="eastAsia" w:ascii="宋体" w:hAnsi="宋体" w:cs="宋体"/>
              </w:rPr>
              <w:t>2.加分标准：场景①②每次加1分；场景③④每次加2分；累计加分不超过10分。</w:t>
            </w:r>
          </w:p>
        </w:tc>
        <w:tc>
          <w:tcPr>
            <w:tcW w:w="563" w:type="pct"/>
            <w:tcBorders>
              <w:top w:val="single" w:color="000000" w:sz="4" w:space="0"/>
              <w:left w:val="single" w:color="000000" w:sz="4" w:space="0"/>
              <w:bottom w:val="single" w:color="000000" w:sz="4" w:space="0"/>
              <w:right w:val="single" w:color="000000" w:sz="4" w:space="0"/>
            </w:tcBorders>
            <w:vAlign w:val="center"/>
          </w:tcPr>
          <w:p w14:paraId="0120B5DD">
            <w:pPr>
              <w:widowControl/>
              <w:jc w:val="center"/>
              <w:textAlignment w:val="center"/>
              <w:rPr>
                <w:rFonts w:ascii="宋体" w:hAnsi="宋体" w:cs="宋体"/>
              </w:rPr>
            </w:pPr>
            <w:r>
              <w:rPr>
                <w:rFonts w:hint="eastAsia" w:ascii="宋体" w:hAnsi="宋体" w:cs="宋体"/>
                <w:kern w:val="0"/>
                <w:lang w:bidi="ar"/>
              </w:rPr>
              <w:t>10</w:t>
            </w:r>
          </w:p>
        </w:tc>
      </w:tr>
      <w:tr w14:paraId="4862A6F9">
        <w:tblPrEx>
          <w:tblCellMar>
            <w:top w:w="0" w:type="dxa"/>
            <w:left w:w="108" w:type="dxa"/>
            <w:bottom w:w="0" w:type="dxa"/>
            <w:right w:w="108" w:type="dxa"/>
          </w:tblCellMar>
        </w:tblPrEx>
        <w:trPr>
          <w:trHeight w:val="705" w:hRule="atLeast"/>
          <w:jc w:val="center"/>
        </w:trPr>
        <w:tc>
          <w:tcPr>
            <w:tcW w:w="353" w:type="pct"/>
            <w:tcBorders>
              <w:top w:val="single" w:color="000000" w:sz="4" w:space="0"/>
              <w:left w:val="single" w:color="000000" w:sz="4" w:space="0"/>
              <w:bottom w:val="single" w:color="000000" w:sz="4" w:space="0"/>
              <w:right w:val="single" w:color="000000" w:sz="4" w:space="0"/>
            </w:tcBorders>
            <w:vAlign w:val="center"/>
          </w:tcPr>
          <w:p w14:paraId="4D30FED0">
            <w:pPr>
              <w:rPr>
                <w:rFonts w:ascii="宋体" w:hAnsi="宋体" w:cs="宋体"/>
              </w:rPr>
            </w:pPr>
            <w:r>
              <w:rPr>
                <w:rFonts w:hint="eastAsia" w:ascii="宋体" w:hAnsi="宋体" w:cs="宋体"/>
              </w:rPr>
              <w:t>合计</w:t>
            </w:r>
          </w:p>
        </w:tc>
        <w:tc>
          <w:tcPr>
            <w:tcW w:w="632" w:type="pct"/>
            <w:tcBorders>
              <w:top w:val="single" w:color="000000" w:sz="4" w:space="0"/>
              <w:left w:val="single" w:color="000000" w:sz="4" w:space="0"/>
              <w:bottom w:val="single" w:color="000000" w:sz="4" w:space="0"/>
              <w:right w:val="single" w:color="000000" w:sz="4" w:space="0"/>
            </w:tcBorders>
            <w:vAlign w:val="center"/>
          </w:tcPr>
          <w:p w14:paraId="41966DA9">
            <w:pPr>
              <w:ind w:firstLine="420" w:firstLineChars="200"/>
              <w:rPr>
                <w:rFonts w:ascii="宋体" w:hAnsi="宋体" w:cs="宋体"/>
              </w:rPr>
            </w:pPr>
          </w:p>
        </w:tc>
        <w:tc>
          <w:tcPr>
            <w:tcW w:w="4014" w:type="pct"/>
            <w:gridSpan w:val="2"/>
            <w:tcBorders>
              <w:top w:val="single" w:color="000000" w:sz="4" w:space="0"/>
              <w:left w:val="single" w:color="000000" w:sz="4" w:space="0"/>
              <w:bottom w:val="single" w:color="000000" w:sz="4" w:space="0"/>
              <w:right w:val="single" w:color="000000" w:sz="4" w:space="0"/>
            </w:tcBorders>
            <w:vAlign w:val="center"/>
          </w:tcPr>
          <w:p w14:paraId="74CCEE74">
            <w:pPr>
              <w:widowControl/>
              <w:jc w:val="center"/>
              <w:textAlignment w:val="center"/>
              <w:rPr>
                <w:rFonts w:ascii="宋体" w:hAnsi="宋体" w:cs="宋体"/>
              </w:rPr>
            </w:pPr>
            <w:r>
              <w:rPr>
                <w:rFonts w:hint="eastAsia" w:ascii="宋体" w:hAnsi="宋体" w:cs="宋体"/>
              </w:rPr>
              <w:t>基础分：100 分（加分项≤10 分，最终得分 = 基础分+加分项，满分110 分）</w:t>
            </w:r>
          </w:p>
        </w:tc>
      </w:tr>
    </w:tbl>
    <w:p w14:paraId="02954CB8">
      <w:pPr>
        <w:pStyle w:val="97"/>
        <w:rPr>
          <w:color w:val="auto"/>
        </w:rPr>
      </w:pPr>
    </w:p>
    <w:p w14:paraId="1928B063">
      <w:pPr>
        <w:spacing w:line="520" w:lineRule="exact"/>
        <w:rPr>
          <w:rFonts w:ascii="宋体" w:hAnsi="宋体"/>
        </w:rPr>
      </w:pPr>
    </w:p>
    <w:p w14:paraId="3B6A54D1">
      <w:pPr>
        <w:pStyle w:val="14"/>
        <w:rPr>
          <w:bCs/>
        </w:rPr>
      </w:pPr>
      <w:r>
        <w:br w:type="page"/>
      </w:r>
    </w:p>
    <w:p w14:paraId="5BD2C392">
      <w:pPr>
        <w:ind w:firstLine="614" w:firstLineChars="192"/>
        <w:jc w:val="center"/>
        <w:outlineLvl w:val="0"/>
        <w:rPr>
          <w:rFonts w:ascii="宋体"/>
          <w:b/>
          <w:bCs/>
          <w:kern w:val="44"/>
          <w:sz w:val="32"/>
          <w:szCs w:val="32"/>
        </w:rPr>
      </w:pPr>
      <w:r>
        <w:rPr>
          <w:rFonts w:hint="eastAsia" w:ascii="宋体" w:hAnsi="宋体" w:cs="宋体"/>
          <w:b/>
          <w:bCs/>
          <w:kern w:val="44"/>
          <w:sz w:val="32"/>
          <w:szCs w:val="32"/>
        </w:rPr>
        <w:t>第四章</w:t>
      </w:r>
      <w:bookmarkStart w:id="26" w:name="_Toc180296788"/>
      <w:bookmarkStart w:id="27" w:name="_Toc173895846"/>
      <w:bookmarkStart w:id="28" w:name="_Toc173895658"/>
      <w:bookmarkStart w:id="29" w:name="_Toc211679185"/>
      <w:r>
        <w:rPr>
          <w:rFonts w:hint="eastAsia" w:ascii="宋体" w:hAnsi="宋体" w:cs="宋体"/>
          <w:b/>
          <w:bCs/>
          <w:kern w:val="44"/>
          <w:sz w:val="32"/>
          <w:szCs w:val="32"/>
        </w:rPr>
        <w:t>比选申请文件的相关格式</w:t>
      </w:r>
      <w:bookmarkEnd w:id="26"/>
      <w:bookmarkEnd w:id="27"/>
      <w:bookmarkEnd w:id="28"/>
      <w:r>
        <w:rPr>
          <w:rFonts w:hint="eastAsia" w:ascii="宋体" w:hAnsi="宋体" w:cs="宋体"/>
          <w:b/>
          <w:bCs/>
          <w:kern w:val="44"/>
          <w:sz w:val="32"/>
          <w:szCs w:val="32"/>
        </w:rPr>
        <w:t>及要求</w:t>
      </w:r>
      <w:bookmarkEnd w:id="29"/>
      <w:bookmarkStart w:id="30" w:name="_Toc173895847"/>
      <w:bookmarkStart w:id="31" w:name="_Toc180296789"/>
      <w:bookmarkStart w:id="32" w:name="_Toc211679186"/>
      <w:bookmarkStart w:id="33" w:name="_Toc173895659"/>
    </w:p>
    <w:p w14:paraId="3FA59E64">
      <w:pPr>
        <w:rPr>
          <w:rFonts w:ascii="宋体"/>
        </w:rPr>
      </w:pPr>
    </w:p>
    <w:p w14:paraId="4FBA40D0">
      <w:pPr>
        <w:pStyle w:val="3"/>
        <w:numPr>
          <w:ilvl w:val="0"/>
          <w:numId w:val="0"/>
        </w:numPr>
        <w:spacing w:before="0" w:after="0" w:line="360" w:lineRule="auto"/>
        <w:jc w:val="center"/>
        <w:rPr>
          <w:rFonts w:cs="Times New Roman"/>
        </w:rPr>
      </w:pPr>
      <w:r>
        <w:rPr>
          <w:rFonts w:hint="eastAsia"/>
        </w:rPr>
        <w:t>一、法定代表人授权书</w:t>
      </w:r>
    </w:p>
    <w:p w14:paraId="37554747">
      <w:pPr>
        <w:spacing w:line="360" w:lineRule="auto"/>
        <w:rPr>
          <w:rFonts w:ascii="宋体"/>
          <w:sz w:val="23"/>
          <w:szCs w:val="23"/>
        </w:rPr>
      </w:pPr>
    </w:p>
    <w:p w14:paraId="5D9C2EDB">
      <w:pPr>
        <w:spacing w:line="360" w:lineRule="auto"/>
        <w:rPr>
          <w:rFonts w:ascii="宋体"/>
          <w:b/>
          <w:bCs/>
        </w:rPr>
      </w:pPr>
      <w:r>
        <w:rPr>
          <w:rFonts w:hint="eastAsia" w:ascii="宋体" w:hAnsi="宋体" w:cs="宋体"/>
          <w:b/>
          <w:bCs/>
        </w:rPr>
        <w:t>资阳市中心医院：</w:t>
      </w:r>
    </w:p>
    <w:p w14:paraId="4BBE6D03">
      <w:pPr>
        <w:spacing w:line="360" w:lineRule="auto"/>
        <w:ind w:firstLine="388" w:firstLineChars="185"/>
        <w:rPr>
          <w:rFonts w:ascii="宋体"/>
        </w:rPr>
      </w:pPr>
      <w:r>
        <w:rPr>
          <w:rFonts w:hint="eastAsia" w:ascii="宋体" w:hAnsi="宋体" w:cs="宋体"/>
        </w:rPr>
        <w:t>（供应商全称）法定代表人授权为我公司代理人，参加贵单位组织的（比选项目名称</w:t>
      </w:r>
      <w:r>
        <w:rPr>
          <w:rFonts w:ascii="宋体" w:hAnsi="宋体" w:cs="宋体"/>
        </w:rPr>
        <w:t>/</w:t>
      </w:r>
      <w:r>
        <w:rPr>
          <w:rFonts w:hint="eastAsia" w:ascii="宋体" w:hAnsi="宋体" w:cs="宋体"/>
        </w:rPr>
        <w:t>包号）采购活动。代理人在本次参加货物</w:t>
      </w:r>
      <w:r>
        <w:rPr>
          <w:rFonts w:ascii="宋体" w:hAnsi="宋体" w:cs="宋体"/>
        </w:rPr>
        <w:t>/</w:t>
      </w:r>
      <w:r>
        <w:rPr>
          <w:rFonts w:hint="eastAsia" w:ascii="宋体" w:hAnsi="宋体" w:cs="宋体"/>
        </w:rPr>
        <w:t>服务采购活动中所签署的一切文件和处理的一切有关事物，我公司均予承认。</w:t>
      </w:r>
    </w:p>
    <w:p w14:paraId="6368E3AE">
      <w:pPr>
        <w:spacing w:line="360" w:lineRule="auto"/>
        <w:ind w:firstLine="388" w:firstLineChars="185"/>
        <w:rPr>
          <w:rFonts w:ascii="宋体"/>
        </w:rPr>
      </w:pPr>
      <w:r>
        <w:rPr>
          <w:rFonts w:hint="eastAsia" w:ascii="宋体" w:hAnsi="宋体" w:cs="宋体"/>
        </w:rPr>
        <w:t>本授权书年月日签字生效，并作出如下声明：</w:t>
      </w:r>
    </w:p>
    <w:p w14:paraId="49F37103">
      <w:pPr>
        <w:spacing w:line="360" w:lineRule="auto"/>
        <w:ind w:firstLine="388" w:firstLineChars="185"/>
        <w:rPr>
          <w:rFonts w:ascii="宋体"/>
        </w:rPr>
      </w:pPr>
      <w:r>
        <w:rPr>
          <w:rFonts w:ascii="宋体" w:hAnsi="宋体" w:cs="宋体"/>
        </w:rPr>
        <w:t>1</w:t>
      </w:r>
      <w:r>
        <w:rPr>
          <w:rFonts w:hint="eastAsia" w:ascii="宋体" w:hAnsi="宋体" w:cs="宋体"/>
        </w:rPr>
        <w:t>、我方无条件认可《比选文件》中原则申明的相关内容。</w:t>
      </w:r>
    </w:p>
    <w:p w14:paraId="1B436206">
      <w:pPr>
        <w:spacing w:line="360" w:lineRule="auto"/>
        <w:ind w:firstLine="388" w:firstLineChars="185"/>
        <w:rPr>
          <w:rFonts w:ascii="宋体"/>
        </w:rPr>
      </w:pPr>
      <w:r>
        <w:rPr>
          <w:rFonts w:ascii="宋体" w:hAnsi="宋体" w:cs="宋体"/>
        </w:rPr>
        <w:t>2</w:t>
      </w:r>
      <w:r>
        <w:rPr>
          <w:rFonts w:hint="eastAsia" w:ascii="宋体" w:hAnsi="宋体" w:cs="宋体"/>
        </w:rPr>
        <w:t>、我方将严格按《比选文件》的规定履行合同责任和义务。</w:t>
      </w:r>
    </w:p>
    <w:p w14:paraId="0314432B">
      <w:pPr>
        <w:spacing w:line="360" w:lineRule="auto"/>
        <w:ind w:firstLine="388" w:firstLineChars="185"/>
        <w:rPr>
          <w:rFonts w:ascii="宋体"/>
        </w:rPr>
      </w:pPr>
      <w:r>
        <w:rPr>
          <w:rFonts w:ascii="宋体" w:hAnsi="宋体" w:cs="宋体"/>
        </w:rPr>
        <w:t>3</w:t>
      </w:r>
      <w:r>
        <w:rPr>
          <w:rFonts w:hint="eastAsia" w:ascii="宋体" w:hAnsi="宋体" w:cs="宋体"/>
        </w:rPr>
        <w:t>、我方同意提供按照贵方可能要求的与其比选有关的一切数据或资料。</w:t>
      </w:r>
    </w:p>
    <w:p w14:paraId="3B618AEF">
      <w:pPr>
        <w:spacing w:line="360" w:lineRule="auto"/>
        <w:rPr>
          <w:rFonts w:ascii="宋体"/>
        </w:rPr>
      </w:pPr>
    </w:p>
    <w:p w14:paraId="281BC327">
      <w:pPr>
        <w:spacing w:line="360" w:lineRule="auto"/>
        <w:rPr>
          <w:rFonts w:ascii="宋体"/>
        </w:rPr>
      </w:pPr>
    </w:p>
    <w:p w14:paraId="4C1A6EDB">
      <w:pPr>
        <w:spacing w:line="360" w:lineRule="auto"/>
        <w:ind w:firstLine="420" w:firstLineChars="200"/>
        <w:rPr>
          <w:rFonts w:ascii="宋体"/>
        </w:rPr>
      </w:pPr>
      <w:r>
        <w:rPr>
          <w:rFonts w:hint="eastAsia" w:ascii="宋体" w:hAnsi="宋体" w:cs="宋体"/>
        </w:rPr>
        <w:t>供应商全称：（加盖公章）</w:t>
      </w:r>
    </w:p>
    <w:p w14:paraId="2D1BB089">
      <w:pPr>
        <w:spacing w:line="360" w:lineRule="auto"/>
        <w:rPr>
          <w:rFonts w:ascii="宋体"/>
        </w:rPr>
      </w:pPr>
    </w:p>
    <w:p w14:paraId="1A503D9B">
      <w:pPr>
        <w:spacing w:line="360" w:lineRule="auto"/>
        <w:ind w:firstLine="420" w:firstLineChars="200"/>
        <w:rPr>
          <w:rFonts w:ascii="宋体"/>
        </w:rPr>
      </w:pPr>
      <w:r>
        <w:rPr>
          <w:rFonts w:hint="eastAsia" w:ascii="宋体" w:hAnsi="宋体" w:cs="宋体"/>
        </w:rPr>
        <w:t>法定代表人：（签字或加盖法定代表人印章）</w:t>
      </w:r>
    </w:p>
    <w:p w14:paraId="135821E0">
      <w:pPr>
        <w:spacing w:line="360" w:lineRule="auto"/>
        <w:rPr>
          <w:rFonts w:ascii="宋体"/>
        </w:rPr>
      </w:pPr>
    </w:p>
    <w:p w14:paraId="37185B8D">
      <w:pPr>
        <w:spacing w:line="360" w:lineRule="auto"/>
        <w:ind w:firstLine="420" w:firstLineChars="200"/>
        <w:rPr>
          <w:rFonts w:ascii="宋体"/>
        </w:rPr>
      </w:pPr>
      <w:r>
        <w:rPr>
          <w:rFonts w:hint="eastAsia" w:ascii="宋体" w:hAnsi="宋体" w:cs="宋体"/>
        </w:rPr>
        <w:t>代理人：（签字）</w:t>
      </w:r>
    </w:p>
    <w:p w14:paraId="3C7D0D82">
      <w:pPr>
        <w:spacing w:line="360" w:lineRule="auto"/>
        <w:rPr>
          <w:rFonts w:ascii="宋体"/>
        </w:rPr>
      </w:pPr>
    </w:p>
    <w:p w14:paraId="247C138A">
      <w:pPr>
        <w:spacing w:line="360" w:lineRule="auto"/>
        <w:ind w:firstLine="420" w:firstLineChars="200"/>
        <w:rPr>
          <w:rFonts w:ascii="宋体"/>
        </w:rPr>
      </w:pPr>
      <w:r>
        <w:rPr>
          <w:rFonts w:hint="eastAsia" w:ascii="宋体" w:hAnsi="宋体" w:cs="宋体"/>
        </w:rPr>
        <w:t>日期：年月日</w:t>
      </w:r>
    </w:p>
    <w:p w14:paraId="47064A68">
      <w:pPr>
        <w:spacing w:line="360" w:lineRule="auto"/>
        <w:rPr>
          <w:rFonts w:ascii="宋体"/>
        </w:rPr>
      </w:pPr>
    </w:p>
    <w:p w14:paraId="5761573D">
      <w:pPr>
        <w:spacing w:line="360" w:lineRule="auto"/>
        <w:rPr>
          <w:rFonts w:ascii="宋体"/>
        </w:rPr>
      </w:pPr>
    </w:p>
    <w:p w14:paraId="4C5CA8BC">
      <w:pPr>
        <w:spacing w:line="360" w:lineRule="auto"/>
        <w:rPr>
          <w:rFonts w:ascii="宋体"/>
          <w:kern w:val="0"/>
        </w:rPr>
      </w:pPr>
      <w:r>
        <w:rPr>
          <w:rFonts w:hint="eastAsia" w:ascii="宋体" w:hAnsi="宋体" w:cs="宋体"/>
          <w:kern w:val="0"/>
        </w:rPr>
        <w:t>（供应商法定代表人、代理人身份证复印件并加盖公章附后）</w:t>
      </w:r>
    </w:p>
    <w:p w14:paraId="19C20B84">
      <w:pPr>
        <w:spacing w:line="360" w:lineRule="auto"/>
        <w:rPr>
          <w:rFonts w:ascii="宋体"/>
          <w:kern w:val="0"/>
        </w:rPr>
      </w:pPr>
    </w:p>
    <w:p w14:paraId="44408AEA">
      <w:pPr>
        <w:rPr>
          <w:rFonts w:ascii="宋体"/>
        </w:rPr>
      </w:pPr>
    </w:p>
    <w:p w14:paraId="7B1E032E">
      <w:pPr>
        <w:rPr>
          <w:rFonts w:ascii="宋体"/>
        </w:rPr>
      </w:pPr>
    </w:p>
    <w:p w14:paraId="496CE330">
      <w:pPr>
        <w:rPr>
          <w:rFonts w:ascii="宋体"/>
        </w:rPr>
      </w:pPr>
    </w:p>
    <w:p w14:paraId="71547C6E">
      <w:pPr>
        <w:rPr>
          <w:rFonts w:ascii="宋体"/>
        </w:rPr>
      </w:pPr>
    </w:p>
    <w:p w14:paraId="5136798D">
      <w:pPr>
        <w:rPr>
          <w:rFonts w:ascii="宋体"/>
        </w:rPr>
      </w:pPr>
    </w:p>
    <w:p w14:paraId="31E1FE26">
      <w:pPr>
        <w:pStyle w:val="3"/>
        <w:numPr>
          <w:ilvl w:val="0"/>
          <w:numId w:val="0"/>
        </w:numPr>
        <w:spacing w:before="0" w:after="0" w:line="360" w:lineRule="auto"/>
        <w:jc w:val="center"/>
        <w:rPr>
          <w:rFonts w:cs="Times New Roman"/>
        </w:rPr>
      </w:pPr>
      <w:r>
        <w:rPr>
          <w:rFonts w:hint="eastAsia"/>
        </w:rPr>
        <w:t>二、报价一览表</w:t>
      </w:r>
    </w:p>
    <w:p w14:paraId="45DFCF2C">
      <w:pPr>
        <w:pStyle w:val="16"/>
        <w:spacing w:line="360" w:lineRule="auto"/>
        <w:rPr>
          <w:rFonts w:hAnsi="宋体"/>
          <w:kern w:val="0"/>
        </w:rPr>
      </w:pPr>
      <w:r>
        <w:rPr>
          <w:rFonts w:hint="eastAsia" w:hAnsi="宋体"/>
          <w:kern w:val="0"/>
        </w:rPr>
        <w:t>包号：</w:t>
      </w:r>
      <w:r>
        <w:rPr>
          <w:rFonts w:hAnsi="宋体"/>
          <w:kern w:val="0"/>
        </w:rPr>
        <w:t>XXX</w:t>
      </w:r>
    </w:p>
    <w:tbl>
      <w:tblPr>
        <w:tblStyle w:val="28"/>
        <w:tblpPr w:leftFromText="180" w:rightFromText="180" w:vertAnchor="text" w:horzAnchor="page" w:tblpX="1642" w:tblpY="113"/>
        <w:tblOverlap w:val="never"/>
        <w:tblW w:w="450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2"/>
        <w:gridCol w:w="1735"/>
        <w:gridCol w:w="1581"/>
        <w:gridCol w:w="1253"/>
        <w:gridCol w:w="1516"/>
        <w:gridCol w:w="1341"/>
      </w:tblGrid>
      <w:tr w14:paraId="4ADFF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509" w:type="pct"/>
            <w:vAlign w:val="center"/>
          </w:tcPr>
          <w:p w14:paraId="48180701">
            <w:pPr>
              <w:jc w:val="center"/>
              <w:rPr>
                <w:rFonts w:ascii="宋体" w:hAnsi="宋体" w:cs="宋体"/>
              </w:rPr>
            </w:pPr>
            <w:r>
              <w:rPr>
                <w:rFonts w:hint="eastAsia" w:ascii="宋体" w:hAnsi="宋体" w:cs="宋体"/>
              </w:rPr>
              <w:t>序号</w:t>
            </w:r>
          </w:p>
        </w:tc>
        <w:tc>
          <w:tcPr>
            <w:tcW w:w="1049" w:type="pct"/>
            <w:vAlign w:val="center"/>
          </w:tcPr>
          <w:p w14:paraId="69D60D00">
            <w:pPr>
              <w:jc w:val="center"/>
              <w:rPr>
                <w:rFonts w:ascii="宋体" w:hAnsi="宋体" w:cs="宋体"/>
              </w:rPr>
            </w:pPr>
            <w:r>
              <w:rPr>
                <w:rFonts w:hint="eastAsia" w:ascii="宋体" w:hAnsi="宋体" w:cs="宋体"/>
              </w:rPr>
              <w:t>标的名称</w:t>
            </w:r>
          </w:p>
        </w:tc>
        <w:tc>
          <w:tcPr>
            <w:tcW w:w="956" w:type="pct"/>
            <w:vAlign w:val="center"/>
          </w:tcPr>
          <w:p w14:paraId="489917CF">
            <w:pPr>
              <w:jc w:val="center"/>
              <w:rPr>
                <w:rFonts w:ascii="宋体" w:hAnsi="宋体" w:cs="宋体"/>
              </w:rPr>
            </w:pPr>
            <w:r>
              <w:rPr>
                <w:rFonts w:hint="eastAsia" w:ascii="宋体" w:hAnsi="宋体" w:cs="宋体"/>
              </w:rPr>
              <w:t>单价最高限价（万元/年）</w:t>
            </w:r>
          </w:p>
        </w:tc>
        <w:tc>
          <w:tcPr>
            <w:tcW w:w="758" w:type="pct"/>
            <w:vAlign w:val="center"/>
          </w:tcPr>
          <w:p w14:paraId="30AD815E">
            <w:pPr>
              <w:jc w:val="center"/>
              <w:rPr>
                <w:rFonts w:ascii="宋体" w:hAnsi="宋体" w:cs="宋体"/>
              </w:rPr>
            </w:pPr>
            <w:r>
              <w:rPr>
                <w:rFonts w:hint="eastAsia" w:ascii="宋体" w:hAnsi="宋体" w:cs="宋体"/>
              </w:rPr>
              <w:t>服务期限</w:t>
            </w:r>
          </w:p>
        </w:tc>
        <w:tc>
          <w:tcPr>
            <w:tcW w:w="917" w:type="pct"/>
            <w:vAlign w:val="center"/>
          </w:tcPr>
          <w:p w14:paraId="7D8006B9">
            <w:pPr>
              <w:jc w:val="center"/>
              <w:rPr>
                <w:rFonts w:ascii="宋体" w:hAnsi="宋体" w:cs="宋体"/>
              </w:rPr>
            </w:pPr>
            <w:r>
              <w:rPr>
                <w:rFonts w:hint="eastAsia" w:ascii="宋体" w:hAnsi="宋体" w:cs="宋体"/>
              </w:rPr>
              <w:t>单价报价（万元/年）</w:t>
            </w:r>
          </w:p>
        </w:tc>
        <w:tc>
          <w:tcPr>
            <w:tcW w:w="807" w:type="pct"/>
            <w:vAlign w:val="center"/>
          </w:tcPr>
          <w:p w14:paraId="71D38178">
            <w:pPr>
              <w:jc w:val="center"/>
              <w:rPr>
                <w:rFonts w:ascii="宋体" w:hAnsi="宋体" w:cs="宋体"/>
              </w:rPr>
            </w:pPr>
            <w:r>
              <w:rPr>
                <w:rFonts w:hint="eastAsia" w:ascii="宋体" w:hAnsi="宋体" w:cs="宋体"/>
              </w:rPr>
              <w:t>总价报价（万元）</w:t>
            </w:r>
          </w:p>
        </w:tc>
      </w:tr>
      <w:tr w14:paraId="1B385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509" w:type="pct"/>
            <w:vAlign w:val="center"/>
          </w:tcPr>
          <w:p w14:paraId="2C1AEAA2">
            <w:pPr>
              <w:jc w:val="center"/>
              <w:rPr>
                <w:rFonts w:ascii="宋体" w:hAnsi="宋体" w:cs="宋体"/>
              </w:rPr>
            </w:pPr>
            <w:r>
              <w:rPr>
                <w:rFonts w:hint="eastAsia" w:ascii="宋体" w:hAnsi="宋体" w:cs="宋体"/>
              </w:rPr>
              <w:t>1</w:t>
            </w:r>
          </w:p>
        </w:tc>
        <w:tc>
          <w:tcPr>
            <w:tcW w:w="1049" w:type="pct"/>
            <w:vAlign w:val="center"/>
          </w:tcPr>
          <w:p w14:paraId="05963A7D">
            <w:pPr>
              <w:jc w:val="center"/>
              <w:rPr>
                <w:rFonts w:ascii="宋体" w:hAnsi="宋体" w:cs="宋体"/>
              </w:rPr>
            </w:pPr>
            <w:r>
              <w:rPr>
                <w:rFonts w:hint="eastAsia" w:ascii="宋体" w:hAnsi="宋体" w:cs="宋体"/>
              </w:rPr>
              <w:t>防统方系统维保服务</w:t>
            </w:r>
          </w:p>
        </w:tc>
        <w:tc>
          <w:tcPr>
            <w:tcW w:w="956" w:type="pct"/>
            <w:vAlign w:val="center"/>
          </w:tcPr>
          <w:p w14:paraId="61F6381B">
            <w:pPr>
              <w:jc w:val="center"/>
              <w:rPr>
                <w:rFonts w:ascii="宋体" w:hAnsi="宋体" w:cs="宋体"/>
              </w:rPr>
            </w:pPr>
            <w:r>
              <w:rPr>
                <w:rFonts w:hint="eastAsia" w:ascii="宋体" w:hAnsi="宋体" w:cs="宋体"/>
              </w:rPr>
              <w:t>1.4</w:t>
            </w:r>
          </w:p>
        </w:tc>
        <w:tc>
          <w:tcPr>
            <w:tcW w:w="758" w:type="pct"/>
            <w:vAlign w:val="center"/>
          </w:tcPr>
          <w:p w14:paraId="4B6D025F">
            <w:pPr>
              <w:jc w:val="center"/>
              <w:rPr>
                <w:rFonts w:ascii="宋体" w:hAnsi="宋体" w:cs="宋体"/>
              </w:rPr>
            </w:pPr>
            <w:r>
              <w:rPr>
                <w:rFonts w:hint="eastAsia" w:ascii="宋体" w:hAnsi="宋体" w:cs="宋体"/>
              </w:rPr>
              <w:t>3年</w:t>
            </w:r>
          </w:p>
        </w:tc>
        <w:tc>
          <w:tcPr>
            <w:tcW w:w="917" w:type="pct"/>
            <w:vAlign w:val="center"/>
          </w:tcPr>
          <w:p w14:paraId="076DD392">
            <w:pPr>
              <w:jc w:val="center"/>
              <w:rPr>
                <w:rFonts w:ascii="宋体" w:hAnsi="宋体" w:cs="宋体"/>
              </w:rPr>
            </w:pPr>
          </w:p>
        </w:tc>
        <w:tc>
          <w:tcPr>
            <w:tcW w:w="807" w:type="pct"/>
            <w:vAlign w:val="center"/>
          </w:tcPr>
          <w:p w14:paraId="576B3395">
            <w:pPr>
              <w:jc w:val="center"/>
              <w:rPr>
                <w:rFonts w:ascii="宋体" w:hAnsi="宋体" w:cs="宋体"/>
              </w:rPr>
            </w:pPr>
          </w:p>
        </w:tc>
      </w:tr>
      <w:tr w14:paraId="37D7F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5000" w:type="pct"/>
            <w:gridSpan w:val="6"/>
            <w:vAlign w:val="center"/>
          </w:tcPr>
          <w:p w14:paraId="47FACAB4">
            <w:pPr>
              <w:jc w:val="center"/>
              <w:rPr>
                <w:rFonts w:ascii="宋体" w:hAnsi="宋体" w:cs="宋体"/>
              </w:rPr>
            </w:pPr>
            <w:r>
              <w:rPr>
                <w:rFonts w:hint="eastAsia" w:ascii="宋体" w:hAnsi="宋体" w:cs="宋体"/>
              </w:rPr>
              <w:t>总价报价：</w:t>
            </w:r>
            <w:r>
              <w:rPr>
                <w:rFonts w:hint="eastAsia" w:ascii="宋体" w:hAnsi="宋体" w:cs="宋体"/>
                <w:u w:val="single"/>
              </w:rPr>
              <w:t xml:space="preserve">           （大写：           ）</w:t>
            </w:r>
          </w:p>
        </w:tc>
      </w:tr>
    </w:tbl>
    <w:p w14:paraId="714D6704">
      <w:pPr>
        <w:spacing w:line="360" w:lineRule="auto"/>
        <w:ind w:firstLine="420" w:firstLineChars="200"/>
        <w:jc w:val="left"/>
        <w:rPr>
          <w:rFonts w:ascii="宋体" w:hAnsi="宋体"/>
          <w:kern w:val="0"/>
        </w:rPr>
      </w:pPr>
    </w:p>
    <w:p w14:paraId="4D41E794">
      <w:pPr>
        <w:spacing w:line="360" w:lineRule="auto"/>
        <w:ind w:firstLine="420" w:firstLineChars="200"/>
        <w:jc w:val="left"/>
        <w:rPr>
          <w:rFonts w:ascii="宋体" w:hAnsi="宋体"/>
          <w:kern w:val="0"/>
        </w:rPr>
      </w:pPr>
      <w:r>
        <w:rPr>
          <w:rFonts w:hint="eastAsia" w:ascii="宋体" w:hAnsi="宋体"/>
          <w:kern w:val="0"/>
        </w:rPr>
        <w:t>注：1、报价应是最终用户验收合格后的总价，包括货物运输、保险、代理、培训、税费和比选文件规定的其它费用。</w:t>
      </w:r>
    </w:p>
    <w:p w14:paraId="745E057C">
      <w:pPr>
        <w:spacing w:line="360" w:lineRule="auto"/>
        <w:ind w:firstLine="404" w:firstLineChars="200"/>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14:paraId="56055564">
      <w:pPr>
        <w:spacing w:line="360" w:lineRule="auto"/>
        <w:ind w:firstLine="420" w:firstLineChars="20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14:paraId="25A9B42C">
      <w:pPr>
        <w:spacing w:line="360" w:lineRule="auto"/>
        <w:ind w:firstLine="420" w:firstLineChars="200"/>
        <w:jc w:val="left"/>
        <w:rPr>
          <w:rFonts w:ascii="宋体" w:hAnsi="宋体"/>
          <w:kern w:val="0"/>
        </w:rPr>
      </w:pPr>
      <w:r>
        <w:rPr>
          <w:rFonts w:ascii="宋体" w:hAnsi="宋体"/>
          <w:kern w:val="0"/>
        </w:rPr>
        <w:t>4、</w:t>
      </w:r>
      <w:r>
        <w:rPr>
          <w:rFonts w:hint="eastAsia" w:ascii="宋体" w:hAnsi="宋体"/>
          <w:kern w:val="0"/>
        </w:rPr>
        <w:t>根据情况可增减表格行数，但不可随意更改表格样式。</w:t>
      </w:r>
    </w:p>
    <w:p w14:paraId="7A71C376">
      <w:pPr>
        <w:spacing w:line="360" w:lineRule="auto"/>
        <w:ind w:firstLine="420" w:firstLineChars="200"/>
        <w:jc w:val="left"/>
        <w:rPr>
          <w:rFonts w:ascii="宋体"/>
          <w:kern w:val="0"/>
        </w:rPr>
      </w:pPr>
      <w:r>
        <w:rPr>
          <w:rFonts w:hint="eastAsia" w:ascii="宋体"/>
          <w:kern w:val="0"/>
        </w:rPr>
        <w:t>5、如有其他未尽内容可单独附表，加盖公章。</w:t>
      </w:r>
    </w:p>
    <w:p w14:paraId="79649101">
      <w:pPr>
        <w:spacing w:line="360" w:lineRule="auto"/>
        <w:ind w:left="246" w:hanging="245" w:hangingChars="117"/>
        <w:jc w:val="left"/>
        <w:rPr>
          <w:rFonts w:ascii="宋体"/>
          <w:kern w:val="0"/>
        </w:rPr>
      </w:pPr>
    </w:p>
    <w:p w14:paraId="221BDF68">
      <w:pPr>
        <w:spacing w:line="360" w:lineRule="auto"/>
        <w:ind w:firstLine="176" w:firstLineChars="84"/>
        <w:rPr>
          <w:rFonts w:ascii="宋体"/>
          <w:kern w:val="0"/>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22565EFE">
      <w:pPr>
        <w:spacing w:line="360" w:lineRule="auto"/>
        <w:ind w:firstLine="176" w:firstLineChars="84"/>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6686F151">
      <w:pPr>
        <w:spacing w:line="360" w:lineRule="auto"/>
        <w:ind w:firstLine="176" w:firstLineChars="84"/>
        <w:rPr>
          <w:rFonts w:ascii="宋体" w:hAnsi="宋体" w:cs="宋体"/>
          <w:kern w:val="0"/>
        </w:rPr>
      </w:pPr>
      <w:r>
        <w:rPr>
          <w:rFonts w:hint="eastAsia" w:ascii="宋体" w:hAnsi="宋体" w:cs="宋体"/>
          <w:kern w:val="0"/>
        </w:rPr>
        <w:t>日期：年月日</w:t>
      </w:r>
    </w:p>
    <w:p w14:paraId="61E48F5C">
      <w:pPr>
        <w:pStyle w:val="3"/>
        <w:numPr>
          <w:ilvl w:val="0"/>
          <w:numId w:val="0"/>
        </w:numPr>
        <w:spacing w:before="0" w:after="0" w:line="360" w:lineRule="auto"/>
        <w:jc w:val="center"/>
        <w:rPr>
          <w:rFonts w:cs="Times New Roman"/>
        </w:rPr>
      </w:pPr>
      <w:r>
        <w:rPr>
          <w:rFonts w:ascii="黑体" w:hAnsi="黑体"/>
        </w:rPr>
        <w:br w:type="page"/>
      </w:r>
      <w:r>
        <w:rPr>
          <w:rFonts w:hint="eastAsia" w:ascii="黑体" w:hAnsi="黑体"/>
        </w:rPr>
        <w:t>三、</w:t>
      </w:r>
      <w:bookmarkEnd w:id="30"/>
      <w:bookmarkEnd w:id="31"/>
      <w:bookmarkEnd w:id="32"/>
      <w:bookmarkEnd w:id="33"/>
      <w:r>
        <w:rPr>
          <w:rFonts w:hint="eastAsia"/>
        </w:rPr>
        <w:t>供应商资格证明材料</w:t>
      </w:r>
    </w:p>
    <w:p w14:paraId="185C9B95"/>
    <w:p w14:paraId="33C970D5">
      <w:pPr>
        <w:pStyle w:val="16"/>
        <w:spacing w:line="360" w:lineRule="auto"/>
        <w:rPr>
          <w:rFonts w:hAnsi="宋体" w:cs="Times New Roman"/>
          <w:b/>
          <w:bCs/>
          <w:kern w:val="0"/>
        </w:rPr>
      </w:pPr>
      <w:r>
        <w:rPr>
          <w:rFonts w:hint="eastAsia" w:hAnsi="宋体"/>
          <w:b/>
          <w:bCs/>
          <w:kern w:val="0"/>
        </w:rPr>
        <w:t>供应商提交的资格证明材料包括以下内容：</w:t>
      </w:r>
    </w:p>
    <w:p w14:paraId="51FA5CB7">
      <w:pPr>
        <w:pStyle w:val="16"/>
        <w:numPr>
          <w:ilvl w:val="0"/>
          <w:numId w:val="6"/>
        </w:numPr>
        <w:spacing w:line="360" w:lineRule="auto"/>
        <w:rPr>
          <w:rFonts w:hAnsi="宋体" w:cs="Times New Roman"/>
          <w:kern w:val="0"/>
        </w:rPr>
      </w:pPr>
      <w:r>
        <w:rPr>
          <w:rFonts w:hint="eastAsia" w:hAnsi="宋体"/>
        </w:rPr>
        <w:t>在中华人民共和国境内注册，具有独立法人资格的合法企业。（提供营业执照副本、税务登记证副本、组织机构代码证副本复印件，已实现三证合一的只需提供营业执照副本复印件）；</w:t>
      </w:r>
    </w:p>
    <w:p w14:paraId="0CC3C14F">
      <w:pPr>
        <w:pStyle w:val="16"/>
        <w:numPr>
          <w:ilvl w:val="0"/>
          <w:numId w:val="6"/>
        </w:numPr>
        <w:spacing w:line="360" w:lineRule="auto"/>
        <w:rPr>
          <w:rFonts w:hAnsi="宋体" w:cs="Times New Roman"/>
          <w:kern w:val="0"/>
        </w:rPr>
      </w:pPr>
      <w:r>
        <w:rPr>
          <w:rFonts w:hint="eastAsia" w:hAnsi="宋体"/>
          <w:kern w:val="0"/>
        </w:rPr>
        <w:t>法定代表人授权书；（原件，加盖鲜章）</w:t>
      </w:r>
    </w:p>
    <w:p w14:paraId="4CDBAB98">
      <w:pPr>
        <w:pStyle w:val="16"/>
        <w:numPr>
          <w:ilvl w:val="0"/>
          <w:numId w:val="6"/>
        </w:numPr>
        <w:spacing w:line="360" w:lineRule="auto"/>
        <w:rPr>
          <w:rFonts w:hAnsi="宋体" w:cs="Times New Roman"/>
          <w:kern w:val="0"/>
        </w:rPr>
      </w:pPr>
      <w:r>
        <w:rPr>
          <w:rFonts w:hint="eastAsia" w:hAnsi="宋体"/>
          <w:kern w:val="0"/>
        </w:rPr>
        <w:t>法定代表人身份证明文件；（复印件，加盖鲜章）</w:t>
      </w:r>
    </w:p>
    <w:p w14:paraId="2252D364">
      <w:pPr>
        <w:pStyle w:val="16"/>
        <w:numPr>
          <w:ilvl w:val="0"/>
          <w:numId w:val="6"/>
        </w:numPr>
        <w:spacing w:line="360" w:lineRule="auto"/>
        <w:rPr>
          <w:rFonts w:hAnsi="宋体" w:cs="Times New Roman"/>
          <w:kern w:val="0"/>
        </w:rPr>
      </w:pPr>
      <w:r>
        <w:rPr>
          <w:rFonts w:hint="eastAsia" w:hAnsi="宋体"/>
          <w:kern w:val="0"/>
        </w:rPr>
        <w:t>代理人身份证明文件；（复印件，加盖鲜章）</w:t>
      </w:r>
    </w:p>
    <w:p w14:paraId="5E846FC1">
      <w:pPr>
        <w:pStyle w:val="16"/>
        <w:numPr>
          <w:ilvl w:val="0"/>
          <w:numId w:val="6"/>
        </w:numPr>
        <w:spacing w:line="360" w:lineRule="auto"/>
        <w:rPr>
          <w:rFonts w:hAnsi="宋体"/>
          <w:kern w:val="0"/>
        </w:rPr>
      </w:pPr>
      <w:r>
        <w:rPr>
          <w:rFonts w:hint="eastAsia" w:hAnsi="宋体"/>
          <w:kern w:val="0"/>
        </w:rPr>
        <w:t>其他资格证明材料（如有，加盖鲜章）。</w:t>
      </w:r>
    </w:p>
    <w:p w14:paraId="19C02372">
      <w:pPr>
        <w:widowControl/>
        <w:jc w:val="left"/>
        <w:rPr>
          <w:rFonts w:ascii="宋体" w:hAnsi="宋体" w:cs="宋体"/>
          <w:b/>
          <w:bCs/>
          <w:sz w:val="28"/>
          <w:szCs w:val="28"/>
        </w:rPr>
      </w:pPr>
      <w:r>
        <w:br w:type="page"/>
      </w:r>
    </w:p>
    <w:p w14:paraId="7B1C8834">
      <w:pPr>
        <w:pStyle w:val="3"/>
        <w:numPr>
          <w:ilvl w:val="0"/>
          <w:numId w:val="0"/>
        </w:numPr>
        <w:spacing w:before="0" w:after="0"/>
        <w:jc w:val="center"/>
        <w:rPr>
          <w:rFonts w:cs="Times New Roman"/>
        </w:rPr>
      </w:pPr>
      <w:r>
        <w:rPr>
          <w:rFonts w:hint="eastAsia"/>
        </w:rPr>
        <w:t>四、承诺函</w:t>
      </w:r>
    </w:p>
    <w:p w14:paraId="10A23126">
      <w:pPr>
        <w:rPr>
          <w:rFonts w:ascii="宋体"/>
          <w:b/>
          <w:bCs/>
        </w:rPr>
      </w:pPr>
    </w:p>
    <w:p w14:paraId="394434D4">
      <w:pPr>
        <w:pStyle w:val="15"/>
        <w:spacing w:after="0" w:line="360" w:lineRule="auto"/>
        <w:ind w:left="0" w:leftChars="0"/>
        <w:rPr>
          <w:rFonts w:ascii="宋体"/>
          <w:b/>
          <w:bCs/>
        </w:rPr>
      </w:pPr>
      <w:r>
        <w:rPr>
          <w:rFonts w:hint="eastAsia" w:ascii="宋体" w:hAnsi="宋体" w:cs="宋体"/>
          <w:b/>
          <w:bCs/>
          <w:kern w:val="0"/>
        </w:rPr>
        <w:t>致资阳市中心医院</w:t>
      </w:r>
      <w:r>
        <w:rPr>
          <w:rFonts w:hint="eastAsia" w:ascii="宋体" w:hAnsi="宋体" w:cs="宋体"/>
          <w:b/>
          <w:bCs/>
        </w:rPr>
        <w:t>：</w:t>
      </w:r>
    </w:p>
    <w:p w14:paraId="08AB816F">
      <w:pPr>
        <w:pStyle w:val="16"/>
        <w:spacing w:line="360" w:lineRule="auto"/>
        <w:ind w:firstLine="420" w:firstLineChars="200"/>
        <w:rPr>
          <w:rFonts w:hAnsi="宋体" w:cs="Times New Roman"/>
          <w:kern w:val="0"/>
        </w:rPr>
      </w:pPr>
      <w:r>
        <w:rPr>
          <w:rFonts w:hint="eastAsia" w:hAnsi="宋体"/>
          <w:kern w:val="0"/>
        </w:rPr>
        <w:t>本单位</w:t>
      </w:r>
      <w:r>
        <w:rPr>
          <w:rFonts w:hint="eastAsia" w:hAnsi="宋体"/>
          <w:kern w:val="0"/>
          <w:u w:val="single"/>
        </w:rPr>
        <w:t>（供应商名称</w:t>
      </w:r>
      <w:r>
        <w:rPr>
          <w:rFonts w:hint="eastAsia" w:hAnsi="宋体"/>
          <w:u w:val="single"/>
        </w:rPr>
        <w:t>）</w:t>
      </w:r>
      <w:r>
        <w:rPr>
          <w:rFonts w:hint="eastAsia" w:hAnsi="宋体"/>
          <w:kern w:val="0"/>
        </w:rPr>
        <w:t>参</w:t>
      </w:r>
      <w:r>
        <w:rPr>
          <w:rFonts w:hint="eastAsia" w:hAnsi="宋体"/>
        </w:rPr>
        <w:t>加</w:t>
      </w:r>
      <w:r>
        <w:rPr>
          <w:rFonts w:hint="eastAsia" w:hAnsi="宋体"/>
          <w:u w:val="single"/>
        </w:rPr>
        <w:t>（</w:t>
      </w:r>
      <w:r>
        <w:rPr>
          <w:rFonts w:hint="eastAsia" w:hAnsi="宋体"/>
          <w:kern w:val="0"/>
          <w:u w:val="single"/>
        </w:rPr>
        <w:t>比选项目名称</w:t>
      </w:r>
      <w:r>
        <w:rPr>
          <w:rFonts w:hAnsi="宋体"/>
          <w:kern w:val="0"/>
          <w:u w:val="single"/>
        </w:rPr>
        <w:t>/</w:t>
      </w:r>
      <w:r>
        <w:rPr>
          <w:rFonts w:hint="eastAsia" w:hAnsi="宋体"/>
          <w:kern w:val="0"/>
          <w:u w:val="single"/>
        </w:rPr>
        <w:t>包号</w:t>
      </w:r>
      <w:r>
        <w:rPr>
          <w:rFonts w:hint="eastAsia" w:hAnsi="宋体"/>
          <w:u w:val="single"/>
        </w:rPr>
        <w:t>）</w:t>
      </w:r>
      <w:r>
        <w:rPr>
          <w:rFonts w:hint="eastAsia" w:hAnsi="宋体"/>
        </w:rPr>
        <w:t>的</w:t>
      </w:r>
      <w:r>
        <w:rPr>
          <w:rFonts w:hint="eastAsia" w:hAnsi="宋体"/>
          <w:kern w:val="0"/>
        </w:rPr>
        <w:t>比选活动，现承诺：</w:t>
      </w:r>
    </w:p>
    <w:p w14:paraId="36913FB0">
      <w:pPr>
        <w:pStyle w:val="7"/>
        <w:spacing w:line="400" w:lineRule="exact"/>
        <w:jc w:val="left"/>
        <w:rPr>
          <w:rFonts w:ascii="宋体"/>
        </w:rPr>
      </w:pPr>
      <w:r>
        <w:rPr>
          <w:rFonts w:hint="eastAsia" w:ascii="宋体" w:hAnsi="宋体" w:cs="宋体"/>
        </w:rPr>
        <w:t>一、具备本项目规定的条件：</w:t>
      </w:r>
    </w:p>
    <w:p w14:paraId="7D451DE6">
      <w:pPr>
        <w:pStyle w:val="7"/>
        <w:spacing w:line="400" w:lineRule="exact"/>
        <w:jc w:val="left"/>
        <w:rPr>
          <w:rFonts w:ascii="宋体"/>
        </w:rPr>
      </w:pPr>
      <w:r>
        <w:rPr>
          <w:rFonts w:hint="eastAsia" w:ascii="宋体" w:hAnsi="宋体" w:cs="宋体"/>
        </w:rPr>
        <w:t>（一）在中华人民共和国境内注册，具有独立法人资格的合法企业；</w:t>
      </w:r>
    </w:p>
    <w:p w14:paraId="5F98EE06">
      <w:pPr>
        <w:pStyle w:val="7"/>
        <w:spacing w:line="400" w:lineRule="exact"/>
        <w:jc w:val="left"/>
        <w:rPr>
          <w:rFonts w:ascii="宋体"/>
        </w:rPr>
      </w:pPr>
      <w:r>
        <w:rPr>
          <w:rFonts w:hint="eastAsia" w:ascii="宋体" w:hAnsi="宋体" w:cs="宋体"/>
        </w:rPr>
        <w:t>（二）具有良好的商业信誉和健全的财务会计制度；</w:t>
      </w:r>
    </w:p>
    <w:p w14:paraId="08F0448F">
      <w:pPr>
        <w:pStyle w:val="7"/>
        <w:spacing w:line="400" w:lineRule="exact"/>
        <w:jc w:val="left"/>
        <w:rPr>
          <w:rFonts w:ascii="宋体"/>
        </w:rPr>
      </w:pPr>
      <w:r>
        <w:rPr>
          <w:rFonts w:hint="eastAsia" w:ascii="宋体" w:hAnsi="宋体" w:cs="宋体"/>
        </w:rPr>
        <w:t>（三）具有履行合同所必需的设备和专业技术能力；</w:t>
      </w:r>
    </w:p>
    <w:p w14:paraId="0482D667">
      <w:pPr>
        <w:pStyle w:val="7"/>
        <w:spacing w:line="400" w:lineRule="exact"/>
        <w:jc w:val="left"/>
        <w:rPr>
          <w:rFonts w:ascii="宋体"/>
        </w:rPr>
      </w:pPr>
      <w:r>
        <w:rPr>
          <w:rFonts w:hint="eastAsia" w:ascii="宋体" w:hAnsi="宋体" w:cs="宋体"/>
        </w:rPr>
        <w:t>（四）有依法缴纳税收和社会保障资金的良好记录；</w:t>
      </w:r>
    </w:p>
    <w:p w14:paraId="2A67E697">
      <w:pPr>
        <w:pStyle w:val="7"/>
        <w:spacing w:line="400" w:lineRule="exact"/>
        <w:jc w:val="left"/>
        <w:rPr>
          <w:rFonts w:ascii="宋体"/>
        </w:rPr>
      </w:pPr>
      <w:r>
        <w:rPr>
          <w:rFonts w:hint="eastAsia" w:ascii="宋体" w:hAnsi="宋体" w:cs="宋体"/>
        </w:rPr>
        <w:t>（五）参加采购活动前三年内，在经营活动中没有重大违法记录；</w:t>
      </w:r>
    </w:p>
    <w:p w14:paraId="6F05F908">
      <w:pPr>
        <w:pStyle w:val="7"/>
        <w:spacing w:line="400" w:lineRule="exact"/>
        <w:jc w:val="left"/>
        <w:rPr>
          <w:rFonts w:ascii="宋体"/>
        </w:rPr>
      </w:pPr>
      <w:r>
        <w:rPr>
          <w:rFonts w:hint="eastAsia" w:ascii="宋体" w:hAnsi="宋体" w:cs="宋体"/>
        </w:rPr>
        <w:t>（六）法律、行政法规规定的其他条件；</w:t>
      </w:r>
    </w:p>
    <w:p w14:paraId="532FA15D">
      <w:pPr>
        <w:pStyle w:val="7"/>
        <w:spacing w:line="400" w:lineRule="exact"/>
        <w:jc w:val="left"/>
        <w:rPr>
          <w:rFonts w:ascii="宋体"/>
        </w:rPr>
      </w:pPr>
      <w:r>
        <w:rPr>
          <w:rFonts w:hint="eastAsia" w:ascii="宋体" w:hAnsi="宋体" w:cs="宋体"/>
        </w:rPr>
        <w:t>（七）根据采购项目提出的特殊条件。</w:t>
      </w:r>
    </w:p>
    <w:p w14:paraId="654E578E">
      <w:pPr>
        <w:pStyle w:val="7"/>
        <w:spacing w:line="400" w:lineRule="exact"/>
        <w:jc w:val="left"/>
        <w:rPr>
          <w:rFonts w:ascii="宋体"/>
        </w:rPr>
      </w:pPr>
      <w:r>
        <w:rPr>
          <w:rFonts w:hint="eastAsia" w:ascii="宋体" w:hAnsi="宋体" w:cs="宋体"/>
        </w:rPr>
        <w:t>二、截至比选申请文件递交截止日未被列入失信被执行人、重大税收违法案件当事人名单、政府采购严重违法失信行为记录名单。</w:t>
      </w:r>
    </w:p>
    <w:p w14:paraId="0981DC93">
      <w:pPr>
        <w:pStyle w:val="7"/>
        <w:spacing w:line="400" w:lineRule="exact"/>
        <w:jc w:val="left"/>
        <w:rPr>
          <w:rFonts w:ascii="宋体"/>
        </w:rPr>
      </w:pPr>
      <w:r>
        <w:rPr>
          <w:rFonts w:hint="eastAsia" w:ascii="宋体" w:hAnsi="宋体" w:cs="宋体"/>
        </w:rPr>
        <w:t>三、我单位及其现任法定代表人</w:t>
      </w:r>
      <w:r>
        <w:rPr>
          <w:rFonts w:ascii="宋体" w:hAnsi="宋体" w:cs="宋体"/>
        </w:rPr>
        <w:t>/</w:t>
      </w:r>
      <w:r>
        <w:rPr>
          <w:rFonts w:hint="eastAsia" w:ascii="宋体" w:hAnsi="宋体" w:cs="宋体"/>
        </w:rPr>
        <w:t>主要负责人不具有行贿犯罪记录。</w:t>
      </w:r>
    </w:p>
    <w:p w14:paraId="55F79BCA">
      <w:pPr>
        <w:pStyle w:val="7"/>
        <w:spacing w:line="400" w:lineRule="exact"/>
        <w:jc w:val="left"/>
        <w:rPr>
          <w:rFonts w:ascii="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14:paraId="17206A8E">
      <w:pPr>
        <w:pStyle w:val="16"/>
        <w:spacing w:line="360" w:lineRule="auto"/>
        <w:ind w:firstLine="420" w:firstLineChars="200"/>
        <w:rPr>
          <w:rFonts w:hAnsi="宋体" w:cs="Times New Roman"/>
          <w:kern w:val="0"/>
        </w:rPr>
      </w:pPr>
    </w:p>
    <w:p w14:paraId="51A478B7">
      <w:pPr>
        <w:spacing w:line="360" w:lineRule="auto"/>
        <w:rPr>
          <w:rFonts w:ascii="宋体"/>
          <w:kern w:val="0"/>
        </w:rPr>
      </w:pPr>
    </w:p>
    <w:p w14:paraId="2DB7E7FD">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034B90C8">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04FE0128">
      <w:pPr>
        <w:spacing w:line="360" w:lineRule="auto"/>
        <w:ind w:firstLine="420" w:firstLineChars="200"/>
        <w:rPr>
          <w:rFonts w:ascii="宋体"/>
          <w:kern w:val="0"/>
        </w:rPr>
      </w:pPr>
      <w:r>
        <w:rPr>
          <w:rFonts w:hint="eastAsia" w:ascii="宋体" w:hAnsi="宋体" w:cs="宋体"/>
          <w:kern w:val="0"/>
        </w:rPr>
        <w:t>日期：年月日</w:t>
      </w:r>
    </w:p>
    <w:p w14:paraId="1F7F0D5D">
      <w:pPr>
        <w:pStyle w:val="16"/>
        <w:spacing w:line="360" w:lineRule="auto"/>
        <w:ind w:firstLine="420" w:firstLineChars="200"/>
        <w:rPr>
          <w:rFonts w:hAnsi="宋体" w:cs="Times New Roman"/>
          <w:kern w:val="0"/>
        </w:rPr>
      </w:pPr>
    </w:p>
    <w:p w14:paraId="68306B3C">
      <w:pPr>
        <w:pStyle w:val="16"/>
        <w:spacing w:line="360" w:lineRule="auto"/>
        <w:ind w:firstLine="420" w:firstLineChars="200"/>
        <w:rPr>
          <w:rFonts w:hAnsi="宋体" w:cs="Times New Roman"/>
          <w:kern w:val="0"/>
        </w:rPr>
      </w:pPr>
      <w:r>
        <w:rPr>
          <w:rFonts w:hint="eastAsia" w:hAnsi="宋体"/>
          <w:kern w:val="0"/>
        </w:rPr>
        <w:t>注：本承诺函可自行提供具有有效签字或盖章的格式。</w:t>
      </w:r>
    </w:p>
    <w:p w14:paraId="248ED22D">
      <w:pPr>
        <w:pStyle w:val="16"/>
        <w:spacing w:line="360" w:lineRule="auto"/>
        <w:rPr>
          <w:rFonts w:hAnsi="宋体" w:cs="Times New Roman"/>
          <w:kern w:val="0"/>
        </w:rPr>
      </w:pPr>
    </w:p>
    <w:p w14:paraId="1621BD66">
      <w:pPr>
        <w:pStyle w:val="16"/>
        <w:spacing w:line="360" w:lineRule="auto"/>
        <w:rPr>
          <w:rFonts w:hAnsi="宋体" w:cs="Times New Roman"/>
          <w:kern w:val="0"/>
        </w:rPr>
      </w:pPr>
    </w:p>
    <w:p w14:paraId="276BBC9C">
      <w:pPr>
        <w:widowControl/>
        <w:jc w:val="left"/>
        <w:rPr>
          <w:rFonts w:ascii="宋体"/>
          <w:b/>
          <w:bCs/>
          <w:sz w:val="24"/>
          <w:szCs w:val="24"/>
        </w:rPr>
      </w:pPr>
    </w:p>
    <w:p w14:paraId="6B2F7C3E">
      <w:pPr>
        <w:pStyle w:val="3"/>
        <w:numPr>
          <w:ilvl w:val="0"/>
          <w:numId w:val="0"/>
        </w:numPr>
        <w:spacing w:before="0" w:after="0" w:line="360" w:lineRule="auto"/>
        <w:jc w:val="center"/>
        <w:rPr>
          <w:rFonts w:cs="Times New Roman"/>
        </w:rPr>
      </w:pPr>
      <w:bookmarkStart w:id="34" w:name="_Toc518397160"/>
      <w:bookmarkStart w:id="35" w:name="_Toc185047520"/>
      <w:bookmarkStart w:id="36" w:name="_Toc518397109"/>
      <w:r>
        <w:br w:type="page"/>
      </w:r>
      <w:r>
        <w:rPr>
          <w:rFonts w:hint="eastAsia"/>
        </w:rPr>
        <w:t>五、</w:t>
      </w:r>
      <w:bookmarkEnd w:id="34"/>
      <w:bookmarkEnd w:id="35"/>
      <w:bookmarkEnd w:id="36"/>
      <w:r>
        <w:rPr>
          <w:rFonts w:hint="eastAsia"/>
        </w:rPr>
        <w:t>其他资格证明文件（如有）</w:t>
      </w:r>
    </w:p>
    <w:p w14:paraId="17BE52FB">
      <w:pPr>
        <w:spacing w:line="360" w:lineRule="auto"/>
        <w:jc w:val="center"/>
        <w:rPr>
          <w:rFonts w:ascii="宋体"/>
          <w:b/>
          <w:bCs/>
          <w:sz w:val="23"/>
          <w:szCs w:val="23"/>
        </w:rPr>
      </w:pPr>
      <w:r>
        <w:rPr>
          <w:rFonts w:hint="eastAsia" w:ascii="宋体" w:hAnsi="宋体" w:cs="宋体"/>
          <w:b/>
          <w:bCs/>
          <w:sz w:val="23"/>
          <w:szCs w:val="23"/>
        </w:rPr>
        <w:t>（格式自拟）</w:t>
      </w:r>
    </w:p>
    <w:p w14:paraId="7B8235C8">
      <w:pPr>
        <w:pStyle w:val="16"/>
        <w:spacing w:line="360" w:lineRule="auto"/>
        <w:rPr>
          <w:rFonts w:hAnsi="宋体" w:cs="Times New Roman"/>
          <w:kern w:val="0"/>
        </w:rPr>
      </w:pPr>
    </w:p>
    <w:p w14:paraId="4D562840">
      <w:pPr>
        <w:spacing w:line="400" w:lineRule="exact"/>
        <w:ind w:left="840" w:hanging="840" w:hangingChars="350"/>
        <w:rPr>
          <w:rFonts w:ascii="宋体"/>
          <w:sz w:val="24"/>
          <w:szCs w:val="24"/>
        </w:rPr>
      </w:pPr>
    </w:p>
    <w:p w14:paraId="7D52FCFB">
      <w:pPr>
        <w:spacing w:line="400" w:lineRule="exact"/>
        <w:ind w:left="840" w:hanging="840" w:hangingChars="350"/>
        <w:rPr>
          <w:rFonts w:ascii="宋体"/>
          <w:sz w:val="24"/>
          <w:szCs w:val="24"/>
        </w:rPr>
      </w:pPr>
    </w:p>
    <w:p w14:paraId="73C0324D">
      <w:pPr>
        <w:spacing w:line="400" w:lineRule="exact"/>
        <w:ind w:left="840" w:hanging="840" w:hangingChars="350"/>
        <w:rPr>
          <w:rFonts w:ascii="宋体"/>
          <w:sz w:val="24"/>
          <w:szCs w:val="24"/>
        </w:rPr>
      </w:pPr>
    </w:p>
    <w:p w14:paraId="2F569D66">
      <w:pPr>
        <w:spacing w:line="400" w:lineRule="exact"/>
        <w:ind w:left="840" w:hanging="840" w:hangingChars="350"/>
        <w:rPr>
          <w:rFonts w:ascii="宋体"/>
          <w:sz w:val="24"/>
          <w:szCs w:val="24"/>
        </w:rPr>
      </w:pPr>
    </w:p>
    <w:p w14:paraId="28E11B69">
      <w:pPr>
        <w:spacing w:line="400" w:lineRule="exact"/>
        <w:ind w:left="840" w:hanging="840" w:hangingChars="350"/>
        <w:rPr>
          <w:rFonts w:ascii="宋体"/>
          <w:sz w:val="24"/>
          <w:szCs w:val="24"/>
        </w:rPr>
      </w:pPr>
    </w:p>
    <w:p w14:paraId="5EE55E50">
      <w:pPr>
        <w:spacing w:line="400" w:lineRule="exact"/>
        <w:ind w:left="840" w:hanging="840" w:hangingChars="350"/>
        <w:rPr>
          <w:rFonts w:ascii="宋体"/>
          <w:sz w:val="24"/>
          <w:szCs w:val="24"/>
        </w:rPr>
      </w:pPr>
    </w:p>
    <w:p w14:paraId="206014BB">
      <w:pPr>
        <w:spacing w:line="400" w:lineRule="exact"/>
        <w:ind w:left="840" w:hanging="840" w:hangingChars="350"/>
        <w:rPr>
          <w:rFonts w:ascii="宋体"/>
          <w:sz w:val="24"/>
          <w:szCs w:val="24"/>
        </w:rPr>
      </w:pPr>
    </w:p>
    <w:p w14:paraId="21081277">
      <w:pPr>
        <w:spacing w:line="400" w:lineRule="exact"/>
        <w:ind w:left="840" w:hanging="840" w:hangingChars="350"/>
        <w:rPr>
          <w:rFonts w:ascii="宋体"/>
          <w:sz w:val="24"/>
          <w:szCs w:val="24"/>
        </w:rPr>
      </w:pPr>
    </w:p>
    <w:p w14:paraId="4DB9327A">
      <w:pPr>
        <w:spacing w:line="400" w:lineRule="exact"/>
        <w:ind w:left="840" w:hanging="840" w:hangingChars="350"/>
        <w:rPr>
          <w:rFonts w:ascii="宋体"/>
          <w:sz w:val="24"/>
          <w:szCs w:val="24"/>
        </w:rPr>
      </w:pPr>
    </w:p>
    <w:p w14:paraId="54D24497">
      <w:pPr>
        <w:spacing w:line="400" w:lineRule="exact"/>
        <w:ind w:left="840" w:hanging="840" w:hangingChars="350"/>
        <w:rPr>
          <w:rFonts w:ascii="宋体"/>
          <w:sz w:val="24"/>
          <w:szCs w:val="24"/>
        </w:rPr>
      </w:pPr>
    </w:p>
    <w:p w14:paraId="219E3FA1">
      <w:pPr>
        <w:rPr>
          <w:rFonts w:ascii="宋体"/>
        </w:rPr>
      </w:pPr>
    </w:p>
    <w:p w14:paraId="206EC6EA">
      <w:r>
        <w:br w:type="page"/>
      </w:r>
    </w:p>
    <w:p w14:paraId="41BD12C1">
      <w:pPr>
        <w:pStyle w:val="3"/>
        <w:numPr>
          <w:ilvl w:val="0"/>
          <w:numId w:val="0"/>
        </w:numPr>
        <w:spacing w:before="0" w:after="0" w:line="360" w:lineRule="auto"/>
        <w:jc w:val="center"/>
        <w:rPr>
          <w:rFonts w:cs="Times New Roman"/>
        </w:rPr>
      </w:pPr>
      <w:r>
        <w:rPr>
          <w:rFonts w:hint="eastAsia"/>
        </w:rPr>
        <w:t>六、</w:t>
      </w:r>
      <w:r>
        <w:rPr>
          <w:rFonts w:hint="eastAsia"/>
          <w:kern w:val="0"/>
        </w:rPr>
        <w:t>项目清单</w:t>
      </w:r>
      <w:r>
        <w:rPr>
          <w:rFonts w:hint="eastAsia"/>
        </w:rPr>
        <w:t>应答表</w:t>
      </w:r>
    </w:p>
    <w:p w14:paraId="369F3436">
      <w:pPr>
        <w:pStyle w:val="16"/>
        <w:spacing w:line="360" w:lineRule="auto"/>
        <w:rPr>
          <w:rFonts w:hAnsi="宋体"/>
        </w:rPr>
      </w:pPr>
      <w:r>
        <w:rPr>
          <w:rFonts w:hint="eastAsia" w:hAnsi="宋体"/>
          <w:kern w:val="0"/>
        </w:rPr>
        <w:t>包号：</w:t>
      </w:r>
      <w:r>
        <w:rPr>
          <w:rFonts w:hAnsi="宋体"/>
          <w:kern w:val="0"/>
        </w:rPr>
        <w:t>XX</w:t>
      </w:r>
    </w:p>
    <w:tbl>
      <w:tblPr>
        <w:tblStyle w:val="28"/>
        <w:tblpPr w:leftFromText="180" w:rightFromText="180" w:vertAnchor="text" w:horzAnchor="page" w:tblpX="1642" w:tblpY="113"/>
        <w:tblOverlap w:val="never"/>
        <w:tblW w:w="50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2432"/>
        <w:gridCol w:w="2500"/>
        <w:gridCol w:w="1375"/>
        <w:gridCol w:w="2052"/>
      </w:tblGrid>
      <w:tr w14:paraId="4D001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465" w:type="pct"/>
          </w:tcPr>
          <w:p w14:paraId="18B1834A">
            <w:pPr>
              <w:jc w:val="center"/>
              <w:rPr>
                <w:rFonts w:ascii="宋体" w:hAnsi="宋体" w:cs="宋体"/>
              </w:rPr>
            </w:pPr>
            <w:r>
              <w:rPr>
                <w:rFonts w:hint="eastAsia" w:ascii="宋体" w:hAnsi="宋体" w:cs="宋体"/>
              </w:rPr>
              <w:t>序号</w:t>
            </w:r>
          </w:p>
        </w:tc>
        <w:tc>
          <w:tcPr>
            <w:tcW w:w="1319" w:type="pct"/>
          </w:tcPr>
          <w:p w14:paraId="21E9BB8B">
            <w:pPr>
              <w:jc w:val="center"/>
              <w:rPr>
                <w:rFonts w:ascii="宋体" w:hAnsi="宋体" w:cs="宋体"/>
              </w:rPr>
            </w:pPr>
            <w:r>
              <w:rPr>
                <w:rFonts w:hint="eastAsia" w:ascii="宋体" w:hAnsi="宋体" w:cs="宋体"/>
              </w:rPr>
              <w:t>标的名称</w:t>
            </w:r>
          </w:p>
        </w:tc>
        <w:tc>
          <w:tcPr>
            <w:tcW w:w="1356" w:type="pct"/>
          </w:tcPr>
          <w:p w14:paraId="770C4E05">
            <w:pPr>
              <w:jc w:val="center"/>
              <w:rPr>
                <w:rFonts w:ascii="宋体" w:hAnsi="宋体" w:cs="宋体"/>
              </w:rPr>
            </w:pPr>
            <w:r>
              <w:rPr>
                <w:rFonts w:hint="eastAsia" w:ascii="宋体" w:hAnsi="宋体" w:cs="宋体"/>
              </w:rPr>
              <w:t>单价最高限价（万元/年）</w:t>
            </w:r>
          </w:p>
        </w:tc>
        <w:tc>
          <w:tcPr>
            <w:tcW w:w="745" w:type="pct"/>
          </w:tcPr>
          <w:p w14:paraId="2F09AAC0">
            <w:pPr>
              <w:jc w:val="center"/>
              <w:rPr>
                <w:rFonts w:ascii="宋体" w:hAnsi="宋体" w:cs="宋体"/>
              </w:rPr>
            </w:pPr>
            <w:r>
              <w:rPr>
                <w:rFonts w:hint="eastAsia" w:ascii="宋体" w:hAnsi="宋体" w:cs="宋体"/>
              </w:rPr>
              <w:t>服务期限</w:t>
            </w:r>
          </w:p>
        </w:tc>
        <w:tc>
          <w:tcPr>
            <w:tcW w:w="1113" w:type="pct"/>
          </w:tcPr>
          <w:p w14:paraId="11ECF749">
            <w:pPr>
              <w:jc w:val="center"/>
              <w:rPr>
                <w:rFonts w:ascii="宋体" w:hAnsi="宋体" w:cs="宋体"/>
              </w:rPr>
            </w:pPr>
            <w:r>
              <w:rPr>
                <w:rFonts w:hint="eastAsia" w:ascii="宋体" w:hAnsi="宋体" w:cs="宋体"/>
              </w:rPr>
              <w:t>总价最高限价（万元）</w:t>
            </w:r>
          </w:p>
        </w:tc>
      </w:tr>
      <w:tr w14:paraId="7883D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465" w:type="pct"/>
          </w:tcPr>
          <w:p w14:paraId="499DF8D0">
            <w:pPr>
              <w:jc w:val="center"/>
              <w:rPr>
                <w:rFonts w:ascii="宋体" w:hAnsi="宋体" w:cs="宋体"/>
              </w:rPr>
            </w:pPr>
            <w:r>
              <w:rPr>
                <w:rFonts w:hint="eastAsia" w:ascii="宋体" w:hAnsi="宋体" w:cs="宋体"/>
              </w:rPr>
              <w:t>1</w:t>
            </w:r>
          </w:p>
        </w:tc>
        <w:tc>
          <w:tcPr>
            <w:tcW w:w="1319" w:type="pct"/>
          </w:tcPr>
          <w:p w14:paraId="66384AF2">
            <w:pPr>
              <w:jc w:val="center"/>
              <w:rPr>
                <w:rFonts w:ascii="宋体" w:hAnsi="宋体" w:cs="宋体"/>
              </w:rPr>
            </w:pPr>
            <w:r>
              <w:rPr>
                <w:rFonts w:hint="eastAsia" w:ascii="宋体" w:hAnsi="宋体" w:cs="宋体"/>
              </w:rPr>
              <w:t>防统方系统维保服务</w:t>
            </w:r>
          </w:p>
        </w:tc>
        <w:tc>
          <w:tcPr>
            <w:tcW w:w="1356" w:type="pct"/>
          </w:tcPr>
          <w:p w14:paraId="51BEE552">
            <w:pPr>
              <w:jc w:val="center"/>
              <w:rPr>
                <w:rFonts w:ascii="宋体" w:hAnsi="宋体" w:cs="宋体"/>
              </w:rPr>
            </w:pPr>
            <w:r>
              <w:rPr>
                <w:rFonts w:hint="eastAsia" w:ascii="宋体" w:hAnsi="宋体" w:cs="宋体"/>
              </w:rPr>
              <w:t>1.4</w:t>
            </w:r>
          </w:p>
        </w:tc>
        <w:tc>
          <w:tcPr>
            <w:tcW w:w="745" w:type="pct"/>
          </w:tcPr>
          <w:p w14:paraId="4CD028BC">
            <w:pPr>
              <w:jc w:val="center"/>
              <w:rPr>
                <w:rFonts w:ascii="宋体" w:hAnsi="宋体" w:cs="宋体"/>
              </w:rPr>
            </w:pPr>
            <w:r>
              <w:rPr>
                <w:rFonts w:hint="eastAsia" w:ascii="宋体" w:hAnsi="宋体" w:cs="宋体"/>
              </w:rPr>
              <w:t>3年</w:t>
            </w:r>
          </w:p>
        </w:tc>
        <w:tc>
          <w:tcPr>
            <w:tcW w:w="1113" w:type="pct"/>
          </w:tcPr>
          <w:p w14:paraId="1DBD8423">
            <w:pPr>
              <w:jc w:val="center"/>
              <w:rPr>
                <w:rFonts w:ascii="宋体" w:hAnsi="宋体" w:cs="宋体"/>
              </w:rPr>
            </w:pPr>
            <w:r>
              <w:rPr>
                <w:rFonts w:hint="eastAsia" w:ascii="宋体" w:hAnsi="宋体" w:cs="宋体"/>
              </w:rPr>
              <w:t>4.2</w:t>
            </w:r>
          </w:p>
        </w:tc>
      </w:tr>
      <w:tr w14:paraId="7AFCB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3886" w:type="pct"/>
            <w:gridSpan w:val="4"/>
          </w:tcPr>
          <w:p w14:paraId="776778E5">
            <w:pPr>
              <w:jc w:val="center"/>
              <w:rPr>
                <w:rFonts w:ascii="宋体" w:hAnsi="宋体" w:cs="宋体"/>
              </w:rPr>
            </w:pPr>
            <w:r>
              <w:rPr>
                <w:rFonts w:hint="eastAsia" w:ascii="宋体" w:hAnsi="宋体" w:cs="宋体"/>
              </w:rPr>
              <w:t>总预算（万元）</w:t>
            </w:r>
          </w:p>
        </w:tc>
        <w:tc>
          <w:tcPr>
            <w:tcW w:w="1113" w:type="pct"/>
          </w:tcPr>
          <w:p w14:paraId="0707E0D6">
            <w:pPr>
              <w:jc w:val="center"/>
              <w:rPr>
                <w:rFonts w:ascii="宋体" w:hAnsi="宋体" w:cs="宋体"/>
              </w:rPr>
            </w:pPr>
            <w:r>
              <w:rPr>
                <w:rFonts w:hint="eastAsia" w:ascii="宋体" w:hAnsi="宋体" w:cs="宋体"/>
              </w:rPr>
              <w:t>4.2</w:t>
            </w:r>
          </w:p>
        </w:tc>
      </w:tr>
    </w:tbl>
    <w:p w14:paraId="70FFEB57"/>
    <w:p w14:paraId="44CA5D06">
      <w:pPr>
        <w:spacing w:line="360" w:lineRule="auto"/>
        <w:ind w:firstLine="420" w:firstLineChars="200"/>
        <w:rPr>
          <w:rFonts w:ascii="宋体" w:hAnsi="宋体"/>
        </w:rPr>
      </w:pPr>
      <w:r>
        <w:rPr>
          <w:rFonts w:hint="eastAsia" w:ascii="宋体" w:hAnsi="宋体"/>
          <w:kern w:val="0"/>
        </w:rPr>
        <w:t>供应商名称：</w:t>
      </w:r>
      <w:r>
        <w:rPr>
          <w:rFonts w:ascii="宋体" w:hAnsi="宋体"/>
          <w:kern w:val="0"/>
        </w:rPr>
        <w:t>(加盖公章)</w:t>
      </w:r>
    </w:p>
    <w:p w14:paraId="155EDEBD">
      <w:pPr>
        <w:spacing w:line="360" w:lineRule="auto"/>
        <w:ind w:firstLine="420" w:firstLineChars="200"/>
        <w:rPr>
          <w:rFonts w:ascii="宋体" w:hAnsi="宋体"/>
          <w:kern w:val="0"/>
        </w:rPr>
      </w:pPr>
      <w:r>
        <w:rPr>
          <w:rFonts w:hint="eastAsia" w:ascii="宋体" w:hAnsi="宋体"/>
          <w:kern w:val="0"/>
        </w:rPr>
        <w:t>法定代表人或代理人</w:t>
      </w:r>
      <w:r>
        <w:rPr>
          <w:rFonts w:ascii="宋体" w:hAnsi="宋体"/>
          <w:kern w:val="0"/>
        </w:rPr>
        <w:t>:</w:t>
      </w:r>
      <w:r>
        <w:rPr>
          <w:rFonts w:hint="eastAsia" w:ascii="宋体" w:hAnsi="宋体"/>
          <w:kern w:val="0"/>
        </w:rPr>
        <w:t>（签字）</w:t>
      </w:r>
    </w:p>
    <w:p w14:paraId="487A72FD">
      <w:pPr>
        <w:spacing w:line="360" w:lineRule="auto"/>
        <w:ind w:firstLine="420" w:firstLineChars="200"/>
        <w:rPr>
          <w:rFonts w:ascii="宋体" w:hAnsi="宋体"/>
          <w:kern w:val="0"/>
        </w:rPr>
      </w:pPr>
      <w:r>
        <w:rPr>
          <w:rFonts w:hint="eastAsia" w:ascii="宋体" w:hAnsi="宋体"/>
          <w:kern w:val="0"/>
        </w:rPr>
        <w:t>日期：年 月 日</w:t>
      </w:r>
    </w:p>
    <w:p w14:paraId="38FA14FE">
      <w:pPr>
        <w:spacing w:line="360" w:lineRule="auto"/>
        <w:ind w:left="735" w:hanging="735" w:hangingChars="350"/>
        <w:jc w:val="center"/>
        <w:rPr>
          <w:rFonts w:ascii="宋体" w:hAnsi="宋体"/>
        </w:rPr>
      </w:pPr>
    </w:p>
    <w:p w14:paraId="5DD1A900">
      <w:r>
        <w:br w:type="page"/>
      </w:r>
    </w:p>
    <w:p w14:paraId="4EFBD71C">
      <w:pPr>
        <w:pStyle w:val="3"/>
        <w:numPr>
          <w:ilvl w:val="0"/>
          <w:numId w:val="0"/>
        </w:numPr>
        <w:spacing w:before="0" w:after="0" w:line="360" w:lineRule="auto"/>
        <w:jc w:val="center"/>
        <w:rPr>
          <w:rFonts w:cs="Times New Roman"/>
        </w:rPr>
      </w:pPr>
      <w:r>
        <w:rPr>
          <w:rFonts w:hint="eastAsia"/>
        </w:rPr>
        <w:t>七、</w:t>
      </w:r>
      <w:r>
        <w:rPr>
          <w:rFonts w:hint="eastAsia"/>
          <w:kern w:val="0"/>
        </w:rPr>
        <w:t>服务要求</w:t>
      </w:r>
      <w:r>
        <w:rPr>
          <w:rFonts w:hint="eastAsia"/>
        </w:rPr>
        <w:t>应答表</w:t>
      </w:r>
    </w:p>
    <w:p w14:paraId="2E781BEC">
      <w:pPr>
        <w:pStyle w:val="16"/>
        <w:spacing w:line="360" w:lineRule="auto"/>
        <w:rPr>
          <w:rFonts w:hAnsi="宋体"/>
        </w:rPr>
      </w:pPr>
      <w:r>
        <w:rPr>
          <w:rFonts w:hint="eastAsia" w:hAnsi="宋体"/>
          <w:kern w:val="0"/>
        </w:rPr>
        <w:t>包号：</w:t>
      </w:r>
      <w:r>
        <w:rPr>
          <w:rFonts w:hAnsi="宋体"/>
          <w:kern w:val="0"/>
        </w:rPr>
        <w:t>XX</w:t>
      </w:r>
    </w:p>
    <w:tbl>
      <w:tblPr>
        <w:tblStyle w:val="27"/>
        <w:tblW w:w="8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3087"/>
        <w:gridCol w:w="2882"/>
        <w:gridCol w:w="1932"/>
      </w:tblGrid>
      <w:tr w14:paraId="55D13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977" w:type="dxa"/>
            <w:vAlign w:val="center"/>
          </w:tcPr>
          <w:p w14:paraId="50D402E7">
            <w:pPr>
              <w:pStyle w:val="57"/>
              <w:rPr>
                <w:rFonts w:ascii="宋体" w:hAnsi="宋体"/>
                <w:sz w:val="21"/>
                <w:szCs w:val="21"/>
              </w:rPr>
            </w:pPr>
            <w:r>
              <w:rPr>
                <w:rFonts w:hint="eastAsia" w:ascii="宋体" w:hAnsi="宋体"/>
                <w:sz w:val="21"/>
                <w:szCs w:val="21"/>
              </w:rPr>
              <w:t>序号</w:t>
            </w:r>
          </w:p>
        </w:tc>
        <w:tc>
          <w:tcPr>
            <w:tcW w:w="3087" w:type="dxa"/>
            <w:vAlign w:val="center"/>
          </w:tcPr>
          <w:p w14:paraId="005AF8A7">
            <w:pPr>
              <w:pStyle w:val="57"/>
              <w:ind w:firstLine="420" w:firstLineChars="200"/>
              <w:rPr>
                <w:rFonts w:ascii="宋体" w:hAnsi="宋体"/>
                <w:sz w:val="21"/>
                <w:szCs w:val="21"/>
              </w:rPr>
            </w:pPr>
            <w:r>
              <w:rPr>
                <w:rFonts w:hint="eastAsia" w:ascii="宋体" w:hAnsi="宋体"/>
                <w:sz w:val="21"/>
                <w:szCs w:val="21"/>
              </w:rPr>
              <w:t>比选文件要求</w:t>
            </w:r>
          </w:p>
        </w:tc>
        <w:tc>
          <w:tcPr>
            <w:tcW w:w="2882" w:type="dxa"/>
            <w:vAlign w:val="center"/>
          </w:tcPr>
          <w:p w14:paraId="3D01DA89">
            <w:pPr>
              <w:pStyle w:val="57"/>
              <w:rPr>
                <w:rFonts w:ascii="宋体" w:hAnsi="宋体"/>
                <w:sz w:val="21"/>
                <w:szCs w:val="21"/>
              </w:rPr>
            </w:pPr>
            <w:r>
              <w:rPr>
                <w:rFonts w:hint="eastAsia" w:ascii="宋体" w:hAnsi="宋体"/>
                <w:sz w:val="21"/>
                <w:szCs w:val="21"/>
              </w:rPr>
              <w:t>响应服务参数</w:t>
            </w:r>
          </w:p>
        </w:tc>
        <w:tc>
          <w:tcPr>
            <w:tcW w:w="1932" w:type="dxa"/>
            <w:vAlign w:val="center"/>
          </w:tcPr>
          <w:p w14:paraId="0B2998A2">
            <w:pPr>
              <w:pStyle w:val="57"/>
              <w:rPr>
                <w:rFonts w:ascii="宋体" w:hAnsi="宋体"/>
                <w:sz w:val="21"/>
                <w:szCs w:val="21"/>
              </w:rPr>
            </w:pPr>
            <w:r>
              <w:rPr>
                <w:rFonts w:hint="eastAsia" w:ascii="宋体" w:hAnsi="宋体"/>
                <w:sz w:val="21"/>
                <w:szCs w:val="21"/>
              </w:rPr>
              <w:t>响应/偏离</w:t>
            </w:r>
          </w:p>
        </w:tc>
      </w:tr>
      <w:tr w14:paraId="5790C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977" w:type="dxa"/>
          </w:tcPr>
          <w:p w14:paraId="576D3C33">
            <w:pPr>
              <w:pStyle w:val="57"/>
              <w:rPr>
                <w:rFonts w:ascii="宋体" w:hAnsi="宋体"/>
                <w:sz w:val="21"/>
                <w:szCs w:val="21"/>
              </w:rPr>
            </w:pPr>
          </w:p>
        </w:tc>
        <w:tc>
          <w:tcPr>
            <w:tcW w:w="3087" w:type="dxa"/>
          </w:tcPr>
          <w:p w14:paraId="0E7E19B7">
            <w:pPr>
              <w:pStyle w:val="57"/>
              <w:rPr>
                <w:rFonts w:ascii="宋体" w:hAnsi="宋体"/>
                <w:sz w:val="21"/>
                <w:szCs w:val="21"/>
              </w:rPr>
            </w:pPr>
          </w:p>
        </w:tc>
        <w:tc>
          <w:tcPr>
            <w:tcW w:w="2882" w:type="dxa"/>
          </w:tcPr>
          <w:p w14:paraId="16AD3602">
            <w:pPr>
              <w:pStyle w:val="57"/>
              <w:rPr>
                <w:rFonts w:ascii="宋体" w:hAnsi="宋体"/>
                <w:sz w:val="21"/>
                <w:szCs w:val="21"/>
              </w:rPr>
            </w:pPr>
          </w:p>
        </w:tc>
        <w:tc>
          <w:tcPr>
            <w:tcW w:w="1932" w:type="dxa"/>
          </w:tcPr>
          <w:p w14:paraId="0DFDAADE">
            <w:pPr>
              <w:pStyle w:val="57"/>
              <w:rPr>
                <w:rFonts w:ascii="宋体" w:hAnsi="宋体"/>
                <w:sz w:val="21"/>
                <w:szCs w:val="21"/>
              </w:rPr>
            </w:pPr>
          </w:p>
        </w:tc>
      </w:tr>
      <w:tr w14:paraId="3EE95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977" w:type="dxa"/>
          </w:tcPr>
          <w:p w14:paraId="690A0F39">
            <w:pPr>
              <w:pStyle w:val="57"/>
              <w:rPr>
                <w:rFonts w:ascii="宋体" w:hAnsi="宋体"/>
                <w:sz w:val="21"/>
                <w:szCs w:val="21"/>
              </w:rPr>
            </w:pPr>
          </w:p>
        </w:tc>
        <w:tc>
          <w:tcPr>
            <w:tcW w:w="3087" w:type="dxa"/>
          </w:tcPr>
          <w:p w14:paraId="37B79083">
            <w:pPr>
              <w:pStyle w:val="57"/>
              <w:rPr>
                <w:rFonts w:ascii="宋体" w:hAnsi="宋体"/>
                <w:sz w:val="21"/>
                <w:szCs w:val="21"/>
              </w:rPr>
            </w:pPr>
          </w:p>
        </w:tc>
        <w:tc>
          <w:tcPr>
            <w:tcW w:w="2882" w:type="dxa"/>
          </w:tcPr>
          <w:p w14:paraId="182FC656">
            <w:pPr>
              <w:pStyle w:val="57"/>
              <w:rPr>
                <w:rFonts w:ascii="宋体" w:hAnsi="宋体"/>
                <w:sz w:val="21"/>
                <w:szCs w:val="21"/>
              </w:rPr>
            </w:pPr>
          </w:p>
        </w:tc>
        <w:tc>
          <w:tcPr>
            <w:tcW w:w="1932" w:type="dxa"/>
          </w:tcPr>
          <w:p w14:paraId="7BD8956C">
            <w:pPr>
              <w:pStyle w:val="57"/>
              <w:rPr>
                <w:rFonts w:ascii="宋体" w:hAnsi="宋体"/>
                <w:sz w:val="21"/>
                <w:szCs w:val="21"/>
              </w:rPr>
            </w:pPr>
          </w:p>
        </w:tc>
      </w:tr>
      <w:tr w14:paraId="52B5B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977" w:type="dxa"/>
          </w:tcPr>
          <w:p w14:paraId="196ED70A">
            <w:pPr>
              <w:pStyle w:val="57"/>
              <w:rPr>
                <w:rFonts w:ascii="宋体" w:hAnsi="宋体"/>
                <w:sz w:val="21"/>
                <w:szCs w:val="21"/>
              </w:rPr>
            </w:pPr>
          </w:p>
        </w:tc>
        <w:tc>
          <w:tcPr>
            <w:tcW w:w="3087" w:type="dxa"/>
          </w:tcPr>
          <w:p w14:paraId="40E0B618">
            <w:pPr>
              <w:pStyle w:val="57"/>
              <w:rPr>
                <w:rFonts w:ascii="宋体" w:hAnsi="宋体"/>
                <w:sz w:val="21"/>
                <w:szCs w:val="21"/>
              </w:rPr>
            </w:pPr>
          </w:p>
        </w:tc>
        <w:tc>
          <w:tcPr>
            <w:tcW w:w="2882" w:type="dxa"/>
          </w:tcPr>
          <w:p w14:paraId="07B68BB1">
            <w:pPr>
              <w:pStyle w:val="57"/>
              <w:rPr>
                <w:rFonts w:ascii="宋体" w:hAnsi="宋体"/>
                <w:sz w:val="21"/>
                <w:szCs w:val="21"/>
              </w:rPr>
            </w:pPr>
          </w:p>
        </w:tc>
        <w:tc>
          <w:tcPr>
            <w:tcW w:w="1932" w:type="dxa"/>
          </w:tcPr>
          <w:p w14:paraId="0119B808">
            <w:pPr>
              <w:pStyle w:val="57"/>
              <w:rPr>
                <w:rFonts w:ascii="宋体" w:hAnsi="宋体"/>
                <w:sz w:val="21"/>
                <w:szCs w:val="21"/>
              </w:rPr>
            </w:pPr>
          </w:p>
        </w:tc>
      </w:tr>
      <w:tr w14:paraId="07A28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977" w:type="dxa"/>
          </w:tcPr>
          <w:p w14:paraId="212A6937">
            <w:pPr>
              <w:pStyle w:val="57"/>
              <w:rPr>
                <w:rFonts w:ascii="宋体" w:hAnsi="宋体"/>
                <w:sz w:val="21"/>
                <w:szCs w:val="21"/>
              </w:rPr>
            </w:pPr>
          </w:p>
        </w:tc>
        <w:tc>
          <w:tcPr>
            <w:tcW w:w="3087" w:type="dxa"/>
          </w:tcPr>
          <w:p w14:paraId="437B9CB0">
            <w:pPr>
              <w:pStyle w:val="57"/>
              <w:rPr>
                <w:rFonts w:ascii="宋体" w:hAnsi="宋体"/>
                <w:sz w:val="21"/>
                <w:szCs w:val="21"/>
              </w:rPr>
            </w:pPr>
          </w:p>
        </w:tc>
        <w:tc>
          <w:tcPr>
            <w:tcW w:w="2882" w:type="dxa"/>
          </w:tcPr>
          <w:p w14:paraId="7836D597">
            <w:pPr>
              <w:pStyle w:val="57"/>
              <w:rPr>
                <w:rFonts w:ascii="宋体" w:hAnsi="宋体"/>
                <w:sz w:val="21"/>
                <w:szCs w:val="21"/>
              </w:rPr>
            </w:pPr>
          </w:p>
        </w:tc>
        <w:tc>
          <w:tcPr>
            <w:tcW w:w="1932" w:type="dxa"/>
          </w:tcPr>
          <w:p w14:paraId="6AACF0E6">
            <w:pPr>
              <w:pStyle w:val="57"/>
              <w:rPr>
                <w:rFonts w:ascii="宋体" w:hAnsi="宋体"/>
                <w:sz w:val="21"/>
                <w:szCs w:val="21"/>
              </w:rPr>
            </w:pPr>
          </w:p>
        </w:tc>
      </w:tr>
      <w:tr w14:paraId="257D1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977" w:type="dxa"/>
          </w:tcPr>
          <w:p w14:paraId="016A446F">
            <w:pPr>
              <w:pStyle w:val="57"/>
              <w:rPr>
                <w:rFonts w:ascii="宋体" w:hAnsi="宋体"/>
                <w:sz w:val="21"/>
                <w:szCs w:val="21"/>
              </w:rPr>
            </w:pPr>
          </w:p>
        </w:tc>
        <w:tc>
          <w:tcPr>
            <w:tcW w:w="3087" w:type="dxa"/>
          </w:tcPr>
          <w:p w14:paraId="1D7EFEDA">
            <w:pPr>
              <w:pStyle w:val="57"/>
              <w:rPr>
                <w:rFonts w:ascii="宋体" w:hAnsi="宋体"/>
                <w:sz w:val="21"/>
                <w:szCs w:val="21"/>
              </w:rPr>
            </w:pPr>
          </w:p>
        </w:tc>
        <w:tc>
          <w:tcPr>
            <w:tcW w:w="2882" w:type="dxa"/>
          </w:tcPr>
          <w:p w14:paraId="2C03C185">
            <w:pPr>
              <w:pStyle w:val="57"/>
              <w:rPr>
                <w:rFonts w:ascii="宋体" w:hAnsi="宋体"/>
                <w:sz w:val="21"/>
                <w:szCs w:val="21"/>
              </w:rPr>
            </w:pPr>
          </w:p>
        </w:tc>
        <w:tc>
          <w:tcPr>
            <w:tcW w:w="1932" w:type="dxa"/>
          </w:tcPr>
          <w:p w14:paraId="2723DA5E">
            <w:pPr>
              <w:pStyle w:val="57"/>
              <w:rPr>
                <w:rFonts w:ascii="宋体" w:hAnsi="宋体"/>
                <w:sz w:val="21"/>
                <w:szCs w:val="21"/>
              </w:rPr>
            </w:pPr>
          </w:p>
        </w:tc>
      </w:tr>
      <w:tr w14:paraId="66C80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977" w:type="dxa"/>
          </w:tcPr>
          <w:p w14:paraId="4A6E7106">
            <w:pPr>
              <w:pStyle w:val="57"/>
              <w:rPr>
                <w:rFonts w:ascii="宋体" w:hAnsi="宋体"/>
                <w:sz w:val="21"/>
                <w:szCs w:val="21"/>
              </w:rPr>
            </w:pPr>
          </w:p>
        </w:tc>
        <w:tc>
          <w:tcPr>
            <w:tcW w:w="3087" w:type="dxa"/>
          </w:tcPr>
          <w:p w14:paraId="445C5738">
            <w:pPr>
              <w:pStyle w:val="57"/>
              <w:rPr>
                <w:rFonts w:ascii="宋体" w:hAnsi="宋体"/>
                <w:sz w:val="21"/>
                <w:szCs w:val="21"/>
              </w:rPr>
            </w:pPr>
          </w:p>
        </w:tc>
        <w:tc>
          <w:tcPr>
            <w:tcW w:w="2882" w:type="dxa"/>
          </w:tcPr>
          <w:p w14:paraId="258AD883">
            <w:pPr>
              <w:pStyle w:val="57"/>
              <w:rPr>
                <w:rFonts w:ascii="宋体" w:hAnsi="宋体"/>
                <w:sz w:val="21"/>
                <w:szCs w:val="21"/>
              </w:rPr>
            </w:pPr>
          </w:p>
        </w:tc>
        <w:tc>
          <w:tcPr>
            <w:tcW w:w="1932" w:type="dxa"/>
          </w:tcPr>
          <w:p w14:paraId="5AA0D2E9">
            <w:pPr>
              <w:pStyle w:val="57"/>
              <w:rPr>
                <w:rFonts w:ascii="宋体" w:hAnsi="宋体"/>
                <w:sz w:val="21"/>
                <w:szCs w:val="21"/>
              </w:rPr>
            </w:pPr>
          </w:p>
        </w:tc>
      </w:tr>
      <w:tr w14:paraId="08AFE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77" w:type="dxa"/>
          </w:tcPr>
          <w:p w14:paraId="239E5FB2">
            <w:pPr>
              <w:pStyle w:val="57"/>
              <w:rPr>
                <w:rFonts w:ascii="宋体" w:hAnsi="宋体"/>
                <w:sz w:val="21"/>
                <w:szCs w:val="21"/>
              </w:rPr>
            </w:pPr>
          </w:p>
        </w:tc>
        <w:tc>
          <w:tcPr>
            <w:tcW w:w="3087" w:type="dxa"/>
          </w:tcPr>
          <w:p w14:paraId="17BF2F5C">
            <w:pPr>
              <w:pStyle w:val="57"/>
              <w:rPr>
                <w:rFonts w:ascii="宋体" w:hAnsi="宋体"/>
                <w:sz w:val="21"/>
                <w:szCs w:val="21"/>
              </w:rPr>
            </w:pPr>
          </w:p>
        </w:tc>
        <w:tc>
          <w:tcPr>
            <w:tcW w:w="2882" w:type="dxa"/>
          </w:tcPr>
          <w:p w14:paraId="1C88AC73">
            <w:pPr>
              <w:pStyle w:val="57"/>
              <w:rPr>
                <w:rFonts w:ascii="宋体" w:hAnsi="宋体"/>
                <w:sz w:val="21"/>
                <w:szCs w:val="21"/>
              </w:rPr>
            </w:pPr>
          </w:p>
        </w:tc>
        <w:tc>
          <w:tcPr>
            <w:tcW w:w="1932" w:type="dxa"/>
          </w:tcPr>
          <w:p w14:paraId="424C6AF4">
            <w:pPr>
              <w:pStyle w:val="57"/>
              <w:rPr>
                <w:rFonts w:ascii="宋体" w:hAnsi="宋体"/>
                <w:sz w:val="21"/>
                <w:szCs w:val="21"/>
              </w:rPr>
            </w:pPr>
          </w:p>
        </w:tc>
      </w:tr>
    </w:tbl>
    <w:p w14:paraId="60691858"/>
    <w:p w14:paraId="3AD7DB0F">
      <w:pPr>
        <w:spacing w:line="360" w:lineRule="auto"/>
        <w:ind w:firstLine="420" w:firstLineChars="200"/>
        <w:rPr>
          <w:rFonts w:ascii="宋体" w:hAnsi="宋体"/>
        </w:rPr>
      </w:pPr>
      <w:r>
        <w:rPr>
          <w:rFonts w:hint="eastAsia" w:ascii="宋体" w:hAnsi="宋体"/>
          <w:kern w:val="0"/>
        </w:rPr>
        <w:t>供应商名称：</w:t>
      </w:r>
      <w:r>
        <w:rPr>
          <w:rFonts w:ascii="宋体" w:hAnsi="宋体"/>
          <w:kern w:val="0"/>
        </w:rPr>
        <w:t>(加盖公章)</w:t>
      </w:r>
    </w:p>
    <w:p w14:paraId="05FBA84B">
      <w:pPr>
        <w:spacing w:line="360" w:lineRule="auto"/>
        <w:ind w:firstLine="420" w:firstLineChars="200"/>
        <w:rPr>
          <w:rFonts w:ascii="宋体" w:hAnsi="宋体"/>
          <w:kern w:val="0"/>
        </w:rPr>
      </w:pPr>
      <w:r>
        <w:rPr>
          <w:rFonts w:hint="eastAsia" w:ascii="宋体" w:hAnsi="宋体"/>
          <w:kern w:val="0"/>
        </w:rPr>
        <w:t>法定代表人或代理人</w:t>
      </w:r>
      <w:r>
        <w:rPr>
          <w:rFonts w:ascii="宋体" w:hAnsi="宋体"/>
          <w:kern w:val="0"/>
        </w:rPr>
        <w:t>:</w:t>
      </w:r>
      <w:r>
        <w:rPr>
          <w:rFonts w:hint="eastAsia" w:ascii="宋体" w:hAnsi="宋体"/>
          <w:kern w:val="0"/>
        </w:rPr>
        <w:t>（签字）</w:t>
      </w:r>
    </w:p>
    <w:p w14:paraId="2273F08F">
      <w:pPr>
        <w:spacing w:line="360" w:lineRule="auto"/>
        <w:ind w:firstLine="420" w:firstLineChars="200"/>
        <w:rPr>
          <w:rFonts w:ascii="宋体" w:hAnsi="宋体"/>
          <w:kern w:val="0"/>
        </w:rPr>
      </w:pPr>
      <w:r>
        <w:rPr>
          <w:rFonts w:hint="eastAsia" w:ascii="宋体" w:hAnsi="宋体"/>
          <w:kern w:val="0"/>
        </w:rPr>
        <w:t>日期：年 月 日</w:t>
      </w:r>
    </w:p>
    <w:p w14:paraId="54E050F9">
      <w:pPr>
        <w:spacing w:line="360" w:lineRule="auto"/>
        <w:ind w:left="735" w:hanging="735" w:hangingChars="350"/>
        <w:jc w:val="center"/>
        <w:rPr>
          <w:rFonts w:ascii="宋体" w:hAnsi="宋体"/>
        </w:rPr>
      </w:pPr>
    </w:p>
    <w:p w14:paraId="3C8F550C">
      <w:pPr>
        <w:pStyle w:val="16"/>
        <w:spacing w:line="360" w:lineRule="auto"/>
        <w:ind w:firstLine="420" w:firstLineChars="200"/>
        <w:rPr>
          <w:rFonts w:hAnsi="宋体" w:cs="Times New Roman"/>
          <w:kern w:val="0"/>
          <w:u w:val="single"/>
        </w:rPr>
      </w:pPr>
      <w:r>
        <w:rPr>
          <w:rFonts w:hint="eastAsia" w:hAnsi="宋体"/>
          <w:kern w:val="0"/>
        </w:rPr>
        <w:t>注：供应商必须据实填写，不得虚假应答，如与比选文件所列服务要求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供应商参与比选无论是响应还是不响应，都务必要填写此表格，明确是否响应比选文件中的技术要求。</w:t>
      </w:r>
    </w:p>
    <w:p w14:paraId="61BE791C">
      <w:pPr>
        <w:spacing w:line="400" w:lineRule="exact"/>
        <w:ind w:left="840" w:hanging="840" w:hangingChars="350"/>
        <w:jc w:val="center"/>
        <w:rPr>
          <w:rFonts w:ascii="宋体"/>
          <w:sz w:val="24"/>
          <w:szCs w:val="24"/>
        </w:rPr>
      </w:pPr>
    </w:p>
    <w:p w14:paraId="63391983">
      <w:pPr>
        <w:spacing w:line="400" w:lineRule="exact"/>
        <w:ind w:left="840" w:hanging="840" w:hangingChars="350"/>
        <w:jc w:val="center"/>
        <w:rPr>
          <w:rFonts w:ascii="宋体"/>
          <w:sz w:val="24"/>
          <w:szCs w:val="24"/>
        </w:rPr>
      </w:pPr>
    </w:p>
    <w:p w14:paraId="20949779">
      <w:pPr>
        <w:spacing w:line="400" w:lineRule="exact"/>
        <w:ind w:left="840" w:hanging="840" w:hangingChars="350"/>
        <w:jc w:val="center"/>
        <w:rPr>
          <w:rFonts w:ascii="宋体"/>
          <w:sz w:val="24"/>
          <w:szCs w:val="24"/>
        </w:rPr>
      </w:pPr>
    </w:p>
    <w:p w14:paraId="7F83D179">
      <w:pPr>
        <w:spacing w:line="400" w:lineRule="exact"/>
        <w:ind w:left="840" w:hanging="840" w:hangingChars="350"/>
        <w:jc w:val="center"/>
        <w:rPr>
          <w:rFonts w:ascii="宋体"/>
          <w:sz w:val="24"/>
          <w:szCs w:val="24"/>
        </w:rPr>
      </w:pPr>
    </w:p>
    <w:p w14:paraId="7F080AF6">
      <w:pPr>
        <w:spacing w:line="400" w:lineRule="exact"/>
        <w:ind w:left="840" w:hanging="840" w:hangingChars="350"/>
        <w:jc w:val="center"/>
        <w:rPr>
          <w:rFonts w:ascii="宋体"/>
          <w:sz w:val="24"/>
          <w:szCs w:val="24"/>
        </w:rPr>
      </w:pPr>
    </w:p>
    <w:p w14:paraId="729970E1">
      <w:pPr>
        <w:spacing w:line="400" w:lineRule="exact"/>
        <w:ind w:left="840" w:hanging="840" w:hangingChars="350"/>
        <w:jc w:val="center"/>
        <w:rPr>
          <w:rFonts w:ascii="宋体"/>
          <w:sz w:val="24"/>
          <w:szCs w:val="24"/>
        </w:rPr>
      </w:pPr>
    </w:p>
    <w:p w14:paraId="038C6F23">
      <w:pPr>
        <w:spacing w:line="400" w:lineRule="exact"/>
        <w:ind w:left="840" w:hanging="840" w:hangingChars="350"/>
        <w:jc w:val="center"/>
        <w:rPr>
          <w:rFonts w:ascii="宋体"/>
          <w:sz w:val="24"/>
          <w:szCs w:val="24"/>
        </w:rPr>
      </w:pPr>
    </w:p>
    <w:p w14:paraId="3D904DE2">
      <w:pPr>
        <w:spacing w:line="400" w:lineRule="exact"/>
        <w:ind w:left="840" w:hanging="840" w:hangingChars="350"/>
        <w:jc w:val="center"/>
        <w:rPr>
          <w:rFonts w:ascii="宋体"/>
          <w:sz w:val="24"/>
          <w:szCs w:val="24"/>
        </w:rPr>
      </w:pPr>
    </w:p>
    <w:p w14:paraId="6408AB78">
      <w:pPr>
        <w:spacing w:line="400" w:lineRule="exact"/>
        <w:rPr>
          <w:rFonts w:ascii="宋体"/>
          <w:sz w:val="24"/>
          <w:szCs w:val="24"/>
        </w:rPr>
      </w:pPr>
    </w:p>
    <w:p w14:paraId="3BA708AA">
      <w:pPr>
        <w:pStyle w:val="3"/>
        <w:numPr>
          <w:ilvl w:val="0"/>
          <w:numId w:val="0"/>
        </w:numPr>
        <w:spacing w:before="0" w:after="0" w:line="360" w:lineRule="auto"/>
        <w:jc w:val="center"/>
        <w:rPr>
          <w:rFonts w:cs="Times New Roman"/>
        </w:rPr>
      </w:pPr>
      <w:r>
        <w:br w:type="page"/>
      </w:r>
      <w:r>
        <w:rPr>
          <w:rFonts w:hint="eastAsia"/>
        </w:rPr>
        <w:t>八、商务应答表</w:t>
      </w:r>
    </w:p>
    <w:p w14:paraId="12043515">
      <w:pPr>
        <w:pStyle w:val="16"/>
        <w:spacing w:line="360" w:lineRule="auto"/>
        <w:rPr>
          <w:rFonts w:hAnsi="宋体" w:cs="Times New Roman"/>
        </w:rPr>
      </w:pPr>
      <w:r>
        <w:rPr>
          <w:rFonts w:hint="eastAsia" w:hAnsi="宋体"/>
          <w:kern w:val="0"/>
        </w:rPr>
        <w:t>包号：</w:t>
      </w:r>
      <w:r>
        <w:rPr>
          <w:rFonts w:hAnsi="宋体"/>
          <w:kern w:val="0"/>
        </w:rPr>
        <w:t>XXX</w:t>
      </w:r>
    </w:p>
    <w:tbl>
      <w:tblPr>
        <w:tblStyle w:val="27"/>
        <w:tblW w:w="8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399"/>
        <w:gridCol w:w="3083"/>
        <w:gridCol w:w="2133"/>
      </w:tblGrid>
      <w:tr w14:paraId="6748C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2" w:type="dxa"/>
            <w:vAlign w:val="center"/>
          </w:tcPr>
          <w:p w14:paraId="46751981">
            <w:pPr>
              <w:pStyle w:val="16"/>
              <w:spacing w:line="360" w:lineRule="auto"/>
              <w:jc w:val="center"/>
              <w:rPr>
                <w:rFonts w:hAnsi="宋体" w:cs="Times New Roman"/>
                <w:kern w:val="0"/>
              </w:rPr>
            </w:pPr>
            <w:r>
              <w:rPr>
                <w:rFonts w:hint="eastAsia" w:hAnsi="宋体"/>
                <w:kern w:val="0"/>
              </w:rPr>
              <w:t>序号</w:t>
            </w:r>
          </w:p>
        </w:tc>
        <w:tc>
          <w:tcPr>
            <w:tcW w:w="2399" w:type="dxa"/>
            <w:vAlign w:val="center"/>
          </w:tcPr>
          <w:p w14:paraId="15605085">
            <w:pPr>
              <w:pStyle w:val="16"/>
              <w:spacing w:line="360" w:lineRule="auto"/>
              <w:jc w:val="center"/>
              <w:rPr>
                <w:rFonts w:hAnsi="宋体" w:cs="Times New Roman"/>
                <w:kern w:val="0"/>
              </w:rPr>
            </w:pPr>
            <w:r>
              <w:rPr>
                <w:rFonts w:hint="eastAsia" w:hAnsi="宋体"/>
                <w:kern w:val="0"/>
              </w:rPr>
              <w:t>比选文件要求</w:t>
            </w:r>
          </w:p>
        </w:tc>
        <w:tc>
          <w:tcPr>
            <w:tcW w:w="3083" w:type="dxa"/>
            <w:vAlign w:val="center"/>
          </w:tcPr>
          <w:p w14:paraId="2AFDABF3">
            <w:pPr>
              <w:pStyle w:val="16"/>
              <w:spacing w:line="360" w:lineRule="auto"/>
              <w:jc w:val="center"/>
              <w:rPr>
                <w:rFonts w:hAnsi="宋体" w:cs="Times New Roman"/>
                <w:kern w:val="0"/>
              </w:rPr>
            </w:pPr>
            <w:r>
              <w:rPr>
                <w:rFonts w:hint="eastAsia" w:hAnsi="宋体"/>
                <w:kern w:val="0"/>
              </w:rPr>
              <w:t>供应商应答</w:t>
            </w:r>
          </w:p>
        </w:tc>
        <w:tc>
          <w:tcPr>
            <w:tcW w:w="2133" w:type="dxa"/>
            <w:vAlign w:val="center"/>
          </w:tcPr>
          <w:p w14:paraId="60BA5481">
            <w:pPr>
              <w:pStyle w:val="16"/>
              <w:spacing w:line="360" w:lineRule="auto"/>
              <w:jc w:val="center"/>
              <w:rPr>
                <w:rFonts w:hAnsi="宋体" w:cs="Times New Roman"/>
                <w:kern w:val="0"/>
              </w:rPr>
            </w:pPr>
            <w:r>
              <w:rPr>
                <w:rFonts w:hint="eastAsia" w:hAnsi="宋体"/>
                <w:kern w:val="0"/>
              </w:rPr>
              <w:t>响应</w:t>
            </w:r>
            <w:r>
              <w:rPr>
                <w:rFonts w:hAnsi="宋体"/>
                <w:kern w:val="0"/>
              </w:rPr>
              <w:t>/</w:t>
            </w:r>
            <w:r>
              <w:rPr>
                <w:rFonts w:hint="eastAsia" w:hAnsi="宋体"/>
                <w:kern w:val="0"/>
              </w:rPr>
              <w:t>偏离</w:t>
            </w:r>
          </w:p>
        </w:tc>
      </w:tr>
      <w:tr w14:paraId="22A00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6D18DCBF">
            <w:pPr>
              <w:spacing w:line="360" w:lineRule="auto"/>
              <w:jc w:val="center"/>
              <w:rPr>
                <w:rFonts w:ascii="宋体"/>
                <w:kern w:val="0"/>
              </w:rPr>
            </w:pPr>
          </w:p>
        </w:tc>
        <w:tc>
          <w:tcPr>
            <w:tcW w:w="2399" w:type="dxa"/>
            <w:vAlign w:val="center"/>
          </w:tcPr>
          <w:p w14:paraId="6DD983A5">
            <w:pPr>
              <w:spacing w:line="360" w:lineRule="auto"/>
              <w:jc w:val="center"/>
              <w:rPr>
                <w:rFonts w:ascii="宋体"/>
                <w:kern w:val="0"/>
              </w:rPr>
            </w:pPr>
          </w:p>
        </w:tc>
        <w:tc>
          <w:tcPr>
            <w:tcW w:w="3083" w:type="dxa"/>
            <w:vAlign w:val="center"/>
          </w:tcPr>
          <w:p w14:paraId="4C9C3F4F">
            <w:pPr>
              <w:spacing w:line="360" w:lineRule="auto"/>
              <w:ind w:left="277" w:hanging="277" w:hangingChars="132"/>
              <w:jc w:val="center"/>
              <w:rPr>
                <w:rFonts w:ascii="宋体"/>
                <w:kern w:val="0"/>
              </w:rPr>
            </w:pPr>
          </w:p>
        </w:tc>
        <w:tc>
          <w:tcPr>
            <w:tcW w:w="2133" w:type="dxa"/>
            <w:vAlign w:val="center"/>
          </w:tcPr>
          <w:p w14:paraId="2135A8F8">
            <w:pPr>
              <w:spacing w:line="360" w:lineRule="auto"/>
              <w:ind w:left="277" w:hanging="277" w:hangingChars="132"/>
              <w:jc w:val="center"/>
              <w:rPr>
                <w:rFonts w:ascii="宋体"/>
                <w:kern w:val="0"/>
              </w:rPr>
            </w:pPr>
          </w:p>
        </w:tc>
      </w:tr>
      <w:tr w14:paraId="6E5C1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6F7292F4">
            <w:pPr>
              <w:spacing w:line="360" w:lineRule="auto"/>
              <w:jc w:val="center"/>
              <w:rPr>
                <w:rFonts w:ascii="宋体"/>
                <w:kern w:val="0"/>
              </w:rPr>
            </w:pPr>
          </w:p>
        </w:tc>
        <w:tc>
          <w:tcPr>
            <w:tcW w:w="2399" w:type="dxa"/>
            <w:vAlign w:val="center"/>
          </w:tcPr>
          <w:p w14:paraId="197C874A">
            <w:pPr>
              <w:spacing w:line="360" w:lineRule="auto"/>
              <w:jc w:val="center"/>
              <w:rPr>
                <w:rFonts w:ascii="宋体"/>
                <w:kern w:val="0"/>
              </w:rPr>
            </w:pPr>
          </w:p>
        </w:tc>
        <w:tc>
          <w:tcPr>
            <w:tcW w:w="3083" w:type="dxa"/>
            <w:vAlign w:val="center"/>
          </w:tcPr>
          <w:p w14:paraId="595EE40B">
            <w:pPr>
              <w:spacing w:line="360" w:lineRule="auto"/>
              <w:jc w:val="center"/>
              <w:rPr>
                <w:rFonts w:ascii="宋体"/>
                <w:kern w:val="0"/>
              </w:rPr>
            </w:pPr>
          </w:p>
        </w:tc>
        <w:tc>
          <w:tcPr>
            <w:tcW w:w="2133" w:type="dxa"/>
            <w:vAlign w:val="center"/>
          </w:tcPr>
          <w:p w14:paraId="285F62BF">
            <w:pPr>
              <w:spacing w:line="360" w:lineRule="auto"/>
              <w:jc w:val="center"/>
              <w:rPr>
                <w:rFonts w:ascii="宋体"/>
                <w:kern w:val="0"/>
              </w:rPr>
            </w:pPr>
          </w:p>
        </w:tc>
      </w:tr>
      <w:tr w14:paraId="548F7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5CF8AE23">
            <w:pPr>
              <w:spacing w:line="360" w:lineRule="auto"/>
              <w:jc w:val="center"/>
              <w:rPr>
                <w:rFonts w:ascii="宋体"/>
                <w:kern w:val="0"/>
              </w:rPr>
            </w:pPr>
          </w:p>
        </w:tc>
        <w:tc>
          <w:tcPr>
            <w:tcW w:w="2399" w:type="dxa"/>
            <w:vAlign w:val="center"/>
          </w:tcPr>
          <w:p w14:paraId="4B3D6721">
            <w:pPr>
              <w:spacing w:line="360" w:lineRule="auto"/>
              <w:jc w:val="center"/>
              <w:rPr>
                <w:rFonts w:ascii="宋体"/>
                <w:kern w:val="0"/>
              </w:rPr>
            </w:pPr>
          </w:p>
        </w:tc>
        <w:tc>
          <w:tcPr>
            <w:tcW w:w="3083" w:type="dxa"/>
            <w:vAlign w:val="center"/>
          </w:tcPr>
          <w:p w14:paraId="0DAA44D8">
            <w:pPr>
              <w:spacing w:line="360" w:lineRule="auto"/>
              <w:jc w:val="center"/>
              <w:rPr>
                <w:rFonts w:ascii="宋体"/>
                <w:kern w:val="0"/>
              </w:rPr>
            </w:pPr>
          </w:p>
        </w:tc>
        <w:tc>
          <w:tcPr>
            <w:tcW w:w="2133" w:type="dxa"/>
            <w:vAlign w:val="center"/>
          </w:tcPr>
          <w:p w14:paraId="581FBC81">
            <w:pPr>
              <w:spacing w:line="360" w:lineRule="auto"/>
              <w:jc w:val="center"/>
              <w:rPr>
                <w:rFonts w:ascii="宋体"/>
                <w:kern w:val="0"/>
              </w:rPr>
            </w:pPr>
          </w:p>
        </w:tc>
      </w:tr>
      <w:tr w14:paraId="32456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1ED083A9">
            <w:pPr>
              <w:spacing w:line="360" w:lineRule="auto"/>
              <w:jc w:val="center"/>
              <w:rPr>
                <w:rFonts w:ascii="宋体"/>
                <w:kern w:val="0"/>
              </w:rPr>
            </w:pPr>
          </w:p>
        </w:tc>
        <w:tc>
          <w:tcPr>
            <w:tcW w:w="2399" w:type="dxa"/>
            <w:vAlign w:val="center"/>
          </w:tcPr>
          <w:p w14:paraId="4057AFC7">
            <w:pPr>
              <w:spacing w:line="360" w:lineRule="auto"/>
              <w:jc w:val="center"/>
              <w:rPr>
                <w:rFonts w:ascii="宋体"/>
                <w:kern w:val="0"/>
              </w:rPr>
            </w:pPr>
          </w:p>
        </w:tc>
        <w:tc>
          <w:tcPr>
            <w:tcW w:w="3083" w:type="dxa"/>
            <w:vAlign w:val="center"/>
          </w:tcPr>
          <w:p w14:paraId="7EFF46C5">
            <w:pPr>
              <w:spacing w:line="360" w:lineRule="auto"/>
              <w:jc w:val="center"/>
              <w:rPr>
                <w:rFonts w:ascii="宋体"/>
                <w:kern w:val="0"/>
              </w:rPr>
            </w:pPr>
          </w:p>
        </w:tc>
        <w:tc>
          <w:tcPr>
            <w:tcW w:w="2133" w:type="dxa"/>
            <w:vAlign w:val="center"/>
          </w:tcPr>
          <w:p w14:paraId="224AFFD6">
            <w:pPr>
              <w:spacing w:line="360" w:lineRule="auto"/>
              <w:jc w:val="center"/>
              <w:rPr>
                <w:rFonts w:ascii="宋体"/>
                <w:kern w:val="0"/>
              </w:rPr>
            </w:pPr>
          </w:p>
        </w:tc>
      </w:tr>
      <w:tr w14:paraId="749AB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2BE9FBF3">
            <w:pPr>
              <w:spacing w:line="360" w:lineRule="auto"/>
              <w:jc w:val="center"/>
              <w:rPr>
                <w:rFonts w:ascii="宋体"/>
                <w:kern w:val="0"/>
              </w:rPr>
            </w:pPr>
          </w:p>
        </w:tc>
        <w:tc>
          <w:tcPr>
            <w:tcW w:w="2399" w:type="dxa"/>
            <w:vAlign w:val="center"/>
          </w:tcPr>
          <w:p w14:paraId="4A735718">
            <w:pPr>
              <w:spacing w:line="360" w:lineRule="auto"/>
              <w:jc w:val="center"/>
              <w:rPr>
                <w:rFonts w:ascii="宋体"/>
                <w:kern w:val="0"/>
              </w:rPr>
            </w:pPr>
          </w:p>
        </w:tc>
        <w:tc>
          <w:tcPr>
            <w:tcW w:w="3083" w:type="dxa"/>
            <w:vAlign w:val="center"/>
          </w:tcPr>
          <w:p w14:paraId="45E107F0">
            <w:pPr>
              <w:spacing w:line="360" w:lineRule="auto"/>
              <w:jc w:val="center"/>
              <w:rPr>
                <w:rFonts w:ascii="宋体"/>
                <w:kern w:val="0"/>
              </w:rPr>
            </w:pPr>
          </w:p>
        </w:tc>
        <w:tc>
          <w:tcPr>
            <w:tcW w:w="2133" w:type="dxa"/>
            <w:vAlign w:val="center"/>
          </w:tcPr>
          <w:p w14:paraId="64FA6252">
            <w:pPr>
              <w:spacing w:line="360" w:lineRule="auto"/>
              <w:jc w:val="center"/>
              <w:rPr>
                <w:rFonts w:ascii="宋体"/>
                <w:kern w:val="0"/>
              </w:rPr>
            </w:pPr>
          </w:p>
        </w:tc>
      </w:tr>
      <w:tr w14:paraId="2B107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6FABB82F">
            <w:pPr>
              <w:spacing w:line="360" w:lineRule="auto"/>
              <w:jc w:val="center"/>
              <w:rPr>
                <w:rFonts w:ascii="宋体"/>
                <w:kern w:val="0"/>
              </w:rPr>
            </w:pPr>
          </w:p>
        </w:tc>
        <w:tc>
          <w:tcPr>
            <w:tcW w:w="2399" w:type="dxa"/>
            <w:vAlign w:val="center"/>
          </w:tcPr>
          <w:p w14:paraId="29C5D0D9">
            <w:pPr>
              <w:spacing w:line="360" w:lineRule="auto"/>
              <w:jc w:val="center"/>
              <w:rPr>
                <w:rFonts w:ascii="宋体"/>
                <w:kern w:val="0"/>
              </w:rPr>
            </w:pPr>
          </w:p>
        </w:tc>
        <w:tc>
          <w:tcPr>
            <w:tcW w:w="3083" w:type="dxa"/>
            <w:vAlign w:val="center"/>
          </w:tcPr>
          <w:p w14:paraId="24E9CC5B">
            <w:pPr>
              <w:spacing w:line="360" w:lineRule="auto"/>
              <w:jc w:val="center"/>
              <w:rPr>
                <w:rFonts w:ascii="宋体"/>
                <w:kern w:val="0"/>
              </w:rPr>
            </w:pPr>
          </w:p>
        </w:tc>
        <w:tc>
          <w:tcPr>
            <w:tcW w:w="2133" w:type="dxa"/>
            <w:vAlign w:val="center"/>
          </w:tcPr>
          <w:p w14:paraId="38518963">
            <w:pPr>
              <w:spacing w:line="360" w:lineRule="auto"/>
              <w:jc w:val="center"/>
              <w:rPr>
                <w:rFonts w:ascii="宋体"/>
                <w:kern w:val="0"/>
              </w:rPr>
            </w:pPr>
          </w:p>
        </w:tc>
      </w:tr>
      <w:tr w14:paraId="29BC7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242" w:type="dxa"/>
            <w:vAlign w:val="center"/>
          </w:tcPr>
          <w:p w14:paraId="3271C818">
            <w:pPr>
              <w:spacing w:line="360" w:lineRule="auto"/>
              <w:jc w:val="center"/>
              <w:rPr>
                <w:rFonts w:ascii="宋体"/>
                <w:kern w:val="0"/>
              </w:rPr>
            </w:pPr>
          </w:p>
        </w:tc>
        <w:tc>
          <w:tcPr>
            <w:tcW w:w="2399" w:type="dxa"/>
            <w:vAlign w:val="center"/>
          </w:tcPr>
          <w:p w14:paraId="52160E1E">
            <w:pPr>
              <w:spacing w:line="360" w:lineRule="auto"/>
              <w:jc w:val="center"/>
              <w:rPr>
                <w:rFonts w:ascii="宋体"/>
                <w:kern w:val="0"/>
              </w:rPr>
            </w:pPr>
          </w:p>
        </w:tc>
        <w:tc>
          <w:tcPr>
            <w:tcW w:w="3083" w:type="dxa"/>
            <w:vAlign w:val="center"/>
          </w:tcPr>
          <w:p w14:paraId="33288717">
            <w:pPr>
              <w:spacing w:line="360" w:lineRule="auto"/>
              <w:jc w:val="center"/>
              <w:rPr>
                <w:rFonts w:ascii="宋体"/>
                <w:kern w:val="0"/>
              </w:rPr>
            </w:pPr>
          </w:p>
        </w:tc>
        <w:tc>
          <w:tcPr>
            <w:tcW w:w="2133" w:type="dxa"/>
            <w:vAlign w:val="center"/>
          </w:tcPr>
          <w:p w14:paraId="34D3504D">
            <w:pPr>
              <w:spacing w:line="360" w:lineRule="auto"/>
              <w:jc w:val="center"/>
              <w:rPr>
                <w:rFonts w:ascii="宋体"/>
                <w:kern w:val="0"/>
              </w:rPr>
            </w:pPr>
          </w:p>
        </w:tc>
      </w:tr>
    </w:tbl>
    <w:p w14:paraId="3E23DF31">
      <w:pPr>
        <w:spacing w:line="360" w:lineRule="auto"/>
        <w:ind w:left="735" w:hanging="735" w:hangingChars="350"/>
        <w:jc w:val="center"/>
        <w:rPr>
          <w:rFonts w:ascii="宋体"/>
        </w:rPr>
      </w:pPr>
    </w:p>
    <w:p w14:paraId="01362CED">
      <w:pPr>
        <w:spacing w:line="360" w:lineRule="auto"/>
        <w:rPr>
          <w:rFonts w:ascii="宋体"/>
        </w:rPr>
      </w:pPr>
    </w:p>
    <w:p w14:paraId="16663693">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6A485AE6">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74D4296B">
      <w:pPr>
        <w:spacing w:line="360" w:lineRule="auto"/>
        <w:ind w:firstLine="420" w:firstLineChars="200"/>
        <w:rPr>
          <w:rFonts w:ascii="宋体"/>
          <w:kern w:val="0"/>
        </w:rPr>
      </w:pPr>
      <w:r>
        <w:rPr>
          <w:rFonts w:hint="eastAsia" w:ascii="宋体" w:hAnsi="宋体" w:cs="宋体"/>
          <w:kern w:val="0"/>
        </w:rPr>
        <w:t>日期：年月日</w:t>
      </w:r>
    </w:p>
    <w:p w14:paraId="0A45D9C5">
      <w:pPr>
        <w:spacing w:line="360" w:lineRule="auto"/>
        <w:ind w:left="735" w:hanging="735" w:hangingChars="350"/>
        <w:jc w:val="center"/>
        <w:rPr>
          <w:rFonts w:ascii="宋体"/>
        </w:rPr>
      </w:pPr>
    </w:p>
    <w:p w14:paraId="34C0239F">
      <w:pPr>
        <w:pStyle w:val="16"/>
        <w:spacing w:line="360" w:lineRule="auto"/>
        <w:ind w:firstLine="420" w:firstLineChars="200"/>
      </w:pPr>
      <w:r>
        <w:rPr>
          <w:rFonts w:hint="eastAsia" w:hAnsi="宋体"/>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供应商参与比选无论是响应还是不响应，都务必要填写此表格，明确是否响应比选文件中的商务要求。</w:t>
      </w:r>
    </w:p>
    <w:p w14:paraId="4A23686C">
      <w:r>
        <w:rPr>
          <w:rFonts w:hint="eastAsia"/>
        </w:rPr>
        <w:br w:type="page"/>
      </w:r>
    </w:p>
    <w:p w14:paraId="04EF38D3">
      <w:pPr>
        <w:pStyle w:val="3"/>
        <w:numPr>
          <w:ilvl w:val="0"/>
          <w:numId w:val="0"/>
        </w:numPr>
        <w:spacing w:before="0" w:after="0" w:line="360" w:lineRule="auto"/>
        <w:jc w:val="center"/>
        <w:rPr>
          <w:rFonts w:cs="Times New Roman"/>
        </w:rPr>
      </w:pPr>
      <w:r>
        <w:rPr>
          <w:rFonts w:hint="eastAsia"/>
        </w:rPr>
        <w:t>九、服务考核应答表</w:t>
      </w:r>
    </w:p>
    <w:p w14:paraId="7D7DBB00">
      <w:pPr>
        <w:pStyle w:val="16"/>
        <w:spacing w:line="360" w:lineRule="auto"/>
        <w:rPr>
          <w:rFonts w:hAnsi="宋体" w:cs="Times New Roman"/>
        </w:rPr>
      </w:pPr>
      <w:r>
        <w:rPr>
          <w:rFonts w:hint="eastAsia" w:hAnsi="宋体"/>
          <w:kern w:val="0"/>
        </w:rPr>
        <w:t>包号：</w:t>
      </w:r>
      <w:r>
        <w:rPr>
          <w:rFonts w:hAnsi="宋体"/>
          <w:kern w:val="0"/>
        </w:rPr>
        <w:t>XXX</w:t>
      </w:r>
    </w:p>
    <w:tbl>
      <w:tblPr>
        <w:tblStyle w:val="27"/>
        <w:tblW w:w="8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399"/>
        <w:gridCol w:w="3083"/>
        <w:gridCol w:w="2133"/>
      </w:tblGrid>
      <w:tr w14:paraId="1D1E4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2" w:type="dxa"/>
            <w:vAlign w:val="center"/>
          </w:tcPr>
          <w:p w14:paraId="1EC6A4D2">
            <w:pPr>
              <w:pStyle w:val="16"/>
              <w:spacing w:line="360" w:lineRule="auto"/>
              <w:jc w:val="center"/>
              <w:rPr>
                <w:rFonts w:hAnsi="宋体" w:cs="Times New Roman"/>
                <w:kern w:val="0"/>
              </w:rPr>
            </w:pPr>
            <w:r>
              <w:rPr>
                <w:rFonts w:hint="eastAsia" w:hAnsi="宋体"/>
                <w:kern w:val="0"/>
              </w:rPr>
              <w:t>序号</w:t>
            </w:r>
          </w:p>
        </w:tc>
        <w:tc>
          <w:tcPr>
            <w:tcW w:w="2399" w:type="dxa"/>
            <w:vAlign w:val="center"/>
          </w:tcPr>
          <w:p w14:paraId="730A573B">
            <w:pPr>
              <w:pStyle w:val="16"/>
              <w:spacing w:line="360" w:lineRule="auto"/>
              <w:jc w:val="center"/>
              <w:rPr>
                <w:rFonts w:hAnsi="宋体" w:cs="Times New Roman"/>
                <w:kern w:val="0"/>
              </w:rPr>
            </w:pPr>
            <w:r>
              <w:rPr>
                <w:rFonts w:hint="eastAsia" w:hAnsi="宋体"/>
                <w:kern w:val="0"/>
              </w:rPr>
              <w:t>比选文件要求</w:t>
            </w:r>
          </w:p>
        </w:tc>
        <w:tc>
          <w:tcPr>
            <w:tcW w:w="3083" w:type="dxa"/>
            <w:vAlign w:val="center"/>
          </w:tcPr>
          <w:p w14:paraId="5A680A16">
            <w:pPr>
              <w:pStyle w:val="16"/>
              <w:spacing w:line="360" w:lineRule="auto"/>
              <w:jc w:val="center"/>
              <w:rPr>
                <w:rFonts w:hAnsi="宋体" w:cs="Times New Roman"/>
                <w:kern w:val="0"/>
              </w:rPr>
            </w:pPr>
            <w:r>
              <w:rPr>
                <w:rFonts w:hint="eastAsia" w:hAnsi="宋体"/>
                <w:kern w:val="0"/>
              </w:rPr>
              <w:t>供应商应答</w:t>
            </w:r>
          </w:p>
        </w:tc>
        <w:tc>
          <w:tcPr>
            <w:tcW w:w="2133" w:type="dxa"/>
            <w:vAlign w:val="center"/>
          </w:tcPr>
          <w:p w14:paraId="78F296D9">
            <w:pPr>
              <w:pStyle w:val="16"/>
              <w:spacing w:line="360" w:lineRule="auto"/>
              <w:jc w:val="center"/>
              <w:rPr>
                <w:rFonts w:hAnsi="宋体" w:cs="Times New Roman"/>
                <w:kern w:val="0"/>
              </w:rPr>
            </w:pPr>
            <w:r>
              <w:rPr>
                <w:rFonts w:hint="eastAsia" w:hAnsi="宋体"/>
                <w:kern w:val="0"/>
              </w:rPr>
              <w:t>响应</w:t>
            </w:r>
            <w:r>
              <w:rPr>
                <w:rFonts w:hAnsi="宋体"/>
                <w:kern w:val="0"/>
              </w:rPr>
              <w:t>/</w:t>
            </w:r>
            <w:r>
              <w:rPr>
                <w:rFonts w:hint="eastAsia" w:hAnsi="宋体"/>
                <w:kern w:val="0"/>
              </w:rPr>
              <w:t>偏离</w:t>
            </w:r>
          </w:p>
        </w:tc>
      </w:tr>
      <w:tr w14:paraId="24E0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15331274">
            <w:pPr>
              <w:spacing w:line="360" w:lineRule="auto"/>
              <w:jc w:val="center"/>
              <w:rPr>
                <w:rFonts w:ascii="宋体"/>
                <w:kern w:val="0"/>
              </w:rPr>
            </w:pPr>
          </w:p>
        </w:tc>
        <w:tc>
          <w:tcPr>
            <w:tcW w:w="2399" w:type="dxa"/>
            <w:vAlign w:val="center"/>
          </w:tcPr>
          <w:p w14:paraId="5A0D3BD9">
            <w:pPr>
              <w:spacing w:line="360" w:lineRule="auto"/>
              <w:jc w:val="center"/>
              <w:rPr>
                <w:rFonts w:ascii="宋体"/>
                <w:kern w:val="0"/>
              </w:rPr>
            </w:pPr>
          </w:p>
        </w:tc>
        <w:tc>
          <w:tcPr>
            <w:tcW w:w="3083" w:type="dxa"/>
            <w:vAlign w:val="center"/>
          </w:tcPr>
          <w:p w14:paraId="3DC41524">
            <w:pPr>
              <w:spacing w:line="360" w:lineRule="auto"/>
              <w:ind w:left="277" w:hanging="277" w:hangingChars="132"/>
              <w:jc w:val="center"/>
              <w:rPr>
                <w:rFonts w:ascii="宋体"/>
                <w:kern w:val="0"/>
              </w:rPr>
            </w:pPr>
          </w:p>
        </w:tc>
        <w:tc>
          <w:tcPr>
            <w:tcW w:w="2133" w:type="dxa"/>
            <w:vAlign w:val="center"/>
          </w:tcPr>
          <w:p w14:paraId="7670182A">
            <w:pPr>
              <w:spacing w:line="360" w:lineRule="auto"/>
              <w:ind w:left="277" w:hanging="277" w:hangingChars="132"/>
              <w:jc w:val="center"/>
              <w:rPr>
                <w:rFonts w:ascii="宋体"/>
                <w:kern w:val="0"/>
              </w:rPr>
            </w:pPr>
          </w:p>
        </w:tc>
      </w:tr>
      <w:tr w14:paraId="2C5B3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21848097">
            <w:pPr>
              <w:spacing w:line="360" w:lineRule="auto"/>
              <w:jc w:val="center"/>
              <w:rPr>
                <w:rFonts w:ascii="宋体"/>
                <w:kern w:val="0"/>
              </w:rPr>
            </w:pPr>
          </w:p>
        </w:tc>
        <w:tc>
          <w:tcPr>
            <w:tcW w:w="2399" w:type="dxa"/>
            <w:vAlign w:val="center"/>
          </w:tcPr>
          <w:p w14:paraId="0CD47550">
            <w:pPr>
              <w:spacing w:line="360" w:lineRule="auto"/>
              <w:jc w:val="center"/>
              <w:rPr>
                <w:rFonts w:ascii="宋体"/>
                <w:kern w:val="0"/>
              </w:rPr>
            </w:pPr>
          </w:p>
        </w:tc>
        <w:tc>
          <w:tcPr>
            <w:tcW w:w="3083" w:type="dxa"/>
            <w:vAlign w:val="center"/>
          </w:tcPr>
          <w:p w14:paraId="792509B8">
            <w:pPr>
              <w:spacing w:line="360" w:lineRule="auto"/>
              <w:jc w:val="center"/>
              <w:rPr>
                <w:rFonts w:ascii="宋体"/>
                <w:kern w:val="0"/>
              </w:rPr>
            </w:pPr>
          </w:p>
        </w:tc>
        <w:tc>
          <w:tcPr>
            <w:tcW w:w="2133" w:type="dxa"/>
            <w:vAlign w:val="center"/>
          </w:tcPr>
          <w:p w14:paraId="794306BF">
            <w:pPr>
              <w:spacing w:line="360" w:lineRule="auto"/>
              <w:jc w:val="center"/>
              <w:rPr>
                <w:rFonts w:ascii="宋体"/>
                <w:kern w:val="0"/>
              </w:rPr>
            </w:pPr>
          </w:p>
        </w:tc>
      </w:tr>
      <w:tr w14:paraId="5D70C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182EF3BE">
            <w:pPr>
              <w:spacing w:line="360" w:lineRule="auto"/>
              <w:jc w:val="center"/>
              <w:rPr>
                <w:rFonts w:ascii="宋体"/>
                <w:kern w:val="0"/>
              </w:rPr>
            </w:pPr>
          </w:p>
        </w:tc>
        <w:tc>
          <w:tcPr>
            <w:tcW w:w="2399" w:type="dxa"/>
            <w:vAlign w:val="center"/>
          </w:tcPr>
          <w:p w14:paraId="2275ED37">
            <w:pPr>
              <w:spacing w:line="360" w:lineRule="auto"/>
              <w:jc w:val="center"/>
              <w:rPr>
                <w:rFonts w:ascii="宋体"/>
                <w:kern w:val="0"/>
              </w:rPr>
            </w:pPr>
          </w:p>
        </w:tc>
        <w:tc>
          <w:tcPr>
            <w:tcW w:w="3083" w:type="dxa"/>
            <w:vAlign w:val="center"/>
          </w:tcPr>
          <w:p w14:paraId="4A377D70">
            <w:pPr>
              <w:spacing w:line="360" w:lineRule="auto"/>
              <w:jc w:val="center"/>
              <w:rPr>
                <w:rFonts w:ascii="宋体"/>
                <w:kern w:val="0"/>
              </w:rPr>
            </w:pPr>
          </w:p>
        </w:tc>
        <w:tc>
          <w:tcPr>
            <w:tcW w:w="2133" w:type="dxa"/>
            <w:vAlign w:val="center"/>
          </w:tcPr>
          <w:p w14:paraId="799AC46E">
            <w:pPr>
              <w:spacing w:line="360" w:lineRule="auto"/>
              <w:jc w:val="center"/>
              <w:rPr>
                <w:rFonts w:ascii="宋体"/>
                <w:kern w:val="0"/>
              </w:rPr>
            </w:pPr>
          </w:p>
        </w:tc>
      </w:tr>
      <w:tr w14:paraId="6BA23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246B6647">
            <w:pPr>
              <w:spacing w:line="360" w:lineRule="auto"/>
              <w:jc w:val="center"/>
              <w:rPr>
                <w:rFonts w:ascii="宋体"/>
                <w:kern w:val="0"/>
              </w:rPr>
            </w:pPr>
          </w:p>
        </w:tc>
        <w:tc>
          <w:tcPr>
            <w:tcW w:w="2399" w:type="dxa"/>
            <w:vAlign w:val="center"/>
          </w:tcPr>
          <w:p w14:paraId="3A59364E">
            <w:pPr>
              <w:spacing w:line="360" w:lineRule="auto"/>
              <w:jc w:val="center"/>
              <w:rPr>
                <w:rFonts w:ascii="宋体"/>
                <w:kern w:val="0"/>
              </w:rPr>
            </w:pPr>
          </w:p>
        </w:tc>
        <w:tc>
          <w:tcPr>
            <w:tcW w:w="3083" w:type="dxa"/>
            <w:vAlign w:val="center"/>
          </w:tcPr>
          <w:p w14:paraId="11F3B41A">
            <w:pPr>
              <w:spacing w:line="360" w:lineRule="auto"/>
              <w:jc w:val="center"/>
              <w:rPr>
                <w:rFonts w:ascii="宋体"/>
                <w:kern w:val="0"/>
              </w:rPr>
            </w:pPr>
          </w:p>
        </w:tc>
        <w:tc>
          <w:tcPr>
            <w:tcW w:w="2133" w:type="dxa"/>
            <w:vAlign w:val="center"/>
          </w:tcPr>
          <w:p w14:paraId="0E8EE93C">
            <w:pPr>
              <w:spacing w:line="360" w:lineRule="auto"/>
              <w:jc w:val="center"/>
              <w:rPr>
                <w:rFonts w:ascii="宋体"/>
                <w:kern w:val="0"/>
              </w:rPr>
            </w:pPr>
          </w:p>
        </w:tc>
      </w:tr>
      <w:tr w14:paraId="6B43E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0DC7142C">
            <w:pPr>
              <w:spacing w:line="360" w:lineRule="auto"/>
              <w:jc w:val="center"/>
              <w:rPr>
                <w:rFonts w:ascii="宋体"/>
                <w:kern w:val="0"/>
              </w:rPr>
            </w:pPr>
          </w:p>
        </w:tc>
        <w:tc>
          <w:tcPr>
            <w:tcW w:w="2399" w:type="dxa"/>
            <w:vAlign w:val="center"/>
          </w:tcPr>
          <w:p w14:paraId="10A6ABC4">
            <w:pPr>
              <w:spacing w:line="360" w:lineRule="auto"/>
              <w:jc w:val="center"/>
              <w:rPr>
                <w:rFonts w:ascii="宋体"/>
                <w:kern w:val="0"/>
              </w:rPr>
            </w:pPr>
          </w:p>
        </w:tc>
        <w:tc>
          <w:tcPr>
            <w:tcW w:w="3083" w:type="dxa"/>
            <w:vAlign w:val="center"/>
          </w:tcPr>
          <w:p w14:paraId="23F5B62A">
            <w:pPr>
              <w:spacing w:line="360" w:lineRule="auto"/>
              <w:jc w:val="center"/>
              <w:rPr>
                <w:rFonts w:ascii="宋体"/>
                <w:kern w:val="0"/>
              </w:rPr>
            </w:pPr>
          </w:p>
        </w:tc>
        <w:tc>
          <w:tcPr>
            <w:tcW w:w="2133" w:type="dxa"/>
            <w:vAlign w:val="center"/>
          </w:tcPr>
          <w:p w14:paraId="6D1387F4">
            <w:pPr>
              <w:spacing w:line="360" w:lineRule="auto"/>
              <w:jc w:val="center"/>
              <w:rPr>
                <w:rFonts w:ascii="宋体"/>
                <w:kern w:val="0"/>
              </w:rPr>
            </w:pPr>
          </w:p>
        </w:tc>
      </w:tr>
      <w:tr w14:paraId="0BC43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2" w:hRule="atLeast"/>
          <w:jc w:val="center"/>
        </w:trPr>
        <w:tc>
          <w:tcPr>
            <w:tcW w:w="1242" w:type="dxa"/>
            <w:vAlign w:val="center"/>
          </w:tcPr>
          <w:p w14:paraId="4249263F">
            <w:pPr>
              <w:spacing w:line="360" w:lineRule="auto"/>
              <w:jc w:val="center"/>
              <w:rPr>
                <w:rFonts w:ascii="宋体"/>
                <w:kern w:val="0"/>
              </w:rPr>
            </w:pPr>
          </w:p>
        </w:tc>
        <w:tc>
          <w:tcPr>
            <w:tcW w:w="2399" w:type="dxa"/>
            <w:vAlign w:val="center"/>
          </w:tcPr>
          <w:p w14:paraId="574FD884">
            <w:pPr>
              <w:spacing w:line="360" w:lineRule="auto"/>
              <w:jc w:val="center"/>
              <w:rPr>
                <w:rFonts w:ascii="宋体"/>
                <w:kern w:val="0"/>
              </w:rPr>
            </w:pPr>
          </w:p>
        </w:tc>
        <w:tc>
          <w:tcPr>
            <w:tcW w:w="3083" w:type="dxa"/>
            <w:vAlign w:val="center"/>
          </w:tcPr>
          <w:p w14:paraId="0595766F">
            <w:pPr>
              <w:spacing w:line="360" w:lineRule="auto"/>
              <w:jc w:val="center"/>
              <w:rPr>
                <w:rFonts w:ascii="宋体"/>
                <w:kern w:val="0"/>
              </w:rPr>
            </w:pPr>
          </w:p>
        </w:tc>
        <w:tc>
          <w:tcPr>
            <w:tcW w:w="2133" w:type="dxa"/>
            <w:vAlign w:val="center"/>
          </w:tcPr>
          <w:p w14:paraId="1B494694">
            <w:pPr>
              <w:spacing w:line="360" w:lineRule="auto"/>
              <w:jc w:val="center"/>
              <w:rPr>
                <w:rFonts w:ascii="宋体"/>
                <w:kern w:val="0"/>
              </w:rPr>
            </w:pPr>
          </w:p>
        </w:tc>
      </w:tr>
      <w:tr w14:paraId="2BF42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242" w:type="dxa"/>
            <w:vAlign w:val="center"/>
          </w:tcPr>
          <w:p w14:paraId="0942485F">
            <w:pPr>
              <w:spacing w:line="360" w:lineRule="auto"/>
              <w:jc w:val="center"/>
              <w:rPr>
                <w:rFonts w:ascii="宋体"/>
                <w:kern w:val="0"/>
              </w:rPr>
            </w:pPr>
          </w:p>
        </w:tc>
        <w:tc>
          <w:tcPr>
            <w:tcW w:w="2399" w:type="dxa"/>
            <w:vAlign w:val="center"/>
          </w:tcPr>
          <w:p w14:paraId="5F3DD525">
            <w:pPr>
              <w:spacing w:line="360" w:lineRule="auto"/>
              <w:jc w:val="center"/>
              <w:rPr>
                <w:rFonts w:ascii="宋体"/>
                <w:kern w:val="0"/>
              </w:rPr>
            </w:pPr>
          </w:p>
        </w:tc>
        <w:tc>
          <w:tcPr>
            <w:tcW w:w="3083" w:type="dxa"/>
            <w:vAlign w:val="center"/>
          </w:tcPr>
          <w:p w14:paraId="5A852850">
            <w:pPr>
              <w:spacing w:line="360" w:lineRule="auto"/>
              <w:jc w:val="center"/>
              <w:rPr>
                <w:rFonts w:ascii="宋体"/>
                <w:kern w:val="0"/>
              </w:rPr>
            </w:pPr>
          </w:p>
        </w:tc>
        <w:tc>
          <w:tcPr>
            <w:tcW w:w="2133" w:type="dxa"/>
            <w:vAlign w:val="center"/>
          </w:tcPr>
          <w:p w14:paraId="0FA40DDB">
            <w:pPr>
              <w:spacing w:line="360" w:lineRule="auto"/>
              <w:jc w:val="center"/>
              <w:rPr>
                <w:rFonts w:ascii="宋体"/>
                <w:kern w:val="0"/>
              </w:rPr>
            </w:pPr>
          </w:p>
        </w:tc>
      </w:tr>
    </w:tbl>
    <w:p w14:paraId="146AC6CE">
      <w:pPr>
        <w:spacing w:line="360" w:lineRule="auto"/>
        <w:ind w:left="735" w:hanging="735" w:hangingChars="350"/>
        <w:jc w:val="center"/>
        <w:rPr>
          <w:rFonts w:ascii="宋体"/>
        </w:rPr>
      </w:pPr>
    </w:p>
    <w:p w14:paraId="29343257">
      <w:pPr>
        <w:spacing w:line="360" w:lineRule="auto"/>
        <w:rPr>
          <w:rFonts w:ascii="宋体"/>
        </w:rPr>
      </w:pPr>
    </w:p>
    <w:p w14:paraId="49C09A52">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0AD14BD7">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48447FB3">
      <w:pPr>
        <w:spacing w:line="360" w:lineRule="auto"/>
        <w:ind w:firstLine="420" w:firstLineChars="200"/>
        <w:rPr>
          <w:rFonts w:ascii="宋体"/>
          <w:kern w:val="0"/>
        </w:rPr>
      </w:pPr>
      <w:r>
        <w:rPr>
          <w:rFonts w:hint="eastAsia" w:ascii="宋体" w:hAnsi="宋体" w:cs="宋体"/>
          <w:kern w:val="0"/>
        </w:rPr>
        <w:t>日期：年月日</w:t>
      </w:r>
    </w:p>
    <w:p w14:paraId="1563A743">
      <w:pPr>
        <w:spacing w:line="360" w:lineRule="auto"/>
        <w:ind w:left="735" w:hanging="735" w:hangingChars="350"/>
        <w:jc w:val="center"/>
        <w:rPr>
          <w:rFonts w:ascii="宋体"/>
        </w:rPr>
      </w:pPr>
    </w:p>
    <w:p w14:paraId="7E8F8671">
      <w:pPr>
        <w:pStyle w:val="16"/>
        <w:spacing w:line="360" w:lineRule="auto"/>
        <w:ind w:firstLine="420" w:firstLineChars="200"/>
      </w:pPr>
      <w:r>
        <w:rPr>
          <w:rFonts w:hint="eastAsia" w:hAnsi="宋体"/>
          <w:kern w:val="0"/>
        </w:rPr>
        <w:t>注：供应商必须据实填写，不得虚假应答，如与比选文件所列服务考核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供应商参与比选无论是响应还是不响应，都务必要填写此表格，明确是否响应比选文件中的服务考核。</w:t>
      </w:r>
    </w:p>
    <w:p w14:paraId="65154CEF">
      <w:r>
        <w:rPr>
          <w:rFonts w:hint="eastAsia"/>
        </w:rPr>
        <w:br w:type="page"/>
      </w:r>
    </w:p>
    <w:p w14:paraId="4B69D305">
      <w:pPr>
        <w:pStyle w:val="3"/>
        <w:numPr>
          <w:ilvl w:val="0"/>
          <w:numId w:val="0"/>
        </w:numPr>
        <w:spacing w:before="0" w:after="0" w:line="360" w:lineRule="auto"/>
        <w:jc w:val="center"/>
      </w:pPr>
      <w:r>
        <w:rPr>
          <w:rFonts w:hint="eastAsia"/>
        </w:rPr>
        <w:t>十</w:t>
      </w:r>
      <w:r>
        <w:t>、</w:t>
      </w:r>
      <w:r>
        <w:rPr>
          <w:rFonts w:hint="eastAsia"/>
        </w:rPr>
        <w:t>廉洁承诺书</w:t>
      </w:r>
    </w:p>
    <w:p w14:paraId="35D15436">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14:paraId="3A987CF3">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一、进一步统一思想，充分认识开展治理商业贿赂专项治理的重要性、紧迫性和必要性。</w:t>
      </w:r>
    </w:p>
    <w:p w14:paraId="06FE4E3F">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二、应积极配合医院开展自查自纠工作，积极配合对相关医务人员的商业贿赂行为进行查处。</w:t>
      </w:r>
    </w:p>
    <w:p w14:paraId="650C83CD">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三、不找有关领导干涉药品、医用设备、医用耗材等购销活动，不以贿赂的方式将上述商品销售到医院。</w:t>
      </w:r>
    </w:p>
    <w:p w14:paraId="2C29432A">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四、不向药品、医用设备、医用耗材等购销人员给予各种名义的财物或回扣。</w:t>
      </w:r>
    </w:p>
    <w:p w14:paraId="4602671E">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五、不向从事药品、医用设备、医用耗材等相关活动的人员给予开单费、临床促销费、宣传费、劳务费、统方费等费用。</w:t>
      </w:r>
    </w:p>
    <w:p w14:paraId="653AC0F7">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六、不为医院相关人员报销电话费、娱乐费、差旅费、餐费等应由本人支付的各种费用。</w:t>
      </w:r>
    </w:p>
    <w:p w14:paraId="1A09A01F">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七、不组织甲方相关人员参加国内外旅游、座谈会、学术会等活动。</w:t>
      </w:r>
    </w:p>
    <w:p w14:paraId="7E50774F">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八、不向甲方相关人员赠送各种实物及有价证券。</w:t>
      </w:r>
    </w:p>
    <w:p w14:paraId="6FFE1EC9">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九、不派工作人员到医院临床科室进行药品、医用设备、医用耗材的广告宣传。</w:t>
      </w:r>
    </w:p>
    <w:p w14:paraId="02F0066D">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十、不以任何理由向医院及其相关人员进行商业贿赂。</w:t>
      </w:r>
    </w:p>
    <w:p w14:paraId="4D332B62">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十一、如违反上述约定，医院有权单方终止现有购销关系，若违反承诺条款，公司承诺：三年内无权参加医院所有的采购活动。</w:t>
      </w:r>
    </w:p>
    <w:p w14:paraId="3F1439C0">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十二、违反上述约定，应向医院支付违约金二万元，医院可直接在双方购销款中扣除。</w:t>
      </w:r>
    </w:p>
    <w:p w14:paraId="05F861DB">
      <w:pPr>
        <w:pStyle w:val="14"/>
        <w:rPr>
          <w:rFonts w:asciiTheme="minorEastAsia" w:hAnsiTheme="minorEastAsia" w:eastAsiaTheme="minorEastAsia"/>
        </w:rPr>
      </w:pPr>
    </w:p>
    <w:p w14:paraId="24CEBFA3">
      <w:pPr>
        <w:tabs>
          <w:tab w:val="left" w:pos="3690"/>
        </w:tabs>
        <w:ind w:firstLine="511" w:firstLineChars="213"/>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 xml:space="preserve">                 承诺公司：（盖章）</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14:paraId="2A9AA915">
      <w:pPr>
        <w:tabs>
          <w:tab w:val="left" w:pos="3690"/>
        </w:tabs>
        <w:ind w:firstLine="2640" w:firstLineChars="1100"/>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承诺代表：</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14:paraId="0A554E71">
      <w:pPr>
        <w:ind w:firstLine="2640" w:firstLineChars="1100"/>
        <w:jc w:val="right"/>
        <w:rPr>
          <w:rFonts w:asciiTheme="minorEastAsia" w:hAnsiTheme="minorEastAsia" w:eastAsiaTheme="minorEastAsia"/>
          <w:sz w:val="18"/>
        </w:rPr>
      </w:pPr>
      <w:r>
        <w:rPr>
          <w:rFonts w:hint="eastAsia" w:cs="仿宋_GB2312" w:asciiTheme="minorEastAsia" w:hAnsiTheme="minorEastAsia" w:eastAsiaTheme="minorEastAsia"/>
          <w:color w:val="000000"/>
          <w:sz w:val="24"/>
          <w:szCs w:val="24"/>
          <w:shd w:val="clear" w:color="auto" w:fill="FFFFFF"/>
        </w:rPr>
        <w:t>承诺时间：2026年   月   日</w:t>
      </w:r>
    </w:p>
    <w:p w14:paraId="05AF074B">
      <w:pPr>
        <w:pStyle w:val="14"/>
      </w:pPr>
    </w:p>
    <w:p w14:paraId="26B76B3D"/>
    <w:p w14:paraId="6599D654">
      <w:pPr>
        <w:pStyle w:val="14"/>
      </w:pPr>
    </w:p>
    <w:p w14:paraId="59C0462E"/>
    <w:p w14:paraId="4051419B">
      <w:pPr>
        <w:pStyle w:val="14"/>
      </w:pPr>
    </w:p>
    <w:p w14:paraId="084EAA8F"/>
    <w:p w14:paraId="4CF1DBDB">
      <w:pPr>
        <w:pStyle w:val="14"/>
      </w:pPr>
    </w:p>
    <w:p w14:paraId="758C4B54"/>
    <w:p w14:paraId="2232CF80">
      <w:pPr>
        <w:pStyle w:val="14"/>
      </w:pPr>
    </w:p>
    <w:p w14:paraId="124F3041"/>
    <w:p w14:paraId="02FADD6C">
      <w:pPr>
        <w:pStyle w:val="3"/>
        <w:numPr>
          <w:ilvl w:val="1"/>
          <w:numId w:val="0"/>
        </w:numPr>
        <w:tabs>
          <w:tab w:val="clear" w:pos="2045"/>
          <w:tab w:val="clear" w:pos="3828"/>
        </w:tabs>
        <w:ind w:left="3261"/>
        <w:rPr>
          <w:bCs w:val="0"/>
        </w:rPr>
      </w:pPr>
      <w:bookmarkStart w:id="37" w:name="_Toc361252259"/>
      <w:bookmarkStart w:id="38" w:name="_Toc365878703"/>
      <w:r>
        <w:rPr>
          <w:rFonts w:hint="eastAsia"/>
          <w:bCs w:val="0"/>
        </w:rPr>
        <w:t>十一、最后报价表</w:t>
      </w:r>
    </w:p>
    <w:p w14:paraId="6D0D275D">
      <w:pPr>
        <w:spacing w:line="360" w:lineRule="auto"/>
        <w:rPr>
          <w:rFonts w:ascii="宋体" w:hAnsi="宋体" w:cs="宋体"/>
          <w:sz w:val="24"/>
        </w:rPr>
      </w:pPr>
      <w:r>
        <w:rPr>
          <w:rFonts w:hint="eastAsia" w:ascii="宋体" w:hAnsi="宋体" w:cs="宋体"/>
          <w:sz w:val="24"/>
        </w:rPr>
        <w:t>一、关于最后报价表的说明：</w:t>
      </w:r>
    </w:p>
    <w:p w14:paraId="2CABFE4B">
      <w:pPr>
        <w:spacing w:line="360" w:lineRule="auto"/>
        <w:rPr>
          <w:rFonts w:ascii="宋体" w:hAnsi="宋体" w:cs="宋体"/>
          <w:b/>
          <w:bCs/>
          <w:sz w:val="24"/>
        </w:rPr>
      </w:pPr>
      <w:r>
        <w:rPr>
          <w:rFonts w:hint="eastAsia" w:ascii="宋体" w:hAnsi="宋体" w:cs="宋体"/>
          <w:b/>
          <w:bCs/>
          <w:sz w:val="24"/>
        </w:rPr>
        <w:t>1、最后报价表不需要封装在比选申请文件中；</w:t>
      </w:r>
    </w:p>
    <w:p w14:paraId="5D475631">
      <w:pPr>
        <w:spacing w:line="360" w:lineRule="auto"/>
        <w:rPr>
          <w:rFonts w:ascii="宋体" w:hAnsi="宋体" w:cs="宋体"/>
          <w:b/>
          <w:bCs/>
          <w:sz w:val="24"/>
        </w:rPr>
      </w:pPr>
      <w:r>
        <w:rPr>
          <w:rFonts w:hint="eastAsia" w:ascii="宋体" w:hAnsi="宋体" w:cs="宋体"/>
          <w:b/>
          <w:bCs/>
          <w:sz w:val="24"/>
        </w:rPr>
        <w:t>2、最后报价表是在通过相关评审后，需由法定代表人（负责人）或授权代表签字；</w:t>
      </w:r>
    </w:p>
    <w:p w14:paraId="14C27291">
      <w:pPr>
        <w:spacing w:line="360" w:lineRule="auto"/>
        <w:rPr>
          <w:rFonts w:ascii="宋体" w:hAnsi="宋体" w:cs="宋体"/>
          <w:b/>
          <w:bCs/>
          <w:sz w:val="24"/>
        </w:rPr>
      </w:pPr>
      <w:r>
        <w:rPr>
          <w:rFonts w:hint="eastAsia" w:ascii="宋体" w:hAnsi="宋体" w:cs="宋体"/>
          <w:b/>
          <w:bCs/>
          <w:sz w:val="24"/>
        </w:rPr>
        <w:t>3、最后报价表可由供应商的法定代表人（负责人）或授权代表在最后报价时手工填写；</w:t>
      </w:r>
    </w:p>
    <w:p w14:paraId="02B1D336">
      <w:pPr>
        <w:spacing w:line="360" w:lineRule="auto"/>
        <w:rPr>
          <w:rFonts w:ascii="宋体" w:hAnsi="宋体" w:cs="宋体"/>
          <w:b/>
          <w:bCs/>
          <w:sz w:val="24"/>
        </w:rPr>
      </w:pPr>
      <w:r>
        <w:rPr>
          <w:rFonts w:hint="eastAsia" w:ascii="宋体" w:hAnsi="宋体" w:cs="宋体"/>
          <w:b/>
          <w:bCs/>
          <w:sz w:val="24"/>
        </w:rPr>
        <w:t>4、最后报价不得高于对该项目之前的报价。</w:t>
      </w:r>
    </w:p>
    <w:p w14:paraId="7B006A5F">
      <w:pPr>
        <w:spacing w:line="360" w:lineRule="auto"/>
        <w:rPr>
          <w:rFonts w:ascii="宋体" w:hAnsi="宋体" w:cs="宋体"/>
          <w:sz w:val="24"/>
        </w:rPr>
      </w:pPr>
      <w:r>
        <w:rPr>
          <w:rFonts w:hint="eastAsia" w:ascii="宋体" w:hAnsi="宋体" w:cs="宋体"/>
          <w:sz w:val="24"/>
        </w:rPr>
        <w:t>二、报价表格式：</w:t>
      </w:r>
    </w:p>
    <w:p w14:paraId="59FDC1B6">
      <w:pPr>
        <w:jc w:val="center"/>
        <w:rPr>
          <w:rFonts w:ascii="宋体" w:hAnsi="宋体" w:cs="宋体"/>
          <w:b/>
          <w:sz w:val="32"/>
          <w:szCs w:val="32"/>
        </w:rPr>
      </w:pPr>
      <w:r>
        <w:rPr>
          <w:rFonts w:hint="eastAsia" w:ascii="宋体" w:hAnsi="宋体" w:cs="宋体"/>
          <w:b/>
          <w:sz w:val="32"/>
          <w:szCs w:val="32"/>
        </w:rPr>
        <w:t>最后报价表</w:t>
      </w:r>
    </w:p>
    <w:tbl>
      <w:tblPr>
        <w:tblStyle w:val="28"/>
        <w:tblpPr w:leftFromText="180" w:rightFromText="180" w:vertAnchor="text" w:horzAnchor="page" w:tblpX="1642" w:tblpY="113"/>
        <w:tblOverlap w:val="never"/>
        <w:tblW w:w="450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2"/>
        <w:gridCol w:w="1735"/>
        <w:gridCol w:w="1581"/>
        <w:gridCol w:w="1253"/>
        <w:gridCol w:w="1516"/>
        <w:gridCol w:w="1341"/>
      </w:tblGrid>
      <w:tr w14:paraId="5B223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509" w:type="pct"/>
            <w:vAlign w:val="center"/>
          </w:tcPr>
          <w:p w14:paraId="2FE85496">
            <w:pPr>
              <w:jc w:val="center"/>
              <w:rPr>
                <w:rFonts w:ascii="宋体" w:hAnsi="宋体" w:cs="宋体"/>
              </w:rPr>
            </w:pPr>
            <w:r>
              <w:rPr>
                <w:rFonts w:hint="eastAsia" w:ascii="宋体" w:hAnsi="宋体" w:cs="宋体"/>
              </w:rPr>
              <w:t>序号</w:t>
            </w:r>
          </w:p>
        </w:tc>
        <w:tc>
          <w:tcPr>
            <w:tcW w:w="1049" w:type="pct"/>
            <w:vAlign w:val="center"/>
          </w:tcPr>
          <w:p w14:paraId="252C121B">
            <w:pPr>
              <w:jc w:val="center"/>
              <w:rPr>
                <w:rFonts w:ascii="宋体" w:hAnsi="宋体" w:cs="宋体"/>
              </w:rPr>
            </w:pPr>
            <w:r>
              <w:rPr>
                <w:rFonts w:hint="eastAsia" w:ascii="宋体" w:hAnsi="宋体" w:cs="宋体"/>
              </w:rPr>
              <w:t>标的名称</w:t>
            </w:r>
          </w:p>
        </w:tc>
        <w:tc>
          <w:tcPr>
            <w:tcW w:w="956" w:type="pct"/>
            <w:vAlign w:val="center"/>
          </w:tcPr>
          <w:p w14:paraId="5D82153C">
            <w:pPr>
              <w:jc w:val="center"/>
              <w:rPr>
                <w:rFonts w:ascii="宋体" w:hAnsi="宋体" w:cs="宋体"/>
              </w:rPr>
            </w:pPr>
            <w:r>
              <w:rPr>
                <w:rFonts w:hint="eastAsia" w:ascii="宋体" w:hAnsi="宋体" w:cs="宋体"/>
              </w:rPr>
              <w:t>单价最高限价（万元/年）</w:t>
            </w:r>
          </w:p>
        </w:tc>
        <w:tc>
          <w:tcPr>
            <w:tcW w:w="758" w:type="pct"/>
            <w:vAlign w:val="center"/>
          </w:tcPr>
          <w:p w14:paraId="240811DD">
            <w:pPr>
              <w:jc w:val="center"/>
              <w:rPr>
                <w:rFonts w:ascii="宋体" w:hAnsi="宋体" w:cs="宋体"/>
              </w:rPr>
            </w:pPr>
            <w:r>
              <w:rPr>
                <w:rFonts w:hint="eastAsia" w:ascii="宋体" w:hAnsi="宋体" w:cs="宋体"/>
              </w:rPr>
              <w:t>服务期限</w:t>
            </w:r>
          </w:p>
        </w:tc>
        <w:tc>
          <w:tcPr>
            <w:tcW w:w="917" w:type="pct"/>
            <w:vAlign w:val="center"/>
          </w:tcPr>
          <w:p w14:paraId="60F1A7AA">
            <w:pPr>
              <w:jc w:val="center"/>
              <w:rPr>
                <w:rFonts w:ascii="宋体" w:hAnsi="宋体" w:cs="宋体"/>
              </w:rPr>
            </w:pPr>
            <w:r>
              <w:rPr>
                <w:rFonts w:hint="eastAsia" w:ascii="宋体" w:hAnsi="宋体" w:cs="宋体"/>
              </w:rPr>
              <w:t>单价报价（万元/年）</w:t>
            </w:r>
          </w:p>
        </w:tc>
        <w:tc>
          <w:tcPr>
            <w:tcW w:w="807" w:type="pct"/>
            <w:vAlign w:val="center"/>
          </w:tcPr>
          <w:p w14:paraId="21432043">
            <w:pPr>
              <w:jc w:val="center"/>
              <w:rPr>
                <w:rFonts w:ascii="宋体" w:hAnsi="宋体" w:cs="宋体"/>
              </w:rPr>
            </w:pPr>
            <w:r>
              <w:rPr>
                <w:rFonts w:hint="eastAsia" w:ascii="宋体" w:hAnsi="宋体" w:cs="宋体"/>
              </w:rPr>
              <w:t>总价报价（万元）</w:t>
            </w:r>
          </w:p>
        </w:tc>
      </w:tr>
      <w:tr w14:paraId="6D800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509" w:type="pct"/>
            <w:vAlign w:val="center"/>
          </w:tcPr>
          <w:p w14:paraId="0B480AE9">
            <w:pPr>
              <w:jc w:val="center"/>
              <w:rPr>
                <w:rFonts w:ascii="宋体" w:hAnsi="宋体" w:cs="宋体"/>
              </w:rPr>
            </w:pPr>
            <w:r>
              <w:rPr>
                <w:rFonts w:hint="eastAsia" w:ascii="宋体" w:hAnsi="宋体" w:cs="宋体"/>
              </w:rPr>
              <w:t>1</w:t>
            </w:r>
          </w:p>
        </w:tc>
        <w:tc>
          <w:tcPr>
            <w:tcW w:w="1049" w:type="pct"/>
            <w:vAlign w:val="center"/>
          </w:tcPr>
          <w:p w14:paraId="29BC7CAA">
            <w:pPr>
              <w:jc w:val="center"/>
              <w:rPr>
                <w:rFonts w:ascii="宋体" w:hAnsi="宋体" w:cs="宋体"/>
              </w:rPr>
            </w:pPr>
            <w:r>
              <w:rPr>
                <w:rFonts w:hint="eastAsia" w:ascii="宋体" w:hAnsi="宋体" w:cs="宋体"/>
              </w:rPr>
              <w:t>防统方系统维保服务</w:t>
            </w:r>
          </w:p>
        </w:tc>
        <w:tc>
          <w:tcPr>
            <w:tcW w:w="956" w:type="pct"/>
            <w:vAlign w:val="center"/>
          </w:tcPr>
          <w:p w14:paraId="182E7C1B">
            <w:pPr>
              <w:jc w:val="center"/>
              <w:rPr>
                <w:rFonts w:ascii="宋体" w:hAnsi="宋体" w:cs="宋体"/>
              </w:rPr>
            </w:pPr>
            <w:r>
              <w:rPr>
                <w:rFonts w:hint="eastAsia" w:ascii="宋体" w:hAnsi="宋体" w:cs="宋体"/>
              </w:rPr>
              <w:t>1.4</w:t>
            </w:r>
          </w:p>
        </w:tc>
        <w:tc>
          <w:tcPr>
            <w:tcW w:w="758" w:type="pct"/>
            <w:vAlign w:val="center"/>
          </w:tcPr>
          <w:p w14:paraId="218D52CC">
            <w:pPr>
              <w:jc w:val="center"/>
              <w:rPr>
                <w:rFonts w:ascii="宋体" w:hAnsi="宋体" w:cs="宋体"/>
              </w:rPr>
            </w:pPr>
            <w:r>
              <w:rPr>
                <w:rFonts w:hint="eastAsia" w:ascii="宋体" w:hAnsi="宋体" w:cs="宋体"/>
              </w:rPr>
              <w:t>3年</w:t>
            </w:r>
          </w:p>
        </w:tc>
        <w:tc>
          <w:tcPr>
            <w:tcW w:w="917" w:type="pct"/>
            <w:vAlign w:val="center"/>
          </w:tcPr>
          <w:p w14:paraId="7750AEC2">
            <w:pPr>
              <w:jc w:val="center"/>
              <w:rPr>
                <w:rFonts w:ascii="宋体" w:hAnsi="宋体" w:cs="宋体"/>
              </w:rPr>
            </w:pPr>
          </w:p>
        </w:tc>
        <w:tc>
          <w:tcPr>
            <w:tcW w:w="807" w:type="pct"/>
            <w:vAlign w:val="center"/>
          </w:tcPr>
          <w:p w14:paraId="6A96C324">
            <w:pPr>
              <w:jc w:val="center"/>
              <w:rPr>
                <w:rFonts w:ascii="宋体" w:hAnsi="宋体" w:cs="宋体"/>
              </w:rPr>
            </w:pPr>
          </w:p>
        </w:tc>
      </w:tr>
      <w:tr w14:paraId="25C79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5000" w:type="pct"/>
            <w:gridSpan w:val="6"/>
            <w:vAlign w:val="center"/>
          </w:tcPr>
          <w:p w14:paraId="2F63C1D5">
            <w:pPr>
              <w:jc w:val="center"/>
              <w:rPr>
                <w:rFonts w:ascii="宋体" w:hAnsi="宋体" w:cs="宋体"/>
              </w:rPr>
            </w:pPr>
            <w:r>
              <w:rPr>
                <w:rFonts w:hint="eastAsia" w:ascii="宋体" w:hAnsi="宋体" w:cs="宋体"/>
              </w:rPr>
              <w:t>总价报价：</w:t>
            </w:r>
            <w:r>
              <w:rPr>
                <w:rFonts w:hint="eastAsia" w:ascii="宋体" w:hAnsi="宋体" w:cs="宋体"/>
                <w:u w:val="single"/>
              </w:rPr>
              <w:t xml:space="preserve">           （大写：           ）</w:t>
            </w:r>
          </w:p>
        </w:tc>
      </w:tr>
    </w:tbl>
    <w:p w14:paraId="710218DA">
      <w:pPr>
        <w:spacing w:line="360" w:lineRule="auto"/>
        <w:ind w:firstLine="420" w:firstLineChars="200"/>
        <w:jc w:val="left"/>
        <w:rPr>
          <w:rFonts w:ascii="宋体" w:hAnsi="宋体"/>
          <w:kern w:val="0"/>
        </w:rPr>
      </w:pPr>
    </w:p>
    <w:p w14:paraId="45DEBD7C">
      <w:pPr>
        <w:ind w:firstLine="480" w:firstLineChars="200"/>
        <w:rPr>
          <w:rFonts w:ascii="宋体" w:hAnsi="宋体" w:cs="宋体"/>
          <w:color w:val="000000"/>
          <w:sz w:val="24"/>
        </w:rPr>
      </w:pPr>
      <w:r>
        <w:rPr>
          <w:rFonts w:hint="eastAsia" w:ascii="宋体" w:hAnsi="宋体" w:cs="宋体"/>
          <w:color w:val="000000"/>
          <w:sz w:val="24"/>
        </w:rPr>
        <w:t xml:space="preserve">注:1.采购应答总价包括供应商完成本项目所需的一切费用。 </w:t>
      </w:r>
    </w:p>
    <w:p w14:paraId="0D181A49">
      <w:pPr>
        <w:adjustRightInd w:val="0"/>
        <w:spacing w:line="400" w:lineRule="exact"/>
        <w:jc w:val="left"/>
        <w:rPr>
          <w:rFonts w:ascii="宋体" w:hAnsi="宋体" w:cs="宋体"/>
          <w:color w:val="000000"/>
          <w:sz w:val="24"/>
        </w:rPr>
      </w:pPr>
    </w:p>
    <w:p w14:paraId="70B52CFF">
      <w:pPr>
        <w:adjustRightInd w:val="0"/>
        <w:spacing w:line="400" w:lineRule="exact"/>
        <w:jc w:val="left"/>
        <w:rPr>
          <w:rFonts w:ascii="宋体" w:hAnsi="宋体" w:cs="宋体"/>
          <w:color w:val="000000"/>
          <w:sz w:val="24"/>
        </w:rPr>
      </w:pPr>
      <w:r>
        <w:rPr>
          <w:rFonts w:hint="eastAsia" w:ascii="宋体" w:hAnsi="宋体" w:cs="宋体"/>
          <w:color w:val="000000"/>
          <w:sz w:val="24"/>
        </w:rPr>
        <w:t>供应商名称：</w:t>
      </w:r>
      <w:r>
        <w:rPr>
          <w:rFonts w:hint="eastAsia" w:ascii="宋体" w:hAnsi="宋体" w:cs="宋体"/>
          <w:color w:val="000000"/>
          <w:sz w:val="24"/>
          <w:u w:val="single"/>
        </w:rPr>
        <w:t xml:space="preserve">          </w:t>
      </w:r>
    </w:p>
    <w:p w14:paraId="718C219A">
      <w:pPr>
        <w:adjustRightInd w:val="0"/>
        <w:spacing w:line="400" w:lineRule="exact"/>
        <w:jc w:val="left"/>
        <w:rPr>
          <w:rFonts w:ascii="宋体" w:hAnsi="宋体" w:cs="宋体"/>
          <w:bCs/>
          <w:color w:val="000000"/>
          <w:sz w:val="24"/>
        </w:rPr>
      </w:pPr>
      <w:r>
        <w:rPr>
          <w:rFonts w:hint="eastAsia" w:ascii="宋体" w:hAnsi="宋体" w:cs="宋体"/>
          <w:bCs/>
          <w:color w:val="000000"/>
          <w:sz w:val="24"/>
        </w:rPr>
        <w:t>法定代表人（负责人）或授权代表（签字或者加盖个人名章）：</w:t>
      </w:r>
      <w:r>
        <w:rPr>
          <w:rFonts w:hint="eastAsia" w:ascii="宋体" w:hAnsi="宋体" w:cs="宋体"/>
          <w:color w:val="000000"/>
          <w:sz w:val="24"/>
          <w:u w:val="single"/>
        </w:rPr>
        <w:t xml:space="preserve">          </w:t>
      </w:r>
    </w:p>
    <w:p w14:paraId="27F21199">
      <w:pPr>
        <w:adjustRightInd w:val="0"/>
        <w:spacing w:line="400" w:lineRule="exact"/>
        <w:jc w:val="left"/>
        <w:rPr>
          <w:rFonts w:ascii="宋体" w:hAnsi="宋体" w:cs="宋体"/>
          <w:bCs/>
          <w:color w:val="000000"/>
          <w:sz w:val="24"/>
        </w:rPr>
      </w:pPr>
      <w:r>
        <w:rPr>
          <w:rFonts w:hint="eastAsia" w:ascii="宋体" w:hAnsi="宋体" w:cs="宋体"/>
          <w:bCs/>
          <w:color w:val="000000"/>
          <w:sz w:val="24"/>
        </w:rPr>
        <w:t>日  期：</w:t>
      </w:r>
      <w:r>
        <w:rPr>
          <w:rFonts w:hint="eastAsia" w:ascii="宋体" w:hAnsi="宋体" w:cs="宋体"/>
          <w:color w:val="000000"/>
          <w:sz w:val="24"/>
          <w:u w:val="single"/>
        </w:rPr>
        <w:t xml:space="preserve">      </w:t>
      </w:r>
      <w:r>
        <w:rPr>
          <w:rFonts w:hint="eastAsia" w:ascii="宋体" w:hAnsi="宋体" w:cs="宋体"/>
          <w:bCs/>
          <w:color w:val="000000"/>
          <w:sz w:val="24"/>
        </w:rPr>
        <w:t>年</w:t>
      </w:r>
      <w:r>
        <w:rPr>
          <w:rFonts w:hint="eastAsia" w:ascii="宋体" w:hAnsi="宋体" w:cs="宋体"/>
          <w:color w:val="000000"/>
          <w:sz w:val="24"/>
          <w:u w:val="single"/>
        </w:rPr>
        <w:t xml:space="preserve">      </w:t>
      </w:r>
      <w:r>
        <w:rPr>
          <w:rFonts w:hint="eastAsia" w:ascii="宋体" w:hAnsi="宋体" w:cs="宋体"/>
          <w:bCs/>
          <w:color w:val="000000"/>
          <w:sz w:val="24"/>
        </w:rPr>
        <w:t>月</w:t>
      </w:r>
      <w:r>
        <w:rPr>
          <w:rFonts w:hint="eastAsia" w:ascii="宋体" w:hAnsi="宋体" w:cs="宋体"/>
          <w:color w:val="000000"/>
          <w:sz w:val="24"/>
          <w:u w:val="single"/>
        </w:rPr>
        <w:t xml:space="preserve">      </w:t>
      </w:r>
      <w:r>
        <w:rPr>
          <w:rFonts w:hint="eastAsia" w:ascii="宋体" w:hAnsi="宋体" w:cs="宋体"/>
          <w:bCs/>
          <w:color w:val="000000"/>
          <w:sz w:val="24"/>
        </w:rPr>
        <w:t>日</w:t>
      </w:r>
    </w:p>
    <w:p w14:paraId="0C99EFC7">
      <w:r>
        <w:rPr>
          <w:rFonts w:hint="eastAsia"/>
        </w:rPr>
        <w:br w:type="page"/>
      </w:r>
    </w:p>
    <w:p w14:paraId="08906CEE">
      <w:pPr>
        <w:pStyle w:val="3"/>
        <w:numPr>
          <w:ilvl w:val="0"/>
          <w:numId w:val="0"/>
        </w:numPr>
        <w:spacing w:before="0" w:after="0" w:line="360" w:lineRule="auto"/>
        <w:jc w:val="center"/>
        <w:rPr>
          <w:rFonts w:cs="Times New Roman"/>
        </w:rPr>
      </w:pPr>
      <w:r>
        <w:rPr>
          <w:rFonts w:hint="eastAsia"/>
        </w:rPr>
        <w:t>十二、</w:t>
      </w:r>
      <w:bookmarkEnd w:id="37"/>
      <w:bookmarkEnd w:id="38"/>
      <w:r>
        <w:rPr>
          <w:rFonts w:hint="eastAsia"/>
        </w:rPr>
        <w:t>其他材料（如有）</w:t>
      </w:r>
    </w:p>
    <w:p w14:paraId="27AF8C74">
      <w:pPr>
        <w:spacing w:line="400" w:lineRule="exact"/>
        <w:ind w:left="840" w:hanging="840" w:hangingChars="350"/>
        <w:jc w:val="center"/>
        <w:rPr>
          <w:rFonts w:ascii="宋体"/>
          <w:sz w:val="24"/>
          <w:szCs w:val="24"/>
        </w:rPr>
      </w:pPr>
    </w:p>
    <w:p w14:paraId="14ABF524">
      <w:pPr>
        <w:spacing w:line="360" w:lineRule="auto"/>
        <w:jc w:val="center"/>
        <w:rPr>
          <w:rFonts w:ascii="宋体"/>
          <w:b/>
          <w:bCs/>
          <w:sz w:val="23"/>
          <w:szCs w:val="23"/>
        </w:rPr>
      </w:pPr>
      <w:r>
        <w:rPr>
          <w:rFonts w:hint="eastAsia" w:ascii="宋体" w:hAnsi="宋体" w:cs="宋体"/>
          <w:b/>
          <w:bCs/>
          <w:sz w:val="23"/>
          <w:szCs w:val="23"/>
        </w:rPr>
        <w:t>（格式自拟）</w:t>
      </w:r>
    </w:p>
    <w:p w14:paraId="23E825FE">
      <w:pPr>
        <w:rPr>
          <w:rFonts w:ascii="宋体"/>
        </w:rPr>
      </w:pPr>
    </w:p>
    <w:p w14:paraId="1C0658CB">
      <w:pPr>
        <w:pStyle w:val="5"/>
        <w:numPr>
          <w:ilvl w:val="0"/>
          <w:numId w:val="0"/>
        </w:numPr>
        <w:ind w:left="-1980"/>
        <w:rPr>
          <w:rFonts w:cs="Times New Roman"/>
          <w:color w:val="auto"/>
        </w:rPr>
      </w:pPr>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72452">
    <w:pPr>
      <w:pStyle w:val="19"/>
      <w:framePr w:wrap="around" w:vAnchor="text" w:hAnchor="margin" w:xAlign="center" w:y="1"/>
      <w:rPr>
        <w:rStyle w:val="31"/>
      </w:rPr>
    </w:pPr>
    <w:r>
      <w:rPr>
        <w:rStyle w:val="31"/>
      </w:rPr>
      <w:fldChar w:fldCharType="begin"/>
    </w:r>
    <w:r>
      <w:rPr>
        <w:rStyle w:val="31"/>
      </w:rPr>
      <w:instrText xml:space="preserve">PAGE  </w:instrText>
    </w:r>
    <w:r>
      <w:rPr>
        <w:rStyle w:val="31"/>
      </w:rPr>
      <w:fldChar w:fldCharType="separate"/>
    </w:r>
    <w:r>
      <w:rPr>
        <w:rStyle w:val="31"/>
      </w:rPr>
      <w:t>9</w:t>
    </w:r>
    <w:r>
      <w:rPr>
        <w:rStyle w:val="31"/>
      </w:rPr>
      <w:fldChar w:fldCharType="end"/>
    </w:r>
  </w:p>
  <w:p w14:paraId="0ED9383B">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568AF">
    <w:pPr>
      <w:pStyle w:val="19"/>
      <w:jc w:val="center"/>
    </w:pPr>
    <w:r>
      <w:fldChar w:fldCharType="begin"/>
    </w:r>
    <w:r>
      <w:instrText xml:space="preserve">PAGE   \* MERGEFORMAT</w:instrText>
    </w:r>
    <w:r>
      <w:fldChar w:fldCharType="separate"/>
    </w:r>
    <w:r>
      <w:t>1</w:t>
    </w:r>
    <w:r>
      <w:fldChar w:fldCharType="end"/>
    </w:r>
  </w:p>
  <w:p w14:paraId="300DBF2B">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B4817E"/>
    <w:multiLevelType w:val="singleLevel"/>
    <w:tmpl w:val="ACB4817E"/>
    <w:lvl w:ilvl="0" w:tentative="0">
      <w:start w:val="1"/>
      <w:numFmt w:val="decimal"/>
      <w:suff w:val="nothing"/>
      <w:lvlText w:val="（%1）"/>
      <w:lvlJc w:val="left"/>
    </w:lvl>
  </w:abstractNum>
  <w:abstractNum w:abstractNumId="1">
    <w:nsid w:val="BABF6D85"/>
    <w:multiLevelType w:val="singleLevel"/>
    <w:tmpl w:val="BABF6D85"/>
    <w:lvl w:ilvl="0" w:tentative="0">
      <w:start w:val="1"/>
      <w:numFmt w:val="decimal"/>
      <w:suff w:val="nothing"/>
      <w:lvlText w:val="（%1）"/>
      <w:lvlJc w:val="left"/>
    </w:lvl>
  </w:abstractNum>
  <w:abstractNum w:abstractNumId="2">
    <w:nsid w:val="DD629271"/>
    <w:multiLevelType w:val="singleLevel"/>
    <w:tmpl w:val="DD629271"/>
    <w:lvl w:ilvl="0" w:tentative="0">
      <w:start w:val="1"/>
      <w:numFmt w:val="decimal"/>
      <w:lvlText w:val="%1."/>
      <w:lvlJc w:val="left"/>
      <w:pPr>
        <w:tabs>
          <w:tab w:val="left" w:pos="312"/>
        </w:tabs>
      </w:pPr>
    </w:lvl>
  </w:abstractNum>
  <w:abstractNum w:abstractNumId="3">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4">
    <w:nsid w:val="1CD41B46"/>
    <w:multiLevelType w:val="multilevel"/>
    <w:tmpl w:val="1CD41B46"/>
    <w:lvl w:ilvl="0" w:tentative="0">
      <w:start w:val="1"/>
      <w:numFmt w:val="decimal"/>
      <w:pStyle w:val="2"/>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3"/>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4"/>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5"/>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5">
    <w:nsid w:val="2D74EFAC"/>
    <w:multiLevelType w:val="singleLevel"/>
    <w:tmpl w:val="2D74EFAC"/>
    <w:lvl w:ilvl="0" w:tentative="0">
      <w:start w:val="1"/>
      <w:numFmt w:val="decimal"/>
      <w:suff w:val="space"/>
      <w:lvlText w:val="%1."/>
      <w:lvlJc w:val="left"/>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5YzJkZGE5MDVkZGEzMDkxZTkxNzA0NjcwZjJkMDYifQ=="/>
    <w:docVar w:name="KSO_WPS_MARK_KEY" w:val="ba5265e3-20c4-401d-bebd-f4b89c4b1837"/>
  </w:docVars>
  <w:rsids>
    <w:rsidRoot w:val="00172A27"/>
    <w:rsid w:val="00000334"/>
    <w:rsid w:val="000017AA"/>
    <w:rsid w:val="0000233E"/>
    <w:rsid w:val="000052B0"/>
    <w:rsid w:val="00007C3C"/>
    <w:rsid w:val="00010EFA"/>
    <w:rsid w:val="00014EAF"/>
    <w:rsid w:val="00015031"/>
    <w:rsid w:val="00016290"/>
    <w:rsid w:val="00016B87"/>
    <w:rsid w:val="00016D8A"/>
    <w:rsid w:val="000175DA"/>
    <w:rsid w:val="0002029C"/>
    <w:rsid w:val="00021BDF"/>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5665"/>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0F1B08"/>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2659"/>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735"/>
    <w:rsid w:val="002C4E4B"/>
    <w:rsid w:val="002C6032"/>
    <w:rsid w:val="002C63FB"/>
    <w:rsid w:val="002C7203"/>
    <w:rsid w:val="002C72C0"/>
    <w:rsid w:val="002C737F"/>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77844"/>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174"/>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D6231"/>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E52"/>
    <w:rsid w:val="00416F2D"/>
    <w:rsid w:val="004226A4"/>
    <w:rsid w:val="00422BBE"/>
    <w:rsid w:val="004243A5"/>
    <w:rsid w:val="004300B4"/>
    <w:rsid w:val="00430B9F"/>
    <w:rsid w:val="00434A2C"/>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0400"/>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E74C4"/>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346A"/>
    <w:rsid w:val="00527C74"/>
    <w:rsid w:val="005322E9"/>
    <w:rsid w:val="00533DD5"/>
    <w:rsid w:val="005348E4"/>
    <w:rsid w:val="005351F7"/>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4846"/>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64F7"/>
    <w:rsid w:val="00607D10"/>
    <w:rsid w:val="006113E3"/>
    <w:rsid w:val="00615A79"/>
    <w:rsid w:val="00615F9E"/>
    <w:rsid w:val="00616834"/>
    <w:rsid w:val="006212C5"/>
    <w:rsid w:val="0062196B"/>
    <w:rsid w:val="006219F9"/>
    <w:rsid w:val="0062602F"/>
    <w:rsid w:val="00630B33"/>
    <w:rsid w:val="00631791"/>
    <w:rsid w:val="00631B08"/>
    <w:rsid w:val="00632425"/>
    <w:rsid w:val="00633974"/>
    <w:rsid w:val="006357E8"/>
    <w:rsid w:val="00636CBC"/>
    <w:rsid w:val="00636D07"/>
    <w:rsid w:val="00637141"/>
    <w:rsid w:val="006403D1"/>
    <w:rsid w:val="00642BB1"/>
    <w:rsid w:val="0064389A"/>
    <w:rsid w:val="00643AFE"/>
    <w:rsid w:val="00645824"/>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44B"/>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87E9F"/>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870CD"/>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4BDF"/>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57A10"/>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25D9"/>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0A45"/>
    <w:rsid w:val="008F148C"/>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2AE2"/>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7761D"/>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217"/>
    <w:rsid w:val="00A53906"/>
    <w:rsid w:val="00A5394F"/>
    <w:rsid w:val="00A566AD"/>
    <w:rsid w:val="00A57AFC"/>
    <w:rsid w:val="00A63DC9"/>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274F"/>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361A"/>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525E"/>
    <w:rsid w:val="00BE602D"/>
    <w:rsid w:val="00BE69FD"/>
    <w:rsid w:val="00BE7790"/>
    <w:rsid w:val="00BF065E"/>
    <w:rsid w:val="00BF0D04"/>
    <w:rsid w:val="00BF2CD5"/>
    <w:rsid w:val="00BF3BF8"/>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4B62"/>
    <w:rsid w:val="00C961AE"/>
    <w:rsid w:val="00C97485"/>
    <w:rsid w:val="00C9752C"/>
    <w:rsid w:val="00C97C4E"/>
    <w:rsid w:val="00CA08EA"/>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B73AC"/>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E32"/>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28"/>
    <w:rsid w:val="00DB1FB8"/>
    <w:rsid w:val="00DB3EA5"/>
    <w:rsid w:val="00DB3F91"/>
    <w:rsid w:val="00DB4896"/>
    <w:rsid w:val="00DB5E5D"/>
    <w:rsid w:val="00DB610A"/>
    <w:rsid w:val="00DB796C"/>
    <w:rsid w:val="00DC0056"/>
    <w:rsid w:val="00DC1B22"/>
    <w:rsid w:val="00DC3ADB"/>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1561A"/>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7592D"/>
    <w:rsid w:val="00F80606"/>
    <w:rsid w:val="00F80D16"/>
    <w:rsid w:val="00F82264"/>
    <w:rsid w:val="00F823DC"/>
    <w:rsid w:val="00F84177"/>
    <w:rsid w:val="00F852D8"/>
    <w:rsid w:val="00F865B0"/>
    <w:rsid w:val="00F871E9"/>
    <w:rsid w:val="00F90FE0"/>
    <w:rsid w:val="00F92A75"/>
    <w:rsid w:val="00F92FA3"/>
    <w:rsid w:val="00F947A7"/>
    <w:rsid w:val="00F95241"/>
    <w:rsid w:val="00F96955"/>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347A59"/>
    <w:rsid w:val="017B190C"/>
    <w:rsid w:val="01BB67F7"/>
    <w:rsid w:val="01BF5575"/>
    <w:rsid w:val="01DD3C4D"/>
    <w:rsid w:val="01EA636A"/>
    <w:rsid w:val="021A27AB"/>
    <w:rsid w:val="02251150"/>
    <w:rsid w:val="02290C40"/>
    <w:rsid w:val="024C5858"/>
    <w:rsid w:val="024E06A7"/>
    <w:rsid w:val="02654A25"/>
    <w:rsid w:val="02856A85"/>
    <w:rsid w:val="02EE3C38"/>
    <w:rsid w:val="02F46440"/>
    <w:rsid w:val="02FA438B"/>
    <w:rsid w:val="03082F4B"/>
    <w:rsid w:val="03497EB8"/>
    <w:rsid w:val="0385459C"/>
    <w:rsid w:val="03912F41"/>
    <w:rsid w:val="03C52BEB"/>
    <w:rsid w:val="03E57777"/>
    <w:rsid w:val="040A4AA1"/>
    <w:rsid w:val="048B7990"/>
    <w:rsid w:val="04A04E94"/>
    <w:rsid w:val="04A171B4"/>
    <w:rsid w:val="04BD45DF"/>
    <w:rsid w:val="04EC335E"/>
    <w:rsid w:val="04F25C61"/>
    <w:rsid w:val="052102F4"/>
    <w:rsid w:val="054D4328"/>
    <w:rsid w:val="05593A33"/>
    <w:rsid w:val="055D6EFF"/>
    <w:rsid w:val="0560706F"/>
    <w:rsid w:val="05726DA2"/>
    <w:rsid w:val="05CA273A"/>
    <w:rsid w:val="05CC726C"/>
    <w:rsid w:val="06093262"/>
    <w:rsid w:val="0624108F"/>
    <w:rsid w:val="067B57E2"/>
    <w:rsid w:val="06847ACE"/>
    <w:rsid w:val="06B153F1"/>
    <w:rsid w:val="06E45A7E"/>
    <w:rsid w:val="072C69F3"/>
    <w:rsid w:val="0757624F"/>
    <w:rsid w:val="077F5B2D"/>
    <w:rsid w:val="07D23B28"/>
    <w:rsid w:val="07F10452"/>
    <w:rsid w:val="07F41CF0"/>
    <w:rsid w:val="07FA41D2"/>
    <w:rsid w:val="086F1377"/>
    <w:rsid w:val="0876485A"/>
    <w:rsid w:val="089B773C"/>
    <w:rsid w:val="08B603E8"/>
    <w:rsid w:val="08C34CE7"/>
    <w:rsid w:val="0906268A"/>
    <w:rsid w:val="09293C1C"/>
    <w:rsid w:val="09554EED"/>
    <w:rsid w:val="097148FC"/>
    <w:rsid w:val="09880942"/>
    <w:rsid w:val="099948FD"/>
    <w:rsid w:val="09B836AD"/>
    <w:rsid w:val="09D516AE"/>
    <w:rsid w:val="09F558AC"/>
    <w:rsid w:val="0A0311E7"/>
    <w:rsid w:val="0A342878"/>
    <w:rsid w:val="0A985A73"/>
    <w:rsid w:val="0AB37C41"/>
    <w:rsid w:val="0AC7549A"/>
    <w:rsid w:val="0B0B182B"/>
    <w:rsid w:val="0B2A23E5"/>
    <w:rsid w:val="0B674587"/>
    <w:rsid w:val="0B73117E"/>
    <w:rsid w:val="0B985648"/>
    <w:rsid w:val="0BC32105"/>
    <w:rsid w:val="0BEE70B4"/>
    <w:rsid w:val="0BEF5AD9"/>
    <w:rsid w:val="0BFB2CA8"/>
    <w:rsid w:val="0C0544CC"/>
    <w:rsid w:val="0C142961"/>
    <w:rsid w:val="0C253C4D"/>
    <w:rsid w:val="0C2A3F33"/>
    <w:rsid w:val="0C3676C7"/>
    <w:rsid w:val="0C873133"/>
    <w:rsid w:val="0C8A3444"/>
    <w:rsid w:val="0CC671CF"/>
    <w:rsid w:val="0CE642FD"/>
    <w:rsid w:val="0CFA5FDF"/>
    <w:rsid w:val="0D156991"/>
    <w:rsid w:val="0D246BD4"/>
    <w:rsid w:val="0D4F4C43"/>
    <w:rsid w:val="0D677904"/>
    <w:rsid w:val="0D8238FA"/>
    <w:rsid w:val="0D8900E5"/>
    <w:rsid w:val="0DEB14A0"/>
    <w:rsid w:val="0E0407B3"/>
    <w:rsid w:val="0E230024"/>
    <w:rsid w:val="0E340889"/>
    <w:rsid w:val="0E651252"/>
    <w:rsid w:val="0EA855E3"/>
    <w:rsid w:val="0EA93835"/>
    <w:rsid w:val="0EC266A4"/>
    <w:rsid w:val="0F386966"/>
    <w:rsid w:val="0F930041"/>
    <w:rsid w:val="0FC401FA"/>
    <w:rsid w:val="0FD85A54"/>
    <w:rsid w:val="0FFA3C1C"/>
    <w:rsid w:val="10443A9C"/>
    <w:rsid w:val="10541406"/>
    <w:rsid w:val="105552F6"/>
    <w:rsid w:val="10583483"/>
    <w:rsid w:val="1068327B"/>
    <w:rsid w:val="106D43EE"/>
    <w:rsid w:val="108245D5"/>
    <w:rsid w:val="108A7FA3"/>
    <w:rsid w:val="10944070"/>
    <w:rsid w:val="10B335E5"/>
    <w:rsid w:val="10BC5375"/>
    <w:rsid w:val="10BD20EF"/>
    <w:rsid w:val="10C116E5"/>
    <w:rsid w:val="10CD30DE"/>
    <w:rsid w:val="10E16B8A"/>
    <w:rsid w:val="10E30B54"/>
    <w:rsid w:val="110F1949"/>
    <w:rsid w:val="11390774"/>
    <w:rsid w:val="11603F53"/>
    <w:rsid w:val="127D0416"/>
    <w:rsid w:val="127F665A"/>
    <w:rsid w:val="12C624DB"/>
    <w:rsid w:val="12CC7AF2"/>
    <w:rsid w:val="12D27AA1"/>
    <w:rsid w:val="12F64D9B"/>
    <w:rsid w:val="130848A2"/>
    <w:rsid w:val="132C0590"/>
    <w:rsid w:val="13436824"/>
    <w:rsid w:val="1347361C"/>
    <w:rsid w:val="135D2E40"/>
    <w:rsid w:val="139879D4"/>
    <w:rsid w:val="13AF4D1D"/>
    <w:rsid w:val="13C6477A"/>
    <w:rsid w:val="140B289C"/>
    <w:rsid w:val="145142C8"/>
    <w:rsid w:val="146124BC"/>
    <w:rsid w:val="14661880"/>
    <w:rsid w:val="14B23BA1"/>
    <w:rsid w:val="14B720DC"/>
    <w:rsid w:val="14D56A06"/>
    <w:rsid w:val="14F43330"/>
    <w:rsid w:val="14F745A8"/>
    <w:rsid w:val="15023C9F"/>
    <w:rsid w:val="15311781"/>
    <w:rsid w:val="15455939"/>
    <w:rsid w:val="15B30AF5"/>
    <w:rsid w:val="15B84A34"/>
    <w:rsid w:val="15D51D78"/>
    <w:rsid w:val="15E6711C"/>
    <w:rsid w:val="1619668A"/>
    <w:rsid w:val="1638724C"/>
    <w:rsid w:val="163C4F8E"/>
    <w:rsid w:val="16432F4E"/>
    <w:rsid w:val="166C5006"/>
    <w:rsid w:val="168D3A3C"/>
    <w:rsid w:val="168D59C6"/>
    <w:rsid w:val="16954806"/>
    <w:rsid w:val="16A86180"/>
    <w:rsid w:val="16AB0AA6"/>
    <w:rsid w:val="16AD3796"/>
    <w:rsid w:val="16B56AEF"/>
    <w:rsid w:val="16B9038D"/>
    <w:rsid w:val="170964E8"/>
    <w:rsid w:val="174F6496"/>
    <w:rsid w:val="177D6537"/>
    <w:rsid w:val="17866455"/>
    <w:rsid w:val="178F7340"/>
    <w:rsid w:val="17C0399D"/>
    <w:rsid w:val="17EF431F"/>
    <w:rsid w:val="18027B12"/>
    <w:rsid w:val="181D2B9D"/>
    <w:rsid w:val="181F64EF"/>
    <w:rsid w:val="182C2DE0"/>
    <w:rsid w:val="18455C50"/>
    <w:rsid w:val="18682979"/>
    <w:rsid w:val="18E45FED"/>
    <w:rsid w:val="19000FED"/>
    <w:rsid w:val="19141836"/>
    <w:rsid w:val="19185113"/>
    <w:rsid w:val="19566367"/>
    <w:rsid w:val="19940C3D"/>
    <w:rsid w:val="19B20586"/>
    <w:rsid w:val="19C239FC"/>
    <w:rsid w:val="19FB6F0E"/>
    <w:rsid w:val="1A045DC3"/>
    <w:rsid w:val="1A1104E0"/>
    <w:rsid w:val="1A1C5C79"/>
    <w:rsid w:val="1A9A17A9"/>
    <w:rsid w:val="1AC76DF0"/>
    <w:rsid w:val="1AD61454"/>
    <w:rsid w:val="1B0436DA"/>
    <w:rsid w:val="1B5808E4"/>
    <w:rsid w:val="1B7B0983"/>
    <w:rsid w:val="1B866CAC"/>
    <w:rsid w:val="1C47643B"/>
    <w:rsid w:val="1C4C1CA3"/>
    <w:rsid w:val="1C56042C"/>
    <w:rsid w:val="1C5A616E"/>
    <w:rsid w:val="1C890801"/>
    <w:rsid w:val="1CD13A03"/>
    <w:rsid w:val="1D10139C"/>
    <w:rsid w:val="1D1502E7"/>
    <w:rsid w:val="1D8B67FB"/>
    <w:rsid w:val="1D951428"/>
    <w:rsid w:val="1DA43419"/>
    <w:rsid w:val="1E2C3B3A"/>
    <w:rsid w:val="1E5D1F46"/>
    <w:rsid w:val="1E897DA0"/>
    <w:rsid w:val="1EF53F2C"/>
    <w:rsid w:val="1F4E5D32"/>
    <w:rsid w:val="1F5570C1"/>
    <w:rsid w:val="1F5C21FD"/>
    <w:rsid w:val="1F5F3A9B"/>
    <w:rsid w:val="1F7F5EEC"/>
    <w:rsid w:val="1F8302AF"/>
    <w:rsid w:val="1F896D6A"/>
    <w:rsid w:val="1F9F033C"/>
    <w:rsid w:val="1FC16504"/>
    <w:rsid w:val="1FE3647B"/>
    <w:rsid w:val="1FE741BD"/>
    <w:rsid w:val="1FEF01FC"/>
    <w:rsid w:val="1FF70178"/>
    <w:rsid w:val="20014B53"/>
    <w:rsid w:val="20176124"/>
    <w:rsid w:val="20256A93"/>
    <w:rsid w:val="20281BA1"/>
    <w:rsid w:val="20711CD8"/>
    <w:rsid w:val="20BC4690"/>
    <w:rsid w:val="20F10A60"/>
    <w:rsid w:val="21224D81"/>
    <w:rsid w:val="213B4094"/>
    <w:rsid w:val="216F4EC7"/>
    <w:rsid w:val="21815B54"/>
    <w:rsid w:val="219E6AFD"/>
    <w:rsid w:val="21AF0D0A"/>
    <w:rsid w:val="21C54695"/>
    <w:rsid w:val="21F33562"/>
    <w:rsid w:val="21FE134A"/>
    <w:rsid w:val="220B59C1"/>
    <w:rsid w:val="222F3BF9"/>
    <w:rsid w:val="223E5BEA"/>
    <w:rsid w:val="22543660"/>
    <w:rsid w:val="225C2514"/>
    <w:rsid w:val="22833F45"/>
    <w:rsid w:val="22920F68"/>
    <w:rsid w:val="22A255C7"/>
    <w:rsid w:val="22A46395"/>
    <w:rsid w:val="22BB5E26"/>
    <w:rsid w:val="22D622C7"/>
    <w:rsid w:val="230010F2"/>
    <w:rsid w:val="230706D2"/>
    <w:rsid w:val="23162280"/>
    <w:rsid w:val="2369313B"/>
    <w:rsid w:val="239768ED"/>
    <w:rsid w:val="23BE2162"/>
    <w:rsid w:val="23F95A94"/>
    <w:rsid w:val="23FE55A9"/>
    <w:rsid w:val="241530DF"/>
    <w:rsid w:val="244A244D"/>
    <w:rsid w:val="24AA3A0B"/>
    <w:rsid w:val="24BB5C18"/>
    <w:rsid w:val="24C83E91"/>
    <w:rsid w:val="24E7641E"/>
    <w:rsid w:val="25162E4E"/>
    <w:rsid w:val="253B28B5"/>
    <w:rsid w:val="254A62BB"/>
    <w:rsid w:val="2551032A"/>
    <w:rsid w:val="256911D0"/>
    <w:rsid w:val="257F6C45"/>
    <w:rsid w:val="25D42F6B"/>
    <w:rsid w:val="25E973B4"/>
    <w:rsid w:val="261E645E"/>
    <w:rsid w:val="26395046"/>
    <w:rsid w:val="26501F69"/>
    <w:rsid w:val="265E2CFF"/>
    <w:rsid w:val="265F25D3"/>
    <w:rsid w:val="26631034"/>
    <w:rsid w:val="2685203A"/>
    <w:rsid w:val="26EE1B16"/>
    <w:rsid w:val="27073B7F"/>
    <w:rsid w:val="27533F64"/>
    <w:rsid w:val="27793664"/>
    <w:rsid w:val="27822A1D"/>
    <w:rsid w:val="279462AC"/>
    <w:rsid w:val="27A6495D"/>
    <w:rsid w:val="27BD5803"/>
    <w:rsid w:val="27D52814"/>
    <w:rsid w:val="28723FD3"/>
    <w:rsid w:val="288B76AF"/>
    <w:rsid w:val="28C46D67"/>
    <w:rsid w:val="28C80903"/>
    <w:rsid w:val="28E62B38"/>
    <w:rsid w:val="28F22A1C"/>
    <w:rsid w:val="29041902"/>
    <w:rsid w:val="29135897"/>
    <w:rsid w:val="29A0718A"/>
    <w:rsid w:val="29A507F5"/>
    <w:rsid w:val="29E0761C"/>
    <w:rsid w:val="2A2658E2"/>
    <w:rsid w:val="2A46045B"/>
    <w:rsid w:val="2A532A2E"/>
    <w:rsid w:val="2B85488A"/>
    <w:rsid w:val="2BBD4024"/>
    <w:rsid w:val="2BC2163A"/>
    <w:rsid w:val="2BD42700"/>
    <w:rsid w:val="2BF746B3"/>
    <w:rsid w:val="2C127C2D"/>
    <w:rsid w:val="2C216795"/>
    <w:rsid w:val="2C245E51"/>
    <w:rsid w:val="2C267E1B"/>
    <w:rsid w:val="2C7F39CF"/>
    <w:rsid w:val="2C8A7DD3"/>
    <w:rsid w:val="2CAD22EA"/>
    <w:rsid w:val="2CD51841"/>
    <w:rsid w:val="2CEC40B6"/>
    <w:rsid w:val="2CF25F4F"/>
    <w:rsid w:val="2D1C3C07"/>
    <w:rsid w:val="2D40315E"/>
    <w:rsid w:val="2D5C5ABE"/>
    <w:rsid w:val="2D742E08"/>
    <w:rsid w:val="2DAC07F4"/>
    <w:rsid w:val="2DAD00C8"/>
    <w:rsid w:val="2DB2761A"/>
    <w:rsid w:val="2DB64506"/>
    <w:rsid w:val="2DBE22D5"/>
    <w:rsid w:val="2DFB1AA6"/>
    <w:rsid w:val="2E296928"/>
    <w:rsid w:val="2E4722CA"/>
    <w:rsid w:val="2E522D8F"/>
    <w:rsid w:val="2E735909"/>
    <w:rsid w:val="2EA66FF1"/>
    <w:rsid w:val="2EE575D9"/>
    <w:rsid w:val="2F104DB2"/>
    <w:rsid w:val="2F177EEF"/>
    <w:rsid w:val="2F202EE0"/>
    <w:rsid w:val="2F45680A"/>
    <w:rsid w:val="2F6918CE"/>
    <w:rsid w:val="2F77273B"/>
    <w:rsid w:val="2F8A56E8"/>
    <w:rsid w:val="2FB93803"/>
    <w:rsid w:val="2FDC6A42"/>
    <w:rsid w:val="30011C29"/>
    <w:rsid w:val="300626DB"/>
    <w:rsid w:val="30185CCC"/>
    <w:rsid w:val="30416F06"/>
    <w:rsid w:val="30444D13"/>
    <w:rsid w:val="30DF0B7A"/>
    <w:rsid w:val="30DF4A3C"/>
    <w:rsid w:val="31097D0B"/>
    <w:rsid w:val="311D2557"/>
    <w:rsid w:val="313774ED"/>
    <w:rsid w:val="314F4955"/>
    <w:rsid w:val="317226E8"/>
    <w:rsid w:val="31897E25"/>
    <w:rsid w:val="31AA504A"/>
    <w:rsid w:val="31CB3B06"/>
    <w:rsid w:val="31D16A7B"/>
    <w:rsid w:val="31EF6F01"/>
    <w:rsid w:val="31F167D5"/>
    <w:rsid w:val="322E42AD"/>
    <w:rsid w:val="32963820"/>
    <w:rsid w:val="32981347"/>
    <w:rsid w:val="329D4BAF"/>
    <w:rsid w:val="32EB1476"/>
    <w:rsid w:val="32F83B93"/>
    <w:rsid w:val="335812BA"/>
    <w:rsid w:val="336D27D3"/>
    <w:rsid w:val="34004BDD"/>
    <w:rsid w:val="343609D9"/>
    <w:rsid w:val="348B283E"/>
    <w:rsid w:val="348E2A01"/>
    <w:rsid w:val="34C44C99"/>
    <w:rsid w:val="34C61103"/>
    <w:rsid w:val="34EF6AC7"/>
    <w:rsid w:val="3522139B"/>
    <w:rsid w:val="3556466A"/>
    <w:rsid w:val="35C04873"/>
    <w:rsid w:val="35E42C62"/>
    <w:rsid w:val="35F920FC"/>
    <w:rsid w:val="36077F58"/>
    <w:rsid w:val="3623039D"/>
    <w:rsid w:val="366E1051"/>
    <w:rsid w:val="369D517D"/>
    <w:rsid w:val="37265173"/>
    <w:rsid w:val="379261E6"/>
    <w:rsid w:val="37E1109A"/>
    <w:rsid w:val="380F026E"/>
    <w:rsid w:val="38215998"/>
    <w:rsid w:val="38284F1B"/>
    <w:rsid w:val="38837DA0"/>
    <w:rsid w:val="388424B3"/>
    <w:rsid w:val="3899266B"/>
    <w:rsid w:val="389D6BB3"/>
    <w:rsid w:val="389E51DD"/>
    <w:rsid w:val="38CC250B"/>
    <w:rsid w:val="3942200C"/>
    <w:rsid w:val="39BD5D47"/>
    <w:rsid w:val="39DE552C"/>
    <w:rsid w:val="3A073C4A"/>
    <w:rsid w:val="3A110093"/>
    <w:rsid w:val="3A502507"/>
    <w:rsid w:val="3A532F29"/>
    <w:rsid w:val="3A775CE5"/>
    <w:rsid w:val="3A901E53"/>
    <w:rsid w:val="3ACC7DDF"/>
    <w:rsid w:val="3AD46C94"/>
    <w:rsid w:val="3ADB6274"/>
    <w:rsid w:val="3B027CA5"/>
    <w:rsid w:val="3B084B8F"/>
    <w:rsid w:val="3B143534"/>
    <w:rsid w:val="3B491430"/>
    <w:rsid w:val="3B876595"/>
    <w:rsid w:val="3BDD601C"/>
    <w:rsid w:val="3C241E9D"/>
    <w:rsid w:val="3CB52AF5"/>
    <w:rsid w:val="3CDB07AE"/>
    <w:rsid w:val="3CE2527D"/>
    <w:rsid w:val="3D2F4655"/>
    <w:rsid w:val="3D622C7D"/>
    <w:rsid w:val="3D6D517E"/>
    <w:rsid w:val="3DBB4CCB"/>
    <w:rsid w:val="3E3F4D6C"/>
    <w:rsid w:val="3E877FC2"/>
    <w:rsid w:val="3E8F7AA2"/>
    <w:rsid w:val="3EA044DF"/>
    <w:rsid w:val="3EB92D70"/>
    <w:rsid w:val="3ED54D19"/>
    <w:rsid w:val="3EF773F5"/>
    <w:rsid w:val="3F033FEC"/>
    <w:rsid w:val="3F035608"/>
    <w:rsid w:val="3F23643C"/>
    <w:rsid w:val="3F577E93"/>
    <w:rsid w:val="3F6358F0"/>
    <w:rsid w:val="3F740A45"/>
    <w:rsid w:val="3F8C3FE1"/>
    <w:rsid w:val="3F980BD8"/>
    <w:rsid w:val="4033445D"/>
    <w:rsid w:val="40752CC7"/>
    <w:rsid w:val="40953369"/>
    <w:rsid w:val="40E37C31"/>
    <w:rsid w:val="40FA2A2D"/>
    <w:rsid w:val="41004C87"/>
    <w:rsid w:val="410332AB"/>
    <w:rsid w:val="418217D9"/>
    <w:rsid w:val="419D2D63"/>
    <w:rsid w:val="41A53138"/>
    <w:rsid w:val="41FD0523"/>
    <w:rsid w:val="42090B2C"/>
    <w:rsid w:val="424B180D"/>
    <w:rsid w:val="424E58C6"/>
    <w:rsid w:val="42701998"/>
    <w:rsid w:val="42786A9F"/>
    <w:rsid w:val="43574906"/>
    <w:rsid w:val="43707776"/>
    <w:rsid w:val="43A37B4B"/>
    <w:rsid w:val="43AA2C88"/>
    <w:rsid w:val="43E84E76"/>
    <w:rsid w:val="4420119C"/>
    <w:rsid w:val="446E46AD"/>
    <w:rsid w:val="448D386A"/>
    <w:rsid w:val="44B51E27"/>
    <w:rsid w:val="44B738AE"/>
    <w:rsid w:val="45062140"/>
    <w:rsid w:val="450B3BFA"/>
    <w:rsid w:val="451A3E3D"/>
    <w:rsid w:val="45505AB1"/>
    <w:rsid w:val="45682C72"/>
    <w:rsid w:val="458D460F"/>
    <w:rsid w:val="45961716"/>
    <w:rsid w:val="45A32084"/>
    <w:rsid w:val="45A656D1"/>
    <w:rsid w:val="45E5392F"/>
    <w:rsid w:val="45FA6AFD"/>
    <w:rsid w:val="460D74FE"/>
    <w:rsid w:val="46274A64"/>
    <w:rsid w:val="46317690"/>
    <w:rsid w:val="46661252"/>
    <w:rsid w:val="469A6FE4"/>
    <w:rsid w:val="46A2233C"/>
    <w:rsid w:val="47044E98"/>
    <w:rsid w:val="470C6DF8"/>
    <w:rsid w:val="47866ABC"/>
    <w:rsid w:val="47AA76FA"/>
    <w:rsid w:val="480A63EB"/>
    <w:rsid w:val="484339D2"/>
    <w:rsid w:val="48671147"/>
    <w:rsid w:val="486A6E89"/>
    <w:rsid w:val="4885155F"/>
    <w:rsid w:val="48914416"/>
    <w:rsid w:val="48D80297"/>
    <w:rsid w:val="48E42798"/>
    <w:rsid w:val="48FD7CFE"/>
    <w:rsid w:val="498A77E3"/>
    <w:rsid w:val="4994190E"/>
    <w:rsid w:val="49A05F7A"/>
    <w:rsid w:val="49C03205"/>
    <w:rsid w:val="49F27FBC"/>
    <w:rsid w:val="4A6063A2"/>
    <w:rsid w:val="4AC26B09"/>
    <w:rsid w:val="4AD8530D"/>
    <w:rsid w:val="4B010A80"/>
    <w:rsid w:val="4B047121"/>
    <w:rsid w:val="4B5F4E00"/>
    <w:rsid w:val="4B773D97"/>
    <w:rsid w:val="4BB328F5"/>
    <w:rsid w:val="4BE17463"/>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A40BCE"/>
    <w:rsid w:val="4DB10A21"/>
    <w:rsid w:val="4DE33966"/>
    <w:rsid w:val="4DED6593"/>
    <w:rsid w:val="4DFA2A5E"/>
    <w:rsid w:val="4DFC4A28"/>
    <w:rsid w:val="4E125FF9"/>
    <w:rsid w:val="4E545B4C"/>
    <w:rsid w:val="4E55088B"/>
    <w:rsid w:val="4E65437B"/>
    <w:rsid w:val="4E7F79AD"/>
    <w:rsid w:val="4E9764FE"/>
    <w:rsid w:val="4EA568CB"/>
    <w:rsid w:val="4EAA6232"/>
    <w:rsid w:val="4ECF7A46"/>
    <w:rsid w:val="4EEF00E8"/>
    <w:rsid w:val="4F3C2FF7"/>
    <w:rsid w:val="4F716D4F"/>
    <w:rsid w:val="4F7D7C70"/>
    <w:rsid w:val="4FCB13A4"/>
    <w:rsid w:val="4FD86DCF"/>
    <w:rsid w:val="4FFC0D0F"/>
    <w:rsid w:val="503502FF"/>
    <w:rsid w:val="50610B72"/>
    <w:rsid w:val="50681F00"/>
    <w:rsid w:val="507E34D2"/>
    <w:rsid w:val="50E85D6A"/>
    <w:rsid w:val="513149E8"/>
    <w:rsid w:val="5142589F"/>
    <w:rsid w:val="517B3EB5"/>
    <w:rsid w:val="51BA1B53"/>
    <w:rsid w:val="51F223CA"/>
    <w:rsid w:val="51FE6E1F"/>
    <w:rsid w:val="52171E30"/>
    <w:rsid w:val="524B1ADA"/>
    <w:rsid w:val="525210BA"/>
    <w:rsid w:val="527C5444"/>
    <w:rsid w:val="52946FDD"/>
    <w:rsid w:val="529D6CC7"/>
    <w:rsid w:val="52A15B9E"/>
    <w:rsid w:val="52B633F7"/>
    <w:rsid w:val="52CC5133"/>
    <w:rsid w:val="52D47D21"/>
    <w:rsid w:val="52E27458"/>
    <w:rsid w:val="52E837CD"/>
    <w:rsid w:val="52F43F1F"/>
    <w:rsid w:val="530D6D8F"/>
    <w:rsid w:val="53146370"/>
    <w:rsid w:val="531D6B24"/>
    <w:rsid w:val="53536E98"/>
    <w:rsid w:val="53634C01"/>
    <w:rsid w:val="53715570"/>
    <w:rsid w:val="5371731E"/>
    <w:rsid w:val="53990623"/>
    <w:rsid w:val="5418600B"/>
    <w:rsid w:val="54227605"/>
    <w:rsid w:val="54AC2F51"/>
    <w:rsid w:val="54AD6A7C"/>
    <w:rsid w:val="54C130EC"/>
    <w:rsid w:val="54DE6C35"/>
    <w:rsid w:val="551C3694"/>
    <w:rsid w:val="553574EA"/>
    <w:rsid w:val="553E5926"/>
    <w:rsid w:val="55532D00"/>
    <w:rsid w:val="55540CA5"/>
    <w:rsid w:val="555836E3"/>
    <w:rsid w:val="5575393E"/>
    <w:rsid w:val="557A46A9"/>
    <w:rsid w:val="557A7C44"/>
    <w:rsid w:val="55886BA1"/>
    <w:rsid w:val="558E0FC6"/>
    <w:rsid w:val="55B1434A"/>
    <w:rsid w:val="561F5757"/>
    <w:rsid w:val="56625644"/>
    <w:rsid w:val="566969D2"/>
    <w:rsid w:val="56903F5F"/>
    <w:rsid w:val="570F1328"/>
    <w:rsid w:val="572A6162"/>
    <w:rsid w:val="5745587D"/>
    <w:rsid w:val="57607DD5"/>
    <w:rsid w:val="57673999"/>
    <w:rsid w:val="577720D4"/>
    <w:rsid w:val="577D5AE1"/>
    <w:rsid w:val="57882E88"/>
    <w:rsid w:val="57AF48B9"/>
    <w:rsid w:val="57B819BF"/>
    <w:rsid w:val="57C245EC"/>
    <w:rsid w:val="57CD3824"/>
    <w:rsid w:val="585D60C3"/>
    <w:rsid w:val="587B479B"/>
    <w:rsid w:val="589C6BEB"/>
    <w:rsid w:val="58D34740"/>
    <w:rsid w:val="58F76517"/>
    <w:rsid w:val="590D1897"/>
    <w:rsid w:val="59343F0C"/>
    <w:rsid w:val="59554FEC"/>
    <w:rsid w:val="597146D3"/>
    <w:rsid w:val="59B91A1F"/>
    <w:rsid w:val="59C26B25"/>
    <w:rsid w:val="59C77C98"/>
    <w:rsid w:val="59E41579"/>
    <w:rsid w:val="5A0053F8"/>
    <w:rsid w:val="5A2F1CE1"/>
    <w:rsid w:val="5AE12FDB"/>
    <w:rsid w:val="5B3277D6"/>
    <w:rsid w:val="5B484E08"/>
    <w:rsid w:val="5B505186"/>
    <w:rsid w:val="5B6F35C8"/>
    <w:rsid w:val="5B793214"/>
    <w:rsid w:val="5B8A3673"/>
    <w:rsid w:val="5BC242B4"/>
    <w:rsid w:val="5BF771A0"/>
    <w:rsid w:val="5C02145B"/>
    <w:rsid w:val="5C1B251D"/>
    <w:rsid w:val="5C2C08FC"/>
    <w:rsid w:val="5C806824"/>
    <w:rsid w:val="5C8A31FF"/>
    <w:rsid w:val="5C945926"/>
    <w:rsid w:val="5CB63FF4"/>
    <w:rsid w:val="5CC91F79"/>
    <w:rsid w:val="5CCC1A69"/>
    <w:rsid w:val="5CFA65D6"/>
    <w:rsid w:val="5D2B2C34"/>
    <w:rsid w:val="5D543F38"/>
    <w:rsid w:val="5D7B268C"/>
    <w:rsid w:val="5DD15589"/>
    <w:rsid w:val="5DE441BA"/>
    <w:rsid w:val="5E08721E"/>
    <w:rsid w:val="5E4C4C10"/>
    <w:rsid w:val="5EAE319D"/>
    <w:rsid w:val="5EC7698C"/>
    <w:rsid w:val="5F820D70"/>
    <w:rsid w:val="5FB32A6C"/>
    <w:rsid w:val="5FCD71B7"/>
    <w:rsid w:val="5FD41360"/>
    <w:rsid w:val="5FED2422"/>
    <w:rsid w:val="5FFE00C4"/>
    <w:rsid w:val="600A2FD4"/>
    <w:rsid w:val="600D03CE"/>
    <w:rsid w:val="601C4AB5"/>
    <w:rsid w:val="6028345A"/>
    <w:rsid w:val="602F47E9"/>
    <w:rsid w:val="606326E4"/>
    <w:rsid w:val="606D70BF"/>
    <w:rsid w:val="60B40681"/>
    <w:rsid w:val="60C74A21"/>
    <w:rsid w:val="60CA5B9F"/>
    <w:rsid w:val="60D1730B"/>
    <w:rsid w:val="60E81AAA"/>
    <w:rsid w:val="61045C75"/>
    <w:rsid w:val="616A72E2"/>
    <w:rsid w:val="61EE4FF2"/>
    <w:rsid w:val="622C6936"/>
    <w:rsid w:val="623E641A"/>
    <w:rsid w:val="62453CA5"/>
    <w:rsid w:val="625B39D2"/>
    <w:rsid w:val="627D5CDF"/>
    <w:rsid w:val="627E5CE3"/>
    <w:rsid w:val="629B43B7"/>
    <w:rsid w:val="62B4342F"/>
    <w:rsid w:val="62F85366"/>
    <w:rsid w:val="637B4D97"/>
    <w:rsid w:val="63894210"/>
    <w:rsid w:val="638E5CCA"/>
    <w:rsid w:val="63D61D5D"/>
    <w:rsid w:val="64204EDE"/>
    <w:rsid w:val="64267CB1"/>
    <w:rsid w:val="64376B06"/>
    <w:rsid w:val="643871CC"/>
    <w:rsid w:val="648C045C"/>
    <w:rsid w:val="64917F63"/>
    <w:rsid w:val="649D4417"/>
    <w:rsid w:val="64B60462"/>
    <w:rsid w:val="64C30A36"/>
    <w:rsid w:val="64D92F75"/>
    <w:rsid w:val="6502071E"/>
    <w:rsid w:val="658D487D"/>
    <w:rsid w:val="65BF660F"/>
    <w:rsid w:val="66111377"/>
    <w:rsid w:val="662B5A52"/>
    <w:rsid w:val="66524D8D"/>
    <w:rsid w:val="665A551B"/>
    <w:rsid w:val="66805D9E"/>
    <w:rsid w:val="66915C71"/>
    <w:rsid w:val="66A22C94"/>
    <w:rsid w:val="66DB1226"/>
    <w:rsid w:val="66E8749F"/>
    <w:rsid w:val="67184F6B"/>
    <w:rsid w:val="67371E56"/>
    <w:rsid w:val="673D77EB"/>
    <w:rsid w:val="674C27FB"/>
    <w:rsid w:val="677B0314"/>
    <w:rsid w:val="67C10125"/>
    <w:rsid w:val="67E85125"/>
    <w:rsid w:val="683523F2"/>
    <w:rsid w:val="68774F7F"/>
    <w:rsid w:val="68DF23A7"/>
    <w:rsid w:val="69050959"/>
    <w:rsid w:val="699658D9"/>
    <w:rsid w:val="69C9180A"/>
    <w:rsid w:val="69EC72A7"/>
    <w:rsid w:val="6A16012B"/>
    <w:rsid w:val="6A1D56B2"/>
    <w:rsid w:val="6A372C18"/>
    <w:rsid w:val="6A7A2B04"/>
    <w:rsid w:val="6A7C1691"/>
    <w:rsid w:val="6A843983"/>
    <w:rsid w:val="6AD95A7D"/>
    <w:rsid w:val="6B40140C"/>
    <w:rsid w:val="6B70395E"/>
    <w:rsid w:val="6B720595"/>
    <w:rsid w:val="6BE513EB"/>
    <w:rsid w:val="6BE7241B"/>
    <w:rsid w:val="6BEF0D5F"/>
    <w:rsid w:val="6C046B2A"/>
    <w:rsid w:val="6C050C53"/>
    <w:rsid w:val="6C1C13D3"/>
    <w:rsid w:val="6C353187"/>
    <w:rsid w:val="6C4524F2"/>
    <w:rsid w:val="6C6475C8"/>
    <w:rsid w:val="6C6E6699"/>
    <w:rsid w:val="6CC369E5"/>
    <w:rsid w:val="6CCD7863"/>
    <w:rsid w:val="6D2156DB"/>
    <w:rsid w:val="6D341690"/>
    <w:rsid w:val="6D4F4126"/>
    <w:rsid w:val="6D7838A9"/>
    <w:rsid w:val="6DC742B3"/>
    <w:rsid w:val="6DD469CF"/>
    <w:rsid w:val="6DF606F4"/>
    <w:rsid w:val="6E361438"/>
    <w:rsid w:val="6E4C3167"/>
    <w:rsid w:val="6E877718"/>
    <w:rsid w:val="6E9A3775"/>
    <w:rsid w:val="6EBA7973"/>
    <w:rsid w:val="6EDA6095"/>
    <w:rsid w:val="6EE50395"/>
    <w:rsid w:val="6EF70BC7"/>
    <w:rsid w:val="6F086931"/>
    <w:rsid w:val="6F1352D6"/>
    <w:rsid w:val="6F212F57"/>
    <w:rsid w:val="6F373087"/>
    <w:rsid w:val="6F4656AB"/>
    <w:rsid w:val="6F810491"/>
    <w:rsid w:val="6F893788"/>
    <w:rsid w:val="6F912DCA"/>
    <w:rsid w:val="6FA80977"/>
    <w:rsid w:val="6FAF46CD"/>
    <w:rsid w:val="6FC75F24"/>
    <w:rsid w:val="6FEC6252"/>
    <w:rsid w:val="6FFE360F"/>
    <w:rsid w:val="7004359C"/>
    <w:rsid w:val="70052393"/>
    <w:rsid w:val="70111D7F"/>
    <w:rsid w:val="70322250"/>
    <w:rsid w:val="70651B61"/>
    <w:rsid w:val="70710506"/>
    <w:rsid w:val="707E4486"/>
    <w:rsid w:val="708D1198"/>
    <w:rsid w:val="709A3F00"/>
    <w:rsid w:val="70A15EF2"/>
    <w:rsid w:val="70B14B83"/>
    <w:rsid w:val="70F17302"/>
    <w:rsid w:val="712E63F7"/>
    <w:rsid w:val="714B3183"/>
    <w:rsid w:val="715C2793"/>
    <w:rsid w:val="71816E6E"/>
    <w:rsid w:val="71BB412E"/>
    <w:rsid w:val="72115ECC"/>
    <w:rsid w:val="726245AA"/>
    <w:rsid w:val="726B5B54"/>
    <w:rsid w:val="727D7636"/>
    <w:rsid w:val="72E27499"/>
    <w:rsid w:val="73125DCE"/>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96B62"/>
    <w:rsid w:val="751A2B7E"/>
    <w:rsid w:val="75287D2D"/>
    <w:rsid w:val="75311864"/>
    <w:rsid w:val="756920F3"/>
    <w:rsid w:val="756D59AF"/>
    <w:rsid w:val="756E770A"/>
    <w:rsid w:val="758A4B94"/>
    <w:rsid w:val="75BE5F9B"/>
    <w:rsid w:val="75E63744"/>
    <w:rsid w:val="762471F0"/>
    <w:rsid w:val="763B75EC"/>
    <w:rsid w:val="769767EC"/>
    <w:rsid w:val="76A31B29"/>
    <w:rsid w:val="76C96E22"/>
    <w:rsid w:val="76E76CF6"/>
    <w:rsid w:val="771816DB"/>
    <w:rsid w:val="77225C52"/>
    <w:rsid w:val="77271F51"/>
    <w:rsid w:val="773F135E"/>
    <w:rsid w:val="779660A9"/>
    <w:rsid w:val="779E0DD3"/>
    <w:rsid w:val="77AB07A1"/>
    <w:rsid w:val="77AE3DED"/>
    <w:rsid w:val="77CD3C2E"/>
    <w:rsid w:val="77E91B2A"/>
    <w:rsid w:val="77F47FCB"/>
    <w:rsid w:val="78397B5B"/>
    <w:rsid w:val="7887697D"/>
    <w:rsid w:val="788A0E9F"/>
    <w:rsid w:val="788C05D2"/>
    <w:rsid w:val="78F47F26"/>
    <w:rsid w:val="790A7749"/>
    <w:rsid w:val="79181E66"/>
    <w:rsid w:val="79724D33"/>
    <w:rsid w:val="797A667D"/>
    <w:rsid w:val="797F0137"/>
    <w:rsid w:val="79A4144B"/>
    <w:rsid w:val="79BD47BC"/>
    <w:rsid w:val="79C773E8"/>
    <w:rsid w:val="79E461EC"/>
    <w:rsid w:val="79E51C93"/>
    <w:rsid w:val="79EE4B7F"/>
    <w:rsid w:val="7A0F3269"/>
    <w:rsid w:val="7A202978"/>
    <w:rsid w:val="7A4F7B0A"/>
    <w:rsid w:val="7A861051"/>
    <w:rsid w:val="7A922BEB"/>
    <w:rsid w:val="7B076EE3"/>
    <w:rsid w:val="7B1B5C3E"/>
    <w:rsid w:val="7B226FCC"/>
    <w:rsid w:val="7B2F0499"/>
    <w:rsid w:val="7B4056A4"/>
    <w:rsid w:val="7B4C4049"/>
    <w:rsid w:val="7BFC15CB"/>
    <w:rsid w:val="7C2B0102"/>
    <w:rsid w:val="7C2F7BF3"/>
    <w:rsid w:val="7C664A57"/>
    <w:rsid w:val="7CAA44BB"/>
    <w:rsid w:val="7CAF663E"/>
    <w:rsid w:val="7CB42BB4"/>
    <w:rsid w:val="7CE704CD"/>
    <w:rsid w:val="7D537911"/>
    <w:rsid w:val="7D9F4904"/>
    <w:rsid w:val="7DA52DFE"/>
    <w:rsid w:val="7DCF4ABD"/>
    <w:rsid w:val="7DE60785"/>
    <w:rsid w:val="7DE60C95"/>
    <w:rsid w:val="7DF804B8"/>
    <w:rsid w:val="7DFD38A6"/>
    <w:rsid w:val="7DFD787D"/>
    <w:rsid w:val="7E0D3F64"/>
    <w:rsid w:val="7E392313"/>
    <w:rsid w:val="7E4E2DEB"/>
    <w:rsid w:val="7EA74FE6"/>
    <w:rsid w:val="7EAF6DC9"/>
    <w:rsid w:val="7EB443DF"/>
    <w:rsid w:val="7EBE525E"/>
    <w:rsid w:val="7F08297D"/>
    <w:rsid w:val="7F1E3EE2"/>
    <w:rsid w:val="7F7D6F04"/>
    <w:rsid w:val="7F8D4A96"/>
    <w:rsid w:val="7FA827EA"/>
    <w:rsid w:val="7FC41C0E"/>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qFormat="1"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5"/>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3">
    <w:name w:val="heading 2"/>
    <w:basedOn w:val="1"/>
    <w:next w:val="1"/>
    <w:link w:val="36"/>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4">
    <w:name w:val="heading 3"/>
    <w:basedOn w:val="1"/>
    <w:next w:val="1"/>
    <w:link w:val="37"/>
    <w:qFormat/>
    <w:uiPriority w:val="99"/>
    <w:pPr>
      <w:keepNext/>
      <w:keepLines/>
      <w:numPr>
        <w:ilvl w:val="2"/>
        <w:numId w:val="1"/>
      </w:numPr>
      <w:spacing w:before="260" w:after="260" w:line="415" w:lineRule="auto"/>
      <w:ind w:firstLine="1271"/>
      <w:outlineLvl w:val="2"/>
    </w:pPr>
    <w:rPr>
      <w:b/>
      <w:bCs/>
      <w:sz w:val="28"/>
      <w:szCs w:val="28"/>
    </w:rPr>
  </w:style>
  <w:style w:type="paragraph" w:styleId="5">
    <w:name w:val="heading 4"/>
    <w:basedOn w:val="1"/>
    <w:next w:val="1"/>
    <w:link w:val="38"/>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6">
    <w:name w:val="heading 5"/>
    <w:basedOn w:val="1"/>
    <w:next w:val="7"/>
    <w:link w:val="80"/>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8">
    <w:name w:val="heading 6"/>
    <w:basedOn w:val="1"/>
    <w:next w:val="7"/>
    <w:link w:val="81"/>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9">
    <w:name w:val="heading 7"/>
    <w:basedOn w:val="1"/>
    <w:next w:val="7"/>
    <w:link w:val="82"/>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0">
    <w:name w:val="heading 8"/>
    <w:basedOn w:val="1"/>
    <w:next w:val="7"/>
    <w:link w:val="83"/>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1">
    <w:name w:val="heading 9"/>
    <w:basedOn w:val="1"/>
    <w:next w:val="7"/>
    <w:link w:val="84"/>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1"/>
    <w:qFormat/>
    <w:uiPriority w:val="99"/>
    <w:pPr>
      <w:spacing w:line="360" w:lineRule="auto"/>
      <w:ind w:firstLine="420" w:firstLineChars="200"/>
    </w:pPr>
  </w:style>
  <w:style w:type="paragraph" w:styleId="12">
    <w:name w:val="Document Map"/>
    <w:basedOn w:val="1"/>
    <w:link w:val="41"/>
    <w:semiHidden/>
    <w:qFormat/>
    <w:uiPriority w:val="99"/>
    <w:rPr>
      <w:rFonts w:ascii="宋体" w:cs="宋体"/>
      <w:sz w:val="24"/>
      <w:szCs w:val="24"/>
    </w:rPr>
  </w:style>
  <w:style w:type="paragraph" w:styleId="13">
    <w:name w:val="annotation text"/>
    <w:basedOn w:val="1"/>
    <w:link w:val="39"/>
    <w:semiHidden/>
    <w:qFormat/>
    <w:uiPriority w:val="99"/>
    <w:pPr>
      <w:jc w:val="left"/>
    </w:pPr>
  </w:style>
  <w:style w:type="paragraph" w:styleId="14">
    <w:name w:val="Body Text"/>
    <w:basedOn w:val="1"/>
    <w:next w:val="1"/>
    <w:link w:val="42"/>
    <w:qFormat/>
    <w:uiPriority w:val="99"/>
    <w:pPr>
      <w:spacing w:after="120"/>
    </w:pPr>
  </w:style>
  <w:style w:type="paragraph" w:styleId="15">
    <w:name w:val="Body Text Indent"/>
    <w:basedOn w:val="1"/>
    <w:link w:val="43"/>
    <w:qFormat/>
    <w:uiPriority w:val="99"/>
    <w:pPr>
      <w:spacing w:after="120"/>
      <w:ind w:left="420" w:leftChars="200"/>
    </w:pPr>
  </w:style>
  <w:style w:type="paragraph" w:styleId="16">
    <w:name w:val="Plain Text"/>
    <w:basedOn w:val="1"/>
    <w:link w:val="44"/>
    <w:qFormat/>
    <w:uiPriority w:val="0"/>
    <w:rPr>
      <w:rFonts w:ascii="宋体" w:hAnsi="Courier New" w:cs="宋体"/>
    </w:rPr>
  </w:style>
  <w:style w:type="paragraph" w:styleId="17">
    <w:name w:val="Date"/>
    <w:basedOn w:val="1"/>
    <w:next w:val="1"/>
    <w:link w:val="45"/>
    <w:qFormat/>
    <w:uiPriority w:val="99"/>
    <w:pPr>
      <w:ind w:left="100" w:leftChars="2500"/>
    </w:pPr>
  </w:style>
  <w:style w:type="paragraph" w:styleId="18">
    <w:name w:val="Balloon Text"/>
    <w:basedOn w:val="1"/>
    <w:link w:val="46"/>
    <w:semiHidden/>
    <w:qFormat/>
    <w:uiPriority w:val="99"/>
    <w:rPr>
      <w:sz w:val="18"/>
      <w:szCs w:val="18"/>
    </w:rPr>
  </w:style>
  <w:style w:type="paragraph" w:styleId="19">
    <w:name w:val="footer"/>
    <w:basedOn w:val="1"/>
    <w:link w:val="47"/>
    <w:qFormat/>
    <w:uiPriority w:val="99"/>
    <w:pPr>
      <w:tabs>
        <w:tab w:val="center" w:pos="4153"/>
        <w:tab w:val="right" w:pos="8306"/>
      </w:tabs>
      <w:snapToGrid w:val="0"/>
      <w:jc w:val="left"/>
    </w:pPr>
    <w:rPr>
      <w:sz w:val="18"/>
      <w:szCs w:val="18"/>
    </w:rPr>
  </w:style>
  <w:style w:type="paragraph" w:styleId="20">
    <w:name w:val="header"/>
    <w:basedOn w:val="1"/>
    <w:link w:val="48"/>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2">
    <w:name w:val="Body Text Indent 3"/>
    <w:basedOn w:val="1"/>
    <w:link w:val="49"/>
    <w:qFormat/>
    <w:uiPriority w:val="99"/>
    <w:pPr>
      <w:spacing w:after="120"/>
      <w:ind w:left="420" w:leftChars="200"/>
    </w:pPr>
    <w:rPr>
      <w:sz w:val="16"/>
      <w:szCs w:val="16"/>
    </w:rPr>
  </w:style>
  <w:style w:type="paragraph" w:styleId="23">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50"/>
    <w:qFormat/>
    <w:uiPriority w:val="99"/>
    <w:pPr>
      <w:spacing w:before="240" w:after="60"/>
      <w:jc w:val="center"/>
      <w:outlineLvl w:val="0"/>
    </w:pPr>
    <w:rPr>
      <w:rFonts w:ascii="Cambria" w:hAnsi="Cambria" w:cs="Cambria"/>
      <w:b/>
      <w:bCs/>
      <w:kern w:val="0"/>
      <w:sz w:val="32"/>
      <w:szCs w:val="32"/>
    </w:rPr>
  </w:style>
  <w:style w:type="paragraph" w:styleId="26">
    <w:name w:val="annotation subject"/>
    <w:basedOn w:val="13"/>
    <w:next w:val="13"/>
    <w:link w:val="40"/>
    <w:semiHidden/>
    <w:qFormat/>
    <w:uiPriority w:val="99"/>
    <w:rPr>
      <w:b/>
      <w:bCs/>
    </w:r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locked/>
    <w:uiPriority w:val="22"/>
    <w:rPr>
      <w:b/>
    </w:rPr>
  </w:style>
  <w:style w:type="character" w:styleId="31">
    <w:name w:val="page number"/>
    <w:basedOn w:val="29"/>
    <w:qFormat/>
    <w:uiPriority w:val="99"/>
  </w:style>
  <w:style w:type="character" w:styleId="32">
    <w:name w:val="FollowedHyperlink"/>
    <w:basedOn w:val="29"/>
    <w:semiHidden/>
    <w:unhideWhenUsed/>
    <w:qFormat/>
    <w:locked/>
    <w:uiPriority w:val="99"/>
    <w:rPr>
      <w:color w:val="003399"/>
      <w:u w:val="none"/>
    </w:rPr>
  </w:style>
  <w:style w:type="character" w:styleId="33">
    <w:name w:val="Hyperlink"/>
    <w:qFormat/>
    <w:uiPriority w:val="99"/>
    <w:rPr>
      <w:color w:val="0000FF"/>
      <w:u w:val="single"/>
    </w:rPr>
  </w:style>
  <w:style w:type="character" w:styleId="34">
    <w:name w:val="annotation reference"/>
    <w:semiHidden/>
    <w:qFormat/>
    <w:uiPriority w:val="99"/>
    <w:rPr>
      <w:sz w:val="21"/>
      <w:szCs w:val="21"/>
    </w:rPr>
  </w:style>
  <w:style w:type="character" w:customStyle="1" w:styleId="35">
    <w:name w:val="标题 1 字符"/>
    <w:link w:val="2"/>
    <w:qFormat/>
    <w:uiPriority w:val="9"/>
    <w:rPr>
      <w:b/>
      <w:bCs/>
      <w:kern w:val="44"/>
      <w:sz w:val="44"/>
      <w:szCs w:val="44"/>
    </w:rPr>
  </w:style>
  <w:style w:type="character" w:customStyle="1" w:styleId="36">
    <w:name w:val="标题 2 字符"/>
    <w:link w:val="3"/>
    <w:semiHidden/>
    <w:qFormat/>
    <w:uiPriority w:val="9"/>
    <w:rPr>
      <w:rFonts w:ascii="Cambria" w:hAnsi="Cambria" w:eastAsia="宋体" w:cs="Times New Roman"/>
      <w:b/>
      <w:bCs/>
      <w:sz w:val="32"/>
      <w:szCs w:val="32"/>
    </w:rPr>
  </w:style>
  <w:style w:type="character" w:customStyle="1" w:styleId="37">
    <w:name w:val="标题 3 字符"/>
    <w:link w:val="4"/>
    <w:semiHidden/>
    <w:qFormat/>
    <w:uiPriority w:val="9"/>
    <w:rPr>
      <w:b/>
      <w:bCs/>
      <w:sz w:val="32"/>
      <w:szCs w:val="32"/>
    </w:rPr>
  </w:style>
  <w:style w:type="character" w:customStyle="1" w:styleId="38">
    <w:name w:val="标题 4 字符"/>
    <w:link w:val="5"/>
    <w:semiHidden/>
    <w:qFormat/>
    <w:uiPriority w:val="9"/>
    <w:rPr>
      <w:rFonts w:ascii="Cambria" w:hAnsi="Cambria" w:eastAsia="宋体" w:cs="Times New Roman"/>
      <w:b/>
      <w:bCs/>
      <w:sz w:val="28"/>
      <w:szCs w:val="28"/>
    </w:rPr>
  </w:style>
  <w:style w:type="character" w:customStyle="1" w:styleId="39">
    <w:name w:val="批注文字 字符"/>
    <w:link w:val="13"/>
    <w:qFormat/>
    <w:locked/>
    <w:uiPriority w:val="99"/>
    <w:rPr>
      <w:kern w:val="2"/>
      <w:sz w:val="24"/>
      <w:szCs w:val="24"/>
    </w:rPr>
  </w:style>
  <w:style w:type="character" w:customStyle="1" w:styleId="40">
    <w:name w:val="批注主题 字符"/>
    <w:link w:val="26"/>
    <w:qFormat/>
    <w:locked/>
    <w:uiPriority w:val="99"/>
    <w:rPr>
      <w:b/>
      <w:bCs/>
      <w:kern w:val="2"/>
      <w:sz w:val="24"/>
      <w:szCs w:val="24"/>
    </w:rPr>
  </w:style>
  <w:style w:type="character" w:customStyle="1" w:styleId="41">
    <w:name w:val="文档结构图 字符"/>
    <w:link w:val="12"/>
    <w:qFormat/>
    <w:locked/>
    <w:uiPriority w:val="99"/>
    <w:rPr>
      <w:rFonts w:ascii="宋体" w:cs="宋体"/>
      <w:kern w:val="2"/>
      <w:sz w:val="24"/>
      <w:szCs w:val="24"/>
    </w:rPr>
  </w:style>
  <w:style w:type="character" w:customStyle="1" w:styleId="42">
    <w:name w:val="正文文本 字符"/>
    <w:link w:val="14"/>
    <w:qFormat/>
    <w:locked/>
    <w:uiPriority w:val="99"/>
    <w:rPr>
      <w:kern w:val="2"/>
      <w:sz w:val="24"/>
      <w:szCs w:val="24"/>
    </w:rPr>
  </w:style>
  <w:style w:type="character" w:customStyle="1" w:styleId="43">
    <w:name w:val="正文文本缩进 字符"/>
    <w:link w:val="15"/>
    <w:qFormat/>
    <w:locked/>
    <w:uiPriority w:val="99"/>
    <w:rPr>
      <w:kern w:val="2"/>
      <w:sz w:val="24"/>
      <w:szCs w:val="24"/>
    </w:rPr>
  </w:style>
  <w:style w:type="character" w:customStyle="1" w:styleId="44">
    <w:name w:val="纯文本 字符"/>
    <w:link w:val="16"/>
    <w:qFormat/>
    <w:locked/>
    <w:uiPriority w:val="0"/>
    <w:rPr>
      <w:rFonts w:ascii="宋体" w:hAnsi="Courier New" w:cs="宋体"/>
      <w:kern w:val="2"/>
      <w:sz w:val="21"/>
      <w:szCs w:val="21"/>
    </w:rPr>
  </w:style>
  <w:style w:type="character" w:customStyle="1" w:styleId="45">
    <w:name w:val="日期 字符"/>
    <w:link w:val="17"/>
    <w:semiHidden/>
    <w:qFormat/>
    <w:uiPriority w:val="99"/>
    <w:rPr>
      <w:szCs w:val="21"/>
    </w:rPr>
  </w:style>
  <w:style w:type="character" w:customStyle="1" w:styleId="46">
    <w:name w:val="批注框文本 字符"/>
    <w:link w:val="18"/>
    <w:semiHidden/>
    <w:qFormat/>
    <w:uiPriority w:val="99"/>
    <w:rPr>
      <w:sz w:val="0"/>
      <w:szCs w:val="0"/>
    </w:rPr>
  </w:style>
  <w:style w:type="character" w:customStyle="1" w:styleId="47">
    <w:name w:val="页脚 字符"/>
    <w:link w:val="19"/>
    <w:qFormat/>
    <w:locked/>
    <w:uiPriority w:val="99"/>
    <w:rPr>
      <w:kern w:val="2"/>
      <w:sz w:val="18"/>
      <w:szCs w:val="18"/>
    </w:rPr>
  </w:style>
  <w:style w:type="character" w:customStyle="1" w:styleId="48">
    <w:name w:val="页眉 字符"/>
    <w:link w:val="20"/>
    <w:qFormat/>
    <w:locked/>
    <w:uiPriority w:val="99"/>
    <w:rPr>
      <w:kern w:val="2"/>
      <w:sz w:val="18"/>
      <w:szCs w:val="18"/>
    </w:rPr>
  </w:style>
  <w:style w:type="character" w:customStyle="1" w:styleId="49">
    <w:name w:val="正文文本缩进 3 字符"/>
    <w:link w:val="22"/>
    <w:semiHidden/>
    <w:qFormat/>
    <w:uiPriority w:val="99"/>
    <w:rPr>
      <w:sz w:val="16"/>
      <w:szCs w:val="16"/>
    </w:rPr>
  </w:style>
  <w:style w:type="character" w:customStyle="1" w:styleId="50">
    <w:name w:val="标题 字符"/>
    <w:link w:val="25"/>
    <w:qFormat/>
    <w:locked/>
    <w:uiPriority w:val="99"/>
    <w:rPr>
      <w:rFonts w:ascii="Cambria" w:hAnsi="Cambria" w:cs="Cambria"/>
      <w:b/>
      <w:bCs/>
      <w:sz w:val="32"/>
      <w:szCs w:val="32"/>
    </w:rPr>
  </w:style>
  <w:style w:type="character" w:customStyle="1" w:styleId="51">
    <w:name w:val="标题 3 Char Char Char"/>
    <w:qFormat/>
    <w:uiPriority w:val="99"/>
    <w:rPr>
      <w:rFonts w:eastAsia="宋体"/>
      <w:b/>
      <w:bCs/>
      <w:kern w:val="2"/>
      <w:sz w:val="32"/>
      <w:szCs w:val="32"/>
      <w:lang w:val="en-US" w:eastAsia="zh-CN"/>
    </w:rPr>
  </w:style>
  <w:style w:type="character" w:customStyle="1" w:styleId="52">
    <w:name w:val="中等深浅网格 1 - 强调文字颜色 2字符"/>
    <w:link w:val="53"/>
    <w:qFormat/>
    <w:locked/>
    <w:uiPriority w:val="99"/>
    <w:rPr>
      <w:kern w:val="2"/>
      <w:sz w:val="24"/>
      <w:szCs w:val="24"/>
    </w:rPr>
  </w:style>
  <w:style w:type="paragraph" w:customStyle="1" w:styleId="53">
    <w:name w:val="中等深浅网格 1 - 强调文字颜色 21"/>
    <w:basedOn w:val="1"/>
    <w:link w:val="52"/>
    <w:qFormat/>
    <w:uiPriority w:val="99"/>
    <w:pPr>
      <w:ind w:firstLine="420" w:firstLineChars="200"/>
    </w:pPr>
  </w:style>
  <w:style w:type="character" w:customStyle="1" w:styleId="54">
    <w:name w:val="text91"/>
    <w:qFormat/>
    <w:uiPriority w:val="99"/>
    <w:rPr>
      <w:sz w:val="18"/>
      <w:szCs w:val="18"/>
      <w:u w:val="none"/>
    </w:rPr>
  </w:style>
  <w:style w:type="character" w:customStyle="1" w:styleId="55">
    <w:name w:val="正文文本缩进 Char1"/>
    <w:qFormat/>
    <w:uiPriority w:val="99"/>
    <w:rPr>
      <w:kern w:val="2"/>
      <w:sz w:val="24"/>
      <w:szCs w:val="24"/>
    </w:rPr>
  </w:style>
  <w:style w:type="paragraph" w:customStyle="1" w:styleId="56">
    <w:name w:val="Char1"/>
    <w:basedOn w:val="1"/>
    <w:qFormat/>
    <w:uiPriority w:val="99"/>
    <w:rPr>
      <w:rFonts w:ascii="仿宋_GB2312" w:eastAsia="仿宋_GB2312" w:cs="仿宋_GB2312"/>
      <w:b/>
      <w:bCs/>
      <w:sz w:val="32"/>
      <w:szCs w:val="32"/>
    </w:rPr>
  </w:style>
  <w:style w:type="paragraph" w:customStyle="1" w:styleId="57">
    <w:name w:val="表格"/>
    <w:basedOn w:val="1"/>
    <w:qFormat/>
    <w:uiPriority w:val="0"/>
    <w:pPr>
      <w:spacing w:line="400" w:lineRule="exact"/>
    </w:pPr>
    <w:rPr>
      <w:sz w:val="24"/>
      <w:szCs w:val="24"/>
    </w:rPr>
  </w:style>
  <w:style w:type="paragraph" w:customStyle="1" w:styleId="58">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9">
    <w:name w:val="默认段落字体 Para Char Char Char1 Char"/>
    <w:basedOn w:val="1"/>
    <w:next w:val="1"/>
    <w:qFormat/>
    <w:uiPriority w:val="99"/>
    <w:pPr>
      <w:spacing w:line="240" w:lineRule="atLeast"/>
      <w:ind w:left="420" w:firstLine="420"/>
      <w:jc w:val="left"/>
    </w:pPr>
    <w:rPr>
      <w:kern w:val="0"/>
    </w:rPr>
  </w:style>
  <w:style w:type="paragraph" w:customStyle="1" w:styleId="60">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61">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2">
    <w:name w:val="Char"/>
    <w:basedOn w:val="1"/>
    <w:qFormat/>
    <w:uiPriority w:val="99"/>
    <w:rPr>
      <w:rFonts w:ascii="Tahoma" w:hAnsi="Tahoma" w:cs="Tahoma"/>
      <w:b/>
      <w:bCs/>
      <w:sz w:val="36"/>
      <w:szCs w:val="36"/>
    </w:rPr>
  </w:style>
  <w:style w:type="paragraph" w:customStyle="1" w:styleId="63">
    <w:name w:val="正文首行缩进两字符"/>
    <w:basedOn w:val="1"/>
    <w:qFormat/>
    <w:uiPriority w:val="99"/>
    <w:pPr>
      <w:spacing w:line="360" w:lineRule="auto"/>
      <w:ind w:firstLine="200" w:firstLineChars="200"/>
    </w:pPr>
  </w:style>
  <w:style w:type="paragraph" w:customStyle="1" w:styleId="64">
    <w:name w:val="列出段落1"/>
    <w:basedOn w:val="1"/>
    <w:qFormat/>
    <w:uiPriority w:val="99"/>
    <w:pPr>
      <w:ind w:firstLine="420" w:firstLineChars="200"/>
    </w:pPr>
  </w:style>
  <w:style w:type="paragraph" w:customStyle="1" w:styleId="65">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8">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9">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70">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71">
    <w:name w:val="font11"/>
    <w:qFormat/>
    <w:uiPriority w:val="99"/>
    <w:rPr>
      <w:rFonts w:ascii="宋体" w:hAnsi="宋体" w:eastAsia="宋体" w:cs="宋体"/>
      <w:color w:val="000000"/>
      <w:sz w:val="21"/>
      <w:szCs w:val="21"/>
      <w:u w:val="none"/>
    </w:rPr>
  </w:style>
  <w:style w:type="paragraph" w:customStyle="1" w:styleId="72">
    <w:name w:val="正文1"/>
    <w:qFormat/>
    <w:uiPriority w:val="0"/>
    <w:rPr>
      <w:rFonts w:ascii="Times New Roman" w:hAnsi="Times New Roman" w:eastAsia="宋体" w:cs="Times New Roman"/>
      <w:kern w:val="1"/>
      <w:sz w:val="24"/>
      <w:szCs w:val="24"/>
      <w:lang w:val="en-US" w:eastAsia="zh-CN" w:bidi="ar-SA"/>
    </w:rPr>
  </w:style>
  <w:style w:type="paragraph" w:customStyle="1" w:styleId="73">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4">
    <w:name w:val="font111"/>
    <w:qFormat/>
    <w:uiPriority w:val="99"/>
    <w:rPr>
      <w:rFonts w:ascii="E?" w:hAnsi="E?" w:eastAsia="Times New Roman" w:cs="E?"/>
      <w:color w:val="000000"/>
      <w:sz w:val="21"/>
      <w:szCs w:val="21"/>
      <w:u w:val="single"/>
    </w:rPr>
  </w:style>
  <w:style w:type="character" w:customStyle="1" w:styleId="75">
    <w:name w:val="font31"/>
    <w:qFormat/>
    <w:uiPriority w:val="99"/>
    <w:rPr>
      <w:rFonts w:ascii="宋体" w:hAnsi="宋体" w:eastAsia="宋体" w:cs="宋体"/>
      <w:color w:val="000000"/>
      <w:sz w:val="21"/>
      <w:szCs w:val="21"/>
      <w:u w:val="none"/>
    </w:rPr>
  </w:style>
  <w:style w:type="paragraph" w:customStyle="1" w:styleId="76">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7">
    <w:name w:val="列出段落2"/>
    <w:basedOn w:val="1"/>
    <w:qFormat/>
    <w:uiPriority w:val="99"/>
    <w:pPr>
      <w:ind w:firstLine="420" w:firstLineChars="200"/>
    </w:pPr>
  </w:style>
  <w:style w:type="paragraph" w:customStyle="1" w:styleId="78">
    <w:name w:val="修订6"/>
    <w:hidden/>
    <w:semiHidden/>
    <w:qFormat/>
    <w:uiPriority w:val="99"/>
    <w:rPr>
      <w:rFonts w:ascii="Times New Roman" w:hAnsi="Times New Roman" w:eastAsia="宋体" w:cs="Times New Roman"/>
      <w:kern w:val="2"/>
      <w:sz w:val="21"/>
      <w:szCs w:val="21"/>
      <w:lang w:val="en-US" w:eastAsia="zh-CN" w:bidi="ar-SA"/>
    </w:rPr>
  </w:style>
  <w:style w:type="paragraph" w:styleId="79">
    <w:name w:val="List Paragraph"/>
    <w:basedOn w:val="1"/>
    <w:qFormat/>
    <w:uiPriority w:val="99"/>
    <w:pPr>
      <w:ind w:firstLine="420" w:firstLineChars="200"/>
    </w:pPr>
    <w:rPr>
      <w:rFonts w:ascii="Calibri" w:hAnsi="Calibri" w:cs="Calibri"/>
    </w:rPr>
  </w:style>
  <w:style w:type="character" w:customStyle="1" w:styleId="80">
    <w:name w:val="标题 5 字符"/>
    <w:basedOn w:val="29"/>
    <w:link w:val="6"/>
    <w:qFormat/>
    <w:uiPriority w:val="0"/>
    <w:rPr>
      <w:rFonts w:ascii="宋体"/>
      <w:b/>
      <w:sz w:val="28"/>
    </w:rPr>
  </w:style>
  <w:style w:type="character" w:customStyle="1" w:styleId="81">
    <w:name w:val="标题 6 字符"/>
    <w:basedOn w:val="29"/>
    <w:link w:val="8"/>
    <w:qFormat/>
    <w:uiPriority w:val="0"/>
    <w:rPr>
      <w:rFonts w:ascii="Arial" w:hAnsi="Arial" w:eastAsia="黑体"/>
      <w:b/>
      <w:sz w:val="24"/>
    </w:rPr>
  </w:style>
  <w:style w:type="character" w:customStyle="1" w:styleId="82">
    <w:name w:val="标题 7 字符"/>
    <w:basedOn w:val="29"/>
    <w:link w:val="9"/>
    <w:qFormat/>
    <w:uiPriority w:val="0"/>
    <w:rPr>
      <w:rFonts w:ascii="宋体"/>
      <w:b/>
      <w:sz w:val="24"/>
    </w:rPr>
  </w:style>
  <w:style w:type="character" w:customStyle="1" w:styleId="83">
    <w:name w:val="标题 8 字符"/>
    <w:basedOn w:val="29"/>
    <w:link w:val="10"/>
    <w:qFormat/>
    <w:uiPriority w:val="0"/>
    <w:rPr>
      <w:rFonts w:ascii="Arial" w:hAnsi="Arial" w:eastAsia="黑体"/>
      <w:sz w:val="24"/>
    </w:rPr>
  </w:style>
  <w:style w:type="character" w:customStyle="1" w:styleId="84">
    <w:name w:val="标题 9 字符"/>
    <w:basedOn w:val="29"/>
    <w:link w:val="11"/>
    <w:qFormat/>
    <w:uiPriority w:val="0"/>
    <w:rPr>
      <w:rFonts w:ascii="Arial" w:hAnsi="Arial" w:eastAsia="黑体"/>
      <w:sz w:val="34"/>
    </w:rPr>
  </w:style>
  <w:style w:type="paragraph" w:customStyle="1" w:styleId="85">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6">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7">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8">
    <w:name w:val="cf01"/>
    <w:basedOn w:val="29"/>
    <w:qFormat/>
    <w:uiPriority w:val="0"/>
    <w:rPr>
      <w:rFonts w:hint="eastAsia" w:ascii="Microsoft YaHei UI" w:hAnsi="Microsoft YaHei UI" w:eastAsia="Microsoft YaHei UI"/>
      <w:sz w:val="18"/>
      <w:szCs w:val="18"/>
    </w:rPr>
  </w:style>
  <w:style w:type="character" w:customStyle="1" w:styleId="89">
    <w:name w:val="font61"/>
    <w:basedOn w:val="29"/>
    <w:qFormat/>
    <w:uiPriority w:val="0"/>
    <w:rPr>
      <w:rFonts w:hint="eastAsia" w:ascii="宋体" w:hAnsi="宋体" w:eastAsia="宋体" w:cs="宋体"/>
      <w:color w:val="000000"/>
      <w:sz w:val="22"/>
      <w:szCs w:val="22"/>
      <w:u w:val="none"/>
    </w:rPr>
  </w:style>
  <w:style w:type="character" w:customStyle="1" w:styleId="90">
    <w:name w:val="font71"/>
    <w:basedOn w:val="29"/>
    <w:qFormat/>
    <w:uiPriority w:val="0"/>
    <w:rPr>
      <w:rFonts w:hint="eastAsia" w:ascii="宋体" w:hAnsi="宋体" w:eastAsia="宋体" w:cs="宋体"/>
      <w:color w:val="000000"/>
      <w:sz w:val="24"/>
      <w:szCs w:val="24"/>
      <w:u w:val="none"/>
    </w:rPr>
  </w:style>
  <w:style w:type="character" w:customStyle="1" w:styleId="91">
    <w:name w:val="font41"/>
    <w:basedOn w:val="29"/>
    <w:qFormat/>
    <w:uiPriority w:val="0"/>
    <w:rPr>
      <w:rFonts w:hint="default" w:ascii="仿宋_GB2312" w:eastAsia="仿宋_GB2312" w:cs="仿宋_GB2312"/>
      <w:color w:val="000000"/>
      <w:sz w:val="24"/>
      <w:szCs w:val="24"/>
      <w:u w:val="none"/>
    </w:rPr>
  </w:style>
  <w:style w:type="character" w:customStyle="1" w:styleId="92">
    <w:name w:val="font81"/>
    <w:basedOn w:val="29"/>
    <w:qFormat/>
    <w:uiPriority w:val="0"/>
    <w:rPr>
      <w:rFonts w:hint="eastAsia" w:ascii="宋体" w:hAnsi="宋体" w:eastAsia="宋体" w:cs="宋体"/>
      <w:color w:val="000000"/>
      <w:sz w:val="24"/>
      <w:szCs w:val="24"/>
      <w:u w:val="none"/>
    </w:rPr>
  </w:style>
  <w:style w:type="character" w:customStyle="1" w:styleId="93">
    <w:name w:val="font91"/>
    <w:basedOn w:val="29"/>
    <w:qFormat/>
    <w:uiPriority w:val="0"/>
    <w:rPr>
      <w:rFonts w:hint="default" w:ascii="仿宋_GB2312" w:eastAsia="仿宋_GB2312" w:cs="仿宋_GB2312"/>
      <w:color w:val="000000"/>
      <w:sz w:val="24"/>
      <w:szCs w:val="24"/>
      <w:u w:val="none"/>
    </w:rPr>
  </w:style>
  <w:style w:type="character" w:customStyle="1" w:styleId="94">
    <w:name w:val="font01"/>
    <w:basedOn w:val="29"/>
    <w:qFormat/>
    <w:uiPriority w:val="0"/>
    <w:rPr>
      <w:rFonts w:hint="eastAsia" w:ascii="宋体" w:hAnsi="宋体" w:eastAsia="宋体" w:cs="宋体"/>
      <w:color w:val="000000"/>
      <w:sz w:val="24"/>
      <w:szCs w:val="24"/>
      <w:u w:val="none"/>
    </w:rPr>
  </w:style>
  <w:style w:type="paragraph" w:customStyle="1" w:styleId="95">
    <w:name w:val="null3"/>
    <w:hidden/>
    <w:qFormat/>
    <w:uiPriority w:val="0"/>
    <w:rPr>
      <w:rFonts w:hint="eastAsia" w:asciiTheme="minorHAnsi" w:hAnsiTheme="minorHAnsi" w:eastAsiaTheme="minorEastAsia" w:cstheme="minorBidi"/>
      <w:lang w:val="en-US" w:eastAsia="zh-Hans" w:bidi="ar-SA"/>
    </w:rPr>
  </w:style>
  <w:style w:type="paragraph" w:customStyle="1" w:styleId="96">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9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6AD0BF43-0CCC-4133-8695-51A170500834}">
  <ds:schemaRefs/>
</ds:datastoreItem>
</file>

<file path=customXml/itemProps10.xml><?xml version="1.0" encoding="utf-8"?>
<ds:datastoreItem xmlns:ds="http://schemas.openxmlformats.org/officeDocument/2006/customXml" ds:itemID="{D6F87409-A1C2-4796-8E56-6A679F20FF26}">
  <ds:schemaRefs/>
</ds:datastoreItem>
</file>

<file path=customXml/itemProps2.xml><?xml version="1.0" encoding="utf-8"?>
<ds:datastoreItem xmlns:ds="http://schemas.openxmlformats.org/officeDocument/2006/customXml" ds:itemID="{7979D2C8-D216-4544-BBA2-DAA330101E17}">
  <ds:schemaRefs/>
</ds:datastoreItem>
</file>

<file path=customXml/itemProps3.xml><?xml version="1.0" encoding="utf-8"?>
<ds:datastoreItem xmlns:ds="http://schemas.openxmlformats.org/officeDocument/2006/customXml" ds:itemID="{F9C61BD3-13D3-4758-AC1F-F756C5E6BEED}">
  <ds:schemaRefs/>
</ds:datastoreItem>
</file>

<file path=customXml/itemProps4.xml><?xml version="1.0" encoding="utf-8"?>
<ds:datastoreItem xmlns:ds="http://schemas.openxmlformats.org/officeDocument/2006/customXml" ds:itemID="{B504DDF1-95CA-4F3C-8DF7-77C56E887C94}">
  <ds:schemaRefs/>
</ds:datastoreItem>
</file>

<file path=customXml/itemProps5.xml><?xml version="1.0" encoding="utf-8"?>
<ds:datastoreItem xmlns:ds="http://schemas.openxmlformats.org/officeDocument/2006/customXml" ds:itemID="{FFD91DC3-A917-4DA3-99C7-46F6A94DCF66}">
  <ds:schemaRefs/>
</ds:datastoreItem>
</file>

<file path=customXml/itemProps6.xml><?xml version="1.0" encoding="utf-8"?>
<ds:datastoreItem xmlns:ds="http://schemas.openxmlformats.org/officeDocument/2006/customXml" ds:itemID="{B359C03D-0C7E-4BEF-8962-DACFD8B99E00}">
  <ds:schemaRefs/>
</ds:datastoreItem>
</file>

<file path=customXml/itemProps7.xml><?xml version="1.0" encoding="utf-8"?>
<ds:datastoreItem xmlns:ds="http://schemas.openxmlformats.org/officeDocument/2006/customXml" ds:itemID="{BCEEBDF4-7C9A-4431-9161-2F74451920D3}">
  <ds:schemaRefs/>
</ds:datastoreItem>
</file>

<file path=customXml/itemProps8.xml><?xml version="1.0" encoding="utf-8"?>
<ds:datastoreItem xmlns:ds="http://schemas.openxmlformats.org/officeDocument/2006/customXml" ds:itemID="{19E7D210-0F11-49E8-A84D-765D088CCD57}">
  <ds:schemaRefs/>
</ds:datastoreItem>
</file>

<file path=customXml/itemProps9.xml><?xml version="1.0" encoding="utf-8"?>
<ds:datastoreItem xmlns:ds="http://schemas.openxmlformats.org/officeDocument/2006/customXml" ds:itemID="{1EB7AA8B-D121-4DA8-8FFA-55D5120320B8}">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30</Pages>
  <Words>8775</Words>
  <Characters>8937</Characters>
  <Lines>122</Lines>
  <Paragraphs>34</Paragraphs>
  <TotalTime>9</TotalTime>
  <ScaleCrop>false</ScaleCrop>
  <LinksUpToDate>false</LinksUpToDate>
  <CharactersWithSpaces>8965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2024-04-22T02:58:00Z</dcterms:created>
  <dc:creator>cdedu</dc:creator>
  <cp:lastModifiedBy>林胜</cp:lastModifiedBy>
  <cp:lastPrinted>2024-11-01T07:01:00Z</cp:lastPrinted>
  <dcterms:modified xsi:type="dcterms:W3CDTF">2026-03-10T08:41:10Z</dcterms:modified>
  <dc:title>询价通知书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810A693B97CD4374BDA0D895472511A7</vt:lpwstr>
  </property>
  <property fmtid="{D5CDD505-2E9C-101B-9397-08002B2CF9AE}" pid="4" name="KSOTemplateDocerSaveRecord">
    <vt:lpwstr>eyJoZGlkIjoiZDA3MTY5M2E4NmE4MWI0ZDk2YWZmZGNmNjYwYmFkODgiLCJ1c2VySWQiOiIxNTYwNzMyMDI5In0=</vt:lpwstr>
  </property>
</Properties>
</file>