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eastAsia" w:ascii="宋体" w:hAnsi="宋体" w:eastAsia="宋体" w:cs="宋体"/>
          <w:b/>
          <w:bCs/>
          <w:spacing w:val="-12"/>
          <w:sz w:val="48"/>
          <w:szCs w:val="48"/>
          <w:lang w:eastAsia="zh-CN"/>
        </w:rPr>
      </w:pPr>
      <w:bookmarkStart w:id="0" w:name="OLE_LINK20"/>
      <w:bookmarkStart w:id="1" w:name="OLE_LINK18"/>
      <w:r>
        <w:rPr>
          <w:rFonts w:hint="eastAsia" w:ascii="宋体" w:hAnsi="宋体" w:cs="宋体"/>
          <w:b/>
          <w:bCs/>
          <w:spacing w:val="-12"/>
          <w:sz w:val="48"/>
          <w:szCs w:val="48"/>
          <w:lang w:eastAsia="zh-CN"/>
        </w:rPr>
        <w:t>资阳市中心医院重症医学远程管理平台与业务系统接口对接服务采购项目（二次）</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73895652"/>
      <w:bookmarkStart w:id="3" w:name="_Toc180296779"/>
      <w:bookmarkStart w:id="4" w:name="_Toc211679176"/>
      <w:bookmarkStart w:id="5"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资阳市中心医院重症医学远程管理平台与业务系统接口对接服务</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u w:val="single"/>
        </w:rPr>
      </w:pPr>
      <w:r>
        <w:rPr>
          <w:rFonts w:hint="eastAsia" w:ascii="宋体" w:hAnsi="宋体" w:cs="宋体"/>
          <w:b/>
          <w:bCs/>
          <w:kern w:val="0"/>
        </w:rPr>
        <w:t>二、比选项目：</w:t>
      </w:r>
      <w:bookmarkStart w:id="6" w:name="OLE_LINK4"/>
      <w:r>
        <w:rPr>
          <w:rFonts w:hint="eastAsia" w:ascii="宋体" w:hAnsi="宋体" w:cs="宋体"/>
          <w:b/>
          <w:bCs/>
          <w:kern w:val="0"/>
          <w:u w:val="single"/>
          <w:lang w:val="en-US" w:eastAsia="zh-CN"/>
        </w:rPr>
        <w:t>资阳市中心医院重症医学远程管理平台与业务系统接口对接服务采购项目（二次）</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bookmarkStart w:id="7" w:name="OLE_LINK3"/>
      <w:r>
        <w:rPr>
          <w:rFonts w:hint="eastAsia" w:hAnsi="宋体"/>
          <w:kern w:val="0"/>
          <w:lang w:val="en-US" w:eastAsia="zh-CN"/>
        </w:rPr>
        <w:t>资阳市中心医院重症医学远程管理平台与业务系统接口对接服务</w:t>
      </w:r>
      <w:bookmarkEnd w:id="7"/>
      <w:r>
        <w:rPr>
          <w:rFonts w:hint="eastAsia" w:ascii="宋体" w:hAnsi="宋体" w:cs="宋体"/>
          <w:spacing w:val="-4"/>
        </w:rPr>
        <w:t>。</w:t>
      </w:r>
      <w:r>
        <w:rPr>
          <w:rFonts w:hint="eastAsia" w:hAnsi="宋体"/>
          <w:kern w:val="0"/>
        </w:rPr>
        <w:t>本项目最高限价</w:t>
      </w:r>
      <w:r>
        <w:rPr>
          <w:rFonts w:hint="eastAsia" w:hAnsi="宋体"/>
          <w:kern w:val="0"/>
          <w:lang w:val="en-US" w:eastAsia="zh-CN"/>
        </w:rPr>
        <w:t>35000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8" w:name="PO_标书售卖开始时间_1"/>
      <w:r>
        <w:rPr>
          <w:rFonts w:hint="eastAsia"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10</w:t>
      </w:r>
      <w:r>
        <w:rPr>
          <w:rFonts w:hint="eastAsia" w:ascii="宋体" w:hAnsi="宋体" w:cs="宋体"/>
        </w:rPr>
        <w:t>日</w:t>
      </w:r>
      <w:bookmarkEnd w:id="8"/>
      <w:r>
        <w:rPr>
          <w:rFonts w:hint="eastAsia" w:ascii="宋体" w:hAnsi="宋体" w:cs="宋体"/>
        </w:rPr>
        <w:t>至</w:t>
      </w:r>
      <w:bookmarkStart w:id="9" w:name="PO_标书售卖结束时间_1"/>
      <w:r>
        <w:rPr>
          <w:rFonts w:hint="eastAsia" w:ascii="宋体" w:hAnsi="宋体" w:cs="宋体"/>
        </w:rPr>
        <w:t>202</w:t>
      </w:r>
      <w:r>
        <w:rPr>
          <w:rFonts w:hint="eastAsia" w:ascii="宋体" w:hAnsi="宋体" w:cs="宋体"/>
          <w:lang w:val="en-US" w:eastAsia="zh-CN"/>
        </w:rPr>
        <w:t>5</w:t>
      </w:r>
      <w:r>
        <w:rPr>
          <w:rFonts w:hint="eastAsia" w:ascii="宋体" w:hAnsi="宋体" w:cs="宋体"/>
        </w:rPr>
        <w:t>年</w:t>
      </w:r>
      <w:bookmarkEnd w:id="9"/>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15</w:t>
      </w:r>
      <w:r>
        <w:rPr>
          <w:rFonts w:hint="eastAsia" w:ascii="宋体" w:hAnsi="宋体" w:cs="宋体"/>
        </w:rPr>
        <w:t>日，</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10" w:name="OLE_LINK2"/>
      <w:bookmarkStart w:id="11" w:name="OLE_LINK1"/>
      <w:r>
        <w:rPr>
          <w:rFonts w:hint="eastAsia" w:ascii="宋体" w:hAnsi="宋体" w:cs="宋体"/>
          <w:b/>
          <w:bCs/>
          <w:spacing w:val="-6"/>
          <w:kern w:val="0"/>
        </w:rPr>
        <w:t>递交比选申请文件截止时间</w:t>
      </w:r>
      <w:bookmarkEnd w:id="10"/>
      <w:bookmarkEnd w:id="11"/>
      <w:r>
        <w:rPr>
          <w:rFonts w:hint="eastAsia" w:ascii="宋体" w:hAnsi="宋体" w:cs="宋体"/>
          <w:b/>
          <w:bCs/>
          <w:spacing w:val="-6"/>
          <w:kern w:val="0"/>
        </w:rPr>
        <w:t>及评审时间：</w:t>
      </w:r>
      <w:r>
        <w:rPr>
          <w:rFonts w:hint="eastAsia" w:ascii="宋体" w:hAnsi="宋体" w:cs="宋体"/>
        </w:rPr>
        <w:t>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16</w:t>
      </w:r>
      <w:r>
        <w:rPr>
          <w:rFonts w:hint="eastAsia" w:ascii="宋体" w:hAnsi="宋体" w:cs="宋体"/>
        </w:rPr>
        <w:t>日</w:t>
      </w:r>
      <w:r>
        <w:rPr>
          <w:rFonts w:hint="eastAsia" w:ascii="宋体" w:hAnsi="宋体" w:cs="宋体"/>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2" w:name="_Toc173895653"/>
      <w:bookmarkStart w:id="13" w:name="_Toc180296780"/>
      <w:bookmarkStart w:id="14" w:name="_Toc211679177"/>
      <w:bookmarkStart w:id="15"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6" w:name="_Toc180296782"/>
      <w:bookmarkStart w:id="17" w:name="_Toc211679179"/>
      <w:bookmarkStart w:id="18" w:name="_Toc173895840"/>
      <w:bookmarkStart w:id="19" w:name="_Toc173895655"/>
      <w:r>
        <w:rPr>
          <w:rFonts w:hint="eastAsia" w:ascii="宋体" w:hAnsi="宋体" w:cs="宋体"/>
          <w:kern w:val="0"/>
        </w:rPr>
        <w:t xml:space="preserve"> 供应商资格证明</w:t>
      </w:r>
      <w:bookmarkEnd w:id="16"/>
      <w:bookmarkEnd w:id="17"/>
      <w:bookmarkEnd w:id="18"/>
      <w:bookmarkEnd w:id="19"/>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2"/>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20" w:name="_Toc115628325"/>
      <w:bookmarkStart w:id="21" w:name="_Toc210211733"/>
      <w:bookmarkStart w:id="22"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.2非单一产品采购项目中，多家供应商提供的部分或所有核心产品品牌相同的，视为提供相同品牌产品。本项目核心产品为：</w:t>
      </w:r>
      <w:r>
        <w:rPr>
          <w:rFonts w:hint="eastAsia" w:ascii="宋体" w:hAnsi="宋体" w:cs="宋体"/>
          <w:kern w:val="0"/>
          <w:lang w:val="en-US" w:eastAsia="zh-CN"/>
        </w:rPr>
        <w:t>不涉及。</w:t>
      </w:r>
    </w:p>
    <w:p>
      <w:pPr>
        <w:spacing w:line="360" w:lineRule="auto"/>
        <w:ind w:firstLine="403" w:firstLineChars="192"/>
        <w:outlineLvl w:val="2"/>
        <w:rPr>
          <w:rFonts w:ascii="宋体" w:hAnsi="宋体" w:cs="宋体"/>
          <w:b/>
          <w:kern w:val="0"/>
        </w:rPr>
      </w:pPr>
      <w:bookmarkStart w:id="23" w:name="_Toc508279863"/>
      <w:r>
        <w:rPr>
          <w:rFonts w:hint="eastAsia" w:ascii="宋体" w:hAnsi="宋体" w:cs="宋体"/>
          <w:b/>
          <w:kern w:val="0"/>
        </w:rPr>
        <w:t>3、 资格性审查。</w:t>
      </w:r>
      <w:bookmarkEnd w:id="23"/>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4"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4"/>
    </w:p>
    <w:p>
      <w:pPr>
        <w:spacing w:line="360" w:lineRule="auto"/>
        <w:ind w:firstLine="403" w:firstLineChars="192"/>
        <w:rPr>
          <w:rFonts w:ascii="宋体" w:hAnsi="宋体" w:cs="宋体"/>
          <w:kern w:val="0"/>
        </w:rPr>
      </w:pPr>
      <w:bookmarkStart w:id="25" w:name="_Toc508279865"/>
      <w:r>
        <w:rPr>
          <w:rFonts w:hint="eastAsia" w:ascii="宋体" w:hAnsi="宋体" w:cs="宋体"/>
          <w:kern w:val="0"/>
        </w:rPr>
        <w:t>3.2资格性审查结束后，出具资格性审查表。</w:t>
      </w:r>
      <w:bookmarkEnd w:id="25"/>
    </w:p>
    <w:p>
      <w:pPr>
        <w:spacing w:line="360" w:lineRule="auto"/>
        <w:ind w:firstLine="403" w:firstLineChars="192"/>
        <w:rPr>
          <w:rFonts w:ascii="宋体" w:hAnsi="宋体" w:cs="宋体"/>
          <w:kern w:val="0"/>
        </w:rPr>
      </w:pPr>
      <w:bookmarkStart w:id="26"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6"/>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outlineLvl w:val="2"/>
        <w:rPr>
          <w:rFonts w:ascii="宋体" w:hAnsi="宋体" w:cs="宋体"/>
          <w:b/>
          <w:kern w:val="0"/>
        </w:rPr>
      </w:pPr>
      <w:bookmarkStart w:id="50" w:name="_GoBack"/>
      <w:bookmarkEnd w:id="50"/>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2"/>
      <w:bookmarkEnd w:id="13"/>
      <w:bookmarkEnd w:id="14"/>
      <w:bookmarkEnd w:id="15"/>
      <w:bookmarkEnd w:id="20"/>
      <w:bookmarkEnd w:id="21"/>
      <w:bookmarkEnd w:id="22"/>
      <w:bookmarkStart w:id="27" w:name="_Toc180296784"/>
      <w:bookmarkStart w:id="28" w:name="_Toc173895657"/>
      <w:bookmarkStart w:id="29" w:name="_Toc211679181"/>
      <w:bookmarkStart w:id="30" w:name="_Toc173895842"/>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本项目共1个包，采购</w:t>
      </w:r>
      <w:r>
        <w:rPr>
          <w:rFonts w:hint="eastAsia" w:hAnsi="宋体"/>
          <w:kern w:val="0"/>
          <w:lang w:val="en-US" w:eastAsia="zh-CN"/>
        </w:rPr>
        <w:t>资阳市中心医院重症医学远程管理平台与业务系统接口对接服务</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35000</w:t>
      </w:r>
      <w:r>
        <w:t>元</w:t>
      </w:r>
      <w:r>
        <w:rPr>
          <w:rFonts w:hint="eastAsia" w:hAnsi="宋体"/>
          <w:kern w:val="0"/>
          <w:lang w:val="en-US" w:eastAsia="zh-CN"/>
        </w:rPr>
        <w:t>。</w:t>
      </w:r>
      <w:r>
        <w:rPr>
          <w:rFonts w:hint="eastAsia" w:hAnsi="宋体"/>
          <w:kern w:val="0"/>
        </w:rPr>
        <w:t>超过最高限价的报价为无效响应。</w:t>
      </w:r>
    </w:p>
    <w:p>
      <w:pPr>
        <w:pStyle w:val="4"/>
        <w:numPr>
          <w:ilvl w:val="0"/>
          <w:numId w:val="0"/>
        </w:numPr>
        <w:spacing w:before="0" w:after="0" w:line="336" w:lineRule="auto"/>
        <w:jc w:val="left"/>
        <w:rPr>
          <w:rFonts w:ascii="宋体"/>
          <w:b/>
          <w:bCs/>
        </w:rPr>
      </w:pPr>
      <w:r>
        <w:rPr>
          <w:rFonts w:hint="eastAsia"/>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（一）服务地点：资阳市中心医院。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（二）服务期限：1年。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1.接口完成并通过验收后30个工作日内，</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支付合同金额的90%。系统正常运行一年，</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凭借维保台账向</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提出支付申请，采购人在30个工作日内，支付合同金额的10%。</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bookmarkStart w:id="31" w:name="OLE_LINK8"/>
      <w:r>
        <w:rPr>
          <w:rFonts w:hint="eastAsia" w:ascii="宋体" w:hAnsi="宋体"/>
          <w:b/>
          <w:lang w:val="en-US" w:eastAsia="zh-CN"/>
        </w:rPr>
        <w:t>（四）</w:t>
      </w:r>
      <w:bookmarkEnd w:id="31"/>
      <w:r>
        <w:rPr>
          <w:rFonts w:hint="eastAsia" w:ascii="宋体" w:hAnsi="宋体"/>
          <w:b/>
          <w:lang w:val="en-US" w:eastAsia="zh-CN"/>
        </w:rPr>
        <w:t>报价要求：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报价是响应采购项目要求的全部工作内容的价格体现，包含完成本项目所涉及的人员劳务、差旅、设备投入、开发、保险、风险、税金、利润以及采购文件规定的一切费用，包括但不限于在服务期内，供应商技术工程师到达采购人现场的差旅费、住宿费、伙食补助费由成交供应商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2.验收主体：采购人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3.验收时间：接口完成并能够满足服务要求，</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提出验收申请后三个工作日内。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4.验收流程：针对商务条款和技术条款逐条验收。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验收标准：如出现未在采购文件中明确规定的，以行业相关标准为准。如采购双方如对质量要求和技术指标的约定标准有相互抵触或异议的事项，由采购人在采购文件与响应文件中按质量要求和技术指标、行业标准比较优胜的原则确定该项的约定标准进行验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6.验收时成交供应商须提供的资料：服务期间的相关问题处理记录等台账。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（六）人员配置要求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应为本项目提供稳定的服务团队，负责解决系统技术问题、运维项目管理和沟通协调等，能够及时为采购人解决接口相关问题。投标文件必须提供本项目拟定的项目组成员，承诺项目服务期间技术维护人员不得</w:t>
      </w:r>
      <w:r>
        <w:rPr>
          <w:rFonts w:hint="eastAsia" w:ascii="宋体" w:hAnsi="宋体" w:eastAsia="宋体" w:cs="宋体"/>
          <w:b w:val="0"/>
          <w:bCs w:val="0"/>
          <w:color w:val="auto"/>
          <w:sz w:val="21"/>
          <w:szCs w:val="21"/>
          <w:highlight w:val="none"/>
          <w:lang w:val="en-US" w:eastAsia="zh-CN"/>
        </w:rPr>
        <w:t>少于</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lang w:val="en-US" w:eastAsia="zh-CN"/>
        </w:rPr>
        <w:t>同时，根据具体工作情况，合理安排并增加技术维护人员数，以满足医院的实际工作需要。</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自身等原因确需更换技术维护人员，应书面形式（加盖公章）通知采购人，并且技术维护人员应与中标方的投标文件所确定的人员的主要条件（资质、项目从业经验）一致或更优，未得到采购人确认同意的情况下不得调换。采购人有权利要求</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调换不称职的技术维护人。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（七）知识产权归属和处理方式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应保证在本项目使用（包括部分使用）的任何产品和服务时，不会产生因第三方提出侵犯其专利权、商标权或其它知识产权而引起的法律和经济纠纷，如因专利权、商标权或其它知识产权而引起法律和经济纠纷，由</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承担所有相关责任。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2.如采用</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所不拥有的知识产权，则在投标报价中必须包括合法获取该知识产权的相关费用。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3.采购人享有本项目实施过程中产生的相关知识成果及知识产权的永久使用权。合同终止或中止或合同出现争议期间，</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不得设置任何软件登陆密码等方式，限制采购人正常使用。因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单方面限制导致采购人无法使用软件造成院方的损失，均由</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负责及承担。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（八）违约责任与解决争议的方法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采购人与供应商双方必须遵守合同并执行合同中的各项规定，保证合同的正常履行。除合同另有具体约定外，若一方违约，应向对方支付合同总金额的20%的违约金，违约金不足以弥补对方损失的，还应就不是弥补部分进行赔偿。</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3.服务期内，供应商若未按合同约定履行相应服务的，采购人有权向第三方采购相同或类似服务，由此产生的费用采购人有权在未付供应商的款项中予以直接扣除。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采购人下达限期整改通知书要求供应商限期整改，而供应商拒不整改或经两次整改仍达不到采购人要求或合同约定标准的，采购人有权单方解除合同，并要求供应商支付合同总金额20%的违约金，违约金不能弥补采购人损失的，供应商还应就不能弥补部分进行赔偿。</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违约方应赔偿守约方的损失包括但不限于守约方直接损失、对第三方的赔偿责任及因合理维权所产生的诉讼费、仲裁费、律师费、鉴定费、公证费、保全费、执行费等全部费用。供应商违约所产生的违约金，供应商同意采购人在未付款中予以直接扣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6.解决合同纠纷的方式:合同在履行中发生争议，采购人与供应商双方协商解决，协商不成的，任何一方可向采购人所在地的人民法院提起诉讼解决。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（九）培训要求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对医院信息部技术人员进行培训指导，熟悉接口内部设计逻辑、字段等，确保相关系统管理员能够独立处理接口相关问题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（十）保密要求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在任何情况下，</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在服务过程中获取的有关采购人的任何信息均须保密，并采取有效的保密措施和手段，严禁泄露给第三方，否则，除承担违约责任外，还应赔偿由此给采购人造成的一切损失。</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需与</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签署保密协议，确保医院信息网络数据的管理安全。合同的变更、解除或无效，不影响本条款的效力，保密有效期一直有效。</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应自觉维护采购人的利益，严格遵守保密等相关法律法规和采购人规定，不得向任何单位和个人泄露采购人的任何资料信息，不得利用所掌握的信息数据牟取私利，</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须加强保密管理，对</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的参与项目的工作人员开展背景审查、签署保密协议等措施，确保</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及</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参与人员不向第三方公开或披露任何保密信息，不论采购人披露的信息采用直接、间接还是口头或书面等形式，只要涉及到采购人未曾发表、公开或公众的信息，该信息即在的保密范围。</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（1）技术信息：包括涉及采购人信息化建设中的技术信息，包括软件技术、数据、管理文件等；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（2）人事信息：包括涉及采购人的人事档案、薪酬、及考核等人力资源管理信息；</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（3）医院运行信息：包括涉及采购人业务运行的各种信息，医院经营方向、经营决策、定价政策以及内部掌握的合同、协议、项目方案等；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（4）财务信息：包括涉及采购人的各项财务报表、成本及预算报告、员工工资等；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（5）患者信息：包括涉及采购人门诊、住院患者的相关诊疗信息，如患者基本信息、诊疗计划、病历信息、费用信息、处方等；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（6）采购人依照法律、法规或相关协议规定，对外承担保密义务的其他事项。</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2.未经采购人书面批准，</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不得以直接或间接方式向第三方透露采购人相关保密信息，包括本项目的相关文件、技术方案、实施计划等相关信息。</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不得将上述信息进行买卖，谋取不正当利益。</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不得为药品生产、经营企业以及其他人员提供任何形式的医院药品、器械、耗材等使用信息，或各类商业目的的“统方”，不利用工作之便或个人关系为医药营销人员统方提供信息数据便利。</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4.对于采购人向</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提供的系统登录用户名和密码，</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仅用于维护使用，不得擅自做其他用途或泄露给第三方。</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不得利用采购人提供的电脑和网络系统，私自连接外网，发送垃圾邮件、攻击网络和计算机系统，不得私自使用外来移动硬盘、U盘、光盘等移动存储介质，防止计算机病毒传播，危害网络信息安全。</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不得在运行的信息系统上私自开发、挂靠与业务工作无关的软件或系统，不得发布通知或广告。</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有违反保密的情形，无论故意与过失，应当立即停止侵害，并在第一时间采取一切必要措施防止保密信息的扩散，尽最大可能消除影响，并及时通知采购人。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违反保密的规定，应承担由此产生的全部责任，包括但不限于律师代理费、诉讼费、差旅费、材料费、调查费、评估费、鉴定费等一切费用。同时</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应向采购人支付违约金，违约金的具体数额由甲乙双方协商确定。违约金数额并不影响受损害方向违约方要求损害赔偿。该等赔偿以受损害方实际遭受的损失为限。</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8.合同的变更、解除或无效，不影响本条款的效力，保密有效期一直有效。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（十一）安全管理要求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应严格遵守操作规程以及采购人相应的规章制度或规定，加强管理，防火防盗，并对由项目实施过程中因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引起的一切安全事故或劳动纠纷等承担全部责任，且不得因此影响项目进度。</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★三、技术参数要求</w:t>
      </w:r>
    </w:p>
    <w:p>
      <w:pPr>
        <w:pStyle w:val="2"/>
        <w:rPr>
          <w:rFonts w:hint="eastAsia"/>
          <w:lang w:val="en-US" w:eastAsia="zh-CN"/>
        </w:rPr>
      </w:pPr>
      <w:r>
        <w:rPr>
          <w:rFonts w:hint="eastAsia"/>
          <w:lang w:val="en-US" w:eastAsia="zh-CN"/>
        </w:rPr>
        <w:t>包号：01包</w:t>
      </w:r>
    </w:p>
    <w:tbl>
      <w:tblPr>
        <w:tblStyle w:val="28"/>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595"/>
        <w:gridCol w:w="6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功能模块</w:t>
            </w:r>
          </w:p>
        </w:tc>
        <w:tc>
          <w:tcPr>
            <w:tcW w:w="6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数据提取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患者信息</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通过报告时间获取患者所在的病区、床号、住院号（病案号）、传染病诊断；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通过住院号（病案号）获得姓名、性别、身高、体重等基本信息；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通过住院号（病案号）获得患者的转科、出院信息。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医嘱数据</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通过住院号（病案号），医嘱时间获得患者医嘱数据，包括医嘱类型、医嘱名称、用法等。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护理记录</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通过住院号（病案号），记录时间获取患者的护理记录数据，包括体温、呼吸、心率（脉率）、血压、意识、24小时尿量、是否吸氧等。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检验报告</w:t>
            </w:r>
          </w:p>
        </w:tc>
        <w:tc>
          <w:tcPr>
            <w:tcW w:w="6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通过住院号（病案号），报告时间获取患者实验室检查报告，包括血常规、生化、微生物、免疫等检验项目。</w:t>
            </w:r>
          </w:p>
        </w:tc>
      </w:tr>
    </w:tbl>
    <w:p>
      <w:pPr>
        <w:widowControl/>
        <w:jc w:val="left"/>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1.系统保障。确保接口完成后能完全满足上表所例举相关数据提取、各项数据正确，为采购人的相关业务开展提供系统支持。</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2.数据修复。在系统运行过程中，因操作、系统 Bug 因素或者其他不可控的原因造成数据不正常，在采购人确认后进行数据修复，在修复过程中要求采用必要的技术及管理流程以确保数据安全，并将整个修复过程记录备案。</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3.在服务期间，如因成交供应商原因造成医院业务不能正常开展，由此造成的一切可量化损失均由成交供应商承担。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4.接口问题引起的系统故障，成交供应商7*24小时响应，10分钟内应作出实质性响应，如远程20分钟内无法解决，派合格的技术工程师4小时内到达现场进行维护。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5.供应商须指派专人负责与采购人联系售后服务事宜：在成交后签订合同时，提供人员姓名、职务、联系电话（含座机、手机等）。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6.成交供应商在项目实施期间需要提供接口文档、需求规格说明书、用户操作手册、测试报告、数据结构说明书；其中涉及的接口配置等应提供可配置的源代码。</w:t>
      </w: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2" w:name="_Toc173895846"/>
      <w:bookmarkStart w:id="33" w:name="_Toc180296788"/>
      <w:bookmarkStart w:id="34" w:name="_Toc173895658"/>
      <w:bookmarkStart w:id="35" w:name="_Toc211679185"/>
      <w:r>
        <w:rPr>
          <w:rFonts w:hint="eastAsia" w:ascii="宋体" w:hAnsi="宋体" w:cs="宋体"/>
          <w:b/>
          <w:bCs/>
          <w:kern w:val="44"/>
          <w:sz w:val="32"/>
          <w:szCs w:val="32"/>
        </w:rPr>
        <w:t>比选申请文件的相关格式</w:t>
      </w:r>
      <w:bookmarkEnd w:id="32"/>
      <w:bookmarkEnd w:id="33"/>
      <w:bookmarkEnd w:id="34"/>
      <w:r>
        <w:rPr>
          <w:rFonts w:hint="eastAsia" w:ascii="宋体" w:hAnsi="宋体" w:cs="宋体"/>
          <w:b/>
          <w:bCs/>
          <w:kern w:val="44"/>
          <w:sz w:val="32"/>
          <w:szCs w:val="32"/>
        </w:rPr>
        <w:t>及要求</w:t>
      </w:r>
      <w:bookmarkEnd w:id="35"/>
      <w:bookmarkStart w:id="36" w:name="_Toc180296789"/>
      <w:bookmarkStart w:id="37" w:name="_Toc173895659"/>
      <w:bookmarkStart w:id="38" w:name="_Toc211679186"/>
      <w:bookmarkStart w:id="39"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rPr>
      </w:pPr>
      <w:r>
        <w:rPr>
          <w:rFonts w:hint="eastAsia"/>
        </w:rPr>
        <w:t>二、报价一览表</w:t>
      </w:r>
    </w:p>
    <w:p>
      <w:pPr>
        <w:pStyle w:val="16"/>
        <w:spacing w:line="360" w:lineRule="auto"/>
      </w:pPr>
      <w:r>
        <w:rPr>
          <w:rFonts w:hint="eastAsia"/>
        </w:rPr>
        <w:t>包号：01包</w:t>
      </w:r>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9"/>
        <w:gridCol w:w="930"/>
        <w:gridCol w:w="1855"/>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bookmarkStart w:id="40" w:name="OLE_LINK13" w:colFirst="4" w:colLast="4"/>
            <w:bookmarkStart w:id="41" w:name="OLE_LINK17"/>
            <w:r>
              <w:rPr>
                <w:rFonts w:hint="eastAsia" w:ascii="宋体" w:hAnsi="宋体" w:eastAsia="宋体" w:cs="宋体"/>
                <w:b/>
                <w:bCs/>
                <w:color w:val="000000"/>
                <w:kern w:val="0"/>
                <w:sz w:val="20"/>
                <w:szCs w:val="20"/>
                <w:lang w:val="en-US" w:eastAsia="zh-CN" w:bidi="ar"/>
              </w:rPr>
              <w:t>服务内容</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最高限价（元）</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spacing w:after="0" w:line="360" w:lineRule="auto"/>
              <w:ind w:left="0" w:leftChars="0" w:firstLine="0" w:firstLineChars="0"/>
              <w:jc w:val="center"/>
              <w:rPr>
                <w:rFonts w:hint="eastAsia" w:ascii="宋体" w:hAnsi="宋体" w:eastAsia="宋体" w:cs="宋体"/>
                <w:i w:val="0"/>
                <w:iCs w:val="0"/>
                <w:color w:val="auto"/>
                <w:sz w:val="21"/>
                <w:szCs w:val="21"/>
                <w:u w:val="none"/>
              </w:rPr>
            </w:pPr>
            <w:bookmarkStart w:id="42" w:name="OLE_LINK5"/>
            <w:r>
              <w:rPr>
                <w:rFonts w:hint="eastAsia" w:cs="Times New Roman" w:asciiTheme="majorEastAsia" w:hAnsiTheme="majorEastAsia" w:eastAsiaTheme="majorEastAsia"/>
                <w:kern w:val="2"/>
                <w:sz w:val="21"/>
                <w:szCs w:val="21"/>
                <w:lang w:val="en-US" w:eastAsia="zh-CN" w:bidi="ar-SA"/>
              </w:rPr>
              <w:t>资阳市中心医院重症医学远程管理平台与业务系统接口对接服务</w:t>
            </w:r>
            <w:bookmarkEnd w:id="42"/>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项</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35000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bookmarkStart w:id="43" w:name="OLE_LINK19"/>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bookmarkEnd w:id="4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1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宋体" w:hAnsi="宋体" w:cs="宋体" w:eastAsiaTheme="majorEastAsia"/>
                <w:color w:val="000000"/>
                <w:kern w:val="0"/>
                <w:sz w:val="22"/>
                <w:szCs w:val="22"/>
                <w:u w:val="none"/>
                <w:lang w:val="en-US" w:eastAsia="zh-CN" w:bidi="ar"/>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0"/>
      <w:bookmarkEnd w:id="41"/>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6"/>
      <w:bookmarkEnd w:id="37"/>
      <w:bookmarkEnd w:id="38"/>
      <w:bookmarkEnd w:id="39"/>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4" w:name="_Toc518397160"/>
      <w:bookmarkStart w:id="45" w:name="_Toc185047520"/>
      <w:bookmarkStart w:id="46" w:name="_Toc518397109"/>
      <w:r>
        <w:br w:type="page"/>
      </w:r>
      <w:r>
        <w:rPr>
          <w:rFonts w:hint="eastAsia"/>
        </w:rPr>
        <w:t>五、</w:t>
      </w:r>
      <w:bookmarkEnd w:id="44"/>
      <w:bookmarkEnd w:id="45"/>
      <w:bookmarkEnd w:id="4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7" w:name="_Toc361252259"/>
      <w:bookmarkStart w:id="48"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9"/>
        <w:gridCol w:w="930"/>
        <w:gridCol w:w="1855"/>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服务内容</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最高限价（元）</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4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cs="Times New Roman" w:asciiTheme="majorEastAsia" w:hAnsiTheme="majorEastAsia" w:eastAsiaTheme="majorEastAsia"/>
                <w:kern w:val="2"/>
                <w:sz w:val="21"/>
                <w:szCs w:val="21"/>
                <w:lang w:val="en-US" w:eastAsia="zh-CN" w:bidi="ar-SA"/>
              </w:rPr>
              <w:t>资阳市中心医院重症医学远程管理平台与业务系统接口对接服务</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项</w:t>
            </w:r>
          </w:p>
        </w:tc>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35000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1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ascii="宋体" w:hAnsi="宋体" w:cs="宋体" w:eastAsiaTheme="majorEastAsia"/>
                <w:color w:val="000000"/>
                <w:kern w:val="0"/>
                <w:sz w:val="22"/>
                <w:szCs w:val="22"/>
                <w:u w:val="none"/>
                <w:lang w:val="en-US" w:eastAsia="zh-CN" w:bidi="ar"/>
              </w:rPr>
            </w:pPr>
            <w:r>
              <w:rPr>
                <w:rFonts w:hint="eastAsia" w:cs="Times New Roman" w:asciiTheme="majorEastAsia" w:hAnsiTheme="majorEastAsia" w:eastAsiaTheme="majorEastAsia"/>
              </w:rPr>
              <w:t>报价合计（万元）：</w:t>
            </w:r>
            <w:r>
              <w:rPr>
                <w:rFonts w:hint="eastAsia" w:cs="Times New Roman" w:asciiTheme="majorEastAsia" w:hAnsiTheme="majorEastAsia" w:eastAsiaTheme="majorEastAsia"/>
                <w:u w:val="single"/>
              </w:rPr>
              <w:t xml:space="preserve">        </w:t>
            </w:r>
            <w:r>
              <w:rPr>
                <w:rFonts w:cs="Times New Roman" w:asciiTheme="majorEastAsia" w:hAnsiTheme="majorEastAsia" w:eastAsiaTheme="majorEastAsia"/>
                <w:u w:val="single"/>
              </w:rPr>
              <w:t xml:space="preserve">    </w:t>
            </w:r>
            <w:r>
              <w:rPr>
                <w:rFonts w:hint="eastAsia" w:cs="Times New Roman" w:asciiTheme="majorEastAsia" w:hAnsiTheme="majorEastAsia" w:eastAsiaTheme="majorEastAsia"/>
                <w:u w:val="single"/>
              </w:rPr>
              <w:t xml:space="preserve">  </w:t>
            </w:r>
            <w:r>
              <w:rPr>
                <w:rFonts w:hint="eastAsia" w:cs="Times New Roman" w:asciiTheme="majorEastAsia" w:hAnsiTheme="majorEastAsia" w:eastAsiaTheme="majorEastAsia"/>
              </w:rPr>
              <w:t>大写：</w:t>
            </w:r>
            <w:r>
              <w:rPr>
                <w:rFonts w:hint="eastAsia" w:cs="Times New Roman"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rFonts w:ascii="宋体"/>
        </w:rPr>
      </w:pPr>
      <w:r>
        <w:rPr>
          <w:rFonts w:hint="eastAsia"/>
        </w:rPr>
        <w:br w:type="page"/>
      </w:r>
      <w:bookmarkEnd w:id="47"/>
      <w:bookmarkEnd w:id="48"/>
      <w:bookmarkStart w:id="49" w:name="OLE_LINK16"/>
    </w:p>
    <w:bookmarkEnd w:id="49"/>
    <w:p>
      <w:pPr>
        <w:pStyle w:val="2"/>
        <w:rPr>
          <w:lang w:val="en-US" w:eastAsia="zh-CN"/>
        </w:rPr>
      </w:pPr>
    </w:p>
    <w:p>
      <w:pPr>
        <w:pStyle w:val="4"/>
        <w:numPr>
          <w:ilvl w:val="1"/>
          <w:numId w:val="0"/>
        </w:numPr>
        <w:tabs>
          <w:tab w:val="clear" w:pos="2045"/>
          <w:tab w:val="clear" w:pos="3828"/>
        </w:tabs>
        <w:ind w:left="3261"/>
        <w:rPr>
          <w:rFonts w:hint="eastAsia"/>
          <w:bCs w:val="0"/>
          <w:lang w:val="en-US" w:eastAsia="zh-CN"/>
        </w:rPr>
      </w:pPr>
      <w:r>
        <w:rPr>
          <w:rFonts w:hint="eastAsia"/>
          <w:bCs w:val="0"/>
          <w:lang w:val="en-US" w:eastAsia="zh-CN"/>
        </w:rPr>
        <w:t>十、其他材料（如有）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A5844"/>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00712"/>
    <w:rsid w:val="0E651252"/>
    <w:rsid w:val="0E753F5B"/>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D6B97"/>
    <w:rsid w:val="108245D5"/>
    <w:rsid w:val="10944070"/>
    <w:rsid w:val="10B335E5"/>
    <w:rsid w:val="10BC5375"/>
    <w:rsid w:val="10BD20EF"/>
    <w:rsid w:val="10C116E5"/>
    <w:rsid w:val="10CD30DE"/>
    <w:rsid w:val="10E16B8A"/>
    <w:rsid w:val="10E30B54"/>
    <w:rsid w:val="110F1949"/>
    <w:rsid w:val="11390774"/>
    <w:rsid w:val="11595888"/>
    <w:rsid w:val="11603F53"/>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563972"/>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5808E4"/>
    <w:rsid w:val="1B7B0983"/>
    <w:rsid w:val="1B866CAC"/>
    <w:rsid w:val="1B961A0F"/>
    <w:rsid w:val="1B9C004F"/>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B5C18"/>
    <w:rsid w:val="24C83E91"/>
    <w:rsid w:val="24E7641E"/>
    <w:rsid w:val="25162E4E"/>
    <w:rsid w:val="254A62BB"/>
    <w:rsid w:val="2551032A"/>
    <w:rsid w:val="256911D0"/>
    <w:rsid w:val="25733F7D"/>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C54F9"/>
    <w:rsid w:val="28723FD3"/>
    <w:rsid w:val="288B76AF"/>
    <w:rsid w:val="28C46D67"/>
    <w:rsid w:val="28E62B38"/>
    <w:rsid w:val="28F22A1C"/>
    <w:rsid w:val="29025FC5"/>
    <w:rsid w:val="29041902"/>
    <w:rsid w:val="29135897"/>
    <w:rsid w:val="29A0718A"/>
    <w:rsid w:val="29A507F5"/>
    <w:rsid w:val="2A19237C"/>
    <w:rsid w:val="2A2658E2"/>
    <w:rsid w:val="2A46045B"/>
    <w:rsid w:val="2A532A2E"/>
    <w:rsid w:val="2B85488A"/>
    <w:rsid w:val="2BBD4024"/>
    <w:rsid w:val="2BC2163A"/>
    <w:rsid w:val="2BD42700"/>
    <w:rsid w:val="2BF746B3"/>
    <w:rsid w:val="2C216795"/>
    <w:rsid w:val="2C245E51"/>
    <w:rsid w:val="2C267E1B"/>
    <w:rsid w:val="2C4556DD"/>
    <w:rsid w:val="2C7F39CF"/>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95384"/>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8A1232"/>
    <w:rsid w:val="31AA504A"/>
    <w:rsid w:val="31CB3B06"/>
    <w:rsid w:val="31D16A7B"/>
    <w:rsid w:val="31EF6F01"/>
    <w:rsid w:val="31F167D5"/>
    <w:rsid w:val="322E42AD"/>
    <w:rsid w:val="32963820"/>
    <w:rsid w:val="32981347"/>
    <w:rsid w:val="329D4BAF"/>
    <w:rsid w:val="32EB1476"/>
    <w:rsid w:val="32F83B93"/>
    <w:rsid w:val="335812BA"/>
    <w:rsid w:val="336D27D3"/>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773A80"/>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252920"/>
    <w:rsid w:val="3B351F1C"/>
    <w:rsid w:val="3B491430"/>
    <w:rsid w:val="3B876595"/>
    <w:rsid w:val="3BDD601C"/>
    <w:rsid w:val="3C241E9D"/>
    <w:rsid w:val="3C552A24"/>
    <w:rsid w:val="3CB52AF5"/>
    <w:rsid w:val="3CDB07AE"/>
    <w:rsid w:val="3CE2527D"/>
    <w:rsid w:val="3D2F4655"/>
    <w:rsid w:val="3D622C7D"/>
    <w:rsid w:val="3D6D517E"/>
    <w:rsid w:val="3DBB4CCB"/>
    <w:rsid w:val="3E3F4D6C"/>
    <w:rsid w:val="3E877FC2"/>
    <w:rsid w:val="3E8F7AA2"/>
    <w:rsid w:val="3EA044DF"/>
    <w:rsid w:val="3EB166E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1631BE"/>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9A7642"/>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57444A"/>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903F5F"/>
    <w:rsid w:val="570F1328"/>
    <w:rsid w:val="572A6162"/>
    <w:rsid w:val="5745587D"/>
    <w:rsid w:val="57607DD5"/>
    <w:rsid w:val="57673999"/>
    <w:rsid w:val="577720D4"/>
    <w:rsid w:val="57882E88"/>
    <w:rsid w:val="578F1331"/>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01C7A"/>
    <w:rsid w:val="616A72E2"/>
    <w:rsid w:val="61EE4FF2"/>
    <w:rsid w:val="622C6936"/>
    <w:rsid w:val="623E641A"/>
    <w:rsid w:val="625B39D2"/>
    <w:rsid w:val="627D5CDF"/>
    <w:rsid w:val="627E5CE3"/>
    <w:rsid w:val="629B43B7"/>
    <w:rsid w:val="62B4342F"/>
    <w:rsid w:val="62F61991"/>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9658D9"/>
    <w:rsid w:val="69C9180A"/>
    <w:rsid w:val="69EC72A7"/>
    <w:rsid w:val="6A16012B"/>
    <w:rsid w:val="6A1D56B2"/>
    <w:rsid w:val="6A372C18"/>
    <w:rsid w:val="6A671419"/>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2115ECC"/>
    <w:rsid w:val="721F50D4"/>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9D14BE"/>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F9C2D663-9D8C-4690-8BAF-0167C6E22CB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DCD2D1E6-C742-4B86-9CE5-3674E4ADCC7E}">
  <ds:schemaRefs/>
</ds:datastoreItem>
</file>

<file path=customXml/itemProps4.xml><?xml version="1.0" encoding="utf-8"?>
<ds:datastoreItem xmlns:ds="http://schemas.openxmlformats.org/officeDocument/2006/customXml" ds:itemID="{9AA6C34C-2934-4196-9AB4-74964D6C16FF}">
  <ds:schemaRefs/>
</ds:datastoreItem>
</file>

<file path=customXml/itemProps5.xml><?xml version="1.0" encoding="utf-8"?>
<ds:datastoreItem xmlns:ds="http://schemas.openxmlformats.org/officeDocument/2006/customXml" ds:itemID="{BCB7B9A4-5771-4773-B0BF-58A4DB4DC65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D1B86D0A-ABF1-4F19-8099-5C2F0FC74F66}">
  <ds:schemaRefs/>
</ds:datastoreItem>
</file>

<file path=customXml/itemProps9.xml><?xml version="1.0" encoding="utf-8"?>
<ds:datastoreItem xmlns:ds="http://schemas.openxmlformats.org/officeDocument/2006/customXml" ds:itemID="{0627D30F-6F3F-484B-A8DA-AAC31322CCA4}">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72</Lines>
  <Paragraphs>20</Paragraphs>
  <TotalTime>48</TotalTime>
  <ScaleCrop>false</ScaleCrop>
  <LinksUpToDate>false</LinksUpToDate>
  <CharactersWithSpaces>10257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2025-04-01T01:29:00Z</cp:lastPrinted>
  <dcterms:modified xsi:type="dcterms:W3CDTF">2025-04-10T01:28:36Z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