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0"/>
          <w:sz w:val="36"/>
          <w:szCs w:val="36"/>
          <w:u w:val="none"/>
          <w:lang w:val="en-US" w:eastAsia="zh-CN" w:bidi="ar"/>
        </w:rPr>
      </w:pPr>
      <w:r>
        <w:rPr>
          <w:rFonts w:hint="eastAsia" w:ascii="黑体" w:hAnsi="黑体" w:eastAsia="黑体" w:cs="黑体"/>
          <w:i w:val="0"/>
          <w:iCs w:val="0"/>
          <w:color w:val="000000"/>
          <w:kern w:val="0"/>
          <w:sz w:val="36"/>
          <w:szCs w:val="36"/>
          <w:u w:val="none"/>
          <w:lang w:val="en-US" w:eastAsia="zh-CN" w:bidi="ar"/>
        </w:rPr>
        <w:t>资阳市中心医院</w:t>
      </w:r>
      <w:r>
        <w:rPr>
          <w:rFonts w:hint="eastAsia" w:ascii="黑体" w:hAnsi="黑体" w:eastAsia="黑体" w:cs="黑体"/>
          <w:i w:val="0"/>
          <w:iCs w:val="0"/>
          <w:color w:val="000000"/>
          <w:kern w:val="0"/>
          <w:sz w:val="36"/>
          <w:szCs w:val="36"/>
          <w:u w:val="none"/>
          <w:lang w:val="en-US" w:eastAsia="zh-CN" w:bidi="ar"/>
        </w:rPr>
        <w:br w:type="textWrapping"/>
      </w:r>
      <w:r>
        <w:rPr>
          <w:rFonts w:hint="eastAsia" w:ascii="黑体" w:hAnsi="黑体" w:eastAsia="黑体" w:cs="黑体"/>
          <w:i w:val="0"/>
          <w:iCs w:val="0"/>
          <w:color w:val="000000"/>
          <w:kern w:val="0"/>
          <w:sz w:val="36"/>
          <w:szCs w:val="36"/>
          <w:u w:val="none"/>
          <w:lang w:val="en-US" w:eastAsia="zh-CN" w:bidi="ar"/>
        </w:rPr>
        <w:t>住培基地信息化建设</w:t>
      </w:r>
      <w:r>
        <w:rPr>
          <w:rFonts w:hint="eastAsia" w:ascii="黑体" w:hAnsi="黑体" w:eastAsia="黑体" w:cs="黑体"/>
          <w:b w:val="0"/>
          <w:bCs w:val="0"/>
          <w:i w:val="0"/>
          <w:iCs w:val="0"/>
          <w:color w:val="000000"/>
          <w:kern w:val="0"/>
          <w:sz w:val="36"/>
          <w:szCs w:val="36"/>
          <w:u w:val="none"/>
          <w:lang w:val="en-US" w:eastAsia="zh-CN" w:bidi="ar"/>
        </w:rPr>
        <w:t>项目调研公告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p>
    <w:p>
      <w:pPr>
        <w:pStyle w:val="7"/>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因住院医师临床技能培训中心建设需求，现针对 OSCE 考核系统的硬件设施及软件系统开展市场调研工作，公开征集相关资料,欢迎各潜在供应商进行报名，现将有关事宜公告如下：</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color w:val="0000FF"/>
          <w:lang w:val="en-US" w:eastAsia="zh-CN"/>
        </w:rPr>
      </w:pPr>
      <w:r>
        <w:rPr>
          <w:rFonts w:hint="eastAsia" w:ascii="方正黑体简体" w:hAnsi="方正黑体简体" w:eastAsia="方正黑体简体" w:cs="方正黑体简体"/>
          <w:i w:val="0"/>
          <w:iCs w:val="0"/>
          <w:color w:val="000000"/>
          <w:kern w:val="0"/>
          <w:sz w:val="28"/>
          <w:szCs w:val="28"/>
          <w:u w:val="none"/>
          <w:lang w:val="en-US" w:eastAsia="zh-CN" w:bidi="ar"/>
        </w:rPr>
        <w:t>一、项目概述</w:t>
      </w:r>
    </w:p>
    <w:p>
      <w:pPr>
        <w:pStyle w:val="7"/>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（一）</w:t>
      </w:r>
      <w:r>
        <w:rPr>
          <w:rFonts w:hint="eastAsia" w:ascii="仿宋" w:hAnsi="仿宋" w:eastAsia="仿宋" w:cs="仿宋"/>
          <w:i w:val="0"/>
          <w:iCs w:val="0"/>
          <w:color w:val="auto"/>
          <w:sz w:val="28"/>
          <w:szCs w:val="28"/>
          <w:u w:val="none"/>
          <w:lang w:val="en-US" w:eastAsia="zh-CN"/>
        </w:rPr>
        <w:t>建设内容：</w:t>
      </w:r>
    </w:p>
    <w:tbl>
      <w:tblPr>
        <w:tblStyle w:val="15"/>
        <w:tblW w:w="55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2053"/>
        <w:gridCol w:w="6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OSCE考核系统及与之匹配的信息化硬件建设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OSCE考核系统</w:t>
            </w:r>
          </w:p>
        </w:tc>
        <w:tc>
          <w:tcPr>
            <w:tcW w:w="3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能够实现国家要求的客观结构化临床技能考试（OSCE）及相应的培训练习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信息化硬件建设</w:t>
            </w:r>
          </w:p>
        </w:tc>
        <w:tc>
          <w:tcPr>
            <w:tcW w:w="3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能与OSCE考核系统匹配，共同实现OSCE考试信息化</w:t>
            </w:r>
          </w:p>
        </w:tc>
      </w:tr>
    </w:tbl>
    <w:p>
      <w:pPr>
        <w:numPr>
          <w:ilvl w:val="0"/>
          <w:numId w:val="0"/>
        </w:numPr>
        <w:rPr>
          <w:rFonts w:hint="eastAsia"/>
          <w:color w:val="auto"/>
          <w:lang w:val="en-US" w:eastAsia="zh-CN"/>
        </w:rPr>
      </w:pPr>
    </w:p>
    <w:p>
      <w:pPr>
        <w:pStyle w:val="7"/>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（二）功能需求</w:t>
      </w:r>
    </w:p>
    <w:tbl>
      <w:tblPr>
        <w:tblStyle w:val="15"/>
        <w:tblW w:w="9419" w:type="dxa"/>
        <w:tblInd w:w="-451" w:type="dxa"/>
        <w:tblLayout w:type="fixed"/>
        <w:tblCellMar>
          <w:top w:w="0" w:type="dxa"/>
          <w:left w:w="108" w:type="dxa"/>
          <w:bottom w:w="0" w:type="dxa"/>
          <w:right w:w="108" w:type="dxa"/>
        </w:tblCellMar>
      </w:tblPr>
      <w:tblGrid>
        <w:gridCol w:w="989"/>
        <w:gridCol w:w="1762"/>
        <w:gridCol w:w="6668"/>
      </w:tblGrid>
      <w:tr>
        <w:tblPrEx>
          <w:tblCellMar>
            <w:top w:w="0" w:type="dxa"/>
            <w:left w:w="108" w:type="dxa"/>
            <w:bottom w:w="0" w:type="dxa"/>
            <w:right w:w="108" w:type="dxa"/>
          </w:tblCellMar>
        </w:tblPrEx>
        <w:trPr>
          <w:trHeight w:val="324" w:hRule="atLeast"/>
        </w:trPr>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7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功能项</w:t>
            </w:r>
          </w:p>
        </w:tc>
        <w:tc>
          <w:tcPr>
            <w:tcW w:w="66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项目概述</w:t>
            </w:r>
          </w:p>
        </w:tc>
      </w:tr>
      <w:tr>
        <w:tblPrEx>
          <w:tblCellMar>
            <w:top w:w="0" w:type="dxa"/>
            <w:left w:w="108" w:type="dxa"/>
            <w:bottom w:w="0" w:type="dxa"/>
            <w:right w:w="108" w:type="dxa"/>
          </w:tblCellMar>
        </w:tblPrEx>
        <w:trPr>
          <w:trHeight w:val="324" w:hRule="atLeast"/>
        </w:trPr>
        <w:tc>
          <w:tcPr>
            <w:tcW w:w="94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2"/>
                <w:szCs w:val="22"/>
                <w:highlight w:val="none"/>
                <w:lang w:eastAsia="zh-CN"/>
              </w:rPr>
            </w:pPr>
            <w:r>
              <w:rPr>
                <w:rFonts w:hint="eastAsia" w:ascii="宋体" w:hAnsi="宋体" w:eastAsia="宋体" w:cs="宋体"/>
                <w:i w:val="0"/>
                <w:iCs w:val="0"/>
                <w:color w:val="auto"/>
                <w:sz w:val="22"/>
                <w:szCs w:val="22"/>
                <w:u w:val="none"/>
              </w:rPr>
              <w:t>OSCE考核系统</w:t>
            </w:r>
            <w:r>
              <w:rPr>
                <w:rFonts w:hint="eastAsia" w:ascii="宋体" w:hAnsi="宋体" w:eastAsia="宋体" w:cs="宋体"/>
                <w:i w:val="0"/>
                <w:iCs w:val="0"/>
                <w:color w:val="auto"/>
                <w:sz w:val="22"/>
                <w:szCs w:val="22"/>
                <w:u w:val="none"/>
                <w:lang w:eastAsia="zh-CN"/>
              </w:rPr>
              <w:t>（</w:t>
            </w:r>
            <w:r>
              <w:rPr>
                <w:rFonts w:hint="eastAsia" w:ascii="宋体" w:hAnsi="宋体" w:eastAsia="宋体" w:cs="宋体"/>
                <w:i w:val="0"/>
                <w:iCs w:val="0"/>
                <w:color w:val="auto"/>
                <w:sz w:val="22"/>
                <w:szCs w:val="22"/>
                <w:u w:val="none"/>
                <w:lang w:val="en-US" w:eastAsia="zh-CN"/>
              </w:rPr>
              <w:t>应满足但不限于以下功能</w:t>
            </w:r>
            <w:r>
              <w:rPr>
                <w:rFonts w:hint="eastAsia" w:ascii="宋体" w:hAnsi="宋体" w:eastAsia="宋体" w:cs="宋体"/>
                <w:i w:val="0"/>
                <w:iCs w:val="0"/>
                <w:color w:val="auto"/>
                <w:sz w:val="22"/>
                <w:szCs w:val="22"/>
                <w:u w:val="none"/>
                <w:lang w:eastAsia="zh-CN"/>
              </w:rPr>
              <w:t>）</w:t>
            </w:r>
          </w:p>
        </w:tc>
      </w:tr>
      <w:tr>
        <w:tblPrEx>
          <w:tblCellMar>
            <w:top w:w="0" w:type="dxa"/>
            <w:left w:w="108" w:type="dxa"/>
            <w:bottom w:w="0" w:type="dxa"/>
            <w:right w:w="108" w:type="dxa"/>
          </w:tblCellMar>
        </w:tblPrEx>
        <w:trPr>
          <w:trHeight w:val="575" w:hRule="atLeast"/>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sz w:val="22"/>
                <w:szCs w:val="22"/>
              </w:rPr>
              <w:t>技能试题库管理</w:t>
            </w:r>
          </w:p>
        </w:tc>
        <w:tc>
          <w:tcPr>
            <w:tcW w:w="6668"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有一定量的题库，同时支持修改、添加、删除病例功能</w:t>
            </w:r>
          </w:p>
        </w:tc>
      </w:tr>
      <w:tr>
        <w:tblPrEx>
          <w:tblCellMar>
            <w:top w:w="0" w:type="dxa"/>
            <w:left w:w="108" w:type="dxa"/>
            <w:bottom w:w="0" w:type="dxa"/>
            <w:right w:w="108" w:type="dxa"/>
          </w:tblCellMar>
        </w:tblPrEx>
        <w:trPr>
          <w:trHeight w:val="575" w:hRule="atLeast"/>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2</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sz w:val="22"/>
                <w:szCs w:val="22"/>
              </w:rPr>
              <w:t>视频</w:t>
            </w:r>
            <w:r>
              <w:rPr>
                <w:rFonts w:hint="eastAsia"/>
                <w:sz w:val="22"/>
                <w:szCs w:val="22"/>
                <w:lang w:val="en-US" w:eastAsia="zh-CN"/>
              </w:rPr>
              <w:t>学习</w:t>
            </w:r>
            <w:r>
              <w:rPr>
                <w:rFonts w:hint="eastAsia"/>
                <w:sz w:val="22"/>
                <w:szCs w:val="22"/>
              </w:rPr>
              <w:t>资源</w:t>
            </w:r>
          </w:p>
        </w:tc>
        <w:tc>
          <w:tcPr>
            <w:tcW w:w="6668"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kern w:val="0"/>
                <w:sz w:val="22"/>
                <w:szCs w:val="22"/>
                <w:highlight w:val="none"/>
                <w:lang w:val="en-US" w:eastAsia="zh-CN" w:bidi="ar-SA"/>
              </w:rPr>
            </w:pPr>
            <w:r>
              <w:rPr>
                <w:rFonts w:hint="eastAsia"/>
                <w:sz w:val="22"/>
                <w:szCs w:val="22"/>
              </w:rPr>
              <w:t>支持播放视频资料，各角色人员可随时观看学习</w:t>
            </w:r>
          </w:p>
        </w:tc>
      </w:tr>
      <w:tr>
        <w:tblPrEx>
          <w:tblCellMar>
            <w:top w:w="0" w:type="dxa"/>
            <w:left w:w="108" w:type="dxa"/>
            <w:bottom w:w="0" w:type="dxa"/>
            <w:right w:w="108" w:type="dxa"/>
          </w:tblCellMar>
        </w:tblPrEx>
        <w:trPr>
          <w:trHeight w:val="639" w:hRule="atLeast"/>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3</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sz w:val="22"/>
                <w:szCs w:val="22"/>
              </w:rPr>
              <w:t>考核视频资源管理</w:t>
            </w:r>
          </w:p>
        </w:tc>
        <w:tc>
          <w:tcPr>
            <w:tcW w:w="6668" w:type="dxa"/>
            <w:tcBorders>
              <w:top w:val="nil"/>
              <w:left w:val="nil"/>
              <w:bottom w:val="single" w:color="auto" w:sz="4" w:space="0"/>
              <w:right w:val="single" w:color="auto" w:sz="4" w:space="0"/>
            </w:tcBorders>
            <w:shd w:val="clear" w:color="auto" w:fill="auto"/>
            <w:vAlign w:val="center"/>
          </w:tcPr>
          <w:p>
            <w:pPr>
              <w:rPr>
                <w:rFonts w:hint="eastAsia"/>
                <w:sz w:val="22"/>
                <w:szCs w:val="22"/>
              </w:rPr>
            </w:pPr>
            <w:r>
              <w:rPr>
                <w:rFonts w:hint="eastAsia"/>
                <w:sz w:val="22"/>
                <w:szCs w:val="22"/>
              </w:rPr>
              <w:t>1）支持查询考生的考试视频，</w:t>
            </w:r>
          </w:p>
          <w:p>
            <w:pPr>
              <w:rPr>
                <w:rFonts w:hint="default" w:ascii="宋体" w:hAnsi="宋体" w:eastAsia="宋体" w:cs="宋体"/>
                <w:color w:val="auto"/>
                <w:kern w:val="0"/>
                <w:sz w:val="22"/>
                <w:szCs w:val="22"/>
                <w:highlight w:val="none"/>
                <w:lang w:val="en-US" w:eastAsia="zh-CN"/>
              </w:rPr>
            </w:pPr>
            <w:r>
              <w:rPr>
                <w:rFonts w:hint="eastAsia"/>
                <w:sz w:val="22"/>
                <w:szCs w:val="22"/>
              </w:rPr>
              <w:t>2）支持管理教师对考核视频中指定的时间点设置评语和标记图标；</w:t>
            </w:r>
          </w:p>
        </w:tc>
      </w:tr>
      <w:tr>
        <w:tblPrEx>
          <w:tblCellMar>
            <w:top w:w="0" w:type="dxa"/>
            <w:left w:w="108" w:type="dxa"/>
            <w:bottom w:w="0" w:type="dxa"/>
            <w:right w:w="108" w:type="dxa"/>
          </w:tblCellMar>
        </w:tblPrEx>
        <w:trPr>
          <w:trHeight w:val="1269" w:hRule="atLeast"/>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4</w:t>
            </w:r>
          </w:p>
        </w:tc>
        <w:tc>
          <w:tcPr>
            <w:tcW w:w="1762" w:type="dxa"/>
            <w:tcBorders>
              <w:top w:val="nil"/>
              <w:left w:val="nil"/>
              <w:bottom w:val="single" w:color="auto" w:sz="4" w:space="0"/>
              <w:right w:val="single" w:color="auto" w:sz="4" w:space="0"/>
            </w:tcBorders>
            <w:shd w:val="clear" w:color="auto" w:fill="auto"/>
            <w:vAlign w:val="center"/>
          </w:tcPr>
          <w:p>
            <w:pPr>
              <w:rPr>
                <w:rFonts w:hint="eastAsia"/>
                <w:sz w:val="22"/>
                <w:szCs w:val="22"/>
              </w:rPr>
            </w:pPr>
            <w:r>
              <w:rPr>
                <w:rFonts w:hint="eastAsia"/>
                <w:sz w:val="22"/>
                <w:szCs w:val="22"/>
              </w:rPr>
              <w:t>技能考试系统</w:t>
            </w:r>
          </w:p>
          <w:p>
            <w:pPr>
              <w:widowControl/>
              <w:jc w:val="center"/>
              <w:rPr>
                <w:rFonts w:hint="eastAsia" w:ascii="宋体" w:hAnsi="宋体" w:eastAsia="宋体" w:cs="宋体"/>
                <w:color w:val="auto"/>
                <w:kern w:val="0"/>
                <w:sz w:val="22"/>
                <w:szCs w:val="22"/>
                <w:highlight w:val="none"/>
              </w:rPr>
            </w:pPr>
          </w:p>
        </w:tc>
        <w:tc>
          <w:tcPr>
            <w:tcW w:w="66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eastAsiaTheme="minorEastAsia"/>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1）可添加考试、培训；2）导入评分规则；3）导入考生、考官信息；4）自动排考；5）</w:t>
            </w:r>
            <w:r>
              <w:rPr>
                <w:rFonts w:hint="eastAsia"/>
                <w:sz w:val="22"/>
                <w:szCs w:val="22"/>
              </w:rPr>
              <w:t>考生刷身份证、人脸、指纹或者准考证二维码</w:t>
            </w:r>
            <w:r>
              <w:rPr>
                <w:rFonts w:hint="eastAsia"/>
                <w:sz w:val="22"/>
                <w:szCs w:val="22"/>
                <w:lang w:val="en-US" w:eastAsia="zh-CN"/>
              </w:rPr>
              <w:t>等方式</w:t>
            </w:r>
            <w:r>
              <w:rPr>
                <w:rFonts w:hint="eastAsia"/>
                <w:sz w:val="22"/>
                <w:szCs w:val="22"/>
              </w:rPr>
              <w:t>签到</w:t>
            </w:r>
            <w:r>
              <w:rPr>
                <w:rFonts w:hint="eastAsia"/>
                <w:sz w:val="22"/>
                <w:szCs w:val="22"/>
                <w:lang w:eastAsia="zh-CN"/>
              </w:rPr>
              <w:t>，</w:t>
            </w:r>
            <w:r>
              <w:rPr>
                <w:rFonts w:hint="eastAsia"/>
                <w:sz w:val="22"/>
                <w:szCs w:val="22"/>
                <w:lang w:val="en-US" w:eastAsia="zh-CN"/>
              </w:rPr>
              <w:t>可查看、导出签到记录。6</w:t>
            </w:r>
            <w:r>
              <w:rPr>
                <w:rFonts w:hint="eastAsia" w:ascii="宋体" w:hAnsi="宋体" w:eastAsia="宋体" w:cs="宋体"/>
                <w:color w:val="auto"/>
                <w:kern w:val="0"/>
                <w:sz w:val="22"/>
                <w:szCs w:val="22"/>
                <w:highlight w:val="none"/>
                <w:lang w:val="en-US" w:eastAsia="zh-CN"/>
              </w:rPr>
              <w:t>）支持考官在线评分；7）考官远程在线评分；8）</w:t>
            </w:r>
            <w:r>
              <w:rPr>
                <w:rFonts w:hint="eastAsia"/>
                <w:sz w:val="22"/>
                <w:szCs w:val="22"/>
              </w:rPr>
              <w:t>自动统计</w:t>
            </w:r>
            <w:r>
              <w:rPr>
                <w:rFonts w:hint="eastAsia"/>
                <w:sz w:val="22"/>
                <w:szCs w:val="22"/>
                <w:lang w:eastAsia="zh-CN"/>
              </w:rPr>
              <w:t>、</w:t>
            </w:r>
            <w:r>
              <w:rPr>
                <w:rFonts w:hint="eastAsia"/>
                <w:sz w:val="22"/>
                <w:szCs w:val="22"/>
                <w:lang w:val="en-US" w:eastAsia="zh-CN"/>
              </w:rPr>
              <w:t>分析</w:t>
            </w:r>
            <w:r>
              <w:rPr>
                <w:rFonts w:hint="eastAsia"/>
                <w:sz w:val="22"/>
                <w:szCs w:val="22"/>
              </w:rPr>
              <w:t>考生成绩；</w:t>
            </w:r>
            <w:r>
              <w:rPr>
                <w:rFonts w:hint="eastAsia"/>
                <w:sz w:val="22"/>
                <w:szCs w:val="22"/>
                <w:lang w:val="en-US" w:eastAsia="zh-CN"/>
              </w:rPr>
              <w:t>9）考官填写</w:t>
            </w:r>
            <w:r>
              <w:rPr>
                <w:rFonts w:hint="eastAsia"/>
                <w:sz w:val="22"/>
                <w:szCs w:val="22"/>
              </w:rPr>
              <w:t>考核反馈</w:t>
            </w:r>
            <w:r>
              <w:rPr>
                <w:rFonts w:hint="eastAsia"/>
                <w:sz w:val="22"/>
                <w:szCs w:val="22"/>
                <w:lang w:eastAsia="zh-CN"/>
              </w:rPr>
              <w:t>；</w:t>
            </w:r>
          </w:p>
        </w:tc>
      </w:tr>
      <w:tr>
        <w:tblPrEx>
          <w:tblCellMar>
            <w:top w:w="0" w:type="dxa"/>
            <w:left w:w="108" w:type="dxa"/>
            <w:bottom w:w="0" w:type="dxa"/>
            <w:right w:w="108" w:type="dxa"/>
          </w:tblCellMar>
        </w:tblPrEx>
        <w:trPr>
          <w:trHeight w:val="324" w:hRule="atLeast"/>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5</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培训模式</w:t>
            </w:r>
          </w:p>
        </w:tc>
        <w:tc>
          <w:tcPr>
            <w:tcW w:w="6668"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学员可预约培训项目及教室，并有物资准备提醒</w:t>
            </w:r>
          </w:p>
        </w:tc>
      </w:tr>
      <w:tr>
        <w:tblPrEx>
          <w:tblCellMar>
            <w:top w:w="0" w:type="dxa"/>
            <w:left w:w="108" w:type="dxa"/>
            <w:bottom w:w="0" w:type="dxa"/>
            <w:right w:w="108" w:type="dxa"/>
          </w:tblCellMar>
        </w:tblPrEx>
        <w:trPr>
          <w:trHeight w:val="324" w:hRule="atLeast"/>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6</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中央总控系统</w:t>
            </w:r>
          </w:p>
        </w:tc>
        <w:tc>
          <w:tcPr>
            <w:tcW w:w="66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2"/>
                <w:szCs w:val="22"/>
                <w:highlight w:val="none"/>
              </w:rPr>
            </w:pPr>
            <w:r>
              <w:rPr>
                <w:rFonts w:hint="eastAsia"/>
                <w:sz w:val="22"/>
                <w:szCs w:val="22"/>
              </w:rPr>
              <w:t>中央总控系统可以监控整个考试情况</w:t>
            </w:r>
          </w:p>
        </w:tc>
      </w:tr>
      <w:tr>
        <w:tblPrEx>
          <w:tblCellMar>
            <w:top w:w="0" w:type="dxa"/>
            <w:left w:w="108" w:type="dxa"/>
            <w:bottom w:w="0" w:type="dxa"/>
            <w:right w:w="108" w:type="dxa"/>
          </w:tblCellMar>
        </w:tblPrEx>
        <w:trPr>
          <w:trHeight w:val="639" w:hRule="atLeast"/>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7</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sz w:val="22"/>
                <w:szCs w:val="22"/>
              </w:rPr>
              <w:t>候考信息展示系统</w:t>
            </w:r>
          </w:p>
        </w:tc>
        <w:tc>
          <w:tcPr>
            <w:tcW w:w="66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2"/>
                <w:szCs w:val="22"/>
                <w:highlight w:val="none"/>
              </w:rPr>
            </w:pPr>
            <w:r>
              <w:rPr>
                <w:rFonts w:hint="eastAsia"/>
                <w:sz w:val="22"/>
                <w:szCs w:val="22"/>
                <w:lang w:val="en-US" w:eastAsia="zh-CN"/>
              </w:rPr>
              <w:t>1）</w:t>
            </w:r>
            <w:r>
              <w:rPr>
                <w:rFonts w:hint="eastAsia"/>
                <w:sz w:val="22"/>
                <w:szCs w:val="22"/>
              </w:rPr>
              <w:t>显示考生信息</w:t>
            </w:r>
            <w:r>
              <w:rPr>
                <w:rFonts w:hint="eastAsia"/>
                <w:sz w:val="22"/>
                <w:szCs w:val="22"/>
                <w:lang w:eastAsia="zh-CN"/>
              </w:rPr>
              <w:t>、</w:t>
            </w:r>
            <w:r>
              <w:rPr>
                <w:rFonts w:hint="eastAsia"/>
                <w:sz w:val="22"/>
                <w:szCs w:val="22"/>
                <w:lang w:val="en-US" w:eastAsia="zh-CN"/>
              </w:rPr>
              <w:t>状态（待考、正在考、已考）</w:t>
            </w:r>
            <w:r>
              <w:rPr>
                <w:rFonts w:hint="eastAsia"/>
                <w:sz w:val="22"/>
                <w:szCs w:val="22"/>
                <w:lang w:eastAsia="zh-CN"/>
              </w:rPr>
              <w:t>；</w:t>
            </w:r>
            <w:r>
              <w:rPr>
                <w:rFonts w:hint="eastAsia"/>
                <w:sz w:val="22"/>
                <w:szCs w:val="22"/>
                <w:lang w:val="en-US" w:eastAsia="zh-CN"/>
              </w:rPr>
              <w:t>2）</w:t>
            </w:r>
            <w:r>
              <w:rPr>
                <w:rFonts w:hint="eastAsia"/>
                <w:sz w:val="22"/>
                <w:szCs w:val="22"/>
              </w:rPr>
              <w:t>能引导学员进站考试，引导到</w:t>
            </w:r>
            <w:r>
              <w:rPr>
                <w:rFonts w:hint="eastAsia"/>
                <w:sz w:val="22"/>
                <w:szCs w:val="22"/>
                <w:lang w:val="en-US" w:eastAsia="zh-CN"/>
              </w:rPr>
              <w:t>某具体考站</w:t>
            </w:r>
            <w:r>
              <w:rPr>
                <w:rFonts w:hint="eastAsia"/>
                <w:sz w:val="22"/>
                <w:szCs w:val="22"/>
              </w:rPr>
              <w:t>；</w:t>
            </w:r>
          </w:p>
        </w:tc>
      </w:tr>
      <w:tr>
        <w:tblPrEx>
          <w:tblCellMar>
            <w:top w:w="0" w:type="dxa"/>
            <w:left w:w="108" w:type="dxa"/>
            <w:bottom w:w="0" w:type="dxa"/>
            <w:right w:w="108" w:type="dxa"/>
          </w:tblCellMar>
        </w:tblPrEx>
        <w:trPr>
          <w:trHeight w:val="1139" w:hRule="atLeast"/>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8</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sz w:val="22"/>
                <w:szCs w:val="22"/>
              </w:rPr>
              <w:t>考站外信息展示系统</w:t>
            </w:r>
          </w:p>
        </w:tc>
        <w:tc>
          <w:tcPr>
            <w:tcW w:w="66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2"/>
                <w:szCs w:val="22"/>
                <w:highlight w:val="none"/>
              </w:rPr>
            </w:pPr>
            <w:r>
              <w:rPr>
                <w:rFonts w:hint="eastAsia"/>
                <w:sz w:val="22"/>
                <w:szCs w:val="22"/>
              </w:rPr>
              <w:t>支持显示考生照片、考生姓名、学号（考号）</w:t>
            </w:r>
            <w:r>
              <w:rPr>
                <w:rFonts w:hint="eastAsia"/>
                <w:sz w:val="22"/>
                <w:szCs w:val="22"/>
                <w:lang w:eastAsia="zh-CN"/>
              </w:rPr>
              <w:t>，</w:t>
            </w:r>
            <w:r>
              <w:rPr>
                <w:rFonts w:hint="eastAsia"/>
                <w:sz w:val="22"/>
                <w:szCs w:val="22"/>
              </w:rPr>
              <w:t>方便考官对考生信息的检查</w:t>
            </w:r>
          </w:p>
        </w:tc>
      </w:tr>
      <w:tr>
        <w:tblPrEx>
          <w:tblCellMar>
            <w:top w:w="0" w:type="dxa"/>
            <w:left w:w="108" w:type="dxa"/>
            <w:bottom w:w="0" w:type="dxa"/>
            <w:right w:w="108" w:type="dxa"/>
          </w:tblCellMar>
        </w:tblPrEx>
        <w:trPr>
          <w:trHeight w:val="857" w:hRule="atLeast"/>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9</w:t>
            </w:r>
          </w:p>
        </w:tc>
        <w:tc>
          <w:tcPr>
            <w:tcW w:w="1762" w:type="dxa"/>
            <w:tcBorders>
              <w:top w:val="nil"/>
              <w:left w:val="nil"/>
              <w:bottom w:val="single" w:color="auto" w:sz="4" w:space="0"/>
              <w:right w:val="single" w:color="auto" w:sz="4" w:space="0"/>
            </w:tcBorders>
            <w:shd w:val="clear" w:color="auto" w:fill="auto"/>
            <w:vAlign w:val="center"/>
          </w:tcPr>
          <w:p>
            <w:pPr>
              <w:rPr>
                <w:rFonts w:hint="eastAsia"/>
                <w:sz w:val="22"/>
                <w:szCs w:val="22"/>
              </w:rPr>
            </w:pPr>
            <w:r>
              <w:rPr>
                <w:rFonts w:hint="eastAsia"/>
                <w:sz w:val="22"/>
                <w:szCs w:val="22"/>
              </w:rPr>
              <w:t>考站内辅助系统</w:t>
            </w:r>
          </w:p>
          <w:p>
            <w:pPr>
              <w:widowControl/>
              <w:jc w:val="center"/>
              <w:rPr>
                <w:rFonts w:hint="eastAsia" w:ascii="宋体" w:hAnsi="宋体" w:eastAsia="宋体" w:cs="宋体"/>
                <w:color w:val="auto"/>
                <w:kern w:val="0"/>
                <w:sz w:val="22"/>
                <w:szCs w:val="22"/>
                <w:highlight w:val="none"/>
              </w:rPr>
            </w:pPr>
          </w:p>
        </w:tc>
        <w:tc>
          <w:tcPr>
            <w:tcW w:w="6668"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2"/>
                <w:szCs w:val="22"/>
              </w:rPr>
            </w:pPr>
            <w:r>
              <w:rPr>
                <w:rFonts w:hint="eastAsia"/>
                <w:sz w:val="22"/>
                <w:szCs w:val="22"/>
                <w:lang w:val="en-US" w:eastAsia="zh-CN"/>
              </w:rPr>
              <w:t>1）</w:t>
            </w:r>
            <w:r>
              <w:rPr>
                <w:rFonts w:hint="eastAsia"/>
                <w:sz w:val="22"/>
                <w:szCs w:val="22"/>
              </w:rPr>
              <w:t>支持显示</w:t>
            </w:r>
            <w:r>
              <w:rPr>
                <w:rFonts w:hint="eastAsia" w:asciiTheme="minorEastAsia" w:hAnsiTheme="minorEastAsia" w:eastAsiaTheme="minorEastAsia" w:cstheme="minorEastAsia"/>
                <w:sz w:val="22"/>
                <w:szCs w:val="22"/>
              </w:rPr>
              <w:t>考生照片、考生姓名、考试时长、剩余时长和下一个考站；</w:t>
            </w:r>
          </w:p>
          <w:p>
            <w:pPr>
              <w:widowControl/>
              <w:jc w:val="left"/>
              <w:rPr>
                <w:rFonts w:hint="eastAsia" w:ascii="宋体" w:hAnsi="宋体" w:eastAsia="宋体" w:cs="宋体"/>
                <w:color w:val="auto"/>
                <w:kern w:val="0"/>
                <w:sz w:val="22"/>
                <w:szCs w:val="22"/>
                <w:highlight w:val="none"/>
                <w:lang w:eastAsia="zh-CN"/>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）支持显示考试病例，</w:t>
            </w:r>
          </w:p>
        </w:tc>
      </w:tr>
      <w:tr>
        <w:tblPrEx>
          <w:tblCellMar>
            <w:top w:w="0" w:type="dxa"/>
            <w:left w:w="108" w:type="dxa"/>
            <w:bottom w:w="0" w:type="dxa"/>
            <w:right w:w="108" w:type="dxa"/>
          </w:tblCellMar>
        </w:tblPrEx>
        <w:trPr>
          <w:trHeight w:val="90" w:hRule="atLeast"/>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sz w:val="22"/>
                <w:szCs w:val="22"/>
              </w:rPr>
              <w:t>成绩管理</w:t>
            </w:r>
          </w:p>
        </w:tc>
        <w:tc>
          <w:tcPr>
            <w:tcW w:w="6668"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可根据条件查询所有考生的考试成绩</w:t>
            </w:r>
          </w:p>
        </w:tc>
      </w:tr>
      <w:tr>
        <w:tblPrEx>
          <w:tblCellMar>
            <w:top w:w="0" w:type="dxa"/>
            <w:left w:w="108" w:type="dxa"/>
            <w:bottom w:w="0" w:type="dxa"/>
            <w:right w:w="108" w:type="dxa"/>
          </w:tblCellMar>
        </w:tblPrEx>
        <w:trPr>
          <w:trHeight w:val="324" w:hRule="atLeast"/>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11</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hint="default" w:eastAsiaTheme="minorEastAsia"/>
                <w:sz w:val="22"/>
                <w:szCs w:val="22"/>
                <w:lang w:val="en-US" w:eastAsia="zh-CN"/>
              </w:rPr>
            </w:pPr>
            <w:r>
              <w:rPr>
                <w:rFonts w:hint="eastAsia"/>
                <w:sz w:val="22"/>
                <w:szCs w:val="22"/>
                <w:lang w:val="en-US" w:eastAsia="zh-CN"/>
              </w:rPr>
              <w:t>移动端</w:t>
            </w:r>
          </w:p>
        </w:tc>
        <w:tc>
          <w:tcPr>
            <w:tcW w:w="666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1）支持与 PC 端管理系统双向同步（如考官评分后，PC 端实时更新考生成绩汇总表），确保多端数据一致性。</w:t>
            </w:r>
          </w:p>
          <w:p>
            <w:pPr>
              <w:widowControl/>
              <w:jc w:val="left"/>
              <w:rPr>
                <w:rFonts w:hint="eastAsia"/>
                <w:lang w:val="en-US" w:eastAsia="zh-CN"/>
              </w:rPr>
            </w:pPr>
            <w:r>
              <w:rPr>
                <w:rFonts w:hint="eastAsia" w:ascii="宋体" w:hAnsi="宋体" w:eastAsia="宋体" w:cs="宋体"/>
                <w:color w:val="auto"/>
                <w:kern w:val="0"/>
                <w:sz w:val="22"/>
                <w:szCs w:val="22"/>
                <w:highlight w:val="none"/>
                <w:lang w:val="en-US" w:eastAsia="zh-CN"/>
              </w:rPr>
              <w:t>2）跨平台适配</w:t>
            </w:r>
          </w:p>
        </w:tc>
      </w:tr>
      <w:tr>
        <w:tblPrEx>
          <w:tblCellMar>
            <w:top w:w="0" w:type="dxa"/>
            <w:left w:w="108" w:type="dxa"/>
            <w:bottom w:w="0" w:type="dxa"/>
            <w:right w:w="108" w:type="dxa"/>
          </w:tblCellMar>
        </w:tblPrEx>
        <w:trPr>
          <w:trHeight w:val="332" w:hRule="atLeast"/>
        </w:trPr>
        <w:tc>
          <w:tcPr>
            <w:tcW w:w="9419"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szCs w:val="22"/>
                <w:highlight w:val="none"/>
              </w:rPr>
            </w:pPr>
            <w:r>
              <w:rPr>
                <w:rFonts w:hint="eastAsia" w:ascii="宋体" w:hAnsi="宋体" w:eastAsia="宋体" w:cs="宋体"/>
                <w:i w:val="0"/>
                <w:iCs w:val="0"/>
                <w:color w:val="auto"/>
                <w:sz w:val="22"/>
                <w:szCs w:val="22"/>
                <w:u w:val="none"/>
              </w:rPr>
              <w:t>信息化硬件建设</w:t>
            </w:r>
            <w:r>
              <w:rPr>
                <w:rFonts w:hint="eastAsia" w:ascii="宋体" w:hAnsi="宋体" w:eastAsia="宋体" w:cs="宋体"/>
                <w:i w:val="0"/>
                <w:iCs w:val="0"/>
                <w:color w:val="auto"/>
                <w:sz w:val="22"/>
                <w:szCs w:val="22"/>
                <w:u w:val="none"/>
                <w:lang w:eastAsia="zh-CN"/>
              </w:rPr>
              <w:t>（</w:t>
            </w:r>
            <w:r>
              <w:rPr>
                <w:rFonts w:hint="eastAsia" w:ascii="宋体" w:hAnsi="宋体" w:eastAsia="宋体" w:cs="宋体"/>
                <w:i w:val="0"/>
                <w:iCs w:val="0"/>
                <w:color w:val="auto"/>
                <w:sz w:val="22"/>
                <w:szCs w:val="22"/>
                <w:u w:val="none"/>
                <w:lang w:val="en-US" w:eastAsia="zh-CN"/>
              </w:rPr>
              <w:t>应满足但不限于以下需求</w:t>
            </w:r>
            <w:r>
              <w:rPr>
                <w:rFonts w:hint="eastAsia" w:ascii="宋体" w:hAnsi="宋体" w:eastAsia="宋体" w:cs="宋体"/>
                <w:i w:val="0"/>
                <w:iCs w:val="0"/>
                <w:color w:val="auto"/>
                <w:sz w:val="22"/>
                <w:szCs w:val="22"/>
                <w:u w:val="none"/>
                <w:lang w:eastAsia="zh-CN"/>
              </w:rPr>
              <w:t>）</w:t>
            </w:r>
          </w:p>
        </w:tc>
      </w:tr>
      <w:tr>
        <w:tblPrEx>
          <w:tblCellMar>
            <w:top w:w="0" w:type="dxa"/>
            <w:left w:w="108" w:type="dxa"/>
            <w:bottom w:w="0" w:type="dxa"/>
            <w:right w:w="108" w:type="dxa"/>
          </w:tblCellMar>
        </w:tblPrEx>
        <w:trPr>
          <w:trHeight w:val="569" w:hRule="atLeast"/>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考场</w:t>
            </w:r>
          </w:p>
        </w:tc>
        <w:tc>
          <w:tcPr>
            <w:tcW w:w="6668"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一共12个考场</w:t>
            </w:r>
          </w:p>
        </w:tc>
      </w:tr>
      <w:tr>
        <w:tblPrEx>
          <w:tblCellMar>
            <w:top w:w="0" w:type="dxa"/>
            <w:left w:w="108" w:type="dxa"/>
            <w:bottom w:w="0" w:type="dxa"/>
            <w:right w:w="108" w:type="dxa"/>
          </w:tblCellMar>
        </w:tblPrEx>
        <w:trPr>
          <w:trHeight w:val="334" w:hRule="atLeast"/>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配套硬件</w:t>
            </w:r>
          </w:p>
        </w:tc>
        <w:tc>
          <w:tcPr>
            <w:tcW w:w="6668" w:type="dxa"/>
            <w:tcBorders>
              <w:top w:val="nil"/>
              <w:left w:val="nil"/>
              <w:bottom w:val="single" w:color="auto" w:sz="4" w:space="0"/>
              <w:right w:val="single" w:color="auto" w:sz="4" w:space="0"/>
            </w:tcBorders>
            <w:shd w:val="clear" w:color="auto" w:fill="auto"/>
            <w:vAlign w:val="center"/>
          </w:tcPr>
          <w:p>
            <w:pPr>
              <w:rPr>
                <w:rFonts w:hint="default"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1.考务系统搭建</w:t>
            </w:r>
          </w:p>
          <w:p>
            <w:pPr>
              <w:rPr>
                <w:rFonts w:hint="default"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1)建设要求：基于搭建的网络系统，结合临床技能中心的考站设备，搭建服务于临床技能中心的专用考务系统，实现全过程软硬件结合信息化管控的智能化考核，满足考试全程自动化录制、自动叫号等需求。</w:t>
            </w:r>
          </w:p>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2)主要配置：包含考题平板电脑等设备，可满足与智能化管理软件的对接需求。</w:t>
            </w:r>
          </w:p>
          <w:p>
            <w:pPr>
              <w:rPr>
                <w:rFonts w:hint="default"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2.网络系统</w:t>
            </w:r>
          </w:p>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1)建设要求：基于院方当前的网络条件，搭建服务于临床技能中心管理的专用网络系统，满足临床技能中心智能化管理的各项要求。</w:t>
            </w:r>
          </w:p>
          <w:p>
            <w:pP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2)主要配置：网络通讯设备、无线AP等设备，可满足与智能化管理软件的对接需求。</w:t>
            </w:r>
          </w:p>
          <w:p>
            <w:pPr>
              <w:rPr>
                <w:rFonts w:hint="default"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3.监控系统搭建</w:t>
            </w:r>
          </w:p>
          <w:p>
            <w:pPr>
              <w:rPr>
                <w:rFonts w:hint="default"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1)建设要求：基于上述搭建的网络系统，结合临床技能中心监控设备，搭建服务于临床技能中心的专用监控系统，满足其日常监控、考核监控等需求。</w:t>
            </w:r>
          </w:p>
          <w:p>
            <w:pPr>
              <w:rPr>
                <w:rFonts w:hint="default"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2)主要配置：包含监控摄像机、特写摄像机、中控大屏等设备，可满足与智能化管理软件的对接需求。</w:t>
            </w:r>
          </w:p>
          <w:p>
            <w:pPr>
              <w:rPr>
                <w:rFonts w:hint="default"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4.音频系统搭建</w:t>
            </w:r>
          </w:p>
          <w:p>
            <w:pPr>
              <w:rPr>
                <w:rFonts w:hint="default"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1)建设要求：基于上述搭建的网络系统，结合临床技能中心的音频设备，搭建专用的音频系统，实现临床技能中心音频设备的全覆盖，满足临床技能中心多终端通话及广播等需求。</w:t>
            </w:r>
          </w:p>
          <w:p>
            <w:pPr>
              <w:rPr>
                <w:rFonts w:hint="default" w:ascii="宋体" w:hAnsi="宋体" w:eastAsia="宋体" w:cs="宋体"/>
                <w:color w:val="auto"/>
                <w:kern w:val="0"/>
                <w:sz w:val="22"/>
                <w:szCs w:val="22"/>
                <w:highlight w:val="none"/>
                <w:lang w:val="en-US" w:eastAsia="zh-CN"/>
              </w:rPr>
            </w:pPr>
            <w:r>
              <w:rPr>
                <w:rFonts w:hint="eastAsia" w:asciiTheme="minorEastAsia" w:hAnsiTheme="minorEastAsia" w:eastAsiaTheme="minorEastAsia" w:cstheme="minorEastAsia"/>
                <w:sz w:val="22"/>
                <w:szCs w:val="22"/>
              </w:rPr>
              <w:t>2)主要配置：包含音箱、话筒等设备，可满足与智能化管理软件的对接需求。</w:t>
            </w:r>
          </w:p>
        </w:tc>
      </w:tr>
    </w:tbl>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eastAsia" w:ascii="仿宋" w:hAnsi="仿宋" w:eastAsia="仿宋" w:cs="仿宋"/>
          <w:i w:val="0"/>
          <w:iCs w:val="0"/>
          <w:color w:val="0000FF"/>
          <w:kern w:val="2"/>
          <w:sz w:val="28"/>
          <w:szCs w:val="28"/>
          <w:u w:val="none"/>
          <w:lang w:val="en-US" w:eastAsia="zh-CN" w:bidi="zh-CN"/>
        </w:rPr>
      </w:pPr>
    </w:p>
    <w:p>
      <w:pPr>
        <w:keepNext w:val="0"/>
        <w:keepLines w:val="0"/>
        <w:pageBreakBefore w:val="0"/>
        <w:numPr>
          <w:ilvl w:val="0"/>
          <w:numId w:val="1"/>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项目要求</w:t>
      </w:r>
    </w:p>
    <w:p>
      <w:pPr>
        <w:pStyle w:val="2"/>
        <w:widowControl w:val="0"/>
        <w:numPr>
          <w:ilvl w:val="0"/>
          <w:numId w:val="0"/>
        </w:numPr>
        <w:autoSpaceDE w:val="0"/>
        <w:autoSpaceDN w:val="0"/>
        <w:adjustRightInd w:val="0"/>
        <w:rPr>
          <w:rFonts w:hint="eastAsia"/>
          <w:lang w:val="en-US" w:eastAsia="zh-CN"/>
        </w:rPr>
      </w:pPr>
    </w:p>
    <w:p>
      <w:pPr>
        <w:pStyle w:val="7"/>
        <w:spacing w:before="0"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1．参照《电子病历系统功能应用水平分级评价方法及标准（试行）》六级要求建设；</w:t>
      </w:r>
    </w:p>
    <w:p>
      <w:pPr>
        <w:pStyle w:val="7"/>
        <w:spacing w:before="0" w:line="360" w:lineRule="exact"/>
        <w:ind w:firstLine="560" w:firstLineChars="200"/>
        <w:rPr>
          <w:rFonts w:ascii="仿宋" w:hAnsi="仿宋" w:cs="仿宋"/>
          <w:color w:val="000000"/>
          <w:sz w:val="28"/>
          <w:szCs w:val="28"/>
          <w:lang w:val="en-US"/>
        </w:rPr>
      </w:pPr>
      <w:r>
        <w:rPr>
          <w:rFonts w:ascii="仿宋" w:hAnsi="仿宋" w:cs="仿宋"/>
          <w:color w:val="000000"/>
          <w:sz w:val="28"/>
          <w:szCs w:val="28"/>
          <w:lang w:val="en-US"/>
        </w:rPr>
        <w:t>2</w:t>
      </w:r>
      <w:r>
        <w:rPr>
          <w:rFonts w:hint="eastAsia" w:ascii="仿宋" w:hAnsi="仿宋" w:cs="仿宋"/>
          <w:color w:val="000000"/>
          <w:sz w:val="28"/>
          <w:szCs w:val="28"/>
          <w:lang w:val="en-US"/>
        </w:rPr>
        <w:t>．参照《国家医疗健康信息区域卫生</w:t>
      </w:r>
      <w:r>
        <w:rPr>
          <w:rFonts w:ascii="仿宋" w:hAnsi="仿宋" w:cs="仿宋"/>
          <w:color w:val="000000"/>
          <w:sz w:val="28"/>
          <w:szCs w:val="28"/>
          <w:lang w:val="en-US"/>
        </w:rPr>
        <w:t>(</w:t>
      </w:r>
      <w:r>
        <w:rPr>
          <w:rFonts w:hint="eastAsia" w:ascii="仿宋" w:hAnsi="仿宋" w:cs="仿宋"/>
          <w:color w:val="000000"/>
          <w:sz w:val="28"/>
          <w:szCs w:val="28"/>
          <w:lang w:val="en-US"/>
        </w:rPr>
        <w:t>医院</w:t>
      </w:r>
      <w:r>
        <w:rPr>
          <w:rFonts w:ascii="仿宋" w:hAnsi="仿宋" w:cs="仿宋"/>
          <w:color w:val="000000"/>
          <w:sz w:val="28"/>
          <w:szCs w:val="28"/>
          <w:lang w:val="en-US"/>
        </w:rPr>
        <w:t>)</w:t>
      </w:r>
      <w:r>
        <w:rPr>
          <w:rFonts w:hint="eastAsia" w:ascii="仿宋" w:hAnsi="仿宋" w:cs="仿宋"/>
          <w:color w:val="000000"/>
          <w:sz w:val="28"/>
          <w:szCs w:val="28"/>
          <w:lang w:val="en-US"/>
        </w:rPr>
        <w:t>信息互联互通标准化成熟度测评方案（</w:t>
      </w:r>
      <w:r>
        <w:rPr>
          <w:rFonts w:ascii="仿宋" w:hAnsi="仿宋" w:cs="仿宋"/>
          <w:color w:val="000000"/>
          <w:sz w:val="28"/>
          <w:szCs w:val="28"/>
          <w:lang w:val="en-US"/>
        </w:rPr>
        <w:t>2020</w:t>
      </w:r>
      <w:r>
        <w:rPr>
          <w:rFonts w:hint="eastAsia" w:ascii="仿宋" w:hAnsi="仿宋" w:cs="仿宋"/>
          <w:color w:val="000000"/>
          <w:sz w:val="28"/>
          <w:szCs w:val="28"/>
          <w:lang w:val="en-US"/>
        </w:rPr>
        <w:t>年版）》五级乙等求建设；</w:t>
      </w:r>
    </w:p>
    <w:p>
      <w:pPr>
        <w:pStyle w:val="7"/>
        <w:spacing w:before="0" w:line="360" w:lineRule="exact"/>
        <w:ind w:firstLine="560" w:firstLineChars="200"/>
        <w:rPr>
          <w:rFonts w:ascii="仿宋" w:hAnsi="仿宋" w:cs="仿宋"/>
          <w:color w:val="000000"/>
          <w:sz w:val="28"/>
          <w:szCs w:val="28"/>
          <w:lang w:val="en-US"/>
        </w:rPr>
      </w:pPr>
      <w:r>
        <w:rPr>
          <w:rFonts w:ascii="仿宋" w:hAnsi="仿宋" w:cs="仿宋"/>
          <w:color w:val="000000"/>
          <w:sz w:val="28"/>
          <w:szCs w:val="28"/>
          <w:lang w:val="en-US"/>
        </w:rPr>
        <w:t>3</w:t>
      </w:r>
      <w:r>
        <w:rPr>
          <w:rFonts w:hint="eastAsia" w:ascii="仿宋" w:hAnsi="仿宋" w:cs="仿宋"/>
          <w:color w:val="000000"/>
          <w:sz w:val="28"/>
          <w:szCs w:val="28"/>
          <w:lang w:val="en-US"/>
        </w:rPr>
        <w:t>．参照《医院智慧服务分级评估标准体系（试行）》四级要求建设；</w:t>
      </w:r>
    </w:p>
    <w:p>
      <w:pPr>
        <w:pStyle w:val="7"/>
        <w:spacing w:before="0" w:line="360" w:lineRule="exact"/>
        <w:ind w:firstLine="560" w:firstLineChars="200"/>
        <w:rPr>
          <w:rFonts w:ascii="仿宋" w:hAnsi="仿宋" w:cs="仿宋"/>
          <w:color w:val="000000"/>
          <w:sz w:val="28"/>
          <w:szCs w:val="28"/>
          <w:lang w:val="en-US"/>
        </w:rPr>
      </w:pPr>
      <w:r>
        <w:rPr>
          <w:rFonts w:ascii="仿宋" w:hAnsi="仿宋" w:cs="仿宋"/>
          <w:color w:val="000000"/>
          <w:sz w:val="28"/>
          <w:szCs w:val="28"/>
          <w:lang w:val="en-US"/>
        </w:rPr>
        <w:t>4</w:t>
      </w:r>
      <w:r>
        <w:rPr>
          <w:rFonts w:hint="eastAsia" w:ascii="仿宋" w:hAnsi="仿宋" w:cs="仿宋"/>
          <w:color w:val="000000"/>
          <w:sz w:val="28"/>
          <w:szCs w:val="28"/>
          <w:lang w:val="en-US"/>
        </w:rPr>
        <w:t>．需参照《医院智慧管理分级评估标准体系（试行）》三级要求建设；</w:t>
      </w:r>
    </w:p>
    <w:p>
      <w:pPr>
        <w:pStyle w:val="7"/>
        <w:spacing w:before="0" w:line="360" w:lineRule="exact"/>
        <w:ind w:firstLine="560" w:firstLineChars="200"/>
        <w:rPr>
          <w:rFonts w:hint="eastAsia" w:ascii="仿宋" w:hAnsi="仿宋" w:cs="仿宋"/>
          <w:color w:val="000000"/>
          <w:sz w:val="28"/>
          <w:szCs w:val="28"/>
          <w:lang w:val="en-US"/>
        </w:rPr>
      </w:pPr>
      <w:r>
        <w:rPr>
          <w:rFonts w:ascii="仿宋" w:hAnsi="仿宋" w:cs="仿宋"/>
          <w:color w:val="000000"/>
          <w:sz w:val="28"/>
          <w:szCs w:val="28"/>
          <w:lang w:val="en-US"/>
        </w:rPr>
        <w:t>5</w:t>
      </w:r>
      <w:r>
        <w:rPr>
          <w:rFonts w:hint="eastAsia" w:ascii="仿宋" w:hAnsi="仿宋" w:cs="仿宋"/>
          <w:color w:val="000000"/>
          <w:sz w:val="28"/>
          <w:szCs w:val="28"/>
          <w:lang w:val="en-US"/>
        </w:rPr>
        <w:t>．必须达到《信息安全技术信息系统安全等级保护基本要求》</w:t>
      </w:r>
      <w:r>
        <w:rPr>
          <w:rFonts w:ascii="仿宋" w:hAnsi="仿宋" w:cs="仿宋"/>
          <w:color w:val="000000"/>
          <w:sz w:val="28"/>
          <w:szCs w:val="28"/>
          <w:lang w:val="en-US"/>
        </w:rPr>
        <w:t>(GB/T22239-2019)</w:t>
      </w:r>
      <w:r>
        <w:rPr>
          <w:rFonts w:hint="eastAsia" w:ascii="仿宋" w:hAnsi="仿宋" w:cs="仿宋"/>
          <w:color w:val="000000"/>
          <w:sz w:val="28"/>
          <w:szCs w:val="28"/>
          <w:lang w:val="en-US"/>
        </w:rPr>
        <w:t>三级要求；</w:t>
      </w:r>
    </w:p>
    <w:p>
      <w:pPr>
        <w:pStyle w:val="7"/>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6</w:t>
      </w:r>
      <w:r>
        <w:rPr>
          <w:rFonts w:hint="eastAsia" w:ascii="仿宋" w:hAnsi="仿宋" w:eastAsia="仿宋" w:cs="仿宋"/>
          <w:i w:val="0"/>
          <w:iCs w:val="0"/>
          <w:color w:val="000000"/>
          <w:sz w:val="28"/>
          <w:szCs w:val="28"/>
          <w:u w:val="none"/>
          <w:lang w:val="en-US" w:eastAsia="zh-CN"/>
        </w:rPr>
        <w:t>．</w:t>
      </w:r>
      <w:r>
        <w:rPr>
          <w:rFonts w:hint="eastAsia" w:ascii="仿宋" w:hAnsi="仿宋" w:cs="仿宋"/>
          <w:i w:val="0"/>
          <w:iCs w:val="0"/>
          <w:color w:val="000000"/>
          <w:sz w:val="28"/>
          <w:szCs w:val="28"/>
          <w:u w:val="none"/>
          <w:lang w:val="en-US" w:eastAsia="zh-CN"/>
        </w:rPr>
        <w:t>参照《四川省智慧医院评价标准》六星要求建设；</w:t>
      </w:r>
    </w:p>
    <w:p>
      <w:pPr>
        <w:pStyle w:val="7"/>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lang w:val="en-US"/>
        </w:rPr>
      </w:pPr>
      <w:r>
        <w:rPr>
          <w:rFonts w:hint="eastAsia" w:ascii="仿宋" w:hAnsi="仿宋" w:cs="仿宋"/>
          <w:i w:val="0"/>
          <w:iCs w:val="0"/>
          <w:color w:val="000000"/>
          <w:sz w:val="28"/>
          <w:szCs w:val="28"/>
          <w:u w:val="none"/>
          <w:lang w:val="en-US" w:eastAsia="zh-CN"/>
        </w:rPr>
        <w:t>7</w:t>
      </w:r>
      <w:r>
        <w:rPr>
          <w:rFonts w:hint="eastAsia" w:ascii="仿宋" w:hAnsi="仿宋" w:eastAsia="仿宋" w:cs="仿宋"/>
          <w:i w:val="0"/>
          <w:iCs w:val="0"/>
          <w:color w:val="000000"/>
          <w:sz w:val="28"/>
          <w:szCs w:val="28"/>
          <w:u w:val="none"/>
          <w:lang w:val="en-US" w:eastAsia="zh-CN"/>
        </w:rPr>
        <w:t>．参照《四川省住院医师规范化培训基地对标检查表（试行）技能培训中心》、《住院医师规范化培训基地临床技能培训中心工作指南（2023年版）》、《四川省住院医师规范化培训基地对标检查表(试行)》等文件要求建设；</w:t>
      </w:r>
    </w:p>
    <w:p>
      <w:pPr>
        <w:pStyle w:val="7"/>
        <w:spacing w:before="0" w:line="360" w:lineRule="exact"/>
        <w:ind w:firstLine="560" w:firstLineChars="200"/>
        <w:rPr>
          <w:rFonts w:ascii="仿宋" w:hAnsi="仿宋" w:cs="仿宋"/>
          <w:color w:val="0000FF"/>
          <w:sz w:val="28"/>
          <w:szCs w:val="28"/>
          <w:lang w:val="en-US"/>
        </w:rPr>
      </w:pPr>
      <w:r>
        <w:rPr>
          <w:rFonts w:hint="eastAsia" w:ascii="仿宋" w:hAnsi="仿宋" w:cs="仿宋"/>
          <w:color w:val="000000"/>
          <w:sz w:val="28"/>
          <w:szCs w:val="28"/>
          <w:lang w:val="en-US" w:eastAsia="zh-CN"/>
        </w:rPr>
        <w:t>8</w:t>
      </w:r>
      <w:r>
        <w:rPr>
          <w:rFonts w:hint="eastAsia" w:ascii="仿宋" w:hAnsi="仿宋" w:cs="仿宋"/>
          <w:color w:val="000000"/>
          <w:sz w:val="28"/>
          <w:szCs w:val="28"/>
          <w:lang w:val="en-US"/>
        </w:rPr>
        <w:t>．要求提供定制化开发服务，满足医院个性化需求。</w:t>
      </w:r>
    </w:p>
    <w:p>
      <w:pPr>
        <w:pStyle w:val="2"/>
        <w:widowControl w:val="0"/>
        <w:numPr>
          <w:ilvl w:val="0"/>
          <w:numId w:val="0"/>
        </w:numPr>
        <w:autoSpaceDE w:val="0"/>
        <w:autoSpaceDN w:val="0"/>
        <w:adjustRightInd w:val="0"/>
        <w:ind w:firstLine="420" w:firstLineChars="0"/>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三、报名时间、方式</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w:t>
      </w:r>
      <w:r>
        <w:rPr>
          <w:rFonts w:ascii="仿宋" w:hAnsi="仿宋" w:eastAsia="仿宋" w:cs="仿宋"/>
          <w:i w:val="0"/>
          <w:iCs w:val="0"/>
          <w:caps w:val="0"/>
          <w:color w:val="000000"/>
          <w:spacing w:val="0"/>
          <w:sz w:val="28"/>
          <w:szCs w:val="28"/>
          <w:shd w:val="clear" w:fill="FFFFFF"/>
        </w:rPr>
        <w:t>截止时间为自发布公告起第</w:t>
      </w:r>
      <w:r>
        <w:rPr>
          <w:rFonts w:hint="eastAsia" w:ascii="仿宋" w:hAnsi="仿宋" w:eastAsia="仿宋" w:cs="仿宋"/>
          <w:i w:val="0"/>
          <w:iCs w:val="0"/>
          <w:caps w:val="0"/>
          <w:color w:val="000000"/>
          <w:spacing w:val="0"/>
          <w:sz w:val="28"/>
          <w:szCs w:val="28"/>
          <w:shd w:val="clear" w:fill="FFFFFF"/>
        </w:rPr>
        <w:t>5个工作日（包含发布当天），公告截止日期后递交的报名资料无效</w:t>
      </w:r>
      <w:r>
        <w:rPr>
          <w:rFonts w:hint="eastAsia" w:ascii="仿宋" w:hAnsi="仿宋" w:eastAsia="仿宋" w:cs="仿宋"/>
          <w:i w:val="0"/>
          <w:iCs w:val="0"/>
          <w:color w:val="000000"/>
          <w:sz w:val="28"/>
          <w:szCs w:val="28"/>
          <w:u w:val="none"/>
          <w:lang w:val="en-US"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  m项目名称+公司名称+联系人+联系电话）”报名资料目录见附件。</w:t>
      </w:r>
    </w:p>
    <w:p>
      <w:pPr>
        <w:pStyle w:val="7"/>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2.联系人：</w:t>
      </w:r>
      <w:r>
        <w:rPr>
          <w:rFonts w:hint="eastAsia" w:ascii="仿宋" w:hAnsi="仿宋" w:cs="仿宋"/>
          <w:i w:val="0"/>
          <w:iCs w:val="0"/>
          <w:color w:val="000000"/>
          <w:sz w:val="28"/>
          <w:szCs w:val="28"/>
          <w:u w:val="none"/>
          <w:lang w:val="en-US" w:eastAsia="zh-CN"/>
        </w:rPr>
        <w:t>邓</w:t>
      </w:r>
      <w:r>
        <w:rPr>
          <w:rFonts w:hint="eastAsia" w:ascii="仿宋" w:hAnsi="仿宋" w:eastAsia="仿宋" w:cs="仿宋"/>
          <w:i w:val="0"/>
          <w:iCs w:val="0"/>
          <w:color w:val="000000"/>
          <w:sz w:val="28"/>
          <w:szCs w:val="28"/>
          <w:u w:val="none"/>
          <w:lang w:val="en-US" w:eastAsia="zh-CN"/>
        </w:rPr>
        <w:t>老师</w:t>
      </w:r>
      <w:r>
        <w:rPr>
          <w:rFonts w:hint="eastAsia" w:ascii="仿宋" w:hAnsi="仿宋" w:cs="仿宋"/>
          <w:i w:val="0"/>
          <w:iCs w:val="0"/>
          <w:color w:val="000000"/>
          <w:sz w:val="28"/>
          <w:szCs w:val="28"/>
          <w:u w:val="none"/>
          <w:lang w:val="en-US" w:eastAsia="zh-CN"/>
        </w:rPr>
        <w:t>，</w:t>
      </w:r>
      <w:bookmarkStart w:id="46" w:name="_GoBack"/>
      <w:bookmarkEnd w:id="46"/>
      <w:r>
        <w:rPr>
          <w:rFonts w:hint="eastAsia" w:ascii="仿宋" w:hAnsi="仿宋" w:cs="仿宋"/>
          <w:i w:val="0"/>
          <w:iCs w:val="0"/>
          <w:color w:val="000000"/>
          <w:sz w:val="28"/>
          <w:szCs w:val="28"/>
          <w:u w:val="none"/>
          <w:lang w:val="en-US" w:eastAsia="zh-CN"/>
        </w:rPr>
        <w:t xml:space="preserve"> </w:t>
      </w:r>
      <w:r>
        <w:rPr>
          <w:rFonts w:hint="eastAsia" w:ascii="仿宋" w:hAnsi="仿宋" w:eastAsia="仿宋" w:cs="仿宋"/>
          <w:i w:val="0"/>
          <w:iCs w:val="0"/>
          <w:color w:val="000000"/>
          <w:sz w:val="28"/>
          <w:szCs w:val="28"/>
          <w:u w:val="none"/>
          <w:lang w:val="en-US" w:eastAsia="zh-CN"/>
        </w:rPr>
        <w:t>报名</w:t>
      </w:r>
      <w:r>
        <w:rPr>
          <w:rFonts w:hint="eastAsia" w:ascii="仿宋" w:hAnsi="仿宋" w:cs="仿宋"/>
          <w:i w:val="0"/>
          <w:iCs w:val="0"/>
          <w:color w:val="000000"/>
          <w:sz w:val="28"/>
          <w:szCs w:val="28"/>
          <w:u w:val="none"/>
          <w:lang w:val="en-US" w:eastAsia="zh-CN"/>
        </w:rPr>
        <w:t>咨询</w:t>
      </w:r>
      <w:r>
        <w:rPr>
          <w:rFonts w:hint="eastAsia" w:ascii="仿宋" w:hAnsi="仿宋" w:eastAsia="仿宋" w:cs="仿宋"/>
          <w:i w:val="0"/>
          <w:iCs w:val="0"/>
          <w:color w:val="000000"/>
          <w:sz w:val="28"/>
          <w:szCs w:val="28"/>
          <w:u w:val="none"/>
          <w:lang w:val="en-US" w:eastAsia="zh-CN"/>
        </w:rPr>
        <w:t>：028-26219526</w:t>
      </w:r>
    </w:p>
    <w:p>
      <w:pPr>
        <w:pStyle w:val="7"/>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lang w:val="en-US" w:eastAsia="zh-CN"/>
        </w:rPr>
      </w:pPr>
      <w:r>
        <w:rPr>
          <w:rFonts w:hint="eastAsia" w:ascii="方正黑体简体" w:hAnsi="方正黑体简体" w:eastAsia="方正黑体简体" w:cs="方正黑体简体"/>
          <w:i w:val="0"/>
          <w:iCs w:val="0"/>
          <w:color w:val="000000"/>
          <w:kern w:val="0"/>
          <w:sz w:val="28"/>
          <w:szCs w:val="28"/>
          <w:u w:val="none"/>
          <w:lang w:val="en-US" w:eastAsia="zh-CN" w:bidi="ar"/>
        </w:rPr>
        <w:t>四、其他说明</w:t>
      </w:r>
    </w:p>
    <w:p>
      <w:pPr>
        <w:pStyle w:val="7"/>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，不作为正式采购依据，无任何针对性，如有不全之处，敬请理解，并请供应商详实介绍推荐产品，本项目最终配置和技术参数以采购时为准。对未公告配置及技术性能的，请供应商自行提供。</w:t>
      </w:r>
    </w:p>
    <w:p>
      <w:pPr>
        <w:pStyle w:val="7"/>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pPr>
        <w:pStyle w:val="7"/>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3.参加供应商保证拟推荐货物应为合法、全新、未使用过的原装正品，配置应为出厂标准配置，如有选配件需单独注明；如需使用单一来源的耗材也需单独注明。</w:t>
      </w: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ascii="仿宋" w:hAnsi="仿宋" w:eastAsia="仿宋" w:cs="仿宋"/>
          <w:i w:val="0"/>
          <w:iCs w:val="0"/>
          <w:caps w:val="0"/>
          <w:color w:val="555555"/>
          <w:spacing w:val="0"/>
          <w:sz w:val="30"/>
          <w:szCs w:val="30"/>
          <w:shd w:val="clear" w:fill="FFFFFF"/>
        </w:rPr>
        <w:t>zyszxyyxxb@163.com</w:t>
      </w:r>
      <w:r>
        <w:rPr>
          <w:rFonts w:hint="eastAsia" w:ascii="仿宋" w:hAnsi="仿宋" w:eastAsia="仿宋" w:cs="仿宋"/>
          <w:b w:val="0"/>
          <w:bCs w:val="0"/>
          <w:color w:val="auto"/>
          <w:sz w:val="30"/>
          <w:szCs w:val="30"/>
          <w:lang w:val="en-US" w:eastAsia="zh-CN"/>
        </w:rPr>
        <w:t>。邮件名称：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7"/>
        <w:rPr>
          <w:rFonts w:hint="default"/>
          <w:lang w:val="en-US" w:eastAsia="zh-CN"/>
        </w:rPr>
      </w:pPr>
    </w:p>
    <w:p>
      <w:pPr>
        <w:pStyle w:val="7"/>
        <w:rPr>
          <w:rFonts w:hint="eastAsia"/>
          <w:lang w:eastAsia="zh-CN"/>
        </w:rPr>
      </w:pPr>
    </w:p>
    <w:p>
      <w:pPr>
        <w:pStyle w:val="7"/>
        <w:numPr>
          <w:ilvl w:val="0"/>
          <w:numId w:val="0"/>
        </w:numPr>
        <w:rPr>
          <w:rFonts w:hint="eastAsia"/>
          <w:lang w:eastAsia="zh-CN"/>
        </w:rP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12"/>
            <w:tabs>
              <w:tab w:val="right" w:leader="dot" w:pos="8306"/>
            </w:tabs>
          </w:pPr>
          <w:r>
            <w:fldChar w:fldCharType="begin"/>
          </w:r>
          <w:r>
            <w:instrText xml:space="preserve">TOC \o "1-3" \h \u </w:instrText>
          </w:r>
          <w:r>
            <w:fldChar w:fldCharType="separate"/>
          </w:r>
          <w:r>
            <w:fldChar w:fldCharType="begin"/>
          </w:r>
          <w:r>
            <w:instrText xml:space="preserve"> HYPERLINK \l _Toc7871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_Toc7871 \h </w:instrText>
          </w:r>
          <w:r>
            <w:fldChar w:fldCharType="separate"/>
          </w:r>
          <w:r>
            <w:t>6</w:t>
          </w:r>
          <w:r>
            <w:fldChar w:fldCharType="end"/>
          </w:r>
          <w:r>
            <w:fldChar w:fldCharType="end"/>
          </w:r>
        </w:p>
        <w:p>
          <w:pPr>
            <w:pStyle w:val="12"/>
            <w:tabs>
              <w:tab w:val="right" w:leader="dot" w:pos="8306"/>
            </w:tabs>
          </w:pPr>
          <w:r>
            <w:fldChar w:fldCharType="begin"/>
          </w:r>
          <w:r>
            <w:instrText xml:space="preserve"> HYPERLINK \l _Toc638 </w:instrText>
          </w:r>
          <w:r>
            <w:fldChar w:fldCharType="separate"/>
          </w:r>
          <w:r>
            <w:rPr>
              <w:rFonts w:hint="eastAsia"/>
              <w:lang w:val="en-US" w:eastAsia="zh-CN"/>
            </w:rPr>
            <w:t>二、资质：</w:t>
          </w:r>
          <w:r>
            <w:tab/>
          </w:r>
          <w:r>
            <w:fldChar w:fldCharType="begin"/>
          </w:r>
          <w:r>
            <w:instrText xml:space="preserve"> PAGEREF _Toc638 \h </w:instrText>
          </w:r>
          <w:r>
            <w:fldChar w:fldCharType="separate"/>
          </w:r>
          <w:r>
            <w:t>6</w:t>
          </w:r>
          <w:r>
            <w:fldChar w:fldCharType="end"/>
          </w:r>
          <w:r>
            <w:fldChar w:fldCharType="end"/>
          </w:r>
        </w:p>
        <w:p>
          <w:pPr>
            <w:pStyle w:val="13"/>
            <w:tabs>
              <w:tab w:val="right" w:leader="dot" w:pos="8306"/>
            </w:tabs>
          </w:pPr>
          <w:r>
            <w:fldChar w:fldCharType="begin"/>
          </w:r>
          <w:r>
            <w:instrText xml:space="preserve"> HYPERLINK \l _Toc10667 </w:instrText>
          </w:r>
          <w:r>
            <w:fldChar w:fldCharType="separate"/>
          </w:r>
          <w:r>
            <w:rPr>
              <w:rFonts w:hint="eastAsia"/>
              <w:lang w:val="en-US" w:eastAsia="zh-CN"/>
            </w:rPr>
            <w:t>2.1</w:t>
          </w:r>
          <w:r>
            <w:rPr>
              <w:rFonts w:hint="eastAsia"/>
            </w:rPr>
            <w:t>营业执照</w:t>
          </w:r>
          <w:r>
            <w:tab/>
          </w:r>
          <w:r>
            <w:fldChar w:fldCharType="begin"/>
          </w:r>
          <w:r>
            <w:instrText xml:space="preserve"> PAGEREF _Toc10667 \h </w:instrText>
          </w:r>
          <w:r>
            <w:fldChar w:fldCharType="separate"/>
          </w:r>
          <w:r>
            <w:t>6</w:t>
          </w:r>
          <w:r>
            <w:fldChar w:fldCharType="end"/>
          </w:r>
          <w:r>
            <w:fldChar w:fldCharType="end"/>
          </w:r>
        </w:p>
        <w:p>
          <w:pPr>
            <w:pStyle w:val="13"/>
            <w:tabs>
              <w:tab w:val="right" w:leader="dot" w:pos="8306"/>
            </w:tabs>
          </w:pPr>
          <w:r>
            <w:fldChar w:fldCharType="begin"/>
          </w:r>
          <w:r>
            <w:instrText xml:space="preserve"> HYPERLINK \l _Toc11741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_Toc11741 \h </w:instrText>
          </w:r>
          <w:r>
            <w:fldChar w:fldCharType="separate"/>
          </w:r>
          <w:r>
            <w:t>6</w:t>
          </w:r>
          <w:r>
            <w:fldChar w:fldCharType="end"/>
          </w:r>
          <w:r>
            <w:fldChar w:fldCharType="end"/>
          </w:r>
        </w:p>
        <w:p>
          <w:pPr>
            <w:pStyle w:val="13"/>
            <w:tabs>
              <w:tab w:val="right" w:leader="dot" w:pos="8306"/>
            </w:tabs>
          </w:pPr>
          <w:r>
            <w:fldChar w:fldCharType="begin"/>
          </w:r>
          <w:r>
            <w:instrText xml:space="preserve"> HYPERLINK \l _Toc8522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_Toc8522 \h </w:instrText>
          </w:r>
          <w:r>
            <w:fldChar w:fldCharType="separate"/>
          </w:r>
          <w:r>
            <w:t>6</w:t>
          </w:r>
          <w:r>
            <w:fldChar w:fldCharType="end"/>
          </w:r>
          <w:r>
            <w:fldChar w:fldCharType="end"/>
          </w:r>
        </w:p>
        <w:p>
          <w:pPr>
            <w:pStyle w:val="13"/>
            <w:tabs>
              <w:tab w:val="right" w:leader="dot" w:pos="8306"/>
            </w:tabs>
          </w:pPr>
          <w:r>
            <w:fldChar w:fldCharType="begin"/>
          </w:r>
          <w:r>
            <w:instrText xml:space="preserve"> HYPERLINK \l _Toc16232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_Toc16232 \h </w:instrText>
          </w:r>
          <w:r>
            <w:fldChar w:fldCharType="separate"/>
          </w:r>
          <w:r>
            <w:t>6</w:t>
          </w:r>
          <w:r>
            <w:fldChar w:fldCharType="end"/>
          </w:r>
          <w:r>
            <w:fldChar w:fldCharType="end"/>
          </w:r>
        </w:p>
        <w:p>
          <w:pPr>
            <w:pStyle w:val="13"/>
            <w:tabs>
              <w:tab w:val="right" w:leader="dot" w:pos="8306"/>
            </w:tabs>
          </w:pPr>
          <w:r>
            <w:fldChar w:fldCharType="begin"/>
          </w:r>
          <w:r>
            <w:instrText xml:space="preserve"> HYPERLINK \l _Toc21131 </w:instrText>
          </w:r>
          <w:r>
            <w:fldChar w:fldCharType="separate"/>
          </w:r>
          <w:r>
            <w:rPr>
              <w:rFonts w:hint="eastAsia"/>
              <w:lang w:val="en-US" w:eastAsia="zh-CN"/>
            </w:rPr>
            <w:t>2.5软件资质</w:t>
          </w:r>
          <w:r>
            <w:tab/>
          </w:r>
          <w:r>
            <w:fldChar w:fldCharType="begin"/>
          </w:r>
          <w:r>
            <w:instrText xml:space="preserve"> PAGEREF _Toc21131 \h </w:instrText>
          </w:r>
          <w:r>
            <w:fldChar w:fldCharType="separate"/>
          </w:r>
          <w:r>
            <w:t>6</w:t>
          </w:r>
          <w:r>
            <w:fldChar w:fldCharType="end"/>
          </w:r>
          <w:r>
            <w:fldChar w:fldCharType="end"/>
          </w:r>
        </w:p>
        <w:p>
          <w:pPr>
            <w:pStyle w:val="13"/>
            <w:tabs>
              <w:tab w:val="right" w:leader="dot" w:pos="8306"/>
            </w:tabs>
          </w:pPr>
          <w:r>
            <w:fldChar w:fldCharType="begin"/>
          </w:r>
          <w:r>
            <w:instrText xml:space="preserve"> HYPERLINK \l _Toc3224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_Toc3224 \h </w:instrText>
          </w:r>
          <w:r>
            <w:fldChar w:fldCharType="separate"/>
          </w:r>
          <w:r>
            <w:t>6</w:t>
          </w:r>
          <w:r>
            <w:fldChar w:fldCharType="end"/>
          </w:r>
          <w:r>
            <w:fldChar w:fldCharType="end"/>
          </w:r>
        </w:p>
        <w:p>
          <w:pPr>
            <w:pStyle w:val="13"/>
            <w:tabs>
              <w:tab w:val="right" w:leader="dot" w:pos="8306"/>
            </w:tabs>
          </w:pPr>
          <w:r>
            <w:fldChar w:fldCharType="begin"/>
          </w:r>
          <w:r>
            <w:instrText xml:space="preserve"> HYPERLINK \l _Toc4162 </w:instrText>
          </w:r>
          <w:r>
            <w:fldChar w:fldCharType="separate"/>
          </w:r>
          <w:r>
            <w:rPr>
              <w:rFonts w:hint="eastAsia"/>
              <w:lang w:val="en-US" w:eastAsia="zh-CN"/>
            </w:rPr>
            <w:t>2.7开发商委托销售授权函</w:t>
          </w:r>
          <w:r>
            <w:tab/>
          </w:r>
          <w:r>
            <w:fldChar w:fldCharType="begin"/>
          </w:r>
          <w:r>
            <w:instrText xml:space="preserve"> PAGEREF _Toc4162 \h </w:instrText>
          </w:r>
          <w:r>
            <w:fldChar w:fldCharType="separate"/>
          </w:r>
          <w:r>
            <w:t>6</w:t>
          </w:r>
          <w:r>
            <w:fldChar w:fldCharType="end"/>
          </w:r>
          <w:r>
            <w:fldChar w:fldCharType="end"/>
          </w:r>
        </w:p>
        <w:p>
          <w:pPr>
            <w:pStyle w:val="13"/>
            <w:tabs>
              <w:tab w:val="right" w:leader="dot" w:pos="8306"/>
            </w:tabs>
          </w:pPr>
          <w:r>
            <w:fldChar w:fldCharType="begin"/>
          </w:r>
          <w:r>
            <w:instrText xml:space="preserve"> HYPERLINK \l _Toc2883 </w:instrText>
          </w:r>
          <w:r>
            <w:fldChar w:fldCharType="separate"/>
          </w:r>
          <w:r>
            <w:rPr>
              <w:rFonts w:hint="eastAsia"/>
              <w:lang w:val="en-US" w:eastAsia="zh-CN"/>
            </w:rPr>
            <w:t>2.8 承诺函</w:t>
          </w:r>
          <w:r>
            <w:tab/>
          </w:r>
          <w:r>
            <w:fldChar w:fldCharType="begin"/>
          </w:r>
          <w:r>
            <w:instrText xml:space="preserve"> PAGEREF _Toc2883 \h </w:instrText>
          </w:r>
          <w:r>
            <w:fldChar w:fldCharType="separate"/>
          </w:r>
          <w:r>
            <w:t>7</w:t>
          </w:r>
          <w:r>
            <w:fldChar w:fldCharType="end"/>
          </w:r>
          <w:r>
            <w:fldChar w:fldCharType="end"/>
          </w:r>
        </w:p>
        <w:p>
          <w:pPr>
            <w:pStyle w:val="12"/>
            <w:tabs>
              <w:tab w:val="right" w:leader="dot" w:pos="8306"/>
            </w:tabs>
          </w:pPr>
          <w:r>
            <w:fldChar w:fldCharType="begin"/>
          </w:r>
          <w:r>
            <w:instrText xml:space="preserve"> HYPERLINK \l _Toc30193 </w:instrText>
          </w:r>
          <w:r>
            <w:fldChar w:fldCharType="separate"/>
          </w:r>
          <w:r>
            <w:rPr>
              <w:rFonts w:hint="eastAsia"/>
              <w:lang w:val="en-US" w:eastAsia="zh-CN"/>
            </w:rPr>
            <w:t>三、项目调研情况一览汇总表</w:t>
          </w:r>
          <w:r>
            <w:tab/>
          </w:r>
          <w:r>
            <w:fldChar w:fldCharType="begin"/>
          </w:r>
          <w:r>
            <w:instrText xml:space="preserve"> PAGEREF _Toc30193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_Toc6595 </w:instrText>
          </w:r>
          <w:r>
            <w:fldChar w:fldCharType="separate"/>
          </w:r>
          <w:r>
            <w:rPr>
              <w:rFonts w:hint="eastAsia"/>
              <w:lang w:val="en-US" w:eastAsia="zh-CN"/>
            </w:rPr>
            <w:t>四、 调研项目配置清单及分项报价明细</w:t>
          </w:r>
          <w:r>
            <w:tab/>
          </w:r>
          <w:r>
            <w:fldChar w:fldCharType="begin"/>
          </w:r>
          <w:r>
            <w:instrText xml:space="preserve"> PAGEREF _Toc6595 \h </w:instrText>
          </w:r>
          <w:r>
            <w:fldChar w:fldCharType="separate"/>
          </w:r>
          <w:r>
            <w:t>10</w:t>
          </w:r>
          <w:r>
            <w:fldChar w:fldCharType="end"/>
          </w:r>
          <w:r>
            <w:fldChar w:fldCharType="end"/>
          </w:r>
        </w:p>
        <w:p>
          <w:pPr>
            <w:pStyle w:val="12"/>
            <w:tabs>
              <w:tab w:val="right" w:leader="dot" w:pos="8306"/>
            </w:tabs>
          </w:pPr>
          <w:r>
            <w:fldChar w:fldCharType="begin"/>
          </w:r>
          <w:r>
            <w:instrText xml:space="preserve"> HYPERLINK \l _Toc24038 </w:instrText>
          </w:r>
          <w:r>
            <w:fldChar w:fldCharType="separate"/>
          </w:r>
          <w:r>
            <w:rPr>
              <w:rFonts w:hint="eastAsia"/>
              <w:lang w:val="en-US" w:eastAsia="zh-CN"/>
            </w:rPr>
            <w:t>五、三甲综合医院同类项目案例</w:t>
          </w:r>
          <w:r>
            <w:tab/>
          </w:r>
          <w:r>
            <w:fldChar w:fldCharType="begin"/>
          </w:r>
          <w:r>
            <w:instrText xml:space="preserve"> PAGEREF _Toc24038 \h </w:instrText>
          </w:r>
          <w:r>
            <w:fldChar w:fldCharType="separate"/>
          </w:r>
          <w:r>
            <w:t>10</w:t>
          </w:r>
          <w:r>
            <w:fldChar w:fldCharType="end"/>
          </w:r>
          <w:r>
            <w:fldChar w:fldCharType="end"/>
          </w:r>
        </w:p>
        <w:p>
          <w:pPr>
            <w:pStyle w:val="13"/>
            <w:tabs>
              <w:tab w:val="right" w:leader="dot" w:pos="8306"/>
            </w:tabs>
          </w:pPr>
          <w:r>
            <w:fldChar w:fldCharType="begin"/>
          </w:r>
          <w:r>
            <w:instrText xml:space="preserve"> HYPERLINK \l _Toc12579 </w:instrText>
          </w:r>
          <w:r>
            <w:fldChar w:fldCharType="separate"/>
          </w:r>
          <w:r>
            <w:rPr>
              <w:rFonts w:hint="eastAsia"/>
              <w:lang w:val="en-US" w:eastAsia="zh-CN"/>
            </w:rPr>
            <w:t>5.1 四川省内（  ）家</w:t>
          </w:r>
          <w:r>
            <w:tab/>
          </w:r>
          <w:r>
            <w:fldChar w:fldCharType="begin"/>
          </w:r>
          <w:r>
            <w:instrText xml:space="preserve"> PAGEREF _Toc12579 \h </w:instrText>
          </w:r>
          <w:r>
            <w:fldChar w:fldCharType="separate"/>
          </w:r>
          <w:r>
            <w:t>10</w:t>
          </w:r>
          <w:r>
            <w:fldChar w:fldCharType="end"/>
          </w:r>
          <w:r>
            <w:fldChar w:fldCharType="end"/>
          </w:r>
        </w:p>
        <w:p>
          <w:pPr>
            <w:pStyle w:val="13"/>
            <w:tabs>
              <w:tab w:val="right" w:leader="dot" w:pos="8306"/>
            </w:tabs>
          </w:pPr>
          <w:r>
            <w:fldChar w:fldCharType="begin"/>
          </w:r>
          <w:r>
            <w:instrText xml:space="preserve"> HYPERLINK \l _Toc3373 </w:instrText>
          </w:r>
          <w:r>
            <w:fldChar w:fldCharType="separate"/>
          </w:r>
          <w:r>
            <w:rPr>
              <w:rFonts w:hint="eastAsia"/>
              <w:lang w:val="en-US" w:eastAsia="zh-CN"/>
            </w:rPr>
            <w:t>5.2 四川省外（  ）家</w:t>
          </w:r>
          <w:r>
            <w:tab/>
          </w:r>
          <w:r>
            <w:fldChar w:fldCharType="begin"/>
          </w:r>
          <w:r>
            <w:instrText xml:space="preserve"> PAGEREF _Toc3373 \h </w:instrText>
          </w:r>
          <w:r>
            <w:fldChar w:fldCharType="separate"/>
          </w:r>
          <w:r>
            <w:t>10</w:t>
          </w:r>
          <w:r>
            <w:fldChar w:fldCharType="end"/>
          </w:r>
          <w:r>
            <w:fldChar w:fldCharType="end"/>
          </w:r>
        </w:p>
        <w:p>
          <w:pPr>
            <w:pStyle w:val="13"/>
            <w:tabs>
              <w:tab w:val="right" w:leader="dot" w:pos="8306"/>
            </w:tabs>
          </w:pPr>
          <w:r>
            <w:fldChar w:fldCharType="begin"/>
          </w:r>
          <w:r>
            <w:instrText xml:space="preserve"> HYPERLINK \l _Toc6592 </w:instrText>
          </w:r>
          <w:r>
            <w:fldChar w:fldCharType="separate"/>
          </w:r>
          <w:r>
            <w:rPr>
              <w:rFonts w:hint="eastAsia"/>
              <w:lang w:val="en-US" w:eastAsia="zh-CN"/>
            </w:rPr>
            <w:t>5.3三甲综合医院同类项目案例合同及验收佐证</w:t>
          </w:r>
          <w:r>
            <w:tab/>
          </w:r>
          <w:r>
            <w:fldChar w:fldCharType="begin"/>
          </w:r>
          <w:r>
            <w:instrText xml:space="preserve"> PAGEREF _Toc6592 \h </w:instrText>
          </w:r>
          <w:r>
            <w:fldChar w:fldCharType="separate"/>
          </w:r>
          <w:r>
            <w:t>10</w:t>
          </w:r>
          <w:r>
            <w:fldChar w:fldCharType="end"/>
          </w:r>
          <w:r>
            <w:fldChar w:fldCharType="end"/>
          </w:r>
        </w:p>
        <w:p>
          <w:pPr>
            <w:pStyle w:val="12"/>
            <w:tabs>
              <w:tab w:val="right" w:leader="dot" w:pos="8306"/>
            </w:tabs>
          </w:pPr>
          <w:r>
            <w:fldChar w:fldCharType="begin"/>
          </w:r>
          <w:r>
            <w:instrText xml:space="preserve"> HYPERLINK \l _Toc27685 </w:instrText>
          </w:r>
          <w:r>
            <w:fldChar w:fldCharType="separate"/>
          </w:r>
          <w:r>
            <w:rPr>
              <w:rFonts w:hint="eastAsia"/>
              <w:lang w:val="en-US" w:eastAsia="zh-CN"/>
            </w:rPr>
            <w:t>六、报价表包含内容</w:t>
          </w:r>
          <w:r>
            <w:tab/>
          </w:r>
          <w:r>
            <w:fldChar w:fldCharType="begin"/>
          </w:r>
          <w:r>
            <w:instrText xml:space="preserve"> PAGEREF _Toc27685 \h </w:instrText>
          </w:r>
          <w:r>
            <w:fldChar w:fldCharType="separate"/>
          </w:r>
          <w:r>
            <w:t>10</w:t>
          </w:r>
          <w:r>
            <w:fldChar w:fldCharType="end"/>
          </w:r>
          <w:r>
            <w:fldChar w:fldCharType="end"/>
          </w:r>
        </w:p>
        <w:p>
          <w:pPr>
            <w:pStyle w:val="12"/>
            <w:tabs>
              <w:tab w:val="right" w:leader="dot" w:pos="8306"/>
            </w:tabs>
          </w:pPr>
          <w:r>
            <w:fldChar w:fldCharType="begin"/>
          </w:r>
          <w:r>
            <w:instrText xml:space="preserve"> HYPERLINK \l _Toc15885 </w:instrText>
          </w:r>
          <w:r>
            <w:fldChar w:fldCharType="separate"/>
          </w:r>
          <w:r>
            <w:rPr>
              <w:rFonts w:hint="eastAsia"/>
              <w:lang w:val="en-US" w:eastAsia="zh-CN"/>
            </w:rPr>
            <w:t>七、建设方案</w:t>
          </w:r>
          <w:r>
            <w:tab/>
          </w:r>
          <w:r>
            <w:fldChar w:fldCharType="begin"/>
          </w:r>
          <w:r>
            <w:instrText xml:space="preserve"> PAGEREF _Toc15885 \h </w:instrText>
          </w:r>
          <w:r>
            <w:fldChar w:fldCharType="separate"/>
          </w:r>
          <w:r>
            <w:t>11</w:t>
          </w:r>
          <w:r>
            <w:fldChar w:fldCharType="end"/>
          </w:r>
          <w:r>
            <w:fldChar w:fldCharType="end"/>
          </w:r>
        </w:p>
        <w:p>
          <w:pPr>
            <w:pStyle w:val="13"/>
            <w:tabs>
              <w:tab w:val="right" w:leader="dot" w:pos="8306"/>
            </w:tabs>
          </w:pPr>
          <w:r>
            <w:fldChar w:fldCharType="begin"/>
          </w:r>
          <w:r>
            <w:instrText xml:space="preserve"> HYPERLINK \l _Toc6336 </w:instrText>
          </w:r>
          <w:r>
            <w:fldChar w:fldCharType="separate"/>
          </w:r>
          <w:r>
            <w:rPr>
              <w:rFonts w:hint="eastAsia"/>
              <w:lang w:val="en-US" w:eastAsia="zh-CN"/>
            </w:rPr>
            <w:t>7.1 实施条件（实施所需的支持条件）</w:t>
          </w:r>
          <w:r>
            <w:tab/>
          </w:r>
          <w:r>
            <w:fldChar w:fldCharType="begin"/>
          </w:r>
          <w:r>
            <w:instrText xml:space="preserve"> PAGEREF _Toc6336 \h </w:instrText>
          </w:r>
          <w:r>
            <w:fldChar w:fldCharType="separate"/>
          </w:r>
          <w:r>
            <w:t>11</w:t>
          </w:r>
          <w:r>
            <w:fldChar w:fldCharType="end"/>
          </w:r>
          <w:r>
            <w:fldChar w:fldCharType="end"/>
          </w:r>
        </w:p>
        <w:p>
          <w:pPr>
            <w:pStyle w:val="13"/>
            <w:tabs>
              <w:tab w:val="right" w:leader="dot" w:pos="8306"/>
            </w:tabs>
          </w:pPr>
          <w:r>
            <w:fldChar w:fldCharType="begin"/>
          </w:r>
          <w:r>
            <w:instrText xml:space="preserve"> HYPERLINK \l _Toc21591 </w:instrText>
          </w:r>
          <w:r>
            <w:fldChar w:fldCharType="separate"/>
          </w:r>
          <w:r>
            <w:rPr>
              <w:rFonts w:hint="eastAsia"/>
              <w:lang w:val="en-US" w:eastAsia="zh-CN"/>
            </w:rPr>
            <w:t>7.2 实施周期</w:t>
          </w:r>
          <w:r>
            <w:tab/>
          </w:r>
          <w:r>
            <w:fldChar w:fldCharType="begin"/>
          </w:r>
          <w:r>
            <w:instrText xml:space="preserve"> PAGEREF _Toc21591 \h </w:instrText>
          </w:r>
          <w:r>
            <w:fldChar w:fldCharType="separate"/>
          </w:r>
          <w:r>
            <w:t>11</w:t>
          </w:r>
          <w:r>
            <w:fldChar w:fldCharType="end"/>
          </w:r>
          <w:r>
            <w:fldChar w:fldCharType="end"/>
          </w:r>
        </w:p>
        <w:p>
          <w:pPr>
            <w:pStyle w:val="13"/>
            <w:tabs>
              <w:tab w:val="right" w:leader="dot" w:pos="8306"/>
            </w:tabs>
          </w:pPr>
          <w:r>
            <w:fldChar w:fldCharType="begin"/>
          </w:r>
          <w:r>
            <w:instrText xml:space="preserve"> HYPERLINK \l _Toc18352 </w:instrText>
          </w:r>
          <w:r>
            <w:fldChar w:fldCharType="separate"/>
          </w:r>
          <w:r>
            <w:rPr>
              <w:rFonts w:hint="eastAsia"/>
              <w:lang w:val="en-US" w:eastAsia="zh-CN"/>
            </w:rPr>
            <w:t>7.3 系统运行环境</w:t>
          </w:r>
          <w:r>
            <w:tab/>
          </w:r>
          <w:r>
            <w:fldChar w:fldCharType="begin"/>
          </w:r>
          <w:r>
            <w:instrText xml:space="preserve"> PAGEREF _Toc18352 \h </w:instrText>
          </w:r>
          <w:r>
            <w:fldChar w:fldCharType="separate"/>
          </w:r>
          <w:r>
            <w:t>11</w:t>
          </w:r>
          <w:r>
            <w:fldChar w:fldCharType="end"/>
          </w:r>
          <w:r>
            <w:fldChar w:fldCharType="end"/>
          </w:r>
        </w:p>
        <w:p>
          <w:pPr>
            <w:pStyle w:val="13"/>
            <w:tabs>
              <w:tab w:val="right" w:leader="dot" w:pos="8306"/>
            </w:tabs>
          </w:pPr>
          <w:r>
            <w:fldChar w:fldCharType="begin"/>
          </w:r>
          <w:r>
            <w:instrText xml:space="preserve"> HYPERLINK \l _Toc8120 </w:instrText>
          </w:r>
          <w:r>
            <w:fldChar w:fldCharType="separate"/>
          </w:r>
          <w:r>
            <w:rPr>
              <w:rFonts w:hint="eastAsia"/>
              <w:lang w:val="en-US" w:eastAsia="zh-CN"/>
            </w:rPr>
            <w:t>7.4 系统总体架构</w:t>
          </w:r>
          <w:r>
            <w:tab/>
          </w:r>
          <w:r>
            <w:fldChar w:fldCharType="begin"/>
          </w:r>
          <w:r>
            <w:instrText xml:space="preserve"> PAGEREF _Toc8120 \h </w:instrText>
          </w:r>
          <w:r>
            <w:fldChar w:fldCharType="separate"/>
          </w:r>
          <w:r>
            <w:t>11</w:t>
          </w:r>
          <w:r>
            <w:fldChar w:fldCharType="end"/>
          </w:r>
          <w:r>
            <w:fldChar w:fldCharType="end"/>
          </w:r>
        </w:p>
        <w:p>
          <w:r>
            <w:fldChar w:fldCharType="end"/>
          </w:r>
        </w:p>
      </w:sdtContent>
    </w:sdt>
    <w:p/>
    <w:p/>
    <w:p/>
    <w:p/>
    <w:p/>
    <w:p/>
    <w:p/>
    <w:p>
      <w:pPr>
        <w:sectPr>
          <w:headerReference r:id="rId3" w:type="default"/>
          <w:footerReference r:id="rId4" w:type="default"/>
          <w:pgSz w:w="11906" w:h="16838"/>
          <w:pgMar w:top="1134" w:right="1800" w:bottom="113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7871"/>
      <w:bookmarkStart w:id="1" w:name="_Toc247527848"/>
      <w:bookmarkStart w:id="2" w:name="_Toc7415"/>
      <w:bookmarkStart w:id="3" w:name="_Toc152045808"/>
      <w:bookmarkStart w:id="4" w:name="_Toc152042597"/>
      <w:bookmarkStart w:id="5" w:name="_Toc10065"/>
      <w:bookmarkStart w:id="6" w:name="_Toc427002393"/>
      <w:bookmarkStart w:id="7" w:name="_Toc247514300"/>
      <w:bookmarkStart w:id="8" w:name="_Toc144974876"/>
      <w:r>
        <w:rPr>
          <w:rFonts w:hint="eastAsia"/>
          <w:lang w:val="en-US" w:eastAsia="zh-CN"/>
        </w:rPr>
        <w:t>一、</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5"/>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22080001"/>
            <w:bookmarkStart w:id="10" w:name="_Toc16693"/>
            <w:bookmarkStart w:id="11" w:name="_Toc3175"/>
            <w:bookmarkStart w:id="12" w:name="_Toc321933045"/>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3" w:name="_Toc638"/>
      <w:bookmarkStart w:id="14" w:name="_Toc2669"/>
      <w:r>
        <w:rPr>
          <w:rFonts w:hint="eastAsia"/>
          <w:lang w:val="en-US" w:eastAsia="zh-CN"/>
        </w:rPr>
        <w:t>二、资质：</w:t>
      </w:r>
      <w:bookmarkEnd w:id="13"/>
    </w:p>
    <w:p>
      <w:pPr>
        <w:pStyle w:val="4"/>
        <w:bidi w:val="0"/>
        <w:rPr>
          <w:rFonts w:hint="eastAsia"/>
        </w:rPr>
      </w:pPr>
      <w:bookmarkStart w:id="15" w:name="_Toc10667"/>
      <w:r>
        <w:rPr>
          <w:rFonts w:hint="eastAsia"/>
          <w:lang w:val="en-US" w:eastAsia="zh-CN"/>
        </w:rPr>
        <w:t>2.1</w:t>
      </w:r>
      <w:r>
        <w:rPr>
          <w:rFonts w:hint="eastAsia"/>
        </w:rPr>
        <w:t>营业执照</w:t>
      </w:r>
      <w:bookmarkEnd w:id="14"/>
      <w:bookmarkEnd w:id="15"/>
      <w:bookmarkStart w:id="16" w:name="_Toc3036"/>
    </w:p>
    <w:p>
      <w:pPr>
        <w:pStyle w:val="4"/>
        <w:bidi w:val="0"/>
        <w:rPr>
          <w:rFonts w:hint="eastAsia"/>
          <w:lang w:val="en-US" w:eastAsia="zh-CN"/>
        </w:rPr>
      </w:pPr>
      <w:bookmarkStart w:id="17" w:name="_Toc11741"/>
      <w:r>
        <w:rPr>
          <w:rFonts w:hint="eastAsia"/>
          <w:lang w:val="en-US" w:eastAsia="zh-CN"/>
        </w:rPr>
        <w:t>2.2</w:t>
      </w:r>
      <w:r>
        <w:rPr>
          <w:rFonts w:hint="eastAsia"/>
          <w:lang w:eastAsia="zh-CN"/>
        </w:rPr>
        <w:t>法定代表人授权书</w:t>
      </w:r>
      <w:bookmarkEnd w:id="16"/>
      <w:bookmarkEnd w:id="17"/>
    </w:p>
    <w:p>
      <w:pPr>
        <w:pStyle w:val="4"/>
        <w:bidi w:val="0"/>
        <w:rPr>
          <w:rFonts w:hint="eastAsia"/>
          <w:lang w:eastAsia="zh-CN"/>
        </w:rPr>
      </w:pPr>
      <w:bookmarkStart w:id="18" w:name="_Toc8522"/>
      <w:bookmarkStart w:id="19" w:name="_Toc5131"/>
      <w:r>
        <w:rPr>
          <w:rFonts w:hint="eastAsia"/>
          <w:lang w:val="en-US" w:eastAsia="zh-CN"/>
        </w:rPr>
        <w:t>2.3</w:t>
      </w:r>
      <w:r>
        <w:rPr>
          <w:rFonts w:hint="eastAsia"/>
          <w:lang w:eastAsia="zh-CN"/>
        </w:rPr>
        <w:t>法人及被授权人身份证</w:t>
      </w:r>
      <w:bookmarkEnd w:id="18"/>
      <w:bookmarkEnd w:id="19"/>
    </w:p>
    <w:p>
      <w:pPr>
        <w:pStyle w:val="4"/>
        <w:bidi w:val="0"/>
        <w:rPr>
          <w:rFonts w:hint="eastAsia"/>
          <w:lang w:eastAsia="zh-CN"/>
        </w:rPr>
      </w:pPr>
      <w:bookmarkStart w:id="20" w:name="_Toc22588"/>
      <w:bookmarkStart w:id="21" w:name="_Toc16232"/>
      <w:r>
        <w:rPr>
          <w:rFonts w:hint="eastAsia"/>
          <w:lang w:val="en-US" w:eastAsia="zh-CN"/>
        </w:rPr>
        <w:t>2.4</w:t>
      </w:r>
      <w:r>
        <w:rPr>
          <w:rFonts w:hint="eastAsia"/>
          <w:lang w:eastAsia="zh-CN"/>
        </w:rPr>
        <w:t>公司资质</w:t>
      </w:r>
      <w:bookmarkEnd w:id="20"/>
      <w:bookmarkEnd w:id="21"/>
    </w:p>
    <w:p>
      <w:pPr>
        <w:pStyle w:val="4"/>
        <w:bidi w:val="0"/>
        <w:rPr>
          <w:rFonts w:hint="default"/>
          <w:lang w:val="en-US" w:eastAsia="zh-CN"/>
        </w:rPr>
      </w:pPr>
      <w:bookmarkStart w:id="22" w:name="_Toc21131"/>
      <w:r>
        <w:rPr>
          <w:rFonts w:hint="eastAsia"/>
          <w:lang w:val="en-US" w:eastAsia="zh-CN"/>
        </w:rPr>
        <w:t>2.5软件资质</w:t>
      </w:r>
      <w:bookmarkEnd w:id="22"/>
    </w:p>
    <w:p>
      <w:pPr>
        <w:pStyle w:val="4"/>
        <w:bidi w:val="0"/>
        <w:rPr>
          <w:rFonts w:hint="eastAsia"/>
          <w:lang w:eastAsia="zh-CN"/>
        </w:rPr>
      </w:pPr>
      <w:bookmarkStart w:id="23" w:name="_Toc11995"/>
      <w:bookmarkStart w:id="24" w:name="_Toc3224"/>
      <w:r>
        <w:rPr>
          <w:rFonts w:hint="eastAsia"/>
          <w:lang w:val="en-US" w:eastAsia="zh-CN"/>
        </w:rPr>
        <w:t>2.6本项目涉及</w:t>
      </w:r>
      <w:r>
        <w:rPr>
          <w:rFonts w:hint="eastAsia"/>
          <w:lang w:eastAsia="zh-CN"/>
        </w:rPr>
        <w:t>资质</w:t>
      </w:r>
      <w:bookmarkEnd w:id="23"/>
      <w:bookmarkEnd w:id="24"/>
    </w:p>
    <w:p>
      <w:pPr>
        <w:pStyle w:val="4"/>
        <w:bidi w:val="0"/>
        <w:rPr>
          <w:rFonts w:hint="eastAsia"/>
          <w:b/>
          <w:lang w:val="en-US" w:eastAsia="zh-CN"/>
        </w:rPr>
      </w:pPr>
      <w:bookmarkStart w:id="25" w:name="_Toc21787"/>
      <w:bookmarkStart w:id="26" w:name="_Toc4162"/>
      <w:r>
        <w:rPr>
          <w:rFonts w:hint="eastAsia"/>
          <w:b/>
          <w:lang w:val="en-US" w:eastAsia="zh-CN"/>
        </w:rPr>
        <w:t>2.7开发商委托销售授权函</w:t>
      </w:r>
      <w:bookmarkEnd w:id="25"/>
      <w:bookmarkEnd w:id="26"/>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4"/>
        <w:bidi w:val="0"/>
        <w:rPr>
          <w:rFonts w:hint="default"/>
          <w:b/>
          <w:lang w:val="en-US" w:eastAsia="zh-CN"/>
        </w:rPr>
      </w:pPr>
      <w:bookmarkStart w:id="27" w:name="_Toc2883"/>
      <w:r>
        <w:rPr>
          <w:rFonts w:hint="eastAsia"/>
          <w:b/>
          <w:lang w:val="en-US" w:eastAsia="zh-CN"/>
        </w:rPr>
        <w:t>2.8 承诺函</w:t>
      </w:r>
      <w:bookmarkEnd w:id="27"/>
    </w:p>
    <w:p>
      <w:pPr>
        <w:pStyle w:val="8"/>
        <w:spacing w:after="0" w:line="360" w:lineRule="auto"/>
        <w:ind w:left="0" w:leftChars="0"/>
        <w:jc w:val="center"/>
        <w:rPr>
          <w:rFonts w:hint="default" w:ascii="宋体" w:hAnsi="宋体" w:cs="宋体" w:eastAsiaTheme="minorEastAsia"/>
          <w:b/>
          <w:bCs/>
          <w:kern w:val="0"/>
          <w:sz w:val="28"/>
          <w:szCs w:val="36"/>
          <w:lang w:val="en-US" w:eastAsia="zh-CN"/>
        </w:rPr>
      </w:pPr>
      <w:r>
        <w:rPr>
          <w:rFonts w:hint="eastAsia" w:ascii="宋体" w:hAnsi="宋体" w:cs="宋体"/>
          <w:b/>
          <w:bCs/>
          <w:kern w:val="0"/>
          <w:sz w:val="28"/>
          <w:szCs w:val="36"/>
          <w:lang w:val="en-US" w:eastAsia="zh-CN"/>
        </w:rPr>
        <w:t>承诺函</w:t>
      </w:r>
    </w:p>
    <w:p>
      <w:pPr>
        <w:pStyle w:val="8"/>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pPr>
        <w:pStyle w:val="5"/>
        <w:spacing w:line="400" w:lineRule="exact"/>
        <w:jc w:val="left"/>
        <w:rPr>
          <w:rFonts w:ascii="宋体"/>
        </w:rPr>
      </w:pPr>
      <w:r>
        <w:rPr>
          <w:rFonts w:hint="eastAsia" w:ascii="宋体" w:hAnsi="宋体" w:cs="宋体"/>
        </w:rPr>
        <w:t>我方</w:t>
      </w:r>
      <w:r>
        <w:rPr>
          <w:rFonts w:hint="eastAsia" w:ascii="宋体" w:hAnsi="宋体" w:cs="宋体"/>
          <w:u w:val="single"/>
        </w:rPr>
        <w:t xml:space="preserve">         </w:t>
      </w:r>
      <w:r>
        <w:rPr>
          <w:rFonts w:hint="eastAsia" w:ascii="宋体" w:hAnsi="宋体" w:cs="宋体"/>
        </w:rPr>
        <w:t>（公司名称）自愿参加贵单位对贵院</w:t>
      </w:r>
      <w:r>
        <w:rPr>
          <w:rFonts w:hint="eastAsia" w:ascii="宋体" w:hAnsi="宋体" w:cs="宋体"/>
          <w:u w:val="single"/>
        </w:rPr>
        <w:t>    </w:t>
      </w:r>
      <w:r>
        <w:rPr>
          <w:rFonts w:hint="eastAsia" w:ascii="宋体" w:hAnsi="宋体" w:cs="宋体"/>
        </w:rPr>
        <w:t>（项目名称）采购前市场调研活动，并按要求提交完整的方案文件。现我方郑重承诺以下内容：</w:t>
      </w:r>
    </w:p>
    <w:p>
      <w:pPr>
        <w:pStyle w:val="5"/>
        <w:spacing w:line="400" w:lineRule="exact"/>
        <w:jc w:val="left"/>
        <w:rPr>
          <w:rFonts w:hint="default" w:ascii="宋体" w:hAnsi="宋体" w:cs="宋体" w:eastAsiaTheme="minorEastAsia"/>
          <w:lang w:val="en-US" w:eastAsia="zh-CN"/>
        </w:rPr>
      </w:pPr>
      <w:r>
        <w:rPr>
          <w:rFonts w:hint="eastAsia" w:ascii="宋体" w:hAnsi="宋体" w:cs="宋体"/>
          <w:lang w:val="en-US" w:eastAsia="zh-CN"/>
        </w:rPr>
        <w:t>一、公司资质要求</w:t>
      </w:r>
    </w:p>
    <w:p>
      <w:pPr>
        <w:pStyle w:val="5"/>
        <w:spacing w:line="400" w:lineRule="exact"/>
        <w:jc w:val="left"/>
        <w:rPr>
          <w:rFonts w:ascii="宋体"/>
        </w:rPr>
      </w:pPr>
      <w:r>
        <w:rPr>
          <w:rFonts w:hint="eastAsia" w:ascii="宋体" w:hAnsi="宋体" w:cs="宋体"/>
        </w:rPr>
        <w:t>（一）在中华人民共和国境内注册，具有独立法人资格的合法企业；</w:t>
      </w:r>
    </w:p>
    <w:p>
      <w:pPr>
        <w:pStyle w:val="5"/>
        <w:spacing w:line="400" w:lineRule="exact"/>
        <w:jc w:val="left"/>
        <w:rPr>
          <w:rFonts w:ascii="宋体"/>
        </w:rPr>
      </w:pPr>
      <w:r>
        <w:rPr>
          <w:rFonts w:hint="eastAsia" w:ascii="宋体" w:hAnsi="宋体" w:cs="宋体"/>
        </w:rPr>
        <w:t>（二）具有良好的商业信誉和健全的财务会计制度；</w:t>
      </w:r>
    </w:p>
    <w:p>
      <w:pPr>
        <w:pStyle w:val="5"/>
        <w:spacing w:line="400" w:lineRule="exact"/>
        <w:jc w:val="left"/>
        <w:rPr>
          <w:rFonts w:ascii="宋体"/>
        </w:rPr>
      </w:pPr>
      <w:r>
        <w:rPr>
          <w:rFonts w:hint="eastAsia" w:ascii="宋体" w:hAnsi="宋体" w:cs="宋体"/>
        </w:rPr>
        <w:t>（三）具有履行合同所必需的设备和专业技术能力；</w:t>
      </w:r>
    </w:p>
    <w:p>
      <w:pPr>
        <w:pStyle w:val="5"/>
        <w:spacing w:line="400" w:lineRule="exact"/>
        <w:jc w:val="left"/>
        <w:rPr>
          <w:rFonts w:ascii="宋体"/>
        </w:rPr>
      </w:pPr>
      <w:r>
        <w:rPr>
          <w:rFonts w:hint="eastAsia" w:ascii="宋体" w:hAnsi="宋体" w:cs="宋体"/>
        </w:rPr>
        <w:t>（四）有依法缴纳税收和社会保障资金的良好记录；</w:t>
      </w:r>
    </w:p>
    <w:p>
      <w:pPr>
        <w:pStyle w:val="5"/>
        <w:spacing w:line="400" w:lineRule="exact"/>
        <w:jc w:val="left"/>
        <w:rPr>
          <w:rFonts w:ascii="宋体"/>
        </w:rPr>
      </w:pPr>
      <w:r>
        <w:rPr>
          <w:rFonts w:hint="eastAsia" w:ascii="宋体" w:hAnsi="宋体" w:cs="宋体"/>
        </w:rPr>
        <w:t>（五）参加采购活动前三年内，在经营活动中没有重大违法记录；</w:t>
      </w:r>
    </w:p>
    <w:p>
      <w:pPr>
        <w:pStyle w:val="5"/>
        <w:spacing w:line="400" w:lineRule="exact"/>
        <w:jc w:val="left"/>
        <w:rPr>
          <w:rFonts w:ascii="宋体"/>
        </w:rPr>
      </w:pPr>
      <w:r>
        <w:rPr>
          <w:rFonts w:hint="eastAsia" w:ascii="宋体" w:hAnsi="宋体" w:cs="宋体"/>
        </w:rPr>
        <w:t>（六）法律、行政法规规定的其他条件；</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二、提供资料的真实性</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（一）我方按照贵院要求提供的方案内容及相关材料完全真实，若存在虚假，我方愿意接受贵单位及相关权利机构的相应处理。</w:t>
      </w:r>
    </w:p>
    <w:p>
      <w:pPr>
        <w:pStyle w:val="5"/>
        <w:spacing w:line="400" w:lineRule="exact"/>
        <w:jc w:val="left"/>
        <w:rPr>
          <w:rFonts w:hint="default" w:ascii="宋体" w:hAnsi="宋体" w:cs="宋体"/>
          <w:lang w:val="en-US" w:eastAsia="zh-CN"/>
        </w:rPr>
      </w:pPr>
      <w:r>
        <w:rPr>
          <w:rFonts w:hint="eastAsia" w:ascii="宋体" w:hAnsi="宋体" w:cs="宋体"/>
          <w:lang w:val="en-US" w:eastAsia="zh-CN"/>
        </w:rPr>
        <w:t>（二）我方同意贵单位对参加调研的所有方案进行参考与综合，同意贵单位对于结果不作任何解释。</w:t>
      </w:r>
    </w:p>
    <w:p>
      <w:pPr>
        <w:pStyle w:val="5"/>
        <w:spacing w:line="400" w:lineRule="exact"/>
        <w:jc w:val="left"/>
        <w:rPr>
          <w:rFonts w:hint="eastAsia" w:ascii="宋体" w:hAnsi="宋体" w:cs="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spacing w:line="360" w:lineRule="auto"/>
        <w:ind w:firstLine="420" w:firstLineChars="200"/>
        <w:jc w:val="center"/>
        <w:rPr>
          <w:rFonts w:ascii="宋体"/>
        </w:rPr>
      </w:pPr>
      <w:r>
        <w:rPr>
          <w:rFonts w:hint="eastAsia" w:ascii="宋体" w:hAnsi="宋体" w:cs="宋体"/>
          <w:kern w:val="0"/>
          <w:lang w:val="en-US" w:eastAsia="zh-CN"/>
        </w:rPr>
        <w:t xml:space="preserve">                                        </w:t>
      </w: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9"/>
        <w:spacing w:line="360" w:lineRule="auto"/>
        <w:ind w:firstLine="420" w:firstLineChars="200"/>
        <w:rPr>
          <w:rFonts w:hAnsi="宋体" w:cs="Times New Roman"/>
          <w:kern w:val="0"/>
        </w:rPr>
      </w:pPr>
    </w:p>
    <w:p>
      <w:pPr>
        <w:pStyle w:val="9"/>
        <w:spacing w:line="360" w:lineRule="auto"/>
        <w:ind w:firstLine="420" w:firstLineChars="200"/>
        <w:rPr>
          <w:rFonts w:hint="eastAsia" w:hAnsi="宋体"/>
          <w:kern w:val="0"/>
        </w:rPr>
      </w:pPr>
    </w:p>
    <w:p>
      <w:pPr>
        <w:pStyle w:val="9"/>
        <w:spacing w:line="360" w:lineRule="auto"/>
        <w:ind w:firstLine="420" w:firstLineChars="200"/>
        <w:rPr>
          <w:rFonts w:hint="eastAsia" w:hAnsi="宋体"/>
          <w:kern w:val="0"/>
        </w:rPr>
      </w:pPr>
    </w:p>
    <w:p>
      <w:pPr>
        <w:pStyle w:val="9"/>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5"/>
        <w:spacing w:line="400" w:lineRule="exact"/>
        <w:jc w:val="left"/>
        <w:rPr>
          <w:rFonts w:hint="eastAsia" w:ascii="宋体" w:hAnsi="宋体" w:cs="宋体"/>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8" w:name="_Toc30193"/>
      <w:r>
        <w:rPr>
          <w:rFonts w:hint="eastAsia"/>
          <w:lang w:val="en-US" w:eastAsia="zh-CN"/>
        </w:rPr>
        <w:t>三、项目调研情况一览汇总表</w:t>
      </w:r>
      <w:bookmarkEnd w:id="28"/>
    </w:p>
    <w:p>
      <w:pPr>
        <w:pStyle w:val="7"/>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pPr>
        <w:pStyle w:val="7"/>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837"/>
        <w:gridCol w:w="1058"/>
        <w:gridCol w:w="1117"/>
        <w:gridCol w:w="987"/>
        <w:gridCol w:w="860"/>
        <w:gridCol w:w="730"/>
        <w:gridCol w:w="941"/>
        <w:gridCol w:w="1173"/>
        <w:gridCol w:w="1336"/>
        <w:gridCol w:w="1620"/>
        <w:gridCol w:w="1440"/>
        <w:gridCol w:w="2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000" w:type="pct"/>
            <w:gridSpan w:val="13"/>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9" w:hRule="atLeast"/>
          <w:jc w:val="center"/>
        </w:trPr>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产品名称</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供应商名称</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品牌名称</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报价</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（万元）</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该产品在国内三甲医院用户案例</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实施周期及常驻实施人员</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免费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质保期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（3年及以上）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后期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维护费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（比例）</w:t>
            </w: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优势特色</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是否入围四川省政府采购框架协议（硬件）</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是否涉及采购进口产品（硬件）</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val="0"/>
                <w:color w:val="0000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2" w:hRule="atLeast"/>
          <w:jc w:val="center"/>
        </w:trPr>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r>
              <w:rPr>
                <w:rFonts w:hint="eastAsia" w:ascii="宋体" w:hAnsi="宋体" w:eastAsia="宋体" w:cs="宋体"/>
                <w:i w:val="0"/>
                <w:iCs w:val="0"/>
                <w:color w:val="auto"/>
                <w:sz w:val="22"/>
                <w:szCs w:val="22"/>
                <w:u w:val="none"/>
              </w:rPr>
              <w:t>OSCE考核系统</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2" w:hRule="atLeast"/>
          <w:jc w:val="center"/>
        </w:trPr>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信息化硬件建设</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lang w:val="en-US" w:eastAsia="zh-CN"/>
              </w:rPr>
            </w:pPr>
          </w:p>
          <w:p>
            <w:pPr>
              <w:pStyle w:val="2"/>
              <w:rPr>
                <w:rFonts w:hint="default"/>
                <w:lang w:val="en-US" w:eastAsia="zh-CN"/>
              </w:rPr>
            </w:pP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default"/>
                <w:lang w:val="en-US" w:eastAsia="zh-CN"/>
              </w:rPr>
            </w:pP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5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20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2"/>
        <w:rPr>
          <w:rFonts w:hint="eastAsia"/>
          <w:lang w:val="en-US" w:eastAsia="zh-CN"/>
        </w:rPr>
      </w:pPr>
    </w:p>
    <w:p>
      <w:pPr>
        <w:pStyle w:val="3"/>
        <w:keepNext/>
        <w:keepLines/>
        <w:pageBreakBefore w:val="0"/>
        <w:widowControl w:val="0"/>
        <w:numPr>
          <w:ilvl w:val="0"/>
          <w:numId w:val="3"/>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9" w:name="_Toc6595"/>
      <w:r>
        <w:rPr>
          <w:rFonts w:hint="eastAsia"/>
          <w:lang w:val="en-US" w:eastAsia="zh-CN"/>
        </w:rPr>
        <w:t>调研项目配置清单及分项报价明细</w:t>
      </w:r>
      <w:bookmarkEnd w:id="29"/>
    </w:p>
    <w:p>
      <w:pPr>
        <w:bidi w:val="0"/>
        <w:rPr>
          <w:rFonts w:hint="default"/>
          <w:lang w:val="en-US" w:eastAsia="zh-CN"/>
        </w:rPr>
      </w:pPr>
      <w:r>
        <w:rPr>
          <w:rFonts w:hint="eastAsia"/>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30" w:name="_Toc24038"/>
      <w:r>
        <w:rPr>
          <w:rFonts w:hint="eastAsia"/>
          <w:lang w:val="en-US" w:eastAsia="zh-CN"/>
        </w:rPr>
        <w:t>五、三甲综合医院同类项目案例</w:t>
      </w:r>
      <w:bookmarkEnd w:id="30"/>
    </w:p>
    <w:p>
      <w:pPr>
        <w:pStyle w:val="4"/>
        <w:bidi w:val="0"/>
        <w:ind w:firstLine="482" w:firstLineChars="200"/>
        <w:rPr>
          <w:rFonts w:hint="eastAsia"/>
          <w:lang w:val="en-US" w:eastAsia="zh-CN"/>
        </w:rPr>
      </w:pPr>
      <w:bookmarkStart w:id="31" w:name="_Toc12579"/>
      <w:r>
        <w:rPr>
          <w:rFonts w:hint="eastAsia"/>
          <w:lang w:val="en-US" w:eastAsia="zh-CN"/>
        </w:rPr>
        <w:t>5.1 四川省内（  ）家</w:t>
      </w:r>
      <w:bookmarkEnd w:id="31"/>
    </w:p>
    <w:tbl>
      <w:tblPr>
        <w:tblStyle w:val="15"/>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6"/>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32" w:name="_Toc3373"/>
      <w:r>
        <w:rPr>
          <w:rFonts w:hint="eastAsia"/>
          <w:lang w:val="en-US" w:eastAsia="zh-CN"/>
        </w:rPr>
        <w:t>5.2 四川省外（  ）家</w:t>
      </w:r>
      <w:bookmarkEnd w:id="32"/>
    </w:p>
    <w:tbl>
      <w:tblPr>
        <w:tblStyle w:val="15"/>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lang w:val="en-US" w:eastAsia="zh-CN"/>
        </w:rPr>
      </w:pPr>
      <w:bookmarkStart w:id="33" w:name="_Toc6592"/>
      <w:bookmarkStart w:id="34" w:name="_Toc138151651"/>
      <w:r>
        <w:rPr>
          <w:rFonts w:hint="eastAsia"/>
          <w:lang w:val="en-US" w:eastAsia="zh-CN"/>
        </w:rPr>
        <w:t>5.3三甲综合医院同类项目案例合同及验收佐证</w:t>
      </w:r>
      <w:bookmarkEnd w:id="33"/>
      <w:bookmarkEnd w:id="34"/>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5" w:name="_Toc138151652"/>
      <w:bookmarkStart w:id="36" w:name="_Toc27685"/>
      <w:r>
        <w:rPr>
          <w:rFonts w:hint="eastAsia"/>
          <w:lang w:val="en-US" w:eastAsia="zh-CN"/>
        </w:rPr>
        <w:t>六、报价表</w:t>
      </w:r>
      <w:bookmarkEnd w:id="35"/>
      <w:r>
        <w:rPr>
          <w:rFonts w:hint="eastAsia"/>
          <w:lang w:val="en-US" w:eastAsia="zh-CN"/>
        </w:rPr>
        <w:t>包含内容</w:t>
      </w:r>
      <w:bookmarkEnd w:id="36"/>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4.质保期之后，系统维保费率不高于招标总价的5%。</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2"/>
        <w:spacing w:line="240" w:lineRule="auto"/>
        <w:ind w:firstLine="560"/>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0000FF"/>
          <w:kern w:val="2"/>
          <w:sz w:val="24"/>
          <w:szCs w:val="24"/>
          <w:lang w:val="en-US" w:eastAsia="zh-CN" w:bidi="ar-SA"/>
        </w:rPr>
        <w:t>8.报价包含提供第三方测评公司出具的测评报告（包括功能、性能、安全等）。</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7" w:name="_Toc15885"/>
      <w:r>
        <w:rPr>
          <w:rFonts w:hint="eastAsia"/>
          <w:lang w:val="en-US" w:eastAsia="zh-CN"/>
        </w:rPr>
        <w:t>七、建设方案</w:t>
      </w:r>
      <w:bookmarkEnd w:id="37"/>
    </w:p>
    <w:p>
      <w:pPr>
        <w:bidi w:val="0"/>
        <w:rPr>
          <w:rFonts w:hint="eastAsia"/>
          <w:lang w:val="en-US" w:eastAsia="zh-CN"/>
        </w:rPr>
      </w:pPr>
      <w:bookmarkStart w:id="38" w:name="_Toc138151653"/>
      <w:r>
        <w:rPr>
          <w:rFonts w:hint="eastAsia"/>
          <w:lang w:val="en-US" w:eastAsia="zh-CN"/>
        </w:rPr>
        <w:t>（包含以下内容，其他内容自拟）</w:t>
      </w:r>
    </w:p>
    <w:p>
      <w:pPr>
        <w:pStyle w:val="4"/>
        <w:bidi w:val="0"/>
        <w:ind w:firstLine="482" w:firstLineChars="200"/>
        <w:rPr>
          <w:rFonts w:hint="eastAsia"/>
          <w:lang w:val="en-US" w:eastAsia="zh-CN"/>
        </w:rPr>
      </w:pPr>
      <w:bookmarkStart w:id="39" w:name="_Toc6336"/>
      <w:r>
        <w:rPr>
          <w:rFonts w:hint="eastAsia"/>
          <w:lang w:val="en-US" w:eastAsia="zh-CN"/>
        </w:rPr>
        <w:t>7.1 实施条件（实施所需的支持条件）</w:t>
      </w:r>
      <w:bookmarkEnd w:id="38"/>
      <w:bookmarkEnd w:id="39"/>
    </w:p>
    <w:p>
      <w:pPr>
        <w:pStyle w:val="4"/>
        <w:bidi w:val="0"/>
        <w:ind w:firstLine="482" w:firstLineChars="200"/>
        <w:rPr>
          <w:rFonts w:hint="eastAsia"/>
          <w:lang w:val="en-US" w:eastAsia="zh-CN"/>
        </w:rPr>
      </w:pPr>
      <w:bookmarkStart w:id="40" w:name="_Toc138151654"/>
      <w:bookmarkStart w:id="41" w:name="_Toc21591"/>
      <w:r>
        <w:rPr>
          <w:rFonts w:hint="eastAsia"/>
          <w:lang w:val="en-US" w:eastAsia="zh-CN"/>
        </w:rPr>
        <w:t>7.2 实施周期</w:t>
      </w:r>
      <w:bookmarkEnd w:id="40"/>
      <w:bookmarkEnd w:id="41"/>
    </w:p>
    <w:p>
      <w:pPr>
        <w:pStyle w:val="4"/>
        <w:bidi w:val="0"/>
        <w:ind w:firstLine="482" w:firstLineChars="200"/>
        <w:rPr>
          <w:rFonts w:hint="eastAsia"/>
          <w:lang w:val="en-US" w:eastAsia="zh-CN"/>
        </w:rPr>
      </w:pPr>
      <w:bookmarkStart w:id="42" w:name="_Toc18352"/>
      <w:bookmarkStart w:id="43" w:name="_Toc138151655"/>
      <w:r>
        <w:rPr>
          <w:rFonts w:hint="eastAsia"/>
          <w:lang w:val="en-US" w:eastAsia="zh-CN"/>
        </w:rPr>
        <w:t>7.3 系统运行环境</w:t>
      </w:r>
      <w:bookmarkEnd w:id="42"/>
      <w:bookmarkEnd w:id="43"/>
    </w:p>
    <w:p>
      <w:pPr>
        <w:pStyle w:val="4"/>
        <w:bidi w:val="0"/>
        <w:ind w:firstLine="482" w:firstLineChars="200"/>
        <w:rPr>
          <w:rFonts w:hint="eastAsia"/>
          <w:lang w:val="en-US" w:eastAsia="zh-CN"/>
        </w:rPr>
      </w:pPr>
      <w:bookmarkStart w:id="44" w:name="_Toc138151656"/>
      <w:bookmarkStart w:id="45" w:name="_Toc8120"/>
      <w:r>
        <w:rPr>
          <w:rFonts w:hint="eastAsia"/>
          <w:lang w:val="en-US" w:eastAsia="zh-CN"/>
        </w:rPr>
        <w:t>7.4 系统总体架构</w:t>
      </w:r>
      <w:bookmarkEnd w:id="44"/>
      <w:bookmarkEnd w:id="45"/>
    </w:p>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EA7A19-1ADE-4EE4-A50D-0F40EEA1DA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AF4DCA4-8C0E-46C7-98DE-1F6475AEF1E7}"/>
  </w:font>
  <w:font w:name="仿宋">
    <w:panose1 w:val="02010609060101010101"/>
    <w:charset w:val="86"/>
    <w:family w:val="auto"/>
    <w:pitch w:val="default"/>
    <w:sig w:usb0="800002BF" w:usb1="38CF7CFA" w:usb2="00000016" w:usb3="00000000" w:csb0="00040001" w:csb1="00000000"/>
    <w:embedRegular r:id="rId3" w:fontKey="{6D0C19DA-A167-40C7-B2F5-8D80B26DF7ED}"/>
  </w:font>
  <w:font w:name="方正小标宋简体">
    <w:panose1 w:val="03000509000000000000"/>
    <w:charset w:val="86"/>
    <w:family w:val="auto"/>
    <w:pitch w:val="default"/>
    <w:sig w:usb0="00000001" w:usb1="080E0000" w:usb2="00000000" w:usb3="00000000" w:csb0="00040000" w:csb1="00000000"/>
    <w:embedRegular r:id="rId4" w:fontKey="{BB8476D5-6ED3-44DF-A930-B50AA5D6B863}"/>
  </w:font>
  <w:font w:name="方正黑体简体">
    <w:panose1 w:val="03000509000000000000"/>
    <w:charset w:val="86"/>
    <w:family w:val="auto"/>
    <w:pitch w:val="default"/>
    <w:sig w:usb0="00000001" w:usb1="080E0000" w:usb2="00000000" w:usb3="00000000" w:csb0="00040000" w:csb1="00000000"/>
    <w:embedRegular r:id="rId5" w:fontKey="{532BED3F-35B1-46BB-B18E-92FEA6C8B9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168C2C5C"/>
    <w:multiLevelType w:val="singleLevel"/>
    <w:tmpl w:val="168C2C5C"/>
    <w:lvl w:ilvl="0" w:tentative="0">
      <w:start w:val="4"/>
      <w:numFmt w:val="chineseCounting"/>
      <w:suff w:val="nothing"/>
      <w:lvlText w:val="%1、"/>
      <w:lvlJc w:val="left"/>
      <w:rPr>
        <w:rFonts w:hint="eastAsia"/>
      </w:rPr>
    </w:lvl>
  </w:abstractNum>
  <w:abstractNum w:abstractNumId="2">
    <w:nsid w:val="7C5E9001"/>
    <w:multiLevelType w:val="singleLevel"/>
    <w:tmpl w:val="7C5E9001"/>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OTdjYmY1Mjg1MTgyZTY5ZDEyNTk3MzEyNmQwYTUifQ=="/>
  </w:docVars>
  <w:rsids>
    <w:rsidRoot w:val="00000000"/>
    <w:rsid w:val="00FE4037"/>
    <w:rsid w:val="0224038E"/>
    <w:rsid w:val="02CE7139"/>
    <w:rsid w:val="030430D0"/>
    <w:rsid w:val="037F580B"/>
    <w:rsid w:val="03D3104E"/>
    <w:rsid w:val="04593878"/>
    <w:rsid w:val="0564791A"/>
    <w:rsid w:val="0B915D31"/>
    <w:rsid w:val="0C811C7B"/>
    <w:rsid w:val="0CDC4161"/>
    <w:rsid w:val="0D5422FE"/>
    <w:rsid w:val="0DD4413B"/>
    <w:rsid w:val="0DDB42A4"/>
    <w:rsid w:val="0E6E4D2B"/>
    <w:rsid w:val="0EA93CA3"/>
    <w:rsid w:val="0F537E5E"/>
    <w:rsid w:val="121A3D4C"/>
    <w:rsid w:val="12E55D8C"/>
    <w:rsid w:val="13712447"/>
    <w:rsid w:val="15175048"/>
    <w:rsid w:val="1598749D"/>
    <w:rsid w:val="16207B77"/>
    <w:rsid w:val="18D92EBD"/>
    <w:rsid w:val="18E35B95"/>
    <w:rsid w:val="18E667CA"/>
    <w:rsid w:val="1A4F72D2"/>
    <w:rsid w:val="1AAF2DD5"/>
    <w:rsid w:val="1AE31E7C"/>
    <w:rsid w:val="1D6B2319"/>
    <w:rsid w:val="1ED65F1E"/>
    <w:rsid w:val="1FC870AB"/>
    <w:rsid w:val="20E172DD"/>
    <w:rsid w:val="20E3342D"/>
    <w:rsid w:val="22A273FF"/>
    <w:rsid w:val="23595A90"/>
    <w:rsid w:val="25C63BAB"/>
    <w:rsid w:val="25C67C05"/>
    <w:rsid w:val="283860D8"/>
    <w:rsid w:val="29FF496C"/>
    <w:rsid w:val="2B8925CC"/>
    <w:rsid w:val="2C6F6170"/>
    <w:rsid w:val="2D755A60"/>
    <w:rsid w:val="2E8E10D4"/>
    <w:rsid w:val="2F0B32F8"/>
    <w:rsid w:val="305F1B4D"/>
    <w:rsid w:val="31003A4B"/>
    <w:rsid w:val="31177DAD"/>
    <w:rsid w:val="312861A0"/>
    <w:rsid w:val="34B66051"/>
    <w:rsid w:val="38761053"/>
    <w:rsid w:val="38A804E3"/>
    <w:rsid w:val="39F8091D"/>
    <w:rsid w:val="3A985554"/>
    <w:rsid w:val="3AAB598F"/>
    <w:rsid w:val="3B82647B"/>
    <w:rsid w:val="3EBE4976"/>
    <w:rsid w:val="3EF73899"/>
    <w:rsid w:val="3FA30BAE"/>
    <w:rsid w:val="3FBB0422"/>
    <w:rsid w:val="3FF23327"/>
    <w:rsid w:val="40FC538A"/>
    <w:rsid w:val="41541661"/>
    <w:rsid w:val="417A0CB4"/>
    <w:rsid w:val="428970E4"/>
    <w:rsid w:val="43494595"/>
    <w:rsid w:val="43624D15"/>
    <w:rsid w:val="44DD4D95"/>
    <w:rsid w:val="49550899"/>
    <w:rsid w:val="4DA259E9"/>
    <w:rsid w:val="4F5F64BA"/>
    <w:rsid w:val="4FB545D4"/>
    <w:rsid w:val="502E58AD"/>
    <w:rsid w:val="5229783A"/>
    <w:rsid w:val="536B2A7D"/>
    <w:rsid w:val="53E51F5E"/>
    <w:rsid w:val="541505F1"/>
    <w:rsid w:val="54F64116"/>
    <w:rsid w:val="55AE0EF4"/>
    <w:rsid w:val="56BF65F2"/>
    <w:rsid w:val="577B4C0F"/>
    <w:rsid w:val="59410223"/>
    <w:rsid w:val="5BB10EFE"/>
    <w:rsid w:val="5C9F0F4B"/>
    <w:rsid w:val="5DB70F91"/>
    <w:rsid w:val="5DEA79AF"/>
    <w:rsid w:val="5E2F3B42"/>
    <w:rsid w:val="5FD85C2C"/>
    <w:rsid w:val="6215043D"/>
    <w:rsid w:val="62561308"/>
    <w:rsid w:val="62927E29"/>
    <w:rsid w:val="635A00BC"/>
    <w:rsid w:val="63D55B2E"/>
    <w:rsid w:val="640D6CAC"/>
    <w:rsid w:val="67CB7B5D"/>
    <w:rsid w:val="67EA2698"/>
    <w:rsid w:val="687304EE"/>
    <w:rsid w:val="6A987C6E"/>
    <w:rsid w:val="6D4B29EE"/>
    <w:rsid w:val="6D6D71FE"/>
    <w:rsid w:val="6EC06CA8"/>
    <w:rsid w:val="6EED01BE"/>
    <w:rsid w:val="709E1F5D"/>
    <w:rsid w:val="71B2000E"/>
    <w:rsid w:val="725577F4"/>
    <w:rsid w:val="74BE1DD0"/>
    <w:rsid w:val="75BD6E1E"/>
    <w:rsid w:val="75BE2C2C"/>
    <w:rsid w:val="76EB7264"/>
    <w:rsid w:val="777813A9"/>
    <w:rsid w:val="77F5610B"/>
    <w:rsid w:val="79175759"/>
    <w:rsid w:val="7CEF5984"/>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99"/>
    <w:pPr>
      <w:spacing w:line="360" w:lineRule="auto"/>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8">
    <w:name w:val="Body Text Indent"/>
    <w:basedOn w:val="1"/>
    <w:qFormat/>
    <w:uiPriority w:val="99"/>
    <w:pPr>
      <w:spacing w:after="120"/>
      <w:ind w:left="420" w:leftChars="200"/>
    </w:pPr>
  </w:style>
  <w:style w:type="paragraph" w:styleId="9">
    <w:name w:val="Plain Text"/>
    <w:basedOn w:val="1"/>
    <w:qFormat/>
    <w:uiPriority w:val="0"/>
    <w:rPr>
      <w:rFonts w:ascii="宋体" w:hAnsi="Courier New" w:cs="宋体"/>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0"/>
    <w:pPr>
      <w:ind w:left="420" w:leftChars="200"/>
    </w:pPr>
  </w:style>
  <w:style w:type="paragraph" w:styleId="1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customStyle="1" w:styleId="19">
    <w:name w:val="font81"/>
    <w:basedOn w:val="17"/>
    <w:qFormat/>
    <w:uiPriority w:val="0"/>
    <w:rPr>
      <w:rFonts w:hint="eastAsia" w:ascii="仿宋" w:hAnsi="仿宋" w:eastAsia="仿宋" w:cs="仿宋"/>
      <w:color w:val="FF0000"/>
      <w:sz w:val="24"/>
      <w:szCs w:val="24"/>
      <w:u w:val="none"/>
    </w:rPr>
  </w:style>
  <w:style w:type="character" w:customStyle="1" w:styleId="20">
    <w:name w:val="font61"/>
    <w:basedOn w:val="17"/>
    <w:qFormat/>
    <w:uiPriority w:val="0"/>
    <w:rPr>
      <w:rFonts w:hint="eastAsia" w:ascii="仿宋" w:hAnsi="仿宋" w:eastAsia="仿宋" w:cs="仿宋"/>
      <w:color w:val="000000"/>
      <w:sz w:val="24"/>
      <w:szCs w:val="24"/>
      <w:u w:val="none"/>
    </w:rPr>
  </w:style>
  <w:style w:type="character" w:customStyle="1" w:styleId="21">
    <w:name w:val="font41"/>
    <w:basedOn w:val="17"/>
    <w:qFormat/>
    <w:uiPriority w:val="0"/>
    <w:rPr>
      <w:rFonts w:hint="eastAsia" w:ascii="仿宋" w:hAnsi="仿宋" w:eastAsia="仿宋" w:cs="仿宋"/>
      <w:color w:val="000000"/>
      <w:sz w:val="24"/>
      <w:szCs w:val="24"/>
      <w:u w:val="none"/>
    </w:rPr>
  </w:style>
  <w:style w:type="character" w:customStyle="1" w:styleId="22">
    <w:name w:val="font71"/>
    <w:basedOn w:val="17"/>
    <w:qFormat/>
    <w:uiPriority w:val="0"/>
    <w:rPr>
      <w:rFonts w:hint="eastAsia" w:ascii="仿宋" w:hAnsi="仿宋" w:eastAsia="仿宋" w:cs="仿宋"/>
      <w:color w:val="0070C0"/>
      <w:sz w:val="24"/>
      <w:szCs w:val="24"/>
      <w:u w:val="none"/>
    </w:rPr>
  </w:style>
  <w:style w:type="character" w:customStyle="1" w:styleId="23">
    <w:name w:val="font51"/>
    <w:basedOn w:val="17"/>
    <w:qFormat/>
    <w:uiPriority w:val="0"/>
    <w:rPr>
      <w:rFonts w:hint="eastAsia" w:ascii="宋体" w:hAnsi="宋体" w:eastAsia="宋体" w:cs="宋体"/>
      <w:color w:val="000000"/>
      <w:sz w:val="24"/>
      <w:szCs w:val="24"/>
      <w:u w:val="none"/>
    </w:rPr>
  </w:style>
  <w:style w:type="character" w:customStyle="1" w:styleId="24">
    <w:name w:val="font21"/>
    <w:basedOn w:val="17"/>
    <w:qFormat/>
    <w:uiPriority w:val="0"/>
    <w:rPr>
      <w:rFonts w:hint="eastAsia" w:ascii="宋体" w:hAnsi="宋体" w:eastAsia="宋体" w:cs="宋体"/>
      <w:color w:val="000000"/>
      <w:sz w:val="22"/>
      <w:szCs w:val="22"/>
      <w:u w:val="none"/>
    </w:rPr>
  </w:style>
  <w:style w:type="character" w:customStyle="1" w:styleId="25">
    <w:name w:val="font11"/>
    <w:basedOn w:val="17"/>
    <w:qFormat/>
    <w:uiPriority w:val="0"/>
    <w:rPr>
      <w:rFonts w:hint="eastAsia" w:ascii="宋体" w:hAnsi="宋体" w:eastAsia="宋体" w:cs="宋体"/>
      <w:b/>
      <w:bCs/>
      <w:color w:val="000000"/>
      <w:sz w:val="24"/>
      <w:szCs w:val="24"/>
      <w:u w:val="none"/>
    </w:rPr>
  </w:style>
  <w:style w:type="paragraph" w:customStyle="1" w:styleId="2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7">
    <w:name w:val="font31"/>
    <w:basedOn w:val="17"/>
    <w:qFormat/>
    <w:uiPriority w:val="0"/>
    <w:rPr>
      <w:rFonts w:hint="eastAsia" w:ascii="宋体" w:hAnsi="宋体" w:eastAsia="宋体" w:cs="宋体"/>
      <w:color w:val="000000"/>
      <w:sz w:val="24"/>
      <w:szCs w:val="24"/>
      <w:u w:val="none"/>
    </w:rPr>
  </w:style>
  <w:style w:type="character" w:customStyle="1" w:styleId="28">
    <w:name w:val="font0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0</TotalTime>
  <ScaleCrop>false</ScaleCrop>
  <LinksUpToDate>false</LinksUpToDate>
  <CharactersWithSpaces>7463</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Jens</cp:lastModifiedBy>
  <cp:lastPrinted>2025-07-04T03:09:00Z</cp:lastPrinted>
  <dcterms:modified xsi:type="dcterms:W3CDTF">2025-07-04T05:13:02Z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2BE5B3BE4C4646EAA0CBC1FE6BCE9D2B_13</vt:lpwstr>
  </property>
</Properties>
</file>