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highlight w:val="none"/>
          <w:lang w:eastAsia="zh-CN"/>
        </w:rPr>
      </w:pPr>
      <w:r>
        <w:rPr>
          <w:rFonts w:hint="eastAsia" w:ascii="宋体" w:hAnsi="宋体" w:eastAsia="宋体" w:cs="宋体"/>
          <w:b/>
          <w:bCs/>
          <w:sz w:val="44"/>
          <w:szCs w:val="44"/>
          <w:highlight w:val="none"/>
          <w:lang w:eastAsia="zh-CN"/>
        </w:rPr>
        <w:t>资阳市中心医院</w:t>
      </w:r>
    </w:p>
    <w:p>
      <w:pPr>
        <w:spacing w:line="360" w:lineRule="auto"/>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皮肤科综合治疗区改造项目</w:t>
      </w:r>
    </w:p>
    <w:p>
      <w:pPr>
        <w:rPr>
          <w:rFonts w:hint="eastAsia" w:ascii="方正小标宋_GBK" w:hAnsi="方正小标宋_GBK" w:eastAsia="方正小标宋_GBK" w:cs="方正小标宋_GBK"/>
          <w:b w:val="0"/>
          <w:bCs w:val="0"/>
          <w:color w:val="5B5852"/>
          <w:kern w:val="0"/>
          <w:sz w:val="44"/>
          <w:szCs w:val="44"/>
          <w:lang w:val="en-US" w:eastAsia="zh-CN"/>
        </w:rPr>
      </w:pPr>
    </w:p>
    <w:p>
      <w:pPr>
        <w:pStyle w:val="2"/>
        <w:rPr>
          <w:rFonts w:hint="eastAsia"/>
          <w:lang w:val="en-US" w:eastAsia="zh-CN"/>
        </w:rPr>
      </w:pPr>
    </w:p>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jc w:val="center"/>
        <w:rPr>
          <w:rFonts w:ascii="宋体"/>
          <w:b/>
          <w:bCs/>
          <w:sz w:val="32"/>
          <w:szCs w:val="32"/>
          <w:highlight w:val="none"/>
        </w:rPr>
      </w:pPr>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sz w:val="32"/>
          <w:szCs w:val="32"/>
          <w:highlight w:val="yellow"/>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五</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一</w:t>
      </w:r>
      <w:r>
        <w:rPr>
          <w:rFonts w:hint="eastAsia" w:ascii="宋体" w:hAnsi="宋体" w:cs="宋体"/>
          <w:b/>
          <w:bCs/>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173895652"/>
      <w:bookmarkStart w:id="1" w:name="_Toc180296779"/>
      <w:bookmarkStart w:id="2" w:name="_Toc211679176"/>
      <w:bookmarkStart w:id="3" w:name="_Toc173895837"/>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pPr>
        <w:pStyle w:val="15"/>
        <w:spacing w:after="0" w:line="360" w:lineRule="auto"/>
        <w:ind w:left="0" w:leftChars="0" w:firstLine="420" w:firstLineChars="200"/>
        <w:rPr>
          <w:rFonts w:hint="eastAsia" w:ascii="宋体" w:hAnsi="宋体" w:cs="宋体"/>
          <w:b/>
          <w:bCs/>
          <w:kern w:val="0"/>
          <w:highlight w:val="none"/>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资阳市中心医院拟对</w:t>
      </w:r>
      <w:r>
        <w:rPr>
          <w:rFonts w:hint="eastAsia" w:ascii="宋体" w:hAnsi="宋体" w:cs="宋体"/>
          <w:kern w:val="0"/>
          <w:highlight w:val="none"/>
          <w:u w:val="single"/>
          <w:lang w:val="en-US" w:eastAsia="zh-CN"/>
        </w:rPr>
        <w:t>皮肤科综合治疗区改造项目</w:t>
      </w:r>
      <w:r>
        <w:rPr>
          <w:rFonts w:hint="eastAsia" w:ascii="宋体" w:hAnsi="宋体" w:cs="宋体"/>
          <w:color w:val="auto"/>
          <w:kern w:val="0"/>
          <w:highlight w:val="none"/>
          <w:lang w:val="en-US" w:eastAsia="zh-CN"/>
        </w:rPr>
        <w:t>进行比选</w:t>
      </w:r>
      <w:r>
        <w:rPr>
          <w:rFonts w:hint="eastAsia" w:ascii="宋体" w:hAnsi="宋体" w:cs="宋体"/>
          <w:kern w:val="0"/>
          <w:highlight w:val="none"/>
          <w:lang w:val="en-US" w:eastAsia="zh-CN"/>
        </w:rPr>
        <w:t>，欢迎符合资质要求的供应商前来参加。</w:t>
      </w:r>
    </w:p>
    <w:p>
      <w:pPr>
        <w:widowControl/>
        <w:spacing w:line="240" w:lineRule="auto"/>
        <w:jc w:val="left"/>
        <w:rPr>
          <w:rFonts w:hint="default"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一、比选项目：</w:t>
      </w:r>
      <w:r>
        <w:rPr>
          <w:rFonts w:hint="eastAsia" w:ascii="宋体" w:hAnsi="宋体" w:eastAsia="宋体" w:cs="宋体"/>
          <w:kern w:val="0"/>
          <w:highlight w:val="none"/>
          <w:lang w:val="en-US" w:eastAsia="zh-CN"/>
        </w:rPr>
        <w:t>皮肤科综合治疗区改造项目</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三、项目简介：</w:t>
      </w:r>
      <w:r>
        <w:rPr>
          <w:rFonts w:hint="eastAsia" w:ascii="宋体" w:hAnsi="宋体" w:cs="宋体"/>
          <w:kern w:val="0"/>
          <w:highlight w:val="none"/>
        </w:rPr>
        <w:t>本项目</w:t>
      </w:r>
      <w:r>
        <w:rPr>
          <w:rFonts w:hint="eastAsia" w:ascii="宋体" w:hAnsi="宋体" w:cs="宋体"/>
          <w:kern w:val="0"/>
          <w:highlight w:val="none"/>
          <w:lang w:val="en-US" w:eastAsia="zh-CN"/>
        </w:rPr>
        <w:t>预算99767.8元，</w:t>
      </w:r>
      <w:r>
        <w:rPr>
          <w:rFonts w:hint="eastAsia" w:ascii="宋体" w:hAnsi="宋体" w:cs="宋体"/>
          <w:kern w:val="0"/>
          <w:highlight w:val="none"/>
        </w:rPr>
        <w:t>共1个包。（详见比选文件第三章）</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在中华人民共和国境内注册，具有独立法人资格的合法企业</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具有履行合同所必须的设备和专业技术能力；</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符合法律、行政法规规定的其他条件</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7</w:t>
      </w:r>
      <w:r>
        <w:rPr>
          <w:rFonts w:hint="eastAsia" w:ascii="宋体" w:hAnsi="宋体" w:cs="宋体"/>
          <w:kern w:val="0"/>
          <w:highlight w:val="none"/>
          <w:lang w:val="en-US" w:eastAsia="zh-CN"/>
        </w:rPr>
        <w:t>.</w:t>
      </w:r>
      <w:r>
        <w:rPr>
          <w:rFonts w:hint="eastAsia" w:ascii="宋体" w:hAnsi="宋体" w:cs="宋体"/>
          <w:kern w:val="0"/>
          <w:highlight w:val="none"/>
        </w:rPr>
        <w:t>根据采购项目提出的特殊条件：供应商须提供“截至比选申请文件递交截止日未被列入失信被执行人、重大税收违法案件当事人名单、政府采购严重违法失信行为记录名单”的承诺函。</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8.本项目不允许联合体参加。</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cs="宋体"/>
          <w:kern w:val="0"/>
          <w:highlight w:val="none"/>
        </w:rPr>
        <w:t>比</w:t>
      </w:r>
      <w:r>
        <w:rPr>
          <w:rFonts w:hint="eastAsia" w:ascii="宋体" w:hAnsi="宋体" w:cs="宋体"/>
          <w:kern w:val="0"/>
          <w:highlight w:val="none"/>
          <w:lang w:val="en-US" w:eastAsia="zh-CN"/>
        </w:rPr>
        <w:t>选文件自2025年1月2日至2025年1月7日，</w:t>
      </w:r>
      <w:r>
        <w:rPr>
          <w:rFonts w:hint="eastAsia" w:ascii="宋体" w:hAnsi="宋体" w:cs="宋体"/>
          <w:kern w:val="0"/>
          <w:highlight w:val="none"/>
          <w:lang w:val="en-US" w:eastAsia="zh-CN"/>
        </w:rPr>
        <w:t>自行在资阳市中心医院官方网站下载。</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2"/>
      <w:bookmarkStart w:id="5" w:name="OLE_LINK1"/>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ascii="宋体" w:hAnsi="宋体" w:cs="宋体"/>
          <w:kern w:val="0"/>
          <w:highlight w:val="none"/>
          <w:lang w:val="en-US" w:eastAsia="zh-CN"/>
        </w:rPr>
        <w:t>2025年 1月8日14时00分</w:t>
      </w:r>
      <w:r>
        <w:rPr>
          <w:rFonts w:hint="eastAsia" w:ascii="宋体" w:hAnsi="宋体" w:cs="宋体"/>
          <w:kern w:val="0"/>
          <w:highlight w:val="none"/>
        </w:rPr>
        <w:t>（</w:t>
      </w:r>
      <w:r>
        <w:rPr>
          <w:rFonts w:hint="eastAsia" w:ascii="宋体" w:hAnsi="宋体" w:cs="宋体"/>
          <w:kern w:val="0"/>
          <w:highlight w:val="none"/>
        </w:rPr>
        <w:t>北京时间）</w:t>
      </w:r>
      <w:r>
        <w:rPr>
          <w:rFonts w:hint="eastAsia" w:ascii="宋体" w:hAnsi="宋体" w:cs="宋体"/>
          <w:kern w:val="0"/>
          <w:highlight w:val="none"/>
          <w:lang w:val="en-US" w:eastAsia="zh-CN"/>
        </w:rPr>
        <w:t>现场</w:t>
      </w:r>
      <w:r>
        <w:rPr>
          <w:rFonts w:hint="eastAsia" w:ascii="宋体" w:hAnsi="宋体" w:cs="宋体"/>
          <w:kern w:val="0"/>
          <w:highlight w:val="none"/>
        </w:rPr>
        <w:t>递交比选申请文件</w:t>
      </w:r>
      <w:r>
        <w:rPr>
          <w:rFonts w:hint="eastAsia" w:ascii="宋体" w:hAnsi="宋体" w:cs="宋体"/>
          <w:kern w:val="0"/>
          <w:highlight w:val="none"/>
          <w:lang w:eastAsia="zh-CN"/>
        </w:rPr>
        <w:t>，</w:t>
      </w:r>
      <w:r>
        <w:rPr>
          <w:rFonts w:hint="eastAsia" w:ascii="宋体" w:hAnsi="宋体" w:cs="宋体"/>
          <w:kern w:val="0"/>
          <w:highlight w:val="none"/>
        </w:rPr>
        <w:t>逾期送达比选申请文件将被拒绝。</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w:t>
      </w:r>
      <w:bookmarkStart w:id="45" w:name="_GoBack"/>
      <w:bookmarkEnd w:id="45"/>
      <w:r>
        <w:rPr>
          <w:rFonts w:hint="eastAsia" w:ascii="宋体" w:hAnsi="宋体" w:cs="宋体"/>
          <w:kern w:val="0"/>
          <w:highlight w:val="none"/>
        </w:rPr>
        <w:t>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八、比选保证金：</w:t>
      </w:r>
      <w:r>
        <w:rPr>
          <w:rFonts w:hint="eastAsia" w:ascii="宋体" w:hAnsi="宋体" w:cs="宋体"/>
          <w:kern w:val="0"/>
          <w:highlight w:val="none"/>
        </w:rPr>
        <w:t>本项目不收取。</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官网以公告形式发布。</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pPr>
        <w:wordWrap/>
        <w:overflowPunct/>
        <w:topLinePunct w:val="0"/>
        <w:autoSpaceDE/>
        <w:autoSpaceDN/>
        <w:bidi w:val="0"/>
        <w:adjustRightInd/>
        <w:snapToGrid/>
        <w:spacing w:line="240" w:lineRule="auto"/>
        <w:rPr>
          <w:rFonts w:hint="default" w:ascii="宋体" w:hAnsi="宋体" w:cs="宋体"/>
          <w:kern w:val="0"/>
          <w:highlight w:val="none"/>
          <w:lang w:val="en-US" w:eastAsia="zh-CN"/>
        </w:rPr>
      </w:pPr>
      <w:r>
        <w:rPr>
          <w:rFonts w:hint="eastAsia" w:ascii="宋体" w:hAnsi="宋体" w:cs="宋体"/>
          <w:kern w:val="0"/>
          <w:highlight w:val="none"/>
          <w:lang w:val="en-US" w:eastAsia="zh-CN"/>
        </w:rPr>
        <w:t>比选人：资阳市中心医院。地址：四川省资阳市仁德西路66号医院健康体检楼五楼520室</w:t>
      </w:r>
    </w:p>
    <w:p>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采购部联系人：028-26655128，孙老师。</w:t>
      </w:r>
      <w:r>
        <w:rPr>
          <w:rFonts w:hint="eastAsia" w:ascii="宋体" w:hAnsi="宋体" w:eastAsia="宋体" w:cs="宋体"/>
          <w:b/>
          <w:bCs/>
          <w:kern w:val="2"/>
          <w:sz w:val="28"/>
          <w:szCs w:val="28"/>
          <w:highlight w:val="none"/>
          <w:lang w:val="en-US" w:eastAsia="zh-CN" w:bidi="ar-SA"/>
        </w:rPr>
        <w:t>如涉及“第三章 采购清单及技术要求”内容的咨询，请联系基建运行部：孙老师，028-26226300。</w:t>
      </w:r>
    </w:p>
    <w:p>
      <w:pPr>
        <w:wordWrap/>
        <w:overflowPunct/>
        <w:topLinePunct w:val="0"/>
        <w:autoSpaceDE/>
        <w:autoSpaceDN/>
        <w:bidi w:val="0"/>
        <w:adjustRightInd/>
        <w:snapToGrid/>
        <w:spacing w:line="240" w:lineRule="auto"/>
        <w:rPr>
          <w:rFonts w:hint="default" w:ascii="宋体" w:hAnsi="宋体" w:cs="宋体"/>
          <w:kern w:val="0"/>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518" w:firstLineChars="192"/>
        <w:jc w:val="center"/>
        <w:textAlignment w:val="auto"/>
        <w:outlineLvl w:val="0"/>
        <w:rPr>
          <w:rFonts w:hint="eastAsia" w:ascii="方正黑体_GBK" w:hAnsi="方正黑体_GBK" w:eastAsia="方正黑体_GBK" w:cs="方正黑体_GBK"/>
          <w:b/>
          <w:bCs/>
          <w:kern w:val="44"/>
          <w:sz w:val="32"/>
          <w:szCs w:val="32"/>
          <w:highlight w:val="none"/>
        </w:rPr>
      </w:pPr>
      <w:r>
        <w:rPr>
          <w:rFonts w:ascii="宋体"/>
          <w:b/>
          <w:bCs/>
          <w:kern w:val="44"/>
          <w:sz w:val="27"/>
          <w:szCs w:val="27"/>
          <w:highlight w:val="none"/>
        </w:rPr>
        <w:br w:type="page"/>
      </w: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211679177"/>
      <w:bookmarkStart w:id="7" w:name="_Toc173895838"/>
      <w:bookmarkStart w:id="8" w:name="_Toc180296780"/>
      <w:bookmarkStart w:id="9" w:name="_Toc173895653"/>
    </w:p>
    <w:p>
      <w:pPr>
        <w:wordWrap/>
        <w:overflowPunct/>
        <w:topLinePunct w:val="0"/>
        <w:autoSpaceDE/>
        <w:autoSpaceDN/>
        <w:bidi w:val="0"/>
        <w:adjustRightInd/>
        <w:snapToGrid/>
        <w:spacing w:line="240" w:lineRule="auto"/>
        <w:jc w:val="both"/>
        <w:rPr>
          <w:rFonts w:ascii="宋体"/>
          <w:b/>
          <w:bCs/>
          <w:kern w:val="44"/>
          <w:sz w:val="25"/>
          <w:szCs w:val="25"/>
          <w:highlight w:val="none"/>
        </w:rPr>
      </w:pPr>
    </w:p>
    <w:p>
      <w:pPr>
        <w:pStyle w:val="4"/>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173895840"/>
      <w:bookmarkStart w:id="11" w:name="_Toc180296782"/>
      <w:bookmarkStart w:id="12" w:name="_Toc211679179"/>
      <w:bookmarkStart w:id="13" w:name="_Toc173895655"/>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文件四 其他资格证明文件（如有）</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文件五 报价表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文件六 </w:t>
      </w:r>
      <w:r>
        <w:rPr>
          <w:rFonts w:hint="eastAsia" w:ascii="仿宋" w:hAnsi="仿宋" w:eastAsia="仿宋" w:cs="仿宋"/>
          <w:kern w:val="0"/>
          <w:highlight w:val="none"/>
          <w:lang w:val="en-US" w:eastAsia="zh-CN"/>
        </w:rPr>
        <w:t>商务要求</w:t>
      </w:r>
      <w:r>
        <w:rPr>
          <w:rFonts w:hint="eastAsia" w:ascii="仿宋" w:hAnsi="仿宋" w:eastAsia="仿宋" w:cs="仿宋"/>
          <w:kern w:val="0"/>
          <w:highlight w:val="none"/>
        </w:rPr>
        <w:t>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文件七 </w:t>
      </w:r>
      <w:r>
        <w:rPr>
          <w:rFonts w:hint="eastAsia" w:ascii="仿宋" w:hAnsi="仿宋" w:eastAsia="仿宋" w:cs="仿宋"/>
          <w:kern w:val="0"/>
          <w:highlight w:val="none"/>
          <w:lang w:val="en-US" w:eastAsia="zh-CN"/>
        </w:rPr>
        <w:t>技术要求</w:t>
      </w:r>
      <w:r>
        <w:rPr>
          <w:rFonts w:hint="eastAsia" w:ascii="仿宋" w:hAnsi="仿宋" w:eastAsia="仿宋" w:cs="仿宋"/>
          <w:kern w:val="0"/>
          <w:highlight w:val="none"/>
        </w:rPr>
        <w:t>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廉洁承诺书</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最</w:t>
      </w:r>
      <w:r>
        <w:rPr>
          <w:rFonts w:hint="eastAsia" w:ascii="仿宋" w:hAnsi="仿宋" w:eastAsia="仿宋" w:cs="仿宋"/>
          <w:kern w:val="0"/>
          <w:highlight w:val="none"/>
          <w:lang w:val="en-US" w:eastAsia="zh-CN"/>
        </w:rPr>
        <w:t>终</w:t>
      </w:r>
      <w:r>
        <w:rPr>
          <w:rFonts w:hint="eastAsia" w:ascii="仿宋" w:hAnsi="仿宋" w:eastAsia="仿宋" w:cs="仿宋"/>
          <w:kern w:val="0"/>
          <w:highlight w:val="none"/>
        </w:rPr>
        <w:t>报价表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十</w:t>
      </w:r>
      <w:r>
        <w:rPr>
          <w:rFonts w:hint="eastAsia" w:ascii="仿宋" w:hAnsi="仿宋" w:eastAsia="仿宋" w:cs="仿宋"/>
          <w:kern w:val="0"/>
          <w:highlight w:val="none"/>
        </w:rPr>
        <w:t xml:space="preserve"> 其他材料（如有）</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pPr>
        <w:wordWrap/>
        <w:overflowPunct/>
        <w:topLinePunct w:val="0"/>
        <w:autoSpaceDE/>
        <w:autoSpaceDN/>
        <w:bidi w:val="0"/>
        <w:adjustRightInd/>
        <w:snapToGrid/>
        <w:spacing w:line="240" w:lineRule="auto"/>
        <w:ind w:firstLine="428" w:firstLineChars="204"/>
        <w:rPr>
          <w:rFonts w:ascii="宋体"/>
          <w:b/>
          <w:bCs/>
          <w:kern w:val="0"/>
          <w:highlight w:val="none"/>
        </w:rPr>
      </w:pPr>
      <w:r>
        <w:rPr>
          <w:rFonts w:hint="eastAsia" w:ascii="宋体" w:hAnsi="宋体" w:cs="宋体"/>
          <w:kern w:val="0"/>
          <w:highlight w:val="none"/>
        </w:rPr>
        <w:t>比选申请文件使用的所有文件均采用简体中文书写。</w:t>
      </w:r>
    </w:p>
    <w:p>
      <w:pPr>
        <w:pStyle w:val="4"/>
        <w:numPr>
          <w:ilvl w:val="0"/>
          <w:numId w:val="0"/>
        </w:numPr>
        <w:wordWrap/>
        <w:overflowPunct/>
        <w:topLinePunct w:val="0"/>
        <w:autoSpaceDE/>
        <w:autoSpaceDN/>
        <w:bidi w:val="0"/>
        <w:adjustRightInd/>
        <w:snapToGrid/>
        <w:spacing w:before="0" w:after="0" w:line="24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所有报价一律以人民币报价；比选人不接受任何非人民币币种的报价。</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供应商要按报价表格式内容填写单价及其他事项；不得遗漏。</w:t>
      </w:r>
    </w:p>
    <w:p>
      <w:pPr>
        <w:wordWrap/>
        <w:overflowPunct/>
        <w:topLinePunct w:val="0"/>
        <w:autoSpaceDE/>
        <w:autoSpaceDN/>
        <w:bidi w:val="0"/>
        <w:adjustRightInd/>
        <w:snapToGrid/>
        <w:spacing w:line="240" w:lineRule="auto"/>
        <w:ind w:firstLine="420" w:firstLineChars="200"/>
        <w:rPr>
          <w:rFonts w:ascii="宋体"/>
          <w:color w:val="auto"/>
          <w:kern w:val="0"/>
          <w:highlight w:val="none"/>
        </w:rPr>
      </w:pPr>
      <w:r>
        <w:rPr>
          <w:rFonts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供应商报价按照比选文件要求，履行完成项目所要求工作的总承包价格包</w:t>
      </w:r>
      <w:r>
        <w:rPr>
          <w:rFonts w:hint="eastAsia" w:ascii="宋体" w:hAnsi="宋体" w:cs="宋体"/>
          <w:color w:val="auto"/>
          <w:kern w:val="0"/>
          <w:highlight w:val="none"/>
        </w:rPr>
        <w:t>括</w:t>
      </w:r>
      <w:r>
        <w:rPr>
          <w:rFonts w:hint="eastAsia" w:ascii="宋体" w:hAnsi="宋体" w:eastAsia="宋体" w:cs="Times New Roman"/>
          <w:color w:val="auto"/>
          <w:kern w:val="0"/>
        </w:rPr>
        <w:t>货物</w:t>
      </w:r>
      <w:r>
        <w:rPr>
          <w:rFonts w:hint="eastAsia" w:ascii="宋体" w:hAnsi="宋体" w:cs="Times New Roman"/>
          <w:color w:val="auto"/>
          <w:kern w:val="0"/>
          <w:lang w:eastAsia="zh-CN"/>
        </w:rPr>
        <w:t>、</w:t>
      </w:r>
      <w:r>
        <w:rPr>
          <w:rFonts w:hint="eastAsia" w:ascii="宋体" w:hAnsi="宋体" w:eastAsia="宋体" w:cs="Times New Roman"/>
          <w:color w:val="auto"/>
          <w:kern w:val="0"/>
        </w:rPr>
        <w:t>运输、</w:t>
      </w:r>
      <w:r>
        <w:rPr>
          <w:rFonts w:hint="eastAsia" w:ascii="宋体" w:hAnsi="宋体" w:cs="Times New Roman"/>
          <w:color w:val="auto"/>
          <w:kern w:val="0"/>
          <w:lang w:val="en-US" w:eastAsia="zh-CN"/>
        </w:rPr>
        <w:t>制作、安装、人工、机械、辅材、</w:t>
      </w:r>
      <w:r>
        <w:rPr>
          <w:rFonts w:hint="eastAsia" w:ascii="宋体" w:hAnsi="宋体" w:eastAsia="宋体" w:cs="Times New Roman"/>
          <w:color w:val="auto"/>
          <w:kern w:val="0"/>
        </w:rPr>
        <w:t>保险、代理、培训、税</w:t>
      </w:r>
      <w:r>
        <w:rPr>
          <w:rFonts w:hint="eastAsia" w:ascii="宋体" w:hAnsi="宋体" w:cs="Times New Roman"/>
          <w:color w:val="auto"/>
          <w:kern w:val="0"/>
          <w:lang w:eastAsia="zh-CN"/>
        </w:rPr>
        <w:t>、</w:t>
      </w:r>
      <w:r>
        <w:rPr>
          <w:rFonts w:hint="eastAsia" w:ascii="宋体" w:hAnsi="宋体" w:eastAsia="宋体" w:cs="Times New Roman"/>
          <w:color w:val="auto"/>
          <w:kern w:val="0"/>
        </w:rPr>
        <w:t>费</w:t>
      </w:r>
      <w:r>
        <w:rPr>
          <w:rFonts w:hint="eastAsia" w:ascii="宋体" w:hAnsi="宋体" w:cs="Times New Roman"/>
          <w:color w:val="auto"/>
          <w:kern w:val="0"/>
          <w:lang w:eastAsia="zh-CN"/>
        </w:rPr>
        <w:t>、</w:t>
      </w:r>
      <w:r>
        <w:rPr>
          <w:rFonts w:hint="eastAsia" w:ascii="宋体" w:hAnsi="宋体" w:eastAsia="宋体" w:cs="Times New Roman"/>
          <w:color w:val="auto"/>
          <w:kern w:val="0"/>
        </w:rPr>
        <w:t>验收</w:t>
      </w:r>
      <w:r>
        <w:rPr>
          <w:rFonts w:hint="eastAsia" w:ascii="宋体" w:hAnsi="宋体" w:cs="Times New Roman"/>
          <w:color w:val="auto"/>
          <w:kern w:val="0"/>
          <w:lang w:val="en-US" w:eastAsia="zh-CN"/>
        </w:rPr>
        <w:t>前成品保护和交付后的质保等费用，以及</w:t>
      </w:r>
      <w:r>
        <w:rPr>
          <w:rFonts w:hint="eastAsia" w:ascii="宋体" w:hAnsi="宋体" w:eastAsia="宋体" w:cs="Times New Roman"/>
          <w:color w:val="auto"/>
          <w:kern w:val="0"/>
        </w:rPr>
        <w:t>比选文件规定的其它费用。</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供应商应本着实事求是原则合理报价</w:t>
      </w:r>
      <w:r>
        <w:rPr>
          <w:rFonts w:hint="eastAsia" w:ascii="宋体" w:hAnsi="宋体" w:cs="宋体"/>
          <w:kern w:val="0"/>
          <w:highlight w:val="none"/>
          <w:lang w:eastAsia="zh-CN"/>
        </w:rPr>
        <w:t>，</w:t>
      </w:r>
      <w:r>
        <w:rPr>
          <w:rFonts w:hint="eastAsia" w:ascii="宋体" w:hAnsi="宋体" w:cs="宋体"/>
          <w:kern w:val="0"/>
          <w:highlight w:val="none"/>
        </w:rPr>
        <w:t>报价</w:t>
      </w:r>
      <w:r>
        <w:rPr>
          <w:rFonts w:hint="eastAsia" w:ascii="宋体" w:hAnsi="宋体" w:cs="宋体"/>
          <w:kern w:val="0"/>
          <w:highlight w:val="none"/>
          <w:lang w:val="en-US" w:eastAsia="zh-CN"/>
        </w:rPr>
        <w:t>不能高于</w:t>
      </w:r>
      <w:r>
        <w:rPr>
          <w:rFonts w:hint="eastAsia" w:ascii="宋体" w:hAnsi="宋体" w:cs="宋体"/>
          <w:kern w:val="0"/>
          <w:highlight w:val="none"/>
        </w:rPr>
        <w:t>项目</w:t>
      </w:r>
      <w:r>
        <w:rPr>
          <w:rFonts w:hint="eastAsia" w:ascii="宋体" w:hAnsi="宋体" w:cs="宋体"/>
          <w:kern w:val="0"/>
          <w:highlight w:val="none"/>
          <w:lang w:val="en-US" w:eastAsia="zh-CN"/>
        </w:rPr>
        <w:t>预算</w:t>
      </w:r>
      <w:r>
        <w:rPr>
          <w:rFonts w:hint="eastAsia" w:ascii="宋体" w:hAnsi="宋体" w:cs="宋体"/>
          <w:kern w:val="0"/>
          <w:highlight w:val="none"/>
        </w:rPr>
        <w:t>。</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比选申请文件正本1份，其封面上清楚地标明比选申请文件、采购项目名称、采购包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2.1、比选申请文件1份应按要求进行有效签署，装订成册封装于密封袋密封包装。</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2.2、密封袋正面写明：比选项目名称，供应商名称，比选申请日期等。</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2.3、供应商应于比选文件中规定的递交比选申请文件截止时间前将比选申请文件送达比选邀请中的指定地点。</w:t>
      </w:r>
    </w:p>
    <w:p>
      <w:pPr>
        <w:pStyle w:val="2"/>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3.3本次采购不接收邮寄的比选申请文件。</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2"/>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210211733"/>
      <w:bookmarkStart w:id="15" w:name="_Toc115628325"/>
      <w:bookmarkStart w:id="16" w:name="_Toc177466666"/>
      <w:r>
        <w:rPr>
          <w:rFonts w:hint="eastAsia"/>
          <w:highlight w:val="none"/>
        </w:rPr>
        <w:t>七、评审步骤和办法（最低价评标法）</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pPr>
        <w:wordWrap/>
        <w:overflowPunct/>
        <w:topLinePunct w:val="0"/>
        <w:autoSpaceDE/>
        <w:autoSpaceDN/>
        <w:bidi w:val="0"/>
        <w:adjustRightInd/>
        <w:snapToGrid/>
        <w:spacing w:line="240" w:lineRule="auto"/>
        <w:ind w:firstLine="420" w:firstLineChars="200"/>
        <w:rPr>
          <w:rFonts w:ascii="宋体"/>
          <w:b w:val="0"/>
          <w:bCs w:val="0"/>
          <w:kern w:val="0"/>
          <w:highlight w:val="none"/>
        </w:rPr>
      </w:pPr>
      <w:r>
        <w:rPr>
          <w:rFonts w:hint="eastAsia" w:ascii="宋体" w:hAnsi="宋体" w:cs="宋体"/>
          <w:b w:val="0"/>
          <w:bCs w:val="0"/>
          <w:kern w:val="0"/>
          <w:highlight w:val="none"/>
        </w:rPr>
        <w:t>1</w:t>
      </w:r>
      <w:r>
        <w:rPr>
          <w:rFonts w:hint="eastAsia" w:ascii="宋体" w:hAnsi="宋体" w:cs="宋体"/>
          <w:b w:val="0"/>
          <w:bCs w:val="0"/>
          <w:kern w:val="0"/>
          <w:highlight w:val="none"/>
          <w:lang w:val="en-US" w:eastAsia="zh-CN"/>
        </w:rPr>
        <w:t>.</w:t>
      </w:r>
      <w:r>
        <w:rPr>
          <w:rFonts w:hint="eastAsia" w:ascii="宋体" w:hAnsi="宋体" w:cs="宋体"/>
          <w:b w:val="0"/>
          <w:bCs w:val="0"/>
          <w:kern w:val="0"/>
          <w:highlight w:val="none"/>
        </w:rPr>
        <w:t>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42"/>
        <w:gridCol w:w="763"/>
        <w:gridCol w:w="4222"/>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序号</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分值</w:t>
            </w:r>
          </w:p>
        </w:tc>
        <w:tc>
          <w:tcPr>
            <w:tcW w:w="23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pPr>
              <w:wordWrap/>
              <w:overflowPunct/>
              <w:topLinePunct w:val="0"/>
              <w:autoSpaceDE/>
              <w:autoSpaceDN/>
              <w:bidi w:val="0"/>
              <w:adjustRightInd/>
              <w:snapToGrid/>
              <w:spacing w:line="240" w:lineRule="auto"/>
              <w:jc w:val="center"/>
              <w:rPr>
                <w:rFonts w:ascii="宋体" w:hAnsi="宋体"/>
                <w:highlight w:val="none"/>
              </w:rPr>
            </w:pPr>
            <w:r>
              <w:rPr>
                <w:rFonts w:hint="eastAsia" w:ascii="宋体" w:hAnsi="宋体"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100</w:t>
            </w:r>
          </w:p>
        </w:tc>
        <w:tc>
          <w:tcPr>
            <w:tcW w:w="2330" w:type="pct"/>
            <w:vAlign w:val="center"/>
          </w:tcPr>
          <w:p>
            <w:pPr>
              <w:wordWrap/>
              <w:overflowPunct/>
              <w:topLinePunct w:val="0"/>
              <w:autoSpaceDE/>
              <w:autoSpaceDN/>
              <w:bidi w:val="0"/>
              <w:adjustRightInd/>
              <w:snapToGrid/>
              <w:spacing w:line="240" w:lineRule="auto"/>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pPr>
              <w:wordWrap/>
              <w:overflowPunct/>
              <w:topLinePunct w:val="0"/>
              <w:autoSpaceDE/>
              <w:autoSpaceDN/>
              <w:bidi w:val="0"/>
              <w:adjustRightInd/>
              <w:snapToGrid/>
              <w:spacing w:line="240" w:lineRule="auto"/>
              <w:rPr>
                <w:rFonts w:ascii="宋体" w:hAnsi="宋体" w:cs="仿宋"/>
                <w:highlight w:val="none"/>
              </w:rPr>
            </w:pPr>
            <w:r>
              <w:rPr>
                <w:rFonts w:hint="eastAsia" w:ascii="宋体" w:hAnsi="宋体" w:cs="仿宋"/>
                <w:highlight w:val="none"/>
              </w:rPr>
              <w:t>如存在不唯一最高分，采取随机抽取的形式产生中标人。</w:t>
            </w:r>
          </w:p>
        </w:tc>
      </w:tr>
    </w:tbl>
    <w:p>
      <w:pPr>
        <w:wordWrap/>
        <w:overflowPunct/>
        <w:topLinePunct w:val="0"/>
        <w:autoSpaceDE/>
        <w:autoSpaceDN/>
        <w:bidi w:val="0"/>
        <w:adjustRightInd/>
        <w:snapToGrid/>
        <w:spacing w:line="240" w:lineRule="auto"/>
        <w:ind w:firstLine="403" w:firstLineChars="192"/>
        <w:rPr>
          <w:rFonts w:ascii="宋体" w:hAnsi="宋体" w:cs="宋体"/>
          <w:b/>
          <w:kern w:val="0"/>
          <w:highlight w:val="none"/>
        </w:rPr>
      </w:pPr>
      <w:r>
        <w:rPr>
          <w:rFonts w:hint="eastAsia" w:ascii="宋体" w:hAnsi="宋体" w:cs="宋体"/>
          <w:b w:val="0"/>
          <w:bCs/>
          <w:kern w:val="0"/>
          <w:highlight w:val="none"/>
        </w:rPr>
        <w:t>2</w:t>
      </w:r>
      <w:r>
        <w:rPr>
          <w:rFonts w:hint="eastAsia" w:ascii="宋体" w:hAnsi="宋体" w:cs="宋体"/>
          <w:b w:val="0"/>
          <w:bCs/>
          <w:kern w:val="0"/>
          <w:highlight w:val="none"/>
          <w:lang w:val="en-US" w:eastAsia="zh-CN"/>
        </w:rPr>
        <w:t>.</w:t>
      </w:r>
      <w:r>
        <w:rPr>
          <w:rFonts w:hint="eastAsia" w:ascii="宋体" w:hAnsi="宋体" w:cs="宋体"/>
          <w:b w:val="0"/>
          <w:bCs/>
          <w:kern w:val="0"/>
          <w:highlight w:val="none"/>
        </w:rPr>
        <w:t>提供相同品牌产品处理。（实质性要求）</w:t>
      </w:r>
    </w:p>
    <w:p>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color w:val="auto"/>
          <w:kern w:val="0"/>
          <w:highlight w:val="none"/>
          <w:lang w:val="en-US" w:eastAsia="zh-CN"/>
        </w:rPr>
        <w:t>无</w:t>
      </w:r>
      <w:r>
        <w:rPr>
          <w:rFonts w:hint="eastAsia" w:ascii="宋体" w:hAnsi="宋体" w:cs="宋体"/>
          <w:b/>
          <w:bCs/>
          <w:kern w:val="0"/>
          <w:highlight w:val="none"/>
          <w:lang w:val="en-US" w:eastAsia="zh-CN"/>
        </w:rPr>
        <w:t>。</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7" w:name="_Toc508279863"/>
      <w:r>
        <w:rPr>
          <w:rFonts w:hint="eastAsia" w:ascii="宋体" w:hAnsi="宋体" w:eastAsia="宋体" w:cs="宋体"/>
          <w:kern w:val="0"/>
          <w:highlight w:val="none"/>
          <w:lang w:val="en-US" w:eastAsia="zh-CN"/>
        </w:rPr>
        <w:t>3.</w:t>
      </w:r>
      <w:r>
        <w:rPr>
          <w:rFonts w:hint="eastAsia" w:ascii="宋体" w:hAnsi="宋体" w:eastAsia="宋体" w:cs="宋体"/>
          <w:kern w:val="0"/>
          <w:highlight w:val="none"/>
        </w:rPr>
        <w:t xml:space="preserve"> 资格性审查。</w:t>
      </w:r>
      <w:bookmarkEnd w:id="17"/>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通过资格性审查的供应商不足3家的，终止本次采购活动，并发布终止采购活动公告。</w:t>
      </w:r>
      <w:bookmarkEnd w:id="21"/>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4</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 xml:space="preserve"> 最后报价</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4.1资格审查结束后，评审小组应当要求所有实质性响应的供应商在规定时间内提交最后报价，提交最后报价的供应商不得少于3家。</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5</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编写评审报告</w:t>
      </w:r>
    </w:p>
    <w:p>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6</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供应商澄清、说明</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pPr>
        <w:wordWrap/>
        <w:overflowPunct/>
        <w:topLinePunct w:val="0"/>
        <w:autoSpaceDE/>
        <w:autoSpaceDN/>
        <w:bidi w:val="0"/>
        <w:adjustRightInd/>
        <w:snapToGrid/>
        <w:spacing w:line="240" w:lineRule="auto"/>
        <w:ind w:firstLine="420" w:firstLineChars="200"/>
        <w:rPr>
          <w:rFonts w:ascii="宋体"/>
          <w:kern w:val="0"/>
          <w:highlight w:val="none"/>
        </w:rPr>
      </w:pPr>
      <w:bookmarkStart w:id="22" w:name="_Toc180296784"/>
      <w:bookmarkStart w:id="23" w:name="_Toc211679181"/>
      <w:bookmarkStart w:id="24" w:name="_Toc173895657"/>
      <w:bookmarkStart w:id="25" w:name="_Toc173895842"/>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w:t>
      </w:r>
      <w:r>
        <w:rPr>
          <w:rFonts w:hint="eastAsia" w:ascii="宋体" w:hAnsi="宋体" w:cs="宋体"/>
          <w:kern w:val="0"/>
          <w:highlight w:val="none"/>
          <w:lang w:eastAsia="zh-CN"/>
        </w:rPr>
        <w:t>（</w:t>
      </w:r>
      <w:r>
        <w:rPr>
          <w:rFonts w:hint="eastAsia" w:ascii="宋体" w:hAnsi="宋体" w:cs="宋体"/>
          <w:kern w:val="0"/>
          <w:highlight w:val="none"/>
          <w:lang w:val="en-US" w:eastAsia="zh-CN"/>
        </w:rPr>
        <w:t>中标</w:t>
      </w:r>
      <w:r>
        <w:rPr>
          <w:rFonts w:hint="eastAsia" w:ascii="宋体" w:hAnsi="宋体" w:cs="宋体"/>
          <w:kern w:val="0"/>
          <w:highlight w:val="none"/>
          <w:lang w:eastAsia="zh-CN"/>
        </w:rPr>
        <w:t>）</w:t>
      </w:r>
      <w:r>
        <w:rPr>
          <w:rFonts w:hint="eastAsia" w:ascii="宋体" w:hAnsi="宋体" w:cs="宋体"/>
          <w:kern w:val="0"/>
          <w:highlight w:val="none"/>
        </w:rPr>
        <w:t>通知书，比选人</w:t>
      </w:r>
      <w:r>
        <w:rPr>
          <w:rFonts w:hint="eastAsia" w:ascii="宋体" w:hAnsi="宋体" w:cs="宋体"/>
          <w:kern w:val="0"/>
          <w:highlight w:val="none"/>
          <w:lang w:val="en-US" w:eastAsia="zh-CN"/>
        </w:rPr>
        <w:t>与</w:t>
      </w:r>
      <w:r>
        <w:rPr>
          <w:rFonts w:hint="eastAsia" w:ascii="宋体" w:hAnsi="宋体" w:cs="宋体"/>
          <w:kern w:val="0"/>
          <w:highlight w:val="none"/>
        </w:rPr>
        <w:t>供应商应</w:t>
      </w:r>
      <w:r>
        <w:rPr>
          <w:rFonts w:hint="eastAsia" w:ascii="宋体" w:hAnsi="宋体" w:cs="宋体"/>
          <w:kern w:val="0"/>
          <w:highlight w:val="none"/>
          <w:lang w:val="en-US" w:eastAsia="zh-CN"/>
        </w:rPr>
        <w:t>在</w:t>
      </w:r>
      <w:r>
        <w:rPr>
          <w:rFonts w:hint="eastAsia" w:ascii="宋体" w:hAnsi="宋体" w:cs="宋体"/>
          <w:kern w:val="0"/>
          <w:highlight w:val="none"/>
        </w:rPr>
        <w:t>成交</w:t>
      </w:r>
      <w:r>
        <w:rPr>
          <w:rFonts w:hint="eastAsia" w:ascii="宋体" w:hAnsi="宋体" w:cs="宋体"/>
          <w:kern w:val="0"/>
          <w:highlight w:val="none"/>
          <w:lang w:eastAsia="zh-CN"/>
        </w:rPr>
        <w:t>（</w:t>
      </w:r>
      <w:r>
        <w:rPr>
          <w:rFonts w:hint="eastAsia" w:ascii="宋体" w:hAnsi="宋体" w:cs="宋体"/>
          <w:kern w:val="0"/>
          <w:highlight w:val="none"/>
          <w:lang w:val="en-US" w:eastAsia="zh-CN"/>
        </w:rPr>
        <w:t>中标</w:t>
      </w:r>
      <w:r>
        <w:rPr>
          <w:rFonts w:hint="eastAsia" w:ascii="宋体" w:hAnsi="宋体" w:cs="宋体"/>
          <w:kern w:val="0"/>
          <w:highlight w:val="none"/>
          <w:lang w:eastAsia="zh-CN"/>
        </w:rPr>
        <w:t>）</w:t>
      </w:r>
      <w:r>
        <w:rPr>
          <w:rFonts w:hint="eastAsia" w:ascii="宋体" w:hAnsi="宋体" w:cs="宋体"/>
          <w:kern w:val="0"/>
          <w:highlight w:val="none"/>
        </w:rPr>
        <w:t>通知书</w:t>
      </w:r>
      <w:r>
        <w:rPr>
          <w:rFonts w:hint="eastAsia" w:ascii="宋体" w:hAnsi="宋体" w:cs="宋体"/>
          <w:kern w:val="0"/>
          <w:highlight w:val="none"/>
          <w:lang w:val="en-US" w:eastAsia="zh-CN"/>
        </w:rPr>
        <w:t>发出之日起三十日内，按照采购文件确认的事项</w:t>
      </w:r>
      <w:r>
        <w:rPr>
          <w:rFonts w:hint="eastAsia" w:ascii="宋体" w:hAnsi="宋体" w:cs="宋体"/>
          <w:kern w:val="0"/>
          <w:highlight w:val="none"/>
        </w:rPr>
        <w:t>签订采购合同。</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pPr>
        <w:wordWrap/>
        <w:overflowPunct/>
        <w:topLinePunct w:val="0"/>
        <w:autoSpaceDE/>
        <w:autoSpaceDN/>
        <w:bidi w:val="0"/>
        <w:adjustRightInd/>
        <w:snapToGrid/>
        <w:spacing w:line="24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pPr>
        <w:spacing w:line="360" w:lineRule="auto"/>
        <w:ind w:firstLine="420" w:firstLineChars="200"/>
        <w:jc w:val="center"/>
        <w:rPr>
          <w:rFonts w:hint="default" w:ascii="宋体" w:hAnsi="宋体" w:eastAsia="宋体" w:cs="宋体"/>
          <w:kern w:val="0"/>
          <w:highlight w:val="none"/>
          <w:lang w:val="en-US" w:eastAsia="zh-CN"/>
        </w:rPr>
      </w:pP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lang w:val="en-US" w:eastAsia="zh-CN"/>
        </w:rPr>
        <w:t>合同</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模板</w:t>
      </w:r>
      <w:r>
        <w:rPr>
          <w:rFonts w:hint="eastAsia" w:ascii="宋体" w:hAnsi="宋体" w:cs="宋体"/>
          <w:kern w:val="0"/>
          <w:highlight w:val="none"/>
          <w:lang w:val="en-US" w:eastAsia="zh-CN"/>
        </w:rPr>
        <w:t>）</w:t>
      </w:r>
    </w:p>
    <w:p>
      <w:pPr>
        <w:tabs>
          <w:tab w:val="left" w:pos="3940"/>
        </w:tabs>
        <w:autoSpaceDE w:val="0"/>
        <w:autoSpaceDN w:val="0"/>
        <w:adjustRightInd w:val="0"/>
        <w:spacing w:line="360" w:lineRule="auto"/>
        <w:ind w:left="2664" w:right="-20"/>
        <w:rPr>
          <w:rFonts w:ascii="宋体" w:hAnsi="宋体" w:eastAsia="宋体" w:cs="宋体"/>
          <w:b/>
          <w:kern w:val="0"/>
          <w:sz w:val="32"/>
          <w:highlight w:val="none"/>
        </w:rPr>
      </w:pPr>
    </w:p>
    <w:p>
      <w:pPr>
        <w:spacing w:line="240" w:lineRule="auto"/>
        <w:ind w:firstLine="420" w:firstLineChars="200"/>
        <w:jc w:val="both"/>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采购人（甲方）：资阳市中心医院</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供应商（乙方）：</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根据</w:t>
      </w:r>
      <w:r>
        <w:rPr>
          <w:rFonts w:hint="eastAsia" w:ascii="宋体" w:hAnsi="宋体" w:eastAsia="宋体" w:cs="宋体"/>
          <w:kern w:val="0"/>
          <w:highlight w:val="none"/>
          <w:u w:val="singl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采购项目的《</w:t>
      </w:r>
      <w:r>
        <w:rPr>
          <w:rFonts w:hint="eastAsia" w:ascii="宋体" w:hAnsi="宋体" w:cs="宋体"/>
          <w:kern w:val="0"/>
          <w:highlight w:val="none"/>
          <w:lang w:val="en-US" w:eastAsia="zh-CN"/>
        </w:rPr>
        <w:t>比选</w:t>
      </w:r>
      <w:r>
        <w:rPr>
          <w:rFonts w:hint="eastAsia" w:ascii="宋体" w:hAnsi="宋体" w:eastAsia="宋体" w:cs="宋体"/>
          <w:kern w:val="0"/>
          <w:highlight w:val="none"/>
          <w:lang w:val="en-US" w:eastAsia="zh-CN"/>
        </w:rPr>
        <w:t>文件》、乙方的《</w:t>
      </w:r>
      <w:r>
        <w:rPr>
          <w:rFonts w:hint="eastAsia" w:ascii="宋体" w:hAnsi="宋体" w:cs="宋体"/>
          <w:kern w:val="0"/>
          <w:highlight w:val="none"/>
          <w:lang w:val="en-US" w:eastAsia="zh-CN"/>
        </w:rPr>
        <w:t>比选申请（</w:t>
      </w:r>
      <w:r>
        <w:rPr>
          <w:rFonts w:hint="eastAsia" w:ascii="宋体" w:hAnsi="宋体" w:eastAsia="宋体" w:cs="宋体"/>
          <w:kern w:val="0"/>
          <w:highlight w:val="none"/>
          <w:lang w:val="en-US" w:eastAsia="zh-CN"/>
        </w:rPr>
        <w:t>响应</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文件》及《成交</w:t>
      </w:r>
      <w:r>
        <w:rPr>
          <w:rFonts w:hint="eastAsia" w:ascii="宋体" w:hAnsi="宋体" w:cs="宋体"/>
          <w:kern w:val="0"/>
          <w:highlight w:val="none"/>
          <w:lang w:val="en-US" w:eastAsia="zh-CN"/>
        </w:rPr>
        <w:t>（中标）</w:t>
      </w:r>
      <w:r>
        <w:rPr>
          <w:rFonts w:hint="eastAsia" w:ascii="宋体" w:hAnsi="宋体" w:eastAsia="宋体" w:cs="宋体"/>
          <w:kern w:val="0"/>
          <w:highlight w:val="none"/>
          <w:lang w:val="en-US" w:eastAsia="zh-CN"/>
        </w:rPr>
        <w:t>通知书》，依照《中华人民共和国民法典》及其他有关法律，甲、乙双方同意签订本合同。本项目的</w:t>
      </w:r>
      <w:r>
        <w:rPr>
          <w:rFonts w:hint="eastAsia" w:ascii="宋体" w:hAnsi="宋体" w:cs="宋体"/>
          <w:kern w:val="0"/>
          <w:highlight w:val="none"/>
          <w:lang w:val="en-US" w:eastAsia="zh-CN"/>
        </w:rPr>
        <w:t>比选</w:t>
      </w:r>
      <w:r>
        <w:rPr>
          <w:rFonts w:hint="eastAsia" w:ascii="宋体" w:hAnsi="宋体" w:eastAsia="宋体" w:cs="宋体"/>
          <w:kern w:val="0"/>
          <w:highlight w:val="none"/>
          <w:lang w:val="en-US" w:eastAsia="zh-CN"/>
        </w:rPr>
        <w:t>文件、</w:t>
      </w:r>
      <w:r>
        <w:rPr>
          <w:rFonts w:hint="eastAsia" w:ascii="宋体" w:hAnsi="宋体" w:cs="宋体"/>
          <w:kern w:val="0"/>
          <w:highlight w:val="none"/>
          <w:lang w:val="en-US" w:eastAsia="zh-CN"/>
        </w:rPr>
        <w:t>比选申请（</w:t>
      </w:r>
      <w:r>
        <w:rPr>
          <w:rFonts w:hint="eastAsia" w:ascii="宋体" w:hAnsi="宋体" w:eastAsia="宋体" w:cs="宋体"/>
          <w:kern w:val="0"/>
          <w:highlight w:val="none"/>
          <w:lang w:val="en-US" w:eastAsia="zh-CN"/>
        </w:rPr>
        <w:t>响应</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文件、成交</w:t>
      </w:r>
      <w:r>
        <w:rPr>
          <w:rFonts w:hint="eastAsia" w:ascii="宋体" w:hAnsi="宋体" w:cs="宋体"/>
          <w:kern w:val="0"/>
          <w:highlight w:val="none"/>
          <w:lang w:val="en-US" w:eastAsia="zh-CN"/>
        </w:rPr>
        <w:t>（中标）</w:t>
      </w:r>
      <w:r>
        <w:rPr>
          <w:rFonts w:hint="eastAsia" w:ascii="宋体" w:hAnsi="宋体" w:eastAsia="宋体" w:cs="宋体"/>
          <w:kern w:val="0"/>
          <w:highlight w:val="none"/>
          <w:lang w:val="en-US" w:eastAsia="zh-CN"/>
        </w:rPr>
        <w:t>通知书等均为本合同不可分割的部分。双方同意共同遵守如下条款：</w:t>
      </w:r>
    </w:p>
    <w:p>
      <w:pPr>
        <w:spacing w:line="240" w:lineRule="auto"/>
        <w:ind w:firstLine="420" w:firstLineChars="200"/>
        <w:jc w:val="both"/>
        <w:rPr>
          <w:rFonts w:hint="eastAsia" w:ascii="宋体" w:hAnsi="宋体" w:cs="宋体"/>
          <w:spacing w:val="-4"/>
          <w:highlight w:val="none"/>
          <w:u w:val="single"/>
          <w:lang w:val="en-US" w:eastAsia="zh-CN"/>
        </w:rPr>
      </w:pPr>
      <w:bookmarkStart w:id="26" w:name="_Toc28831_WPSOffice_Level1"/>
      <w:r>
        <w:rPr>
          <w:rFonts w:hint="eastAsia" w:ascii="宋体" w:hAnsi="宋体" w:eastAsia="宋体" w:cs="宋体"/>
          <w:kern w:val="0"/>
          <w:highlight w:val="none"/>
          <w:lang w:val="en-US" w:eastAsia="zh-CN"/>
        </w:rPr>
        <w:t>一、工程概况</w:t>
      </w:r>
      <w:bookmarkEnd w:id="26"/>
      <w:r>
        <w:rPr>
          <w:rFonts w:hint="eastAsia" w:ascii="宋体" w:hAnsi="宋体" w:cs="宋体"/>
          <w:spacing w:val="-4"/>
          <w:highlight w:val="none"/>
          <w:u w:val="single"/>
          <w:lang w:val="en-US" w:eastAsia="zh-CN"/>
        </w:rPr>
        <w:t xml:space="preserve">                           </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1.</w:t>
      </w:r>
      <w:r>
        <w:rPr>
          <w:rFonts w:hint="eastAsia" w:ascii="宋体" w:hAnsi="宋体" w:eastAsia="宋体" w:cs="宋体"/>
          <w:kern w:val="0"/>
          <w:highlight w:val="none"/>
          <w:lang w:val="en-US" w:eastAsia="zh-CN"/>
        </w:rPr>
        <w:t>工程地点：资阳市中心医院</w:t>
      </w:r>
    </w:p>
    <w:p>
      <w:pPr>
        <w:numPr>
          <w:ilvl w:val="0"/>
          <w:numId w:val="0"/>
        </w:numPr>
        <w:spacing w:line="240" w:lineRule="auto"/>
        <w:ind w:firstLine="420" w:firstLineChars="200"/>
        <w:rPr>
          <w:rFonts w:hint="eastAsia" w:ascii="宋体" w:hAnsi="宋体" w:eastAsia="宋体" w:cs="宋体"/>
          <w:highlight w:val="none"/>
          <w:lang w:val="en-US" w:eastAsia="zh-CN"/>
        </w:rPr>
      </w:pPr>
      <w:r>
        <w:rPr>
          <w:rFonts w:hint="eastAsia" w:ascii="宋体" w:hAnsi="宋体" w:cs="宋体"/>
          <w:kern w:val="0"/>
          <w:highlight w:val="none"/>
          <w:lang w:val="en-US" w:eastAsia="zh-CN"/>
        </w:rPr>
        <w:t>2.</w:t>
      </w:r>
      <w:r>
        <w:rPr>
          <w:rFonts w:hint="eastAsia" w:ascii="宋体" w:hAnsi="宋体" w:eastAsia="宋体" w:cs="宋体"/>
          <w:kern w:val="0"/>
          <w:highlight w:val="none"/>
          <w:lang w:val="en-US" w:eastAsia="zh-CN"/>
        </w:rPr>
        <w:t>工程范围：</w:t>
      </w:r>
      <w:r>
        <w:rPr>
          <w:rFonts w:hint="eastAsia" w:ascii="宋体" w:hAnsi="宋体" w:eastAsia="宋体" w:cs="宋体"/>
          <w:highlight w:val="none"/>
        </w:rPr>
        <w:t>本项目工程量清单所示全部内容。</w:t>
      </w:r>
    </w:p>
    <w:p>
      <w:pPr>
        <w:numPr>
          <w:ilvl w:val="0"/>
          <w:numId w:val="0"/>
        </w:numPr>
        <w:spacing w:line="240" w:lineRule="auto"/>
        <w:ind w:firstLine="420" w:firstLineChars="200"/>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3.</w:t>
      </w:r>
      <w:r>
        <w:rPr>
          <w:rFonts w:hint="eastAsia" w:ascii="宋体" w:hAnsi="宋体" w:eastAsia="宋体" w:cs="宋体"/>
          <w:kern w:val="0"/>
          <w:highlight w:val="none"/>
          <w:lang w:val="en-US" w:eastAsia="zh-CN"/>
        </w:rPr>
        <w:t>合同工期：合同生效</w:t>
      </w:r>
      <w:r>
        <w:rPr>
          <w:rFonts w:hint="eastAsia" w:ascii="宋体" w:hAnsi="宋体" w:cs="宋体"/>
          <w:kern w:val="0"/>
          <w:highlight w:val="none"/>
          <w:lang w:val="en-US" w:eastAsia="zh-CN"/>
        </w:rPr>
        <w:t>，甲方发布开工令</w:t>
      </w:r>
      <w:r>
        <w:rPr>
          <w:rFonts w:hint="eastAsia" w:ascii="宋体" w:hAnsi="宋体" w:eastAsia="宋体" w:cs="宋体"/>
          <w:kern w:val="0"/>
          <w:highlight w:val="none"/>
          <w:lang w:val="en-US" w:eastAsia="zh-CN"/>
        </w:rPr>
        <w:t>后</w:t>
      </w:r>
      <w:r>
        <w:rPr>
          <w:rFonts w:hint="eastAsia" w:ascii="宋体" w:hAnsi="宋体" w:eastAsia="宋体" w:cs="宋体"/>
          <w:kern w:val="0"/>
          <w:highlight w:val="none"/>
          <w:u w:val="singl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天，该工期包括法定节假日、交叉施工、配合施工的等待时间。因天气或其它因素影响施工，经甲方确认同意后乙方可以适当延长工期。</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二、工程服务形式</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　　包工、包料、包工期、包质量。</w:t>
      </w:r>
    </w:p>
    <w:p>
      <w:pPr>
        <w:spacing w:line="240" w:lineRule="auto"/>
        <w:ind w:firstLine="420" w:firstLineChars="200"/>
        <w:jc w:val="both"/>
        <w:rPr>
          <w:rFonts w:hint="eastAsia" w:ascii="宋体" w:hAnsi="宋体" w:eastAsia="宋体" w:cs="宋体"/>
          <w:kern w:val="0"/>
          <w:highlight w:val="none"/>
          <w:lang w:val="en-US" w:eastAsia="zh-CN"/>
        </w:rPr>
      </w:pPr>
      <w:bookmarkStart w:id="27" w:name="_Toc3514_WPSOffice_Level1"/>
      <w:r>
        <w:rPr>
          <w:rFonts w:hint="eastAsia" w:ascii="宋体" w:hAnsi="宋体" w:eastAsia="宋体" w:cs="宋体"/>
          <w:kern w:val="0"/>
          <w:highlight w:val="none"/>
          <w:lang w:val="en-US" w:eastAsia="zh-CN"/>
        </w:rPr>
        <w:t>三、结算方式</w:t>
      </w:r>
      <w:bookmarkEnd w:id="27"/>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cstheme="minorBidi"/>
          <w:kern w:val="2"/>
          <w:sz w:val="21"/>
          <w:szCs w:val="21"/>
          <w:highlight w:val="none"/>
          <w:lang w:val="en-US" w:eastAsia="zh-CN" w:bidi="ar-SA"/>
        </w:rPr>
      </w:pPr>
      <w:bookmarkStart w:id="28" w:name="_Toc23191_WPSOffice_Level1"/>
      <w:r>
        <w:rPr>
          <w:rFonts w:hint="eastAsia" w:ascii="宋体" w:hAnsi="宋体" w:cstheme="minorBidi"/>
          <w:kern w:val="2"/>
          <w:sz w:val="21"/>
          <w:szCs w:val="21"/>
          <w:highlight w:val="none"/>
          <w:lang w:val="en-US" w:eastAsia="zh-CN" w:bidi="ar-SA"/>
        </w:rPr>
        <w:t>施工</w:t>
      </w:r>
      <w:r>
        <w:rPr>
          <w:rFonts w:hint="eastAsia" w:ascii="宋体" w:hAnsi="宋体" w:eastAsia="宋体" w:cstheme="minorBidi"/>
          <w:kern w:val="2"/>
          <w:sz w:val="21"/>
          <w:szCs w:val="21"/>
          <w:highlight w:val="none"/>
          <w:lang w:val="en-US" w:eastAsia="zh-CN" w:bidi="ar-SA"/>
        </w:rPr>
        <w:t>完成后经</w:t>
      </w:r>
      <w:r>
        <w:rPr>
          <w:rFonts w:hint="eastAsia" w:ascii="宋体" w:hAnsi="宋体" w:cstheme="minorBidi"/>
          <w:kern w:val="2"/>
          <w:sz w:val="21"/>
          <w:szCs w:val="21"/>
          <w:highlight w:val="none"/>
          <w:lang w:val="en-US" w:eastAsia="zh-CN" w:bidi="ar-SA"/>
        </w:rPr>
        <w:t>甲方</w:t>
      </w:r>
      <w:r>
        <w:rPr>
          <w:rFonts w:hint="eastAsia" w:ascii="宋体" w:hAnsi="宋体" w:eastAsia="宋体" w:cstheme="minorBidi"/>
          <w:kern w:val="2"/>
          <w:sz w:val="21"/>
          <w:szCs w:val="21"/>
          <w:highlight w:val="none"/>
          <w:lang w:val="en-US" w:eastAsia="zh-CN" w:bidi="ar-SA"/>
        </w:rPr>
        <w:t>验收合格，</w:t>
      </w:r>
      <w:r>
        <w:rPr>
          <w:rFonts w:hint="eastAsia" w:ascii="宋体" w:hAnsi="宋体" w:cstheme="minorBidi"/>
          <w:kern w:val="2"/>
          <w:sz w:val="21"/>
          <w:szCs w:val="21"/>
          <w:highlight w:val="none"/>
          <w:lang w:val="en-US" w:eastAsia="zh-CN" w:bidi="ar-SA"/>
        </w:rPr>
        <w:t>乙方按实际情况</w:t>
      </w:r>
      <w:r>
        <w:rPr>
          <w:rFonts w:hint="eastAsia" w:ascii="宋体" w:hAnsi="宋体" w:eastAsia="宋体" w:cstheme="minorBidi"/>
          <w:kern w:val="2"/>
          <w:sz w:val="21"/>
          <w:szCs w:val="21"/>
          <w:highlight w:val="none"/>
          <w:lang w:val="en-US" w:eastAsia="zh-CN" w:bidi="ar-SA"/>
        </w:rPr>
        <w:t>编制</w:t>
      </w:r>
      <w:r>
        <w:rPr>
          <w:rFonts w:hint="eastAsia" w:ascii="宋体" w:hAnsi="宋体" w:cstheme="minorBidi"/>
          <w:kern w:val="2"/>
          <w:sz w:val="21"/>
          <w:szCs w:val="21"/>
          <w:highlight w:val="none"/>
          <w:lang w:val="en-US" w:eastAsia="zh-CN" w:bidi="ar-SA"/>
        </w:rPr>
        <w:t>的</w:t>
      </w:r>
      <w:r>
        <w:rPr>
          <w:rFonts w:hint="eastAsia" w:ascii="宋体" w:hAnsi="宋体" w:eastAsia="宋体" w:cstheme="minorBidi"/>
          <w:kern w:val="2"/>
          <w:sz w:val="21"/>
          <w:szCs w:val="21"/>
          <w:highlight w:val="none"/>
          <w:lang w:val="en-US" w:eastAsia="zh-CN" w:bidi="ar-SA"/>
        </w:rPr>
        <w:t>工程量</w:t>
      </w:r>
      <w:r>
        <w:rPr>
          <w:rFonts w:hint="eastAsia" w:ascii="宋体" w:hAnsi="宋体" w:cstheme="minorBidi"/>
          <w:kern w:val="2"/>
          <w:sz w:val="21"/>
          <w:szCs w:val="21"/>
          <w:highlight w:val="none"/>
          <w:lang w:val="en-US" w:eastAsia="zh-CN" w:bidi="ar-SA"/>
        </w:rPr>
        <w:t>竣工</w:t>
      </w:r>
      <w:r>
        <w:rPr>
          <w:rFonts w:hint="eastAsia" w:ascii="宋体" w:hAnsi="宋体" w:eastAsia="宋体" w:cstheme="minorBidi"/>
          <w:kern w:val="2"/>
          <w:sz w:val="21"/>
          <w:szCs w:val="21"/>
          <w:highlight w:val="none"/>
          <w:lang w:val="en-US" w:eastAsia="zh-CN" w:bidi="ar-SA"/>
        </w:rPr>
        <w:t>结算清单经</w:t>
      </w:r>
      <w:r>
        <w:rPr>
          <w:rFonts w:hint="eastAsia" w:ascii="宋体" w:hAnsi="宋体" w:cstheme="minorBidi"/>
          <w:kern w:val="2"/>
          <w:sz w:val="21"/>
          <w:szCs w:val="21"/>
          <w:highlight w:val="none"/>
          <w:lang w:val="en-US" w:eastAsia="zh-CN" w:bidi="ar-SA"/>
        </w:rPr>
        <w:t>甲方的</w:t>
      </w:r>
      <w:r>
        <w:rPr>
          <w:rFonts w:hint="eastAsia" w:ascii="宋体" w:hAnsi="宋体" w:eastAsia="宋体" w:cstheme="minorBidi"/>
          <w:kern w:val="2"/>
          <w:sz w:val="21"/>
          <w:szCs w:val="21"/>
          <w:highlight w:val="none"/>
          <w:lang w:val="en-US" w:eastAsia="zh-CN" w:bidi="ar-SA"/>
        </w:rPr>
        <w:t>协议审计公司审计后</w:t>
      </w:r>
      <w:r>
        <w:rPr>
          <w:rFonts w:hint="eastAsia" w:ascii="宋体" w:hAnsi="宋体" w:cstheme="minorBidi"/>
          <w:kern w:val="2"/>
          <w:sz w:val="21"/>
          <w:szCs w:val="21"/>
          <w:highlight w:val="none"/>
          <w:lang w:val="en-US" w:eastAsia="zh-CN" w:bidi="ar-SA"/>
        </w:rPr>
        <w:t>，乙方</w:t>
      </w:r>
      <w:r>
        <w:rPr>
          <w:rFonts w:hint="eastAsia" w:ascii="宋体" w:hAnsi="宋体" w:eastAsia="宋体" w:cstheme="minorBidi"/>
          <w:kern w:val="2"/>
          <w:sz w:val="21"/>
          <w:szCs w:val="21"/>
          <w:highlight w:val="none"/>
          <w:lang w:val="en-US" w:eastAsia="zh-CN" w:bidi="ar-SA"/>
        </w:rPr>
        <w:t>按审定金额开具全额有效</w:t>
      </w:r>
      <w:r>
        <w:rPr>
          <w:rFonts w:hint="eastAsia" w:ascii="宋体" w:hAnsi="宋体" w:cstheme="minorBidi"/>
          <w:kern w:val="2"/>
          <w:sz w:val="21"/>
          <w:szCs w:val="21"/>
          <w:highlight w:val="none"/>
          <w:lang w:val="en-US" w:eastAsia="zh-CN" w:bidi="ar-SA"/>
        </w:rPr>
        <w:t>完税</w:t>
      </w:r>
      <w:r>
        <w:rPr>
          <w:rFonts w:hint="eastAsia" w:ascii="宋体" w:hAnsi="宋体" w:eastAsia="宋体" w:cstheme="minorBidi"/>
          <w:kern w:val="2"/>
          <w:sz w:val="21"/>
          <w:szCs w:val="21"/>
          <w:highlight w:val="none"/>
          <w:lang w:val="en-US" w:eastAsia="zh-CN" w:bidi="ar-SA"/>
        </w:rPr>
        <w:t>发票，</w:t>
      </w:r>
      <w:r>
        <w:rPr>
          <w:rFonts w:hint="eastAsia" w:ascii="宋体" w:hAnsi="宋体" w:cstheme="minorBidi"/>
          <w:kern w:val="2"/>
          <w:sz w:val="21"/>
          <w:szCs w:val="21"/>
          <w:highlight w:val="none"/>
          <w:lang w:val="en-US" w:eastAsia="zh-CN" w:bidi="ar-SA"/>
        </w:rPr>
        <w:t>甲方在收到发票后30个工作日内全额支付。</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四、工程总价</w:t>
      </w:r>
      <w:bookmarkEnd w:id="28"/>
    </w:p>
    <w:p>
      <w:pPr>
        <w:pStyle w:val="16"/>
        <w:ind w:firstLine="420" w:firstLineChars="200"/>
        <w:rPr>
          <w:rFonts w:hint="eastAsia" w:ascii="宋体" w:hAnsi="宋体" w:eastAsia="宋体" w:cstheme="minorBidi"/>
          <w:kern w:val="2"/>
          <w:sz w:val="21"/>
          <w:szCs w:val="21"/>
          <w:highlight w:val="none"/>
          <w:lang w:val="en-US" w:eastAsia="zh-CN" w:bidi="ar-SA"/>
        </w:rPr>
      </w:pPr>
      <w:r>
        <w:rPr>
          <w:rFonts w:hint="eastAsia"/>
          <w:lang w:val="en-US" w:eastAsia="zh-CN"/>
        </w:rPr>
        <w:t>合同总价款</w:t>
      </w:r>
      <w:r>
        <w:rPr>
          <w:rFonts w:hint="eastAsia"/>
          <w:u w:val="single"/>
          <w:lang w:val="en-US" w:eastAsia="zh-CN"/>
        </w:rPr>
        <w:t xml:space="preserve">           </w:t>
      </w:r>
      <w:r>
        <w:rPr>
          <w:rFonts w:hint="eastAsia"/>
          <w:u w:val="none"/>
          <w:lang w:val="en-US" w:eastAsia="zh-CN"/>
        </w:rPr>
        <w:t>元 ，大写</w:t>
      </w:r>
      <w:r>
        <w:rPr>
          <w:rFonts w:hint="eastAsia"/>
          <w:u w:val="single"/>
          <w:lang w:val="en-US" w:eastAsia="zh-CN"/>
        </w:rPr>
        <w:t xml:space="preserve">        </w:t>
      </w:r>
      <w:r>
        <w:rPr>
          <w:rFonts w:hint="eastAsia"/>
          <w:u w:val="none"/>
          <w:lang w:val="en-US" w:eastAsia="zh-CN"/>
        </w:rPr>
        <w:t>元。</w:t>
      </w:r>
      <w:r>
        <w:rPr>
          <w:rFonts w:hint="eastAsia" w:ascii="宋体" w:hAnsi="宋体" w:eastAsia="宋体" w:cstheme="minorBidi"/>
          <w:kern w:val="2"/>
          <w:sz w:val="21"/>
          <w:szCs w:val="21"/>
          <w:highlight w:val="none"/>
          <w:lang w:val="en-US" w:eastAsia="zh-CN" w:bidi="ar-SA"/>
        </w:rPr>
        <w:t>包括供应商完成本项目所需的一切费用，</w:t>
      </w:r>
      <w:r>
        <w:rPr>
          <w:rFonts w:hint="eastAsia" w:hAnsi="宋体" w:cstheme="minorBidi"/>
          <w:kern w:val="2"/>
          <w:sz w:val="21"/>
          <w:szCs w:val="21"/>
          <w:highlight w:val="none"/>
          <w:lang w:val="en-US" w:eastAsia="zh-CN" w:bidi="ar-SA"/>
        </w:rPr>
        <w:t>如</w:t>
      </w:r>
      <w:r>
        <w:rPr>
          <w:rFonts w:hint="eastAsia" w:ascii="宋体" w:hAnsi="宋体" w:eastAsia="宋体" w:cstheme="minorBidi"/>
          <w:kern w:val="2"/>
          <w:sz w:val="21"/>
          <w:szCs w:val="21"/>
          <w:highlight w:val="none"/>
          <w:lang w:val="en-US" w:eastAsia="zh-CN" w:bidi="ar-SA"/>
        </w:rPr>
        <w:t>货物、运输、制作、安装、人工、机械、辅材（含水、电等）、保险、代理、培训、税、费、验收前成品保护和交付后的质保等费用。详见下表：</w:t>
      </w:r>
    </w:p>
    <w:tbl>
      <w:tblPr>
        <w:tblStyle w:val="28"/>
        <w:tblW w:w="85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4"/>
        <w:gridCol w:w="1738"/>
        <w:gridCol w:w="892"/>
        <w:gridCol w:w="1044"/>
        <w:gridCol w:w="1598"/>
        <w:gridCol w:w="1227"/>
        <w:gridCol w:w="1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598"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theme="minorBidi"/>
                <w:color w:val="auto"/>
                <w:kern w:val="2"/>
                <w:sz w:val="21"/>
                <w:szCs w:val="21"/>
                <w:highlight w:val="none"/>
                <w:lang w:val="en-US" w:eastAsia="zh-CN" w:bidi="ar-SA"/>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3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89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4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598"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综合</w:t>
            </w:r>
            <w:r>
              <w:rPr>
                <w:rFonts w:hint="eastAsia" w:ascii="宋体" w:hAnsi="宋体" w:eastAsia="宋体" w:cs="宋体"/>
                <w:i w:val="0"/>
                <w:iCs w:val="0"/>
                <w:color w:val="000000"/>
                <w:kern w:val="0"/>
                <w:sz w:val="22"/>
                <w:szCs w:val="22"/>
                <w:u w:val="none"/>
                <w:lang w:val="en-US" w:eastAsia="zh-CN" w:bidi="ar"/>
              </w:rPr>
              <w:t>单价（元）</w:t>
            </w:r>
          </w:p>
        </w:tc>
        <w:tc>
          <w:tcPr>
            <w:tcW w:w="1227" w:type="dxa"/>
            <w:tcBorders>
              <w:top w:val="single" w:color="auto"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62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合计</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16"/>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29" w:name="_Toc21762_WPSOffice_Level1"/>
      <w:r>
        <w:rPr>
          <w:rFonts w:hint="eastAsia" w:ascii="宋体" w:hAnsi="宋体" w:eastAsia="宋体" w:cstheme="minorBidi"/>
          <w:kern w:val="2"/>
          <w:sz w:val="21"/>
          <w:szCs w:val="21"/>
          <w:highlight w:val="none"/>
          <w:lang w:val="en-US" w:eastAsia="zh-CN" w:bidi="ar-SA"/>
        </w:rPr>
        <w:t>五、工程质量监督与检查验收</w:t>
      </w:r>
      <w:bookmarkEnd w:id="29"/>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1、</w:t>
      </w:r>
      <w:r>
        <w:rPr>
          <w:rFonts w:hint="eastAsia" w:ascii="宋体" w:hAnsi="宋体" w:eastAsia="宋体" w:cstheme="minorBidi"/>
          <w:kern w:val="2"/>
          <w:sz w:val="21"/>
          <w:szCs w:val="21"/>
          <w:highlight w:val="none"/>
          <w:lang w:val="en-US" w:eastAsia="zh-CN" w:bidi="ar-SA"/>
        </w:rPr>
        <w:t>乙方在施工中要严格按照国家、行业标准和企业规范及本合同约定进行施工，并随时接受甲方的检查，并为检查、检验提供便利条件，对甲方提出的问题，乙方应及时进行整改，维修工程结束后，由甲、乙双方共同对工程进行验收。在竣工验收时，对于甲方确认的尚未修复的工程质量问题，由乙方负责按甲方的要求继续维修，并承担逾期责任。</w:t>
      </w:r>
    </w:p>
    <w:p>
      <w:pPr>
        <w:pStyle w:val="16"/>
        <w:ind w:firstLine="420" w:firstLineChars="200"/>
        <w:rPr>
          <w:rFonts w:hint="eastAsia" w:ascii="宋体" w:hAnsi="宋体" w:eastAsia="宋体" w:cstheme="minorBidi"/>
          <w:kern w:val="2"/>
          <w:sz w:val="21"/>
          <w:szCs w:val="21"/>
          <w:highlight w:val="none"/>
          <w:lang w:val="en-US" w:eastAsia="zh-CN" w:bidi="ar-SA"/>
        </w:rPr>
      </w:pPr>
      <w:r>
        <w:rPr>
          <w:rFonts w:hint="eastAsia" w:hAnsi="宋体" w:cstheme="minorBidi"/>
          <w:kern w:val="2"/>
          <w:sz w:val="21"/>
          <w:szCs w:val="21"/>
          <w:highlight w:val="none"/>
          <w:lang w:val="en-US" w:eastAsia="zh-CN" w:bidi="ar-SA"/>
        </w:rPr>
        <w:t xml:space="preserve"> </w:t>
      </w:r>
      <w:bookmarkStart w:id="30" w:name="_Toc29458_WPSOffice_Level1"/>
      <w:r>
        <w:rPr>
          <w:rFonts w:hint="eastAsia" w:ascii="宋体" w:hAnsi="宋体" w:eastAsia="宋体" w:cstheme="minorBidi"/>
          <w:kern w:val="2"/>
          <w:sz w:val="21"/>
          <w:szCs w:val="21"/>
          <w:highlight w:val="none"/>
          <w:lang w:val="en-US" w:eastAsia="zh-CN" w:bidi="ar-SA"/>
        </w:rPr>
        <w:t>六、保修</w:t>
      </w:r>
      <w:bookmarkEnd w:id="30"/>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w:t>
      </w:r>
      <w:r>
        <w:rPr>
          <w:rFonts w:hint="eastAsia" w:ascii="宋体" w:hAnsi="宋体" w:cstheme="minorBidi"/>
          <w:kern w:val="2"/>
          <w:sz w:val="21"/>
          <w:szCs w:val="21"/>
          <w:highlight w:val="none"/>
          <w:lang w:val="en-US" w:eastAsia="zh-CN" w:bidi="ar-SA"/>
        </w:rPr>
        <w:t>质保要求按国家相关规定执行</w:t>
      </w:r>
      <w:r>
        <w:rPr>
          <w:rFonts w:hint="eastAsia" w:ascii="宋体" w:hAnsi="宋体" w:eastAsia="宋体" w:cstheme="minorBidi"/>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3、在保修期内，乙方应定期对施工工程进行巡访，做好回访记录，并对存在隐患的质量问题，予以及时解决。乙方现预留保修负责人的书面通信地址和电话，以便通知乙方进行维修。</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1" w:name="_Toc22818_WPSOffice_Level1"/>
      <w:r>
        <w:rPr>
          <w:rFonts w:hint="eastAsia" w:ascii="宋体" w:hAnsi="宋体" w:eastAsia="宋体" w:cstheme="minorBidi"/>
          <w:kern w:val="2"/>
          <w:sz w:val="21"/>
          <w:szCs w:val="21"/>
          <w:highlight w:val="none"/>
          <w:lang w:val="en-US" w:eastAsia="zh-CN" w:bidi="ar-SA"/>
        </w:rPr>
        <w:t>七、违约责任</w:t>
      </w:r>
      <w:bookmarkEnd w:id="31"/>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1、乙方逾期开工、逾期竣工或逾期履行其他义务的，每逾期一日，均应当向甲方承担暂定工程总造价</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color w:val="auto"/>
          <w:kern w:val="2"/>
          <w:sz w:val="21"/>
          <w:szCs w:val="21"/>
          <w:highlight w:val="none"/>
          <w:u w:val="single"/>
          <w:lang w:val="en-US" w:eastAsia="zh-CN" w:bidi="ar-SA"/>
        </w:rPr>
        <w:t xml:space="preserve">  5‰ </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的违约金，任何一项逾期达七日或累计出现三次以上（含三次）迟延履行的，甲方有权解除合同，乙方应当承担因此而造成的甲方的一切损失（包括甲方因此向第三方支付的赔偿金、违约金）。</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2、乙方未经甲方许可停工达</w:t>
      </w:r>
      <w:r>
        <w:rPr>
          <w:rFonts w:hint="eastAsia" w:ascii="宋体" w:hAnsi="宋体" w:cstheme="minorBidi"/>
          <w:kern w:val="2"/>
          <w:sz w:val="21"/>
          <w:szCs w:val="21"/>
          <w:highlight w:val="none"/>
          <w:u w:val="single"/>
          <w:lang w:val="en-US" w:eastAsia="zh-CN" w:bidi="ar-SA"/>
        </w:rPr>
        <w:t xml:space="preserve"> 五 </w:t>
      </w:r>
      <w:r>
        <w:rPr>
          <w:rFonts w:hint="eastAsia" w:ascii="宋体" w:hAnsi="宋体" w:eastAsia="宋体" w:cstheme="minorBidi"/>
          <w:kern w:val="2"/>
          <w:sz w:val="21"/>
          <w:szCs w:val="21"/>
          <w:highlight w:val="none"/>
          <w:lang w:val="en-US" w:eastAsia="zh-CN" w:bidi="ar-SA"/>
        </w:rPr>
        <w:t>日以上的，甲方有权解除合同，乙方并应当无条件于</w:t>
      </w:r>
      <w:r>
        <w:rPr>
          <w:rFonts w:hint="eastAsia" w:ascii="宋体" w:hAnsi="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u w:val="single"/>
          <w:lang w:val="en-US" w:eastAsia="zh-CN" w:bidi="ar-SA"/>
        </w:rPr>
        <w:t>两</w:t>
      </w:r>
      <w:r>
        <w:rPr>
          <w:rFonts w:hint="eastAsia" w:ascii="宋体" w:hAnsi="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日内退场，双方于乙方退场后结算。</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3、乙方违反本合同其他任何一项义务，经甲方通知其限期改正，期满后仍未改正的，甲方有权解除本合同，乙方应当承担因此而造成的甲方的一切损失。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对乙方故意或疏忽导致的材料和施工工艺不符合技术规范及环保要求引起的工程质量问题，或与合同约定不符的，无论工程是否已验收合格、交付使用以及是否超过保修期，均自甲方知道之日起两年内享有对乙方的索赔追偿权利。</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5、未经甲方书面同意，乙方不得将本合同项下的权利、义务转让他人，否则，甲方有权解除合同。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6、乙方维修过的部位所出现的工程质量问题在未解决前，甲方有权拒绝支付任何款项。</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凡因乙方原因导致本合同解除的，乙方应承担合同暂定价款10％的违约赔偿金，如该违约赔偿金不足以弥补甲方所受到的损失的（包括甲方因此向第三方支付的赔偿金、违约金），乙方还应赔偿甲方所受到的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2" w:name="_Toc22252_WPSOffice_Level1"/>
      <w:r>
        <w:rPr>
          <w:rFonts w:hint="eastAsia" w:ascii="宋体" w:hAnsi="宋体" w:eastAsia="宋体" w:cstheme="minorBidi"/>
          <w:kern w:val="2"/>
          <w:sz w:val="21"/>
          <w:szCs w:val="21"/>
          <w:highlight w:val="none"/>
          <w:lang w:val="en-US" w:eastAsia="zh-CN" w:bidi="ar-SA"/>
        </w:rPr>
        <w:t>九、安全施工</w:t>
      </w:r>
      <w:bookmarkEnd w:id="32"/>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3" w:name="_Toc3723_WPSOffice_Level1"/>
      <w:r>
        <w:rPr>
          <w:rFonts w:hint="eastAsia" w:ascii="宋体" w:hAnsi="宋体" w:eastAsia="宋体" w:cstheme="minorBidi"/>
          <w:kern w:val="2"/>
          <w:sz w:val="21"/>
          <w:szCs w:val="21"/>
          <w:highlight w:val="none"/>
          <w:lang w:val="en-US" w:eastAsia="zh-CN" w:bidi="ar-SA"/>
        </w:rPr>
        <w:t>乙方按有关规定采取严格的施工安全措施，承担由于安全措施不力造成的事故责任和因此发生的费用及后果。乙方应为施工人员购买人身意外伤害险及与工程施工有关的一切保险。凡在施工过程中发生安全责任事故或其他责任事故，均由乙方承担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十、施工责任</w:t>
      </w:r>
      <w:bookmarkEnd w:id="33"/>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1、甲方在乙方施工中为乙方提供水、电等</w:t>
      </w:r>
      <w:r>
        <w:rPr>
          <w:rFonts w:hint="eastAsia" w:ascii="宋体" w:hAnsi="宋体" w:cstheme="minorBidi"/>
          <w:kern w:val="2"/>
          <w:sz w:val="21"/>
          <w:szCs w:val="21"/>
          <w:highlight w:val="none"/>
          <w:lang w:val="en-US" w:eastAsia="zh-CN" w:bidi="ar-SA"/>
        </w:rPr>
        <w:t>接口</w:t>
      </w:r>
      <w:r>
        <w:rPr>
          <w:rFonts w:hint="eastAsia" w:ascii="宋体" w:hAnsi="宋体" w:eastAsia="宋体" w:cstheme="minorBidi"/>
          <w:kern w:val="2"/>
          <w:sz w:val="21"/>
          <w:szCs w:val="21"/>
          <w:highlight w:val="none"/>
          <w:lang w:val="en-US" w:eastAsia="zh-CN" w:bidi="ar-SA"/>
        </w:rPr>
        <w:t>，乙方按</w:t>
      </w:r>
      <w:r>
        <w:rPr>
          <w:rFonts w:hint="eastAsia" w:ascii="宋体" w:hAnsi="宋体" w:cstheme="minorBidi"/>
          <w:kern w:val="2"/>
          <w:sz w:val="21"/>
          <w:szCs w:val="21"/>
          <w:highlight w:val="none"/>
          <w:lang w:val="en-US" w:eastAsia="zh-CN" w:bidi="ar-SA"/>
        </w:rPr>
        <w:t>相关规程</w:t>
      </w:r>
      <w:r>
        <w:rPr>
          <w:rFonts w:hint="eastAsia" w:ascii="宋体" w:hAnsi="宋体" w:eastAsia="宋体" w:cstheme="minorBidi"/>
          <w:kern w:val="2"/>
          <w:sz w:val="21"/>
          <w:szCs w:val="21"/>
          <w:highlight w:val="none"/>
          <w:lang w:val="en-US" w:eastAsia="zh-CN" w:bidi="ar-SA"/>
        </w:rPr>
        <w:t>要求</w:t>
      </w:r>
      <w:r>
        <w:rPr>
          <w:rFonts w:hint="eastAsia" w:ascii="宋体" w:hAnsi="宋体" w:cstheme="minorBidi"/>
          <w:kern w:val="2"/>
          <w:sz w:val="21"/>
          <w:szCs w:val="21"/>
          <w:highlight w:val="none"/>
          <w:lang w:val="en-US" w:eastAsia="zh-CN" w:bidi="ar-SA"/>
        </w:rPr>
        <w:t>接入，按甲方规定使用</w:t>
      </w:r>
      <w:r>
        <w:rPr>
          <w:rFonts w:hint="eastAsia" w:ascii="宋体" w:hAnsi="宋体" w:eastAsia="宋体" w:cstheme="minorBidi"/>
          <w:kern w:val="2"/>
          <w:sz w:val="21"/>
          <w:szCs w:val="21"/>
          <w:highlight w:val="none"/>
          <w:lang w:val="en-US" w:eastAsia="zh-CN" w:bidi="ar-SA"/>
        </w:rPr>
        <w:t>。</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2、乙方在施工中要保护甲方及现场第三方人身及财产不能损坏。维修要严格遵守医院规定的制度，如有投诉或乙方损害甲方及现场第三方人身及财产，甲方有权在应付乙方的工程款中扣除相应损失。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3、乙方指派 </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4、乙方严格按照甲方确认的施工做法以及质量标准要求进行施工，做好各项质量检查记录。严格执行施工规范、安全操作规程、防火安全规定、环境保护规定，确保工程达到合同约定及甲方要求。</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5、工程竣工验收合格且交付使用前乙方负责对现场的一切设施和工程成品、半成品进行保护并承担费用。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7、在施工中随时接受甲方代表及其委派人员的质量检查、检验及监督，为检查、检验、监督提供便利条件，并按甲方代表及其委派人员的要求返工、修改，承担因自身原因导致返工、修改的费用。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8、维修施工所需办理的一切审批手续（指按有关法律法规规定需报批的项目）由乙方负责办理并承担费用，一切责任由乙方承担。</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9、本合同约定的维修工程必须由乙方自行完成，未经甲方同意，乙方不得将该工程擅自分包、转包或交由其他任何第三人完成，否则，甲方有权解除本合同。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11、乙方在维修施工过程中应注意爱护甲方的财产、物品，不得破坏建筑物及相关设施、设备。在维修工程中，凡由于乙方原因导致甲方或第三人人身或财产损害的，乙方应当予以赔偿。甲方有权在应付乙方的工程款中扣除，不足部分甲方、业主或有关权利人有权向乙方追偿。</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4" w:name="_Toc20965_WPSOffice_Level1"/>
      <w:r>
        <w:rPr>
          <w:rFonts w:hint="eastAsia" w:ascii="宋体" w:hAnsi="宋体" w:eastAsia="宋体" w:cstheme="minorBidi"/>
          <w:kern w:val="2"/>
          <w:sz w:val="21"/>
          <w:szCs w:val="21"/>
          <w:highlight w:val="none"/>
          <w:lang w:val="en-US" w:eastAsia="zh-CN" w:bidi="ar-SA"/>
        </w:rPr>
        <w:t>十一、其它</w:t>
      </w:r>
      <w:bookmarkEnd w:id="34"/>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1、本合同壹式伍份，甲方执肆份，乙方执壹份，本合同自甲、乙双方签字盖章之日起生效。</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2、未尽事宜或合同执行中发生纠纷，双方应友好协商解决。协商不了，由该维修工程所在地人民法院解决。</w:t>
      </w:r>
    </w:p>
    <w:p>
      <w:pPr>
        <w:pStyle w:val="2"/>
        <w:ind w:firstLine="420" w:firstLineChars="200"/>
        <w:rPr>
          <w:rFonts w:hint="default"/>
          <w:lang w:val="en-US" w:eastAsia="zh-CN"/>
        </w:rPr>
      </w:pPr>
      <w:r>
        <w:rPr>
          <w:rFonts w:hint="eastAsia" w:ascii="宋体" w:hAnsi="宋体" w:cstheme="minorBidi"/>
          <w:kern w:val="2"/>
          <w:sz w:val="21"/>
          <w:szCs w:val="21"/>
          <w:highlight w:val="none"/>
          <w:lang w:val="en-US" w:eastAsia="zh-CN" w:bidi="ar-SA"/>
        </w:rPr>
        <w:t>3</w:t>
      </w:r>
      <w:r>
        <w:rPr>
          <w:rFonts w:hint="eastAsia" w:ascii="宋体" w:hAnsi="宋体" w:eastAsia="宋体" w:cstheme="minorBidi"/>
          <w:kern w:val="2"/>
          <w:sz w:val="21"/>
          <w:szCs w:val="21"/>
          <w:highlight w:val="none"/>
          <w:lang w:val="en-US" w:eastAsia="zh-CN" w:bidi="ar-SA"/>
        </w:rPr>
        <w:t>、</w:t>
      </w:r>
      <w:r>
        <w:rPr>
          <w:rFonts w:hint="eastAsia" w:ascii="宋体" w:hAnsi="宋体" w:cstheme="minorBidi"/>
          <w:kern w:val="2"/>
          <w:sz w:val="21"/>
          <w:szCs w:val="21"/>
          <w:highlight w:val="none"/>
          <w:lang w:val="en-US" w:eastAsia="zh-CN" w:bidi="ar-SA"/>
        </w:rPr>
        <w:t>附件：廉洁承诺书</w:t>
      </w:r>
    </w:p>
    <w:tbl>
      <w:tblPr>
        <w:tblStyle w:val="28"/>
        <w:tblW w:w="101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919"/>
        <w:gridCol w:w="52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6" w:hRule="atLeast"/>
          <w:jc w:val="center"/>
        </w:trPr>
        <w:tc>
          <w:tcPr>
            <w:tcW w:w="4919" w:type="dxa"/>
            <w:tcBorders>
              <w:top w:val="nil"/>
              <w:left w:val="nil"/>
              <w:bottom w:val="nil"/>
              <w:right w:val="nil"/>
            </w:tcBorders>
            <w:noWrap w:val="0"/>
            <w:tcMar>
              <w:left w:w="108" w:type="dxa"/>
              <w:right w:w="108" w:type="dxa"/>
            </w:tcMar>
            <w:vAlign w:val="top"/>
          </w:tcPr>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eastAsia" w:ascii="Calibri" w:hAnsi="Calibri" w:eastAsia="仿宋_GB2312" w:cs="Calibri"/>
                <w:sz w:val="21"/>
                <w:szCs w:val="21"/>
                <w:lang w:eastAsia="zh-CN"/>
              </w:rPr>
            </w:pPr>
            <w:r>
              <w:rPr>
                <w:rFonts w:hint="default" w:ascii="仿宋_GB2312" w:hAnsi="Calibri" w:eastAsia="仿宋_GB2312" w:cs="仿宋_GB2312"/>
                <w:sz w:val="24"/>
                <w:szCs w:val="24"/>
              </w:rPr>
              <w:t>甲方：（章）</w:t>
            </w:r>
            <w:r>
              <w:rPr>
                <w:rFonts w:hint="eastAsia" w:ascii="仿宋_GB2312" w:hAnsi="Calibri" w:eastAsia="仿宋_GB2312" w:cs="仿宋_GB2312"/>
                <w:sz w:val="24"/>
                <w:szCs w:val="24"/>
                <w:lang w:eastAsia="zh-CN"/>
              </w:rPr>
              <w:t>资阳市中心医院</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地址：资阳市雁江区仁德西路66号</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法定代表人签字：</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授权代理人：</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统一社会信用代码：12511800451513294D</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开户行：建行资阳和平路支行</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账号：51001687367051500244</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电话：028-26655128</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日期：202</w:t>
            </w:r>
            <w:r>
              <w:rPr>
                <w:rFonts w:hint="eastAsia" w:ascii="仿宋_GB2312" w:hAnsi="Calibri" w:eastAsia="仿宋_GB2312" w:cs="仿宋_GB2312"/>
                <w:sz w:val="24"/>
                <w:szCs w:val="24"/>
                <w:lang w:val="en-US" w:eastAsia="zh-CN"/>
              </w:rPr>
              <w:t>5</w:t>
            </w:r>
            <w:r>
              <w:rPr>
                <w:rFonts w:hint="default" w:ascii="仿宋_GB2312" w:hAnsi="Calibri" w:eastAsia="仿宋_GB2312" w:cs="仿宋_GB2312"/>
                <w:sz w:val="24"/>
                <w:szCs w:val="24"/>
              </w:rPr>
              <w:t>年　月　日</w:t>
            </w:r>
          </w:p>
        </w:tc>
        <w:tc>
          <w:tcPr>
            <w:tcW w:w="5257" w:type="dxa"/>
            <w:tcBorders>
              <w:top w:val="nil"/>
              <w:left w:val="nil"/>
              <w:bottom w:val="nil"/>
              <w:right w:val="nil"/>
            </w:tcBorders>
            <w:noWrap w:val="0"/>
            <w:tcMar>
              <w:left w:w="108" w:type="dxa"/>
              <w:right w:w="108" w:type="dxa"/>
            </w:tcMar>
            <w:vAlign w:val="top"/>
          </w:tcPr>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eastAsia="仿宋_GB2312" w:cs="Calibri"/>
                <w:sz w:val="21"/>
                <w:szCs w:val="21"/>
                <w:lang w:val="en-US" w:eastAsia="zh-CN"/>
              </w:rPr>
            </w:pPr>
            <w:r>
              <w:rPr>
                <w:rFonts w:hint="default" w:ascii="仿宋_GB2312" w:hAnsi="Calibri" w:eastAsia="仿宋_GB2312" w:cs="仿宋_GB2312"/>
                <w:sz w:val="24"/>
                <w:szCs w:val="24"/>
              </w:rPr>
              <w:t>乙方：（章）</w:t>
            </w:r>
            <w:r>
              <w:rPr>
                <w:rFonts w:hint="eastAsia" w:ascii="仿宋_GB2312" w:hAnsi="Calibri" w:eastAsia="仿宋_GB2312" w:cs="仿宋_GB2312"/>
                <w:sz w:val="24"/>
                <w:szCs w:val="24"/>
                <w:lang w:val="en-US" w:eastAsia="zh-CN"/>
              </w:rPr>
              <w:t xml:space="preserve"> </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地址：</w:t>
            </w:r>
            <w:r>
              <w:rPr>
                <w:rFonts w:hint="eastAsia" w:ascii="仿宋_GB2312" w:hAnsi="Calibri" w:eastAsia="仿宋_GB2312" w:cs="仿宋_GB2312"/>
                <w:sz w:val="24"/>
                <w:szCs w:val="24"/>
                <w:lang w:val="en-US" w:eastAsia="zh-CN"/>
              </w:rPr>
              <w:t xml:space="preserve"> </w:t>
            </w:r>
            <w:r>
              <w:rPr>
                <w:rFonts w:hint="default" w:ascii="仿宋_GB2312" w:hAnsi="Calibri" w:eastAsia="仿宋_GB2312" w:cs="仿宋_GB2312"/>
                <w:sz w:val="24"/>
                <w:szCs w:val="24"/>
              </w:rPr>
              <w:t>法定代表人签字：</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授权代理人：</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eastAsia="仿宋_GB2312" w:cs="Calibri"/>
                <w:sz w:val="21"/>
                <w:szCs w:val="21"/>
                <w:lang w:val="en-US" w:eastAsia="zh-CN"/>
              </w:rPr>
            </w:pPr>
            <w:r>
              <w:rPr>
                <w:rFonts w:hint="default" w:ascii="仿宋_GB2312" w:hAnsi="Calibri" w:eastAsia="仿宋_GB2312" w:cs="仿宋_GB2312"/>
                <w:sz w:val="24"/>
                <w:szCs w:val="24"/>
              </w:rPr>
              <w:t>统一社会信用代码：</w:t>
            </w:r>
            <w:r>
              <w:rPr>
                <w:rFonts w:hint="eastAsia" w:ascii="仿宋_GB2312" w:hAnsi="Calibri" w:eastAsia="仿宋_GB2312" w:cs="仿宋_GB2312"/>
                <w:sz w:val="24"/>
                <w:szCs w:val="24"/>
                <w:lang w:val="en-US" w:eastAsia="zh-CN"/>
              </w:rPr>
              <w:t xml:space="preserve"> </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eastAsia="仿宋_GB2312" w:cs="Calibri"/>
                <w:sz w:val="21"/>
                <w:szCs w:val="21"/>
                <w:lang w:val="en-US" w:eastAsia="zh-CN"/>
              </w:rPr>
            </w:pPr>
            <w:r>
              <w:rPr>
                <w:rFonts w:hint="default" w:ascii="仿宋_GB2312" w:hAnsi="Calibri" w:eastAsia="仿宋_GB2312" w:cs="仿宋_GB2312"/>
                <w:sz w:val="24"/>
                <w:szCs w:val="24"/>
              </w:rPr>
              <w:t>开户行：</w:t>
            </w:r>
            <w:r>
              <w:rPr>
                <w:rFonts w:hint="eastAsia" w:ascii="仿宋_GB2312" w:hAnsi="Calibri" w:eastAsia="仿宋_GB2312" w:cs="仿宋_GB2312"/>
                <w:sz w:val="24"/>
                <w:szCs w:val="24"/>
                <w:lang w:val="en-US" w:eastAsia="zh-CN"/>
              </w:rPr>
              <w:t xml:space="preserve"> </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eastAsia" w:ascii="仿宋_GB2312" w:hAnsi="Calibri" w:eastAsia="仿宋_GB2312" w:cs="仿宋_GB2312"/>
                <w:sz w:val="24"/>
                <w:szCs w:val="24"/>
                <w:lang w:val="en-US" w:eastAsia="zh-CN"/>
              </w:rPr>
            </w:pPr>
            <w:r>
              <w:rPr>
                <w:rFonts w:hint="default" w:ascii="仿宋_GB2312" w:hAnsi="Calibri" w:eastAsia="仿宋_GB2312" w:cs="仿宋_GB2312"/>
                <w:sz w:val="24"/>
                <w:szCs w:val="24"/>
              </w:rPr>
              <w:t>账号：</w:t>
            </w:r>
            <w:r>
              <w:rPr>
                <w:rFonts w:hint="eastAsia" w:ascii="仿宋_GB2312" w:hAnsi="Calibri" w:eastAsia="仿宋_GB2312" w:cs="仿宋_GB2312"/>
                <w:sz w:val="24"/>
                <w:szCs w:val="24"/>
                <w:lang w:val="en-US" w:eastAsia="zh-CN"/>
              </w:rPr>
              <w:t xml:space="preserve"> </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eastAsia="仿宋_GB2312" w:cs="Calibri"/>
                <w:sz w:val="21"/>
                <w:szCs w:val="21"/>
                <w:lang w:val="en-US" w:eastAsia="zh-CN"/>
              </w:rPr>
            </w:pPr>
            <w:r>
              <w:rPr>
                <w:rFonts w:hint="default" w:ascii="仿宋_GB2312" w:hAnsi="Calibri" w:eastAsia="仿宋_GB2312" w:cs="仿宋_GB2312"/>
                <w:sz w:val="24"/>
                <w:szCs w:val="24"/>
              </w:rPr>
              <w:t>电话：</w:t>
            </w:r>
          </w:p>
          <w:p>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default" w:ascii="Calibri" w:hAnsi="Calibri" w:cs="Calibri"/>
                <w:sz w:val="21"/>
                <w:szCs w:val="21"/>
              </w:rPr>
            </w:pPr>
            <w:r>
              <w:rPr>
                <w:rFonts w:hint="default" w:ascii="仿宋_GB2312" w:hAnsi="Calibri" w:eastAsia="仿宋_GB2312" w:cs="仿宋_GB2312"/>
                <w:sz w:val="24"/>
                <w:szCs w:val="24"/>
              </w:rPr>
              <w:t>日期：202</w:t>
            </w:r>
            <w:r>
              <w:rPr>
                <w:rFonts w:hint="eastAsia" w:ascii="仿宋_GB2312" w:hAnsi="Calibri" w:eastAsia="仿宋_GB2312" w:cs="仿宋_GB2312"/>
                <w:sz w:val="24"/>
                <w:szCs w:val="24"/>
                <w:lang w:val="en-US" w:eastAsia="zh-CN"/>
              </w:rPr>
              <w:t>5</w:t>
            </w:r>
            <w:r>
              <w:rPr>
                <w:rFonts w:hint="default" w:ascii="仿宋_GB2312" w:hAnsi="Calibri" w:eastAsia="仿宋_GB2312" w:cs="仿宋_GB2312"/>
                <w:sz w:val="24"/>
                <w:szCs w:val="24"/>
              </w:rPr>
              <w:t>年　月　日</w:t>
            </w:r>
          </w:p>
        </w:tc>
      </w:tr>
    </w:tbl>
    <w:p>
      <w:pPr>
        <w:spacing w:line="360" w:lineRule="auto"/>
        <w:ind w:firstLine="404" w:firstLineChars="200"/>
        <w:rPr>
          <w:rFonts w:ascii="宋体"/>
          <w:spacing w:val="-4"/>
          <w:kern w:val="0"/>
          <w:highlight w:val="none"/>
        </w:rPr>
      </w:pPr>
      <w:r>
        <w:rPr>
          <w:rFonts w:ascii="宋体"/>
          <w:spacing w:val="-4"/>
          <w:highlight w:val="none"/>
        </w:rPr>
        <w:br w:type="page"/>
      </w:r>
    </w:p>
    <w:p>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采购</w:t>
      </w:r>
      <w:bookmarkEnd w:id="22"/>
      <w:bookmarkEnd w:id="23"/>
      <w:bookmarkEnd w:id="24"/>
      <w:bookmarkEnd w:id="25"/>
      <w:r>
        <w:rPr>
          <w:rFonts w:hint="eastAsia" w:ascii="方正黑体_GBK" w:hAnsi="方正黑体_GBK" w:eastAsia="方正黑体_GBK" w:cs="方正黑体_GBK"/>
          <w:b/>
          <w:bCs/>
          <w:kern w:val="44"/>
          <w:sz w:val="32"/>
          <w:szCs w:val="32"/>
          <w:highlight w:val="none"/>
        </w:rPr>
        <w:t>清单及技术要求</w:t>
      </w:r>
    </w:p>
    <w:p>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pPr>
        <w:rPr>
          <w:rFonts w:ascii="宋体"/>
          <w:highlight w:val="none"/>
        </w:rPr>
      </w:pPr>
    </w:p>
    <w:p>
      <w:pPr>
        <w:pStyle w:val="4"/>
        <w:numPr>
          <w:ilvl w:val="0"/>
          <w:numId w:val="0"/>
        </w:numPr>
        <w:spacing w:before="0" w:after="0" w:line="336" w:lineRule="auto"/>
        <w:jc w:val="left"/>
        <w:rPr>
          <w:rFonts w:hint="default" w:eastAsia="宋体" w:cs="Times New Roman"/>
          <w:highlight w:val="none"/>
          <w:lang w:val="en-US" w:eastAsia="zh-CN"/>
        </w:rPr>
      </w:pPr>
      <w:r>
        <w:rPr>
          <w:rFonts w:hint="eastAsia"/>
          <w:highlight w:val="none"/>
        </w:rPr>
        <w:t>一、</w:t>
      </w:r>
      <w:r>
        <w:rPr>
          <w:rFonts w:hint="eastAsia"/>
          <w:highlight w:val="none"/>
          <w:lang w:val="en-US" w:eastAsia="zh-CN"/>
        </w:rPr>
        <w:t>项目概况</w:t>
      </w:r>
    </w:p>
    <w:p>
      <w:pPr>
        <w:pageBreakBefore w:val="0"/>
        <w:widowControl/>
        <w:numPr>
          <w:ilvl w:val="0"/>
          <w:numId w:val="0"/>
        </w:numPr>
        <w:kinsoku/>
        <w:wordWrap/>
        <w:overflowPunct/>
        <w:topLinePunct w:val="0"/>
        <w:autoSpaceDE/>
        <w:autoSpaceDN/>
        <w:bidi w:val="0"/>
        <w:spacing w:line="400" w:lineRule="exact"/>
        <w:ind w:firstLine="420" w:firstLineChars="200"/>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本项目共1个包，比选资阳市中心医院皮肤科综合治疗区改造项目。本项目预算99767.8元。供应商提供专业人员、材料、辅件及相关维修机具等，完成本项目相关工作。</w:t>
      </w:r>
    </w:p>
    <w:p>
      <w:pPr>
        <w:pStyle w:val="4"/>
        <w:numPr>
          <w:ilvl w:val="0"/>
          <w:numId w:val="0"/>
        </w:numPr>
        <w:spacing w:before="0" w:after="0" w:line="336" w:lineRule="auto"/>
        <w:jc w:val="left"/>
        <w:rPr>
          <w:rFonts w:cs="Times New Roman"/>
          <w:color w:val="auto"/>
          <w:highlight w:val="none"/>
        </w:rPr>
      </w:pPr>
      <w:r>
        <w:rPr>
          <w:rFonts w:hint="eastAsia"/>
          <w:color w:val="auto"/>
          <w:highlight w:val="none"/>
        </w:rPr>
        <w:t>★二、商务要求</w:t>
      </w:r>
    </w:p>
    <w:p>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1.工期：</w:t>
      </w:r>
      <w:r>
        <w:rPr>
          <w:rFonts w:hint="eastAsia" w:ascii="宋体" w:hAnsi="宋体" w:eastAsia="宋体" w:cs="宋体"/>
          <w:kern w:val="0"/>
          <w:highlight w:val="none"/>
          <w:lang w:val="en-US" w:eastAsia="zh-CN"/>
        </w:rPr>
        <w:t>合同生效</w:t>
      </w:r>
      <w:r>
        <w:rPr>
          <w:rFonts w:hint="eastAsia" w:ascii="宋体" w:hAnsi="宋体" w:cs="宋体"/>
          <w:kern w:val="0"/>
          <w:highlight w:val="none"/>
          <w:lang w:val="en-US" w:eastAsia="zh-CN"/>
        </w:rPr>
        <w:t>，招标人发布开工令</w:t>
      </w:r>
      <w:r>
        <w:rPr>
          <w:rFonts w:hint="eastAsia" w:ascii="宋体" w:hAnsi="宋体" w:eastAsia="宋体" w:cs="宋体"/>
          <w:kern w:val="0"/>
          <w:highlight w:val="none"/>
          <w:lang w:val="en-US" w:eastAsia="zh-CN"/>
        </w:rPr>
        <w:t>后</w:t>
      </w:r>
      <w:r>
        <w:rPr>
          <w:rFonts w:hint="eastAsia" w:ascii="宋体" w:hAnsi="宋体" w:cstheme="minorBidi"/>
          <w:color w:val="auto"/>
          <w:kern w:val="2"/>
          <w:sz w:val="21"/>
          <w:szCs w:val="21"/>
          <w:highlight w:val="none"/>
          <w:lang w:val="en-US" w:eastAsia="zh-CN" w:bidi="ar-SA"/>
        </w:rPr>
        <w:t>60天内。</w:t>
      </w:r>
    </w:p>
    <w:p>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2.服务地点：资阳市中心医院指定地点。</w:t>
      </w:r>
    </w:p>
    <w:p>
      <w:pPr>
        <w:pageBreakBefore w:val="0"/>
        <w:widowControl/>
        <w:kinsoku/>
        <w:wordWrap/>
        <w:overflowPunct/>
        <w:topLinePunct w:val="0"/>
        <w:autoSpaceDE/>
        <w:autoSpaceDN/>
        <w:bidi w:val="0"/>
        <w:spacing w:line="400" w:lineRule="exact"/>
        <w:textAlignment w:val="auto"/>
        <w:rPr>
          <w:rFonts w:hint="eastAsia" w:ascii="宋体" w:hAnsi="宋体" w:cstheme="minorBidi"/>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3.付款条件：</w:t>
      </w:r>
      <w:r>
        <w:rPr>
          <w:rFonts w:hint="eastAsia" w:ascii="宋体" w:hAnsi="宋体" w:cstheme="minorBidi"/>
          <w:kern w:val="2"/>
          <w:sz w:val="21"/>
          <w:szCs w:val="21"/>
          <w:highlight w:val="none"/>
          <w:lang w:val="en-US" w:eastAsia="zh-CN" w:bidi="ar-SA"/>
        </w:rPr>
        <w:t>施工</w:t>
      </w:r>
      <w:r>
        <w:rPr>
          <w:rFonts w:hint="eastAsia" w:ascii="宋体" w:hAnsi="宋体" w:eastAsia="宋体" w:cstheme="minorBidi"/>
          <w:kern w:val="2"/>
          <w:sz w:val="21"/>
          <w:szCs w:val="21"/>
          <w:highlight w:val="none"/>
          <w:lang w:val="en-US" w:eastAsia="zh-CN" w:bidi="ar-SA"/>
        </w:rPr>
        <w:t>完成后经</w:t>
      </w:r>
      <w:r>
        <w:rPr>
          <w:rFonts w:hint="eastAsia" w:ascii="宋体" w:hAnsi="宋体" w:cstheme="minorBidi"/>
          <w:kern w:val="2"/>
          <w:sz w:val="21"/>
          <w:szCs w:val="21"/>
          <w:highlight w:val="none"/>
          <w:lang w:val="en-US" w:eastAsia="zh-CN" w:bidi="ar-SA"/>
        </w:rPr>
        <w:t>甲方</w:t>
      </w:r>
      <w:r>
        <w:rPr>
          <w:rFonts w:hint="eastAsia" w:ascii="宋体" w:hAnsi="宋体" w:eastAsia="宋体" w:cstheme="minorBidi"/>
          <w:kern w:val="2"/>
          <w:sz w:val="21"/>
          <w:szCs w:val="21"/>
          <w:highlight w:val="none"/>
          <w:lang w:val="en-US" w:eastAsia="zh-CN" w:bidi="ar-SA"/>
        </w:rPr>
        <w:t>验收合格，</w:t>
      </w:r>
      <w:r>
        <w:rPr>
          <w:rFonts w:hint="eastAsia" w:ascii="宋体" w:hAnsi="宋体" w:cstheme="minorBidi"/>
          <w:kern w:val="2"/>
          <w:sz w:val="21"/>
          <w:szCs w:val="21"/>
          <w:highlight w:val="none"/>
          <w:lang w:val="en-US" w:eastAsia="zh-CN" w:bidi="ar-SA"/>
        </w:rPr>
        <w:t>乙方按实际情况</w:t>
      </w:r>
      <w:r>
        <w:rPr>
          <w:rFonts w:hint="eastAsia" w:ascii="宋体" w:hAnsi="宋体" w:eastAsia="宋体" w:cstheme="minorBidi"/>
          <w:kern w:val="2"/>
          <w:sz w:val="21"/>
          <w:szCs w:val="21"/>
          <w:highlight w:val="none"/>
          <w:lang w:val="en-US" w:eastAsia="zh-CN" w:bidi="ar-SA"/>
        </w:rPr>
        <w:t>编制</w:t>
      </w:r>
      <w:r>
        <w:rPr>
          <w:rFonts w:hint="eastAsia" w:ascii="宋体" w:hAnsi="宋体" w:cstheme="minorBidi"/>
          <w:kern w:val="2"/>
          <w:sz w:val="21"/>
          <w:szCs w:val="21"/>
          <w:highlight w:val="none"/>
          <w:lang w:val="en-US" w:eastAsia="zh-CN" w:bidi="ar-SA"/>
        </w:rPr>
        <w:t>的</w:t>
      </w:r>
      <w:r>
        <w:rPr>
          <w:rFonts w:hint="eastAsia" w:ascii="宋体" w:hAnsi="宋体" w:eastAsia="宋体" w:cstheme="minorBidi"/>
          <w:kern w:val="2"/>
          <w:sz w:val="21"/>
          <w:szCs w:val="21"/>
          <w:highlight w:val="none"/>
          <w:lang w:val="en-US" w:eastAsia="zh-CN" w:bidi="ar-SA"/>
        </w:rPr>
        <w:t>工程量</w:t>
      </w:r>
      <w:r>
        <w:rPr>
          <w:rFonts w:hint="eastAsia" w:ascii="宋体" w:hAnsi="宋体" w:cstheme="minorBidi"/>
          <w:kern w:val="2"/>
          <w:sz w:val="21"/>
          <w:szCs w:val="21"/>
          <w:highlight w:val="none"/>
          <w:lang w:val="en-US" w:eastAsia="zh-CN" w:bidi="ar-SA"/>
        </w:rPr>
        <w:t>竣工</w:t>
      </w:r>
      <w:r>
        <w:rPr>
          <w:rFonts w:hint="eastAsia" w:ascii="宋体" w:hAnsi="宋体" w:eastAsia="宋体" w:cstheme="minorBidi"/>
          <w:kern w:val="2"/>
          <w:sz w:val="21"/>
          <w:szCs w:val="21"/>
          <w:highlight w:val="none"/>
          <w:lang w:val="en-US" w:eastAsia="zh-CN" w:bidi="ar-SA"/>
        </w:rPr>
        <w:t>结算清单经</w:t>
      </w:r>
      <w:r>
        <w:rPr>
          <w:rFonts w:hint="eastAsia" w:ascii="宋体" w:hAnsi="宋体" w:cstheme="minorBidi"/>
          <w:kern w:val="2"/>
          <w:sz w:val="21"/>
          <w:szCs w:val="21"/>
          <w:highlight w:val="none"/>
          <w:lang w:val="en-US" w:eastAsia="zh-CN" w:bidi="ar-SA"/>
        </w:rPr>
        <w:t>甲方的</w:t>
      </w:r>
      <w:r>
        <w:rPr>
          <w:rFonts w:hint="eastAsia" w:ascii="宋体" w:hAnsi="宋体" w:eastAsia="宋体" w:cstheme="minorBidi"/>
          <w:kern w:val="2"/>
          <w:sz w:val="21"/>
          <w:szCs w:val="21"/>
          <w:highlight w:val="none"/>
          <w:lang w:val="en-US" w:eastAsia="zh-CN" w:bidi="ar-SA"/>
        </w:rPr>
        <w:t>协议审计公司审计后</w:t>
      </w:r>
      <w:r>
        <w:rPr>
          <w:rFonts w:hint="eastAsia" w:ascii="宋体" w:hAnsi="宋体" w:cstheme="minorBidi"/>
          <w:kern w:val="2"/>
          <w:sz w:val="21"/>
          <w:szCs w:val="21"/>
          <w:highlight w:val="none"/>
          <w:lang w:val="en-US" w:eastAsia="zh-CN" w:bidi="ar-SA"/>
        </w:rPr>
        <w:t>，乙方</w:t>
      </w:r>
      <w:r>
        <w:rPr>
          <w:rFonts w:hint="eastAsia" w:ascii="宋体" w:hAnsi="宋体" w:eastAsia="宋体" w:cstheme="minorBidi"/>
          <w:kern w:val="2"/>
          <w:sz w:val="21"/>
          <w:szCs w:val="21"/>
          <w:highlight w:val="none"/>
          <w:lang w:val="en-US" w:eastAsia="zh-CN" w:bidi="ar-SA"/>
        </w:rPr>
        <w:t>按审定金额开具全额有效</w:t>
      </w:r>
      <w:r>
        <w:rPr>
          <w:rFonts w:hint="eastAsia" w:ascii="宋体" w:hAnsi="宋体" w:cstheme="minorBidi"/>
          <w:kern w:val="2"/>
          <w:sz w:val="21"/>
          <w:szCs w:val="21"/>
          <w:highlight w:val="none"/>
          <w:lang w:val="en-US" w:eastAsia="zh-CN" w:bidi="ar-SA"/>
        </w:rPr>
        <w:t>完税</w:t>
      </w:r>
      <w:r>
        <w:rPr>
          <w:rFonts w:hint="eastAsia" w:ascii="宋体" w:hAnsi="宋体" w:eastAsia="宋体" w:cstheme="minorBidi"/>
          <w:kern w:val="2"/>
          <w:sz w:val="21"/>
          <w:szCs w:val="21"/>
          <w:highlight w:val="none"/>
          <w:lang w:val="en-US" w:eastAsia="zh-CN" w:bidi="ar-SA"/>
        </w:rPr>
        <w:t>发票，</w:t>
      </w:r>
      <w:r>
        <w:rPr>
          <w:rFonts w:hint="eastAsia" w:ascii="宋体" w:hAnsi="宋体" w:cstheme="minorBidi"/>
          <w:kern w:val="2"/>
          <w:sz w:val="21"/>
          <w:szCs w:val="21"/>
          <w:highlight w:val="none"/>
          <w:lang w:val="en-US" w:eastAsia="zh-CN" w:bidi="ar-SA"/>
        </w:rPr>
        <w:t>甲方在收到发票后30个工作日内全额支付。</w:t>
      </w:r>
    </w:p>
    <w:p>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4.工程服务形式：包工、包料、包工期、包质量。</w:t>
      </w:r>
    </w:p>
    <w:p>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5.售后服务（质保）要求：按国家相关规定执行</w:t>
      </w:r>
      <w:r>
        <w:rPr>
          <w:rFonts w:hint="default" w:ascii="宋体" w:hAnsi="宋体" w:cstheme="minorBidi"/>
          <w:color w:val="auto"/>
          <w:kern w:val="2"/>
          <w:sz w:val="21"/>
          <w:szCs w:val="21"/>
          <w:highlight w:val="none"/>
          <w:lang w:val="en-US" w:eastAsia="zh-CN" w:bidi="ar-SA"/>
        </w:rPr>
        <w:t>。</w:t>
      </w:r>
    </w:p>
    <w:p>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6.投标人按有关规定采取严格的施工安全措施，承担由于安全措施不力造成的事故责任和因此发生的费用及后果。投标人应为施工人员购买人身意外伤害险及与工程施工有关的一切保险。凡在施工过程中发生安全责任事故或其他责任事故，均由投标人承担责任。</w:t>
      </w:r>
    </w:p>
    <w:p>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7.工程质量监督与检查验收：投标人在施工中要严格按照国家、行业标准和企业规范及本合同约定进行施工，并随时接受招标人的检查，并为检查、检验提供便利条件，对招标人提出的问题，投标人应及时进行整改，维修工程结束后，由双方共同对工程进行验收。在竣工验收时，对于招标人确认的尚未修复的工程质量问题，由投标人负责按招标人的要求继续维修，并承担逾期责任。</w:t>
      </w:r>
    </w:p>
    <w:p>
      <w:pPr>
        <w:pStyle w:val="4"/>
        <w:numPr>
          <w:ilvl w:val="0"/>
          <w:numId w:val="0"/>
        </w:numPr>
        <w:spacing w:before="0" w:after="0" w:line="336" w:lineRule="auto"/>
        <w:jc w:val="left"/>
        <w:rPr>
          <w:rFonts w:hint="eastAsia"/>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w:t>
      </w:r>
      <w:r>
        <w:rPr>
          <w:rFonts w:hint="eastAsia"/>
          <w:color w:val="auto"/>
          <w:highlight w:val="none"/>
          <w:lang w:val="en-US" w:eastAsia="zh-CN"/>
        </w:rPr>
        <w:t>技术</w:t>
      </w:r>
      <w:r>
        <w:rPr>
          <w:rFonts w:hint="eastAsia"/>
          <w:color w:val="auto"/>
          <w:highlight w:val="none"/>
        </w:rPr>
        <w:t>要求</w:t>
      </w:r>
    </w:p>
    <w:p>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1.执行标准：该项目执行我国现行的有关施工技术规范、验收规范和标准。</w:t>
      </w:r>
    </w:p>
    <w:p>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2.要求：</w:t>
      </w:r>
    </w:p>
    <w:p>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2.1安装牢固，接缝平整光滑，不渗漏，抗8级以上风压。</w:t>
      </w:r>
    </w:p>
    <w:p>
      <w:pPr>
        <w:pageBreakBefore w:val="0"/>
        <w:widowControl/>
        <w:numPr>
          <w:ilvl w:val="0"/>
          <w:numId w:val="0"/>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2.2所使用的材料必须符合国家相关质量标准</w:t>
      </w:r>
    </w:p>
    <w:p>
      <w:pPr>
        <w:pageBreakBefore w:val="0"/>
        <w:widowControl/>
        <w:numPr>
          <w:ilvl w:val="0"/>
          <w:numId w:val="0"/>
        </w:numPr>
        <w:kinsoku/>
        <w:wordWrap/>
        <w:overflowPunct/>
        <w:topLinePunct w:val="0"/>
        <w:autoSpaceDE/>
        <w:autoSpaceDN/>
        <w:bidi w:val="0"/>
        <w:spacing w:line="400" w:lineRule="exact"/>
        <w:textAlignment w:val="auto"/>
        <w:rPr>
          <w:rFonts w:hint="eastAsia"/>
          <w:lang w:val="en-US" w:eastAsia="zh-CN"/>
        </w:rPr>
      </w:pPr>
      <w:r>
        <w:rPr>
          <w:rFonts w:hint="eastAsia" w:ascii="宋体" w:hAnsi="宋体" w:cstheme="minorBidi"/>
          <w:color w:val="auto"/>
          <w:kern w:val="2"/>
          <w:sz w:val="21"/>
          <w:szCs w:val="21"/>
          <w:highlight w:val="none"/>
          <w:lang w:val="en-US" w:eastAsia="zh-CN" w:bidi="ar-SA"/>
        </w:rPr>
        <w:t>2.3密封胶横平竖直</w:t>
      </w:r>
    </w:p>
    <w:p>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四章</w:t>
      </w:r>
      <w:bookmarkStart w:id="35" w:name="_Toc173895846"/>
      <w:bookmarkStart w:id="36" w:name="_Toc180296788"/>
      <w:bookmarkStart w:id="37" w:name="_Toc173895658"/>
      <w:bookmarkStart w:id="38"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35"/>
      <w:bookmarkEnd w:id="36"/>
      <w:bookmarkEnd w:id="37"/>
      <w:r>
        <w:rPr>
          <w:rFonts w:hint="eastAsia" w:ascii="方正黑体_GBK" w:hAnsi="方正黑体_GBK" w:eastAsia="方正黑体_GBK" w:cs="方正黑体_GBK"/>
          <w:b/>
          <w:bCs/>
          <w:kern w:val="44"/>
          <w:sz w:val="32"/>
          <w:szCs w:val="32"/>
          <w:highlight w:val="none"/>
          <w:lang w:val="en-US" w:eastAsia="zh-CN"/>
        </w:rPr>
        <w:t>及要求</w:t>
      </w:r>
      <w:bookmarkEnd w:id="38"/>
      <w:bookmarkStart w:id="39" w:name="_Toc173895659"/>
      <w:bookmarkStart w:id="40" w:name="_Toc173895847"/>
      <w:bookmarkStart w:id="41" w:name="_Toc211679186"/>
      <w:bookmarkStart w:id="42" w:name="_Toc180296789"/>
    </w:p>
    <w:p>
      <w:pPr>
        <w:pStyle w:val="2"/>
        <w:numPr>
          <w:ilvl w:val="0"/>
          <w:numId w:val="0"/>
        </w:numPr>
      </w:pPr>
    </w:p>
    <w:p>
      <w:pPr>
        <w:jc w:val="center"/>
        <w:rPr>
          <w:rFonts w:hint="eastAsia" w:ascii="宋体" w:hAnsi="宋体" w:eastAsia="宋体" w:cs="宋体"/>
          <w:b/>
          <w:bCs/>
          <w:kern w:val="2"/>
          <w:sz w:val="28"/>
          <w:szCs w:val="28"/>
          <w:highlight w:val="none"/>
          <w:lang w:val="en-US" w:eastAsia="zh-CN" w:bidi="ar-SA"/>
        </w:rPr>
      </w:pPr>
    </w:p>
    <w:p>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9061" w:type="dxa"/>
            <w:vAlign w:val="center"/>
          </w:tcPr>
          <w:p>
            <w:pPr>
              <w:pStyle w:val="2"/>
              <w:jc w:val="center"/>
              <w:rPr>
                <w:rFonts w:hint="default"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w:t>
            </w:r>
            <w:r>
              <w:rPr>
                <w:rFonts w:hint="eastAsia" w:hAnsi="宋体"/>
                <w:highlight w:val="none"/>
              </w:rPr>
              <w:t>营业执照</w:t>
            </w:r>
            <w:r>
              <w:rPr>
                <w:rFonts w:hint="eastAsia" w:hAnsi="宋体"/>
                <w:highlight w:val="none"/>
                <w:lang w:val="en-US" w:eastAsia="zh-CN"/>
              </w:rPr>
              <w:t>副本</w:t>
            </w:r>
            <w:r>
              <w:rPr>
                <w:rFonts w:hint="eastAsia" w:ascii="宋体" w:hAnsi="宋体" w:cs="宋体"/>
                <w:kern w:val="0"/>
                <w:highlight w:val="none"/>
                <w:lang w:val="en-US" w:eastAsia="zh-CN"/>
              </w:rPr>
              <w:t>图片，并加盖公章</w:t>
            </w:r>
          </w:p>
        </w:tc>
      </w:tr>
    </w:tbl>
    <w:p>
      <w:pPr>
        <w:pStyle w:val="4"/>
        <w:numPr>
          <w:ilvl w:val="0"/>
          <w:numId w:val="0"/>
        </w:numPr>
        <w:spacing w:before="0" w:after="0" w:line="360" w:lineRule="auto"/>
        <w:jc w:val="center"/>
        <w:rPr>
          <w:rFonts w:hint="eastAsia"/>
          <w:highlight w:val="none"/>
          <w:lang w:val="en-US" w:eastAsia="zh-CN"/>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pPr>
        <w:spacing w:line="360" w:lineRule="auto"/>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w:t>
      </w:r>
    </w:p>
    <w:p>
      <w:pPr>
        <w:spacing w:line="360" w:lineRule="auto"/>
        <w:rPr>
          <w:rFonts w:hint="eastAsia" w:ascii="宋体" w:eastAsia="宋体"/>
          <w:highlight w:val="none"/>
          <w:u w:val="none"/>
          <w:lang w:val="en-US" w:eastAsia="zh-CN"/>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r>
        <w:rPr>
          <w:rFonts w:hint="eastAsia" w:ascii="宋体" w:hAnsi="宋体" w:cs="宋体"/>
          <w:highlight w:val="none"/>
          <w:lang w:eastAsia="zh-CN"/>
        </w:rPr>
        <w:t>，</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 xml:space="preserve">。                   </w:t>
      </w:r>
    </w:p>
    <w:p>
      <w:pPr>
        <w:spacing w:line="360" w:lineRule="auto"/>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供应商法定代表人身份证</w:t>
            </w:r>
            <w:r>
              <w:rPr>
                <w:rFonts w:hint="eastAsia" w:ascii="宋体" w:hAnsi="宋体" w:cs="宋体"/>
                <w:kern w:val="0"/>
                <w:highlight w:val="none"/>
                <w:lang w:val="en-US" w:eastAsia="zh-CN"/>
              </w:rPr>
              <w:t>图片</w:t>
            </w:r>
          </w:p>
        </w:tc>
      </w:tr>
    </w:tbl>
    <w:p>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38" w:hRule="atLeast"/>
        </w:trPr>
        <w:tc>
          <w:tcPr>
            <w:tcW w:w="9061" w:type="dxa"/>
            <w:vAlign w:val="center"/>
          </w:tcPr>
          <w:p>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代理人身份证</w:t>
            </w:r>
            <w:r>
              <w:rPr>
                <w:rFonts w:hint="eastAsia" w:ascii="宋体" w:hAnsi="宋体" w:cs="宋体"/>
                <w:kern w:val="0"/>
                <w:highlight w:val="none"/>
                <w:lang w:val="en-US" w:eastAsia="zh-CN"/>
              </w:rPr>
              <w:t>图片</w:t>
            </w:r>
          </w:p>
        </w:tc>
      </w:tr>
    </w:tbl>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hAnsi="宋体"/>
          <w:kern w:val="0"/>
          <w:highlight w:val="none"/>
          <w:u w:val="single"/>
        </w:rPr>
        <w:t>（供应商名称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hAnsi="宋体"/>
          <w:kern w:val="0"/>
          <w:highlight w:val="none"/>
        </w:rPr>
        <w:t>比选活动，现承诺：</w:t>
      </w:r>
    </w:p>
    <w:p>
      <w:pPr>
        <w:pStyle w:val="8"/>
        <w:spacing w:line="400" w:lineRule="exact"/>
        <w:jc w:val="left"/>
        <w:rPr>
          <w:rFonts w:ascii="宋体"/>
          <w:highlight w:val="none"/>
        </w:rPr>
      </w:pPr>
      <w:r>
        <w:rPr>
          <w:rFonts w:hint="eastAsia" w:ascii="宋体" w:hAnsi="宋体" w:cs="宋体"/>
          <w:highlight w:val="none"/>
        </w:rPr>
        <w:t>一、具备本项目规定的条件：</w:t>
      </w:r>
    </w:p>
    <w:p>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8"/>
        <w:spacing w:line="400" w:lineRule="exact"/>
        <w:jc w:val="left"/>
        <w:rPr>
          <w:rFonts w:ascii="宋体"/>
          <w:highlight w:val="none"/>
        </w:rPr>
      </w:pPr>
      <w:r>
        <w:rPr>
          <w:rFonts w:hint="eastAsia" w:ascii="宋体" w:hAnsi="宋体" w:cs="宋体"/>
          <w:highlight w:val="none"/>
        </w:rPr>
        <w:t>（六）法律、行政法规规定的其他条件；</w:t>
      </w:r>
    </w:p>
    <w:p>
      <w:pPr>
        <w:pStyle w:val="8"/>
        <w:spacing w:line="400" w:lineRule="exact"/>
        <w:jc w:val="left"/>
        <w:rPr>
          <w:rFonts w:ascii="宋体"/>
          <w:highlight w:val="none"/>
        </w:rPr>
      </w:pPr>
      <w:r>
        <w:rPr>
          <w:rFonts w:hint="eastAsia" w:ascii="宋体" w:hAnsi="宋体" w:cs="宋体"/>
          <w:highlight w:val="none"/>
        </w:rPr>
        <w:t>（七）根据采购项目提出的特殊条件。</w:t>
      </w:r>
    </w:p>
    <w:p>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16"/>
        <w:spacing w:line="360" w:lineRule="auto"/>
        <w:ind w:firstLine="420" w:firstLineChars="200"/>
        <w:rPr>
          <w:rFonts w:hAnsi="宋体" w:cs="Times New Roman"/>
          <w:kern w:val="0"/>
          <w:highlight w:val="none"/>
        </w:rPr>
      </w:pPr>
    </w:p>
    <w:p>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4"/>
        <w:numPr>
          <w:ilvl w:val="0"/>
          <w:numId w:val="0"/>
        </w:numPr>
        <w:spacing w:before="0" w:after="0" w:line="360" w:lineRule="auto"/>
        <w:jc w:val="center"/>
        <w:rPr>
          <w:rFonts w:hint="eastAsia"/>
          <w:highlight w:val="none"/>
        </w:rPr>
      </w:pPr>
    </w:p>
    <w:p>
      <w:pPr>
        <w:rPr>
          <w:rFonts w:hint="eastAsia"/>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w:t>
      </w:r>
      <w:r>
        <w:rPr>
          <w:rFonts w:hint="eastAsia" w:ascii="仿宋" w:hAnsi="仿宋" w:eastAsia="仿宋" w:cs="仿宋"/>
          <w:kern w:val="0"/>
          <w:highlight w:val="none"/>
        </w:rPr>
        <w:t>（如有）</w:t>
      </w:r>
    </w:p>
    <w:p>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pPr>
        <w:pStyle w:val="2"/>
        <w:rPr>
          <w:rFonts w:hint="eastAsia" w:ascii="宋体" w:hAnsi="宋体" w:cs="宋体"/>
          <w:b/>
          <w:bCs/>
          <w:sz w:val="23"/>
          <w:szCs w:val="23"/>
          <w:highlight w:val="none"/>
        </w:rPr>
      </w:pPr>
    </w:p>
    <w:p>
      <w:pPr>
        <w:pStyle w:val="2"/>
        <w:jc w:val="center"/>
        <w:rPr>
          <w:rFonts w:hint="eastAsia" w:ascii="宋体" w:hAnsi="宋体" w:cs="宋体"/>
          <w:b/>
          <w:bCs/>
          <w:sz w:val="23"/>
          <w:szCs w:val="23"/>
          <w:highlight w:val="none"/>
        </w:rPr>
      </w:pPr>
    </w:p>
    <w:p>
      <w:pPr>
        <w:pStyle w:val="4"/>
        <w:numPr>
          <w:ilvl w:val="0"/>
          <w:numId w:val="0"/>
        </w:numPr>
        <w:spacing w:before="0" w:after="0" w:line="360" w:lineRule="auto"/>
        <w:jc w:val="center"/>
        <w:rPr>
          <w:rFonts w:hint="eastAsia" w:ascii="宋体" w:hAnsi="宋体" w:eastAsia="宋体" w:cs="宋体"/>
          <w:b w:val="0"/>
          <w:bCs w:val="0"/>
          <w:kern w:val="0"/>
          <w:sz w:val="21"/>
          <w:szCs w:val="21"/>
          <w:highlight w:val="none"/>
          <w:lang w:val="en-US" w:eastAsia="zh-CN" w:bidi="ar-SA"/>
        </w:rPr>
      </w:pPr>
    </w:p>
    <w:p>
      <w:pPr>
        <w:tabs>
          <w:tab w:val="left" w:pos="5670"/>
        </w:tabs>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pPr>
        <w:pStyle w:val="2"/>
        <w:rPr>
          <w:rFonts w:hint="default"/>
          <w:b w:val="0"/>
          <w:bCs w:val="0"/>
          <w:lang w:val="en-US" w:eastAsia="zh-CN"/>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、报价表</w:t>
      </w:r>
    </w:p>
    <w:p/>
    <w:p>
      <w:pPr>
        <w:spacing w:line="360" w:lineRule="auto"/>
        <w:jc w:val="left"/>
        <w:rPr>
          <w:rFonts w:hint="eastAsia" w:ascii="宋体" w:hAnsi="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标的名称：皮肤科综合治疗区改造项目</w:t>
      </w:r>
    </w:p>
    <w:tbl>
      <w:tblPr>
        <w:tblStyle w:val="28"/>
        <w:tblW w:w="897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9"/>
        <w:gridCol w:w="3064"/>
        <w:gridCol w:w="924"/>
        <w:gridCol w:w="706"/>
        <w:gridCol w:w="1130"/>
        <w:gridCol w:w="948"/>
        <w:gridCol w:w="17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7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right="-60" w:rightChars="-29"/>
              <w:jc w:val="center"/>
              <w:textAlignment w:val="center"/>
              <w:rPr>
                <w:rFonts w:hint="eastAsia" w:ascii="宋体" w:hAnsi="宋体" w:eastAsia="宋体" w:cs="宋体"/>
                <w:b/>
                <w:bCs/>
                <w:i w:val="0"/>
                <w:iCs w:val="0"/>
                <w:color w:val="000000"/>
                <w:sz w:val="36"/>
                <w:szCs w:val="36"/>
                <w:u w:val="none"/>
              </w:rPr>
            </w:pPr>
            <w:r>
              <w:rPr>
                <w:rFonts w:hint="eastAsia" w:ascii="宋体" w:hAnsi="宋体" w:cs="宋体"/>
                <w:b/>
                <w:bCs/>
                <w:color w:val="000000"/>
                <w:kern w:val="0"/>
                <w:sz w:val="20"/>
                <w:szCs w:val="20"/>
                <w:highlight w:val="none"/>
                <w:lang w:val="en-US" w:eastAsia="zh-CN" w:bidi="ar"/>
              </w:rPr>
              <w:t>资阳市中心医院皮肤科综合治疗区改造项目工程量清单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合计（元）</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防滑地砖</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石粉</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立方</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特细沙</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立方</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right="-625" w:rightChars="-298"/>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普通水泥</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32.5R 袋装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地砖铺贴工费</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隔热断桥铝合金阳光房</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地弹簧</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（用于地弹门）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不锈钢门夹</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（用于地弹门）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不锈钢拉手</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（用于地弹门）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外平开隔热断桥铝合金开窗.门</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85系列  5+6+5钢化中空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阳光房现场制作及安装工费</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铝塑板</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细木工板</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2440×1220×12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木工工费</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集成吊顶</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1.0mm厚,含龙骨、边线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集成吊顶安装费</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窗帘轨道</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单轨成套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定制窗帘</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轨道长度×2为窗帘实际长度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窗帘安装工费</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PVC阻燃电线管</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铜芯塑料绝缘电线</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BV-2.5mm2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铜芯塑料绝缘电线</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BV-4mm2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铜芯塑料绝缘电线</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BV-10mm2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PP-R冷水管</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Φ25×2.3 1.25MPa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PP-R冷水管管件</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圆形、方型LED吸顶灯</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直径400—500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开关及五孔插座</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250V10A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水电施工工费</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辅料</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30</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w:t>
            </w:r>
            <w:r>
              <w:rPr>
                <w:rFonts w:hint="eastAsia" w:ascii="宋体" w:hAnsi="宋体" w:cs="宋体"/>
                <w:i w:val="0"/>
                <w:iCs w:val="0"/>
                <w:color w:val="000000"/>
                <w:kern w:val="0"/>
                <w:sz w:val="20"/>
                <w:szCs w:val="20"/>
                <w:u w:val="none"/>
                <w:lang w:val="en-US" w:eastAsia="zh-CN" w:bidi="ar"/>
              </w:rPr>
              <w:t>、费</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31</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总价</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32</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工期</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c>
          <w:tcPr>
            <w:tcW w:w="544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清单具体实施内容以招标人确定内容为准</w:t>
            </w:r>
          </w:p>
        </w:tc>
      </w:tr>
    </w:tbl>
    <w:p>
      <w:pPr>
        <w:spacing w:line="360" w:lineRule="auto"/>
        <w:ind w:firstLine="840" w:firstLineChars="400"/>
        <w:jc w:val="left"/>
        <w:rPr>
          <w:rFonts w:hint="eastAsia" w:ascii="宋体" w:hAnsi="宋体" w:cs="宋体"/>
          <w:kern w:val="0"/>
          <w:highlight w:val="none"/>
        </w:rPr>
      </w:pPr>
    </w:p>
    <w:p>
      <w:pPr>
        <w:spacing w:line="360" w:lineRule="auto"/>
        <w:ind w:firstLine="840" w:firstLineChars="400"/>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840" w:firstLineChars="400"/>
        <w:jc w:val="left"/>
        <w:rPr>
          <w:rFonts w:hint="eastAsia" w:ascii="宋体" w:hAnsi="宋体" w:cs="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840" w:firstLineChars="4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jc w:val="left"/>
        <w:rPr>
          <w:rFonts w:hint="eastAsia" w:ascii="宋体" w:hAnsi="宋体" w:eastAsia="宋体" w:cs="Times New Roman"/>
          <w:kern w:val="0"/>
        </w:rPr>
      </w:pPr>
    </w:p>
    <w:p>
      <w:pPr>
        <w:spacing w:line="360" w:lineRule="auto"/>
        <w:jc w:val="left"/>
        <w:rPr>
          <w:rFonts w:ascii="黑体" w:hAnsi="黑体"/>
          <w:highlight w:val="none"/>
        </w:rPr>
      </w:pPr>
      <w:r>
        <w:rPr>
          <w:rFonts w:hint="eastAsia" w:ascii="宋体" w:hAnsi="宋体" w:eastAsia="宋体" w:cs="Times New Roman"/>
          <w:kern w:val="0"/>
        </w:rPr>
        <w:t>注：1</w:t>
      </w:r>
      <w:r>
        <w:rPr>
          <w:rFonts w:hint="eastAsia" w:ascii="宋体" w:hAnsi="宋体" w:cs="Times New Roman"/>
          <w:kern w:val="0"/>
          <w:lang w:val="en-US" w:eastAsia="zh-CN"/>
        </w:rPr>
        <w:t>.</w:t>
      </w:r>
      <w:r>
        <w:rPr>
          <w:rFonts w:hint="eastAsia" w:ascii="宋体" w:hAnsi="宋体"/>
          <w:spacing w:val="-4"/>
          <w:kern w:val="0"/>
          <w:highlight w:val="none"/>
        </w:rPr>
        <w:t>比选应答</w:t>
      </w:r>
      <w:r>
        <w:rPr>
          <w:rFonts w:hint="eastAsia" w:ascii="宋体" w:hAnsi="宋体"/>
          <w:spacing w:val="-4"/>
          <w:kern w:val="0"/>
          <w:highlight w:val="none"/>
          <w:lang w:eastAsia="zh-CN"/>
        </w:rPr>
        <w:t>的</w:t>
      </w:r>
      <w:r>
        <w:rPr>
          <w:rFonts w:hint="eastAsia" w:ascii="宋体" w:hAnsi="宋体" w:eastAsia="宋体" w:cs="Times New Roman"/>
          <w:kern w:val="0"/>
        </w:rPr>
        <w:t>“报价表”</w:t>
      </w:r>
      <w:r>
        <w:rPr>
          <w:rFonts w:hint="eastAsia" w:ascii="宋体" w:hAnsi="宋体"/>
          <w:spacing w:val="-4"/>
          <w:kern w:val="0"/>
          <w:highlight w:val="none"/>
          <w:lang w:eastAsia="zh-CN"/>
        </w:rPr>
        <w:t>的</w:t>
      </w:r>
      <w:r>
        <w:rPr>
          <w:rFonts w:hint="eastAsia" w:ascii="宋体" w:hAnsi="宋体"/>
          <w:spacing w:val="-4"/>
          <w:kern w:val="0"/>
          <w:highlight w:val="none"/>
        </w:rPr>
        <w:t>总价</w:t>
      </w:r>
      <w:r>
        <w:rPr>
          <w:rFonts w:hint="eastAsia" w:ascii="宋体" w:hAnsi="宋体"/>
          <w:spacing w:val="-4"/>
          <w:kern w:val="0"/>
          <w:highlight w:val="none"/>
          <w:lang w:val="en-US" w:eastAsia="zh-CN"/>
        </w:rPr>
        <w:t>已</w:t>
      </w:r>
      <w:r>
        <w:rPr>
          <w:rFonts w:hint="eastAsia" w:ascii="宋体" w:hAnsi="宋体"/>
          <w:spacing w:val="-4"/>
          <w:kern w:val="0"/>
          <w:highlight w:val="none"/>
        </w:rPr>
        <w:t>包括供应商完成本项目所需的一切费用</w:t>
      </w:r>
      <w:r>
        <w:rPr>
          <w:rFonts w:hint="eastAsia" w:ascii="宋体" w:hAnsi="宋体"/>
          <w:kern w:val="0"/>
          <w:highlight w:val="none"/>
          <w:lang w:eastAsia="zh-CN"/>
        </w:rPr>
        <w:t>，</w:t>
      </w:r>
      <w:r>
        <w:rPr>
          <w:rFonts w:hint="eastAsia" w:ascii="宋体" w:hAnsi="宋体" w:eastAsia="宋体" w:cs="Times New Roman"/>
          <w:kern w:val="0"/>
        </w:rPr>
        <w:t>包括货物</w:t>
      </w:r>
      <w:r>
        <w:rPr>
          <w:rFonts w:hint="eastAsia" w:ascii="宋体" w:hAnsi="宋体" w:cs="Times New Roman"/>
          <w:kern w:val="0"/>
          <w:lang w:eastAsia="zh-CN"/>
        </w:rPr>
        <w:t>、</w:t>
      </w:r>
      <w:r>
        <w:rPr>
          <w:rFonts w:hint="eastAsia" w:ascii="宋体" w:hAnsi="宋体" w:eastAsia="宋体" w:cs="Times New Roman"/>
          <w:kern w:val="0"/>
        </w:rPr>
        <w:t>运输、</w:t>
      </w:r>
      <w:r>
        <w:rPr>
          <w:rFonts w:hint="eastAsia" w:ascii="宋体" w:hAnsi="宋体" w:cs="Times New Roman"/>
          <w:kern w:val="0"/>
          <w:lang w:val="en-US" w:eastAsia="zh-CN"/>
        </w:rPr>
        <w:t>制作、安装、人工、机械、辅材（含水、电等）、</w:t>
      </w:r>
      <w:r>
        <w:rPr>
          <w:rFonts w:hint="eastAsia" w:ascii="宋体" w:hAnsi="宋体" w:eastAsia="宋体" w:cs="Times New Roman"/>
          <w:kern w:val="0"/>
        </w:rPr>
        <w:t>保险、代理、培训、税</w:t>
      </w:r>
      <w:r>
        <w:rPr>
          <w:rFonts w:hint="eastAsia" w:ascii="宋体" w:hAnsi="宋体" w:cs="Times New Roman"/>
          <w:kern w:val="0"/>
          <w:lang w:eastAsia="zh-CN"/>
        </w:rPr>
        <w:t>、</w:t>
      </w:r>
      <w:r>
        <w:rPr>
          <w:rFonts w:hint="eastAsia" w:ascii="宋体" w:hAnsi="宋体" w:eastAsia="宋体" w:cs="Times New Roman"/>
          <w:kern w:val="0"/>
        </w:rPr>
        <w:t>费</w:t>
      </w:r>
      <w:r>
        <w:rPr>
          <w:rFonts w:hint="eastAsia" w:ascii="宋体" w:hAnsi="宋体" w:cs="Times New Roman"/>
          <w:kern w:val="0"/>
          <w:lang w:eastAsia="zh-CN"/>
        </w:rPr>
        <w:t>、</w:t>
      </w:r>
      <w:r>
        <w:rPr>
          <w:rFonts w:hint="eastAsia" w:ascii="宋体" w:hAnsi="宋体" w:eastAsia="宋体" w:cs="Times New Roman"/>
          <w:kern w:val="0"/>
        </w:rPr>
        <w:t>验收</w:t>
      </w:r>
      <w:r>
        <w:rPr>
          <w:rFonts w:hint="eastAsia" w:ascii="宋体" w:hAnsi="宋体" w:cs="Times New Roman"/>
          <w:kern w:val="0"/>
          <w:lang w:val="en-US" w:eastAsia="zh-CN"/>
        </w:rPr>
        <w:t>前成品保护和交付后的质保等费用，以及</w:t>
      </w:r>
      <w:r>
        <w:rPr>
          <w:rFonts w:hint="eastAsia" w:ascii="宋体" w:hAnsi="宋体" w:eastAsia="宋体" w:cs="Times New Roman"/>
          <w:kern w:val="0"/>
        </w:rPr>
        <w:t>比选文件规定的其它费用。</w:t>
      </w:r>
      <w:r>
        <w:rPr>
          <w:rFonts w:hint="eastAsia" w:ascii="宋体" w:hAnsi="宋体" w:cs="Times New Roman"/>
          <w:kern w:val="0"/>
          <w:lang w:val="en-US" w:eastAsia="zh-CN"/>
        </w:rPr>
        <w:t>2.</w:t>
      </w:r>
      <w:r>
        <w:rPr>
          <w:rFonts w:hint="eastAsia" w:ascii="宋体" w:hAnsi="宋体" w:eastAsia="宋体" w:cs="Times New Roman"/>
          <w:kern w:val="0"/>
        </w:rPr>
        <w:t>“报价表”为多页的，每页均需由法定代表人/单位负责人或授权代表签字并加盖公章。</w:t>
      </w:r>
      <w:r>
        <w:rPr>
          <w:rFonts w:hint="eastAsia" w:ascii="宋体" w:hAnsi="宋体" w:cs="Times New Roman"/>
          <w:kern w:val="0"/>
          <w:lang w:val="en-US" w:eastAsia="zh-CN"/>
        </w:rPr>
        <w:t>3.</w:t>
      </w:r>
      <w:r>
        <w:rPr>
          <w:rFonts w:hint="eastAsia" w:ascii="宋体" w:hAnsi="宋体" w:eastAsia="宋体" w:cs="Times New Roman"/>
          <w:kern w:val="0"/>
        </w:rPr>
        <w:t>“报价表”以包为单位填写，在比选申请文件中应当提供，如有遗漏，将视为无效比选申请文件。</w:t>
      </w:r>
      <w:r>
        <w:rPr>
          <w:rFonts w:hint="eastAsia" w:ascii="宋体" w:hAnsi="宋体" w:cs="Times New Roman"/>
          <w:kern w:val="0"/>
          <w:lang w:val="en-US" w:eastAsia="zh-CN"/>
        </w:rPr>
        <w:t>4.</w:t>
      </w:r>
      <w:r>
        <w:rPr>
          <w:rFonts w:hint="eastAsia" w:ascii="宋体" w:hAnsi="宋体" w:eastAsia="宋体" w:cs="Times New Roman"/>
          <w:kern w:val="0"/>
        </w:rPr>
        <w:t>根据情况可增减表格行数，但不可随意更改表格样式。</w:t>
      </w:r>
      <w:r>
        <w:rPr>
          <w:rFonts w:hint="eastAsia" w:ascii="宋体" w:hAnsi="宋体" w:cs="Times New Roman"/>
          <w:kern w:val="0"/>
          <w:lang w:val="en-US" w:eastAsia="zh-CN"/>
        </w:rPr>
        <w:t>5.报价如高于预算价，为无效报价，视为</w:t>
      </w:r>
      <w:r>
        <w:rPr>
          <w:rFonts w:hint="eastAsia" w:ascii="宋体" w:hAnsi="宋体" w:cs="宋体"/>
          <w:kern w:val="0"/>
          <w:highlight w:val="none"/>
        </w:rPr>
        <w:t>未按比选文件要求完成报价</w:t>
      </w:r>
      <w:r>
        <w:rPr>
          <w:rFonts w:hint="eastAsia" w:ascii="宋体" w:hAnsi="宋体" w:cs="Times New Roman"/>
          <w:kern w:val="0"/>
          <w:lang w:val="en-US" w:eastAsia="zh-CN"/>
        </w:rPr>
        <w:t>。</w:t>
      </w:r>
    </w:p>
    <w:p>
      <w:pPr>
        <w:pStyle w:val="4"/>
        <w:numPr>
          <w:ilvl w:val="0"/>
          <w:numId w:val="0"/>
        </w:numPr>
        <w:spacing w:before="0" w:after="0" w:line="360" w:lineRule="auto"/>
        <w:jc w:val="center"/>
        <w:rPr>
          <w:rFonts w:cs="Times New Roman"/>
          <w:highlight w:val="none"/>
        </w:rPr>
      </w:pPr>
      <w:r>
        <w:rPr>
          <w:rFonts w:hint="eastAsia"/>
          <w:highlight w:val="none"/>
        </w:rPr>
        <w:t>六、</w:t>
      </w:r>
      <w:r>
        <w:rPr>
          <w:rFonts w:hint="eastAsia"/>
          <w:highlight w:val="none"/>
          <w:lang w:val="en-US" w:eastAsia="zh-CN"/>
        </w:rPr>
        <w:t>商务要求</w:t>
      </w:r>
      <w:r>
        <w:rPr>
          <w:rFonts w:hint="eastAsia"/>
          <w:highlight w:val="none"/>
        </w:rPr>
        <w:t>应答表</w:t>
      </w:r>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标的名称：皮肤科综合治疗区改造项目</w:t>
      </w:r>
    </w:p>
    <w:tbl>
      <w:tblPr>
        <w:tblStyle w:val="28"/>
        <w:tblW w:w="9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050"/>
        <w:gridCol w:w="2347"/>
        <w:gridCol w:w="2680"/>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7"/>
              <w:jc w:val="center"/>
              <w:rPr>
                <w:rFonts w:ascii="宋体" w:hAnsi="宋体"/>
                <w:sz w:val="21"/>
                <w:szCs w:val="21"/>
                <w:highlight w:val="none"/>
              </w:rPr>
            </w:pPr>
            <w:r>
              <w:rPr>
                <w:rFonts w:hint="eastAsia" w:ascii="宋体" w:hAnsi="宋体"/>
                <w:sz w:val="21"/>
                <w:szCs w:val="21"/>
                <w:highlight w:val="none"/>
              </w:rPr>
              <w:t>序号</w:t>
            </w:r>
          </w:p>
        </w:tc>
        <w:tc>
          <w:tcPr>
            <w:tcW w:w="2050" w:type="dxa"/>
            <w:vAlign w:val="center"/>
          </w:tcPr>
          <w:p>
            <w:pPr>
              <w:pStyle w:val="57"/>
              <w:ind w:left="0" w:leftChars="0" w:firstLine="0" w:firstLineChars="0"/>
              <w:jc w:val="center"/>
              <w:rPr>
                <w:rFonts w:hint="default" w:ascii="宋体" w:hAnsi="宋体" w:eastAsia="宋体"/>
                <w:sz w:val="21"/>
                <w:szCs w:val="21"/>
                <w:highlight w:val="none"/>
                <w:lang w:val="en-US" w:eastAsia="zh-CN"/>
              </w:rPr>
            </w:pPr>
            <w:r>
              <w:rPr>
                <w:rFonts w:hint="eastAsia" w:ascii="宋体" w:hAnsi="宋体"/>
                <w:sz w:val="21"/>
                <w:szCs w:val="21"/>
                <w:highlight w:val="none"/>
              </w:rPr>
              <w:t>比选文件</w:t>
            </w:r>
            <w:r>
              <w:rPr>
                <w:rFonts w:hint="eastAsia" w:ascii="宋体" w:hAnsi="宋体"/>
                <w:sz w:val="21"/>
                <w:szCs w:val="21"/>
                <w:highlight w:val="none"/>
                <w:lang w:val="en-US" w:eastAsia="zh-CN"/>
              </w:rPr>
              <w:t>条目序号</w:t>
            </w:r>
          </w:p>
        </w:tc>
        <w:tc>
          <w:tcPr>
            <w:tcW w:w="2347" w:type="dxa"/>
            <w:vAlign w:val="center"/>
          </w:tcPr>
          <w:p>
            <w:pPr>
              <w:pStyle w:val="57"/>
              <w:ind w:left="0" w:leftChars="0" w:firstLine="0" w:firstLineChars="0"/>
              <w:jc w:val="center"/>
              <w:rPr>
                <w:rFonts w:ascii="宋体" w:hAnsi="宋体"/>
                <w:sz w:val="21"/>
                <w:szCs w:val="21"/>
                <w:highlight w:val="none"/>
              </w:rPr>
            </w:pPr>
            <w:r>
              <w:rPr>
                <w:rFonts w:hint="eastAsia" w:ascii="宋体" w:hAnsi="宋体"/>
                <w:sz w:val="21"/>
                <w:szCs w:val="21"/>
                <w:highlight w:val="none"/>
              </w:rPr>
              <w:t>比选文件</w:t>
            </w:r>
            <w:r>
              <w:rPr>
                <w:rFonts w:hint="eastAsia" w:ascii="宋体" w:hAnsi="宋体"/>
                <w:sz w:val="21"/>
                <w:szCs w:val="21"/>
                <w:highlight w:val="none"/>
                <w:lang w:val="en-US" w:eastAsia="zh-CN"/>
              </w:rPr>
              <w:t>商务</w:t>
            </w:r>
            <w:r>
              <w:rPr>
                <w:rFonts w:hint="eastAsia" w:ascii="宋体" w:hAnsi="宋体"/>
                <w:sz w:val="21"/>
                <w:szCs w:val="21"/>
                <w:highlight w:val="none"/>
              </w:rPr>
              <w:t>要求</w:t>
            </w:r>
          </w:p>
        </w:tc>
        <w:tc>
          <w:tcPr>
            <w:tcW w:w="2680" w:type="dxa"/>
            <w:vAlign w:val="center"/>
          </w:tcPr>
          <w:p>
            <w:pPr>
              <w:pStyle w:val="57"/>
              <w:jc w:val="center"/>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投标人</w:t>
            </w:r>
            <w:r>
              <w:rPr>
                <w:rFonts w:hint="eastAsia" w:ascii="宋体" w:hAnsi="宋体"/>
                <w:sz w:val="21"/>
                <w:szCs w:val="21"/>
                <w:highlight w:val="none"/>
              </w:rPr>
              <w:t>响应</w:t>
            </w:r>
            <w:r>
              <w:rPr>
                <w:rFonts w:hint="eastAsia" w:ascii="宋体" w:hAnsi="宋体"/>
                <w:sz w:val="21"/>
                <w:szCs w:val="21"/>
                <w:highlight w:val="none"/>
                <w:lang w:val="en-US" w:eastAsia="zh-CN"/>
              </w:rPr>
              <w:t>情况</w:t>
            </w:r>
          </w:p>
        </w:tc>
        <w:tc>
          <w:tcPr>
            <w:tcW w:w="1400" w:type="dxa"/>
            <w:vAlign w:val="center"/>
          </w:tcPr>
          <w:p>
            <w:pPr>
              <w:pStyle w:val="57"/>
              <w:jc w:val="center"/>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7"/>
              <w:rPr>
                <w:rFonts w:ascii="宋体" w:hAnsi="宋体"/>
                <w:sz w:val="21"/>
                <w:szCs w:val="21"/>
                <w:highlight w:val="none"/>
              </w:rPr>
            </w:pPr>
          </w:p>
        </w:tc>
        <w:tc>
          <w:tcPr>
            <w:tcW w:w="2050" w:type="dxa"/>
          </w:tcPr>
          <w:p>
            <w:pPr>
              <w:pStyle w:val="57"/>
              <w:rPr>
                <w:rFonts w:ascii="宋体" w:hAnsi="宋体"/>
                <w:sz w:val="21"/>
                <w:szCs w:val="21"/>
                <w:highlight w:val="none"/>
              </w:rPr>
            </w:pPr>
          </w:p>
        </w:tc>
        <w:tc>
          <w:tcPr>
            <w:tcW w:w="2347" w:type="dxa"/>
          </w:tcPr>
          <w:p>
            <w:pPr>
              <w:pStyle w:val="57"/>
              <w:rPr>
                <w:rFonts w:ascii="宋体" w:hAnsi="宋体"/>
                <w:sz w:val="21"/>
                <w:szCs w:val="21"/>
                <w:highlight w:val="none"/>
              </w:rPr>
            </w:pPr>
          </w:p>
        </w:tc>
        <w:tc>
          <w:tcPr>
            <w:tcW w:w="2680" w:type="dxa"/>
          </w:tcPr>
          <w:p>
            <w:pPr>
              <w:pStyle w:val="57"/>
              <w:rPr>
                <w:rFonts w:ascii="宋体" w:hAnsi="宋体"/>
                <w:sz w:val="21"/>
                <w:szCs w:val="21"/>
                <w:highlight w:val="none"/>
              </w:rPr>
            </w:pPr>
          </w:p>
        </w:tc>
        <w:tc>
          <w:tcPr>
            <w:tcW w:w="1400" w:type="dxa"/>
          </w:tcPr>
          <w:p>
            <w:pPr>
              <w:pStyle w:val="57"/>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7"/>
              <w:rPr>
                <w:rFonts w:ascii="宋体" w:hAnsi="宋体"/>
                <w:sz w:val="21"/>
                <w:szCs w:val="21"/>
                <w:highlight w:val="none"/>
              </w:rPr>
            </w:pPr>
          </w:p>
        </w:tc>
        <w:tc>
          <w:tcPr>
            <w:tcW w:w="2050" w:type="dxa"/>
          </w:tcPr>
          <w:p>
            <w:pPr>
              <w:pStyle w:val="57"/>
              <w:rPr>
                <w:rFonts w:ascii="宋体" w:hAnsi="宋体"/>
                <w:sz w:val="21"/>
                <w:szCs w:val="21"/>
                <w:highlight w:val="none"/>
              </w:rPr>
            </w:pPr>
          </w:p>
        </w:tc>
        <w:tc>
          <w:tcPr>
            <w:tcW w:w="2347" w:type="dxa"/>
          </w:tcPr>
          <w:p>
            <w:pPr>
              <w:pStyle w:val="57"/>
              <w:rPr>
                <w:rFonts w:ascii="宋体" w:hAnsi="宋体"/>
                <w:sz w:val="21"/>
                <w:szCs w:val="21"/>
                <w:highlight w:val="none"/>
              </w:rPr>
            </w:pPr>
          </w:p>
        </w:tc>
        <w:tc>
          <w:tcPr>
            <w:tcW w:w="2680" w:type="dxa"/>
          </w:tcPr>
          <w:p>
            <w:pPr>
              <w:pStyle w:val="57"/>
              <w:rPr>
                <w:rFonts w:ascii="宋体" w:hAnsi="宋体"/>
                <w:sz w:val="21"/>
                <w:szCs w:val="21"/>
                <w:highlight w:val="none"/>
              </w:rPr>
            </w:pPr>
          </w:p>
        </w:tc>
        <w:tc>
          <w:tcPr>
            <w:tcW w:w="1400" w:type="dxa"/>
          </w:tcPr>
          <w:p>
            <w:pPr>
              <w:pStyle w:val="57"/>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7"/>
              <w:rPr>
                <w:rFonts w:ascii="宋体" w:hAnsi="宋体"/>
                <w:sz w:val="21"/>
                <w:szCs w:val="21"/>
                <w:highlight w:val="none"/>
              </w:rPr>
            </w:pPr>
          </w:p>
        </w:tc>
        <w:tc>
          <w:tcPr>
            <w:tcW w:w="2050" w:type="dxa"/>
          </w:tcPr>
          <w:p>
            <w:pPr>
              <w:pStyle w:val="57"/>
              <w:rPr>
                <w:rFonts w:ascii="宋体" w:hAnsi="宋体"/>
                <w:sz w:val="21"/>
                <w:szCs w:val="21"/>
                <w:highlight w:val="none"/>
              </w:rPr>
            </w:pPr>
          </w:p>
        </w:tc>
        <w:tc>
          <w:tcPr>
            <w:tcW w:w="2347" w:type="dxa"/>
          </w:tcPr>
          <w:p>
            <w:pPr>
              <w:pStyle w:val="57"/>
              <w:rPr>
                <w:rFonts w:ascii="宋体" w:hAnsi="宋体"/>
                <w:sz w:val="21"/>
                <w:szCs w:val="21"/>
                <w:highlight w:val="none"/>
              </w:rPr>
            </w:pPr>
          </w:p>
        </w:tc>
        <w:tc>
          <w:tcPr>
            <w:tcW w:w="2680" w:type="dxa"/>
          </w:tcPr>
          <w:p>
            <w:pPr>
              <w:pStyle w:val="57"/>
              <w:rPr>
                <w:rFonts w:ascii="宋体" w:hAnsi="宋体"/>
                <w:sz w:val="21"/>
                <w:szCs w:val="21"/>
                <w:highlight w:val="none"/>
              </w:rPr>
            </w:pPr>
          </w:p>
        </w:tc>
        <w:tc>
          <w:tcPr>
            <w:tcW w:w="1400" w:type="dxa"/>
          </w:tcPr>
          <w:p>
            <w:pPr>
              <w:pStyle w:val="57"/>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7"/>
              <w:rPr>
                <w:rFonts w:ascii="宋体" w:hAnsi="宋体"/>
                <w:sz w:val="21"/>
                <w:szCs w:val="21"/>
                <w:highlight w:val="none"/>
              </w:rPr>
            </w:pPr>
          </w:p>
        </w:tc>
        <w:tc>
          <w:tcPr>
            <w:tcW w:w="2050" w:type="dxa"/>
          </w:tcPr>
          <w:p>
            <w:pPr>
              <w:pStyle w:val="57"/>
              <w:rPr>
                <w:rFonts w:ascii="宋体" w:hAnsi="宋体"/>
                <w:sz w:val="21"/>
                <w:szCs w:val="21"/>
                <w:highlight w:val="none"/>
              </w:rPr>
            </w:pPr>
          </w:p>
        </w:tc>
        <w:tc>
          <w:tcPr>
            <w:tcW w:w="2347" w:type="dxa"/>
          </w:tcPr>
          <w:p>
            <w:pPr>
              <w:pStyle w:val="57"/>
              <w:rPr>
                <w:rFonts w:ascii="宋体" w:hAnsi="宋体"/>
                <w:sz w:val="21"/>
                <w:szCs w:val="21"/>
                <w:highlight w:val="none"/>
              </w:rPr>
            </w:pPr>
          </w:p>
        </w:tc>
        <w:tc>
          <w:tcPr>
            <w:tcW w:w="2680" w:type="dxa"/>
          </w:tcPr>
          <w:p>
            <w:pPr>
              <w:pStyle w:val="57"/>
              <w:rPr>
                <w:rFonts w:ascii="宋体" w:hAnsi="宋体"/>
                <w:sz w:val="21"/>
                <w:szCs w:val="21"/>
                <w:highlight w:val="none"/>
              </w:rPr>
            </w:pPr>
          </w:p>
        </w:tc>
        <w:tc>
          <w:tcPr>
            <w:tcW w:w="1400" w:type="dxa"/>
          </w:tcPr>
          <w:p>
            <w:pPr>
              <w:pStyle w:val="57"/>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7"/>
              <w:rPr>
                <w:rFonts w:ascii="宋体" w:hAnsi="宋体"/>
                <w:sz w:val="21"/>
                <w:szCs w:val="21"/>
                <w:highlight w:val="none"/>
              </w:rPr>
            </w:pPr>
          </w:p>
        </w:tc>
        <w:tc>
          <w:tcPr>
            <w:tcW w:w="2050" w:type="dxa"/>
          </w:tcPr>
          <w:p>
            <w:pPr>
              <w:pStyle w:val="57"/>
              <w:rPr>
                <w:rFonts w:ascii="宋体" w:hAnsi="宋体"/>
                <w:sz w:val="21"/>
                <w:szCs w:val="21"/>
                <w:highlight w:val="none"/>
              </w:rPr>
            </w:pPr>
          </w:p>
        </w:tc>
        <w:tc>
          <w:tcPr>
            <w:tcW w:w="2347" w:type="dxa"/>
          </w:tcPr>
          <w:p>
            <w:pPr>
              <w:pStyle w:val="57"/>
              <w:rPr>
                <w:rFonts w:ascii="宋体" w:hAnsi="宋体"/>
                <w:sz w:val="21"/>
                <w:szCs w:val="21"/>
                <w:highlight w:val="none"/>
              </w:rPr>
            </w:pPr>
          </w:p>
        </w:tc>
        <w:tc>
          <w:tcPr>
            <w:tcW w:w="2680" w:type="dxa"/>
          </w:tcPr>
          <w:p>
            <w:pPr>
              <w:pStyle w:val="57"/>
              <w:rPr>
                <w:rFonts w:ascii="宋体" w:hAnsi="宋体"/>
                <w:sz w:val="21"/>
                <w:szCs w:val="21"/>
                <w:highlight w:val="none"/>
              </w:rPr>
            </w:pPr>
          </w:p>
        </w:tc>
        <w:tc>
          <w:tcPr>
            <w:tcW w:w="1400" w:type="dxa"/>
          </w:tcPr>
          <w:p>
            <w:pPr>
              <w:pStyle w:val="57"/>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7"/>
              <w:rPr>
                <w:rFonts w:ascii="宋体" w:hAnsi="宋体"/>
                <w:sz w:val="21"/>
                <w:szCs w:val="21"/>
                <w:highlight w:val="none"/>
              </w:rPr>
            </w:pPr>
          </w:p>
        </w:tc>
        <w:tc>
          <w:tcPr>
            <w:tcW w:w="2050" w:type="dxa"/>
          </w:tcPr>
          <w:p>
            <w:pPr>
              <w:pStyle w:val="57"/>
              <w:rPr>
                <w:rFonts w:ascii="宋体" w:hAnsi="宋体"/>
                <w:sz w:val="21"/>
                <w:szCs w:val="21"/>
                <w:highlight w:val="none"/>
              </w:rPr>
            </w:pPr>
          </w:p>
        </w:tc>
        <w:tc>
          <w:tcPr>
            <w:tcW w:w="2347" w:type="dxa"/>
          </w:tcPr>
          <w:p>
            <w:pPr>
              <w:pStyle w:val="57"/>
              <w:rPr>
                <w:rFonts w:ascii="宋体" w:hAnsi="宋体"/>
                <w:sz w:val="21"/>
                <w:szCs w:val="21"/>
                <w:highlight w:val="none"/>
              </w:rPr>
            </w:pPr>
          </w:p>
        </w:tc>
        <w:tc>
          <w:tcPr>
            <w:tcW w:w="2680" w:type="dxa"/>
          </w:tcPr>
          <w:p>
            <w:pPr>
              <w:pStyle w:val="57"/>
              <w:rPr>
                <w:rFonts w:ascii="宋体" w:hAnsi="宋体"/>
                <w:sz w:val="21"/>
                <w:szCs w:val="21"/>
                <w:highlight w:val="none"/>
              </w:rPr>
            </w:pPr>
          </w:p>
        </w:tc>
        <w:tc>
          <w:tcPr>
            <w:tcW w:w="1400" w:type="dxa"/>
          </w:tcPr>
          <w:p>
            <w:pPr>
              <w:pStyle w:val="57"/>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7"/>
              <w:rPr>
                <w:rFonts w:ascii="宋体" w:hAnsi="宋体"/>
                <w:sz w:val="21"/>
                <w:szCs w:val="21"/>
                <w:highlight w:val="none"/>
              </w:rPr>
            </w:pPr>
          </w:p>
        </w:tc>
        <w:tc>
          <w:tcPr>
            <w:tcW w:w="2050" w:type="dxa"/>
          </w:tcPr>
          <w:p>
            <w:pPr>
              <w:pStyle w:val="57"/>
              <w:rPr>
                <w:rFonts w:ascii="宋体" w:hAnsi="宋体"/>
                <w:sz w:val="21"/>
                <w:szCs w:val="21"/>
                <w:highlight w:val="none"/>
              </w:rPr>
            </w:pPr>
          </w:p>
        </w:tc>
        <w:tc>
          <w:tcPr>
            <w:tcW w:w="2347" w:type="dxa"/>
          </w:tcPr>
          <w:p>
            <w:pPr>
              <w:pStyle w:val="57"/>
              <w:rPr>
                <w:rFonts w:ascii="宋体" w:hAnsi="宋体"/>
                <w:sz w:val="21"/>
                <w:szCs w:val="21"/>
                <w:highlight w:val="none"/>
              </w:rPr>
            </w:pPr>
          </w:p>
        </w:tc>
        <w:tc>
          <w:tcPr>
            <w:tcW w:w="2680" w:type="dxa"/>
          </w:tcPr>
          <w:p>
            <w:pPr>
              <w:pStyle w:val="57"/>
              <w:rPr>
                <w:rFonts w:ascii="宋体" w:hAnsi="宋体"/>
                <w:sz w:val="21"/>
                <w:szCs w:val="21"/>
                <w:highlight w:val="none"/>
              </w:rPr>
            </w:pPr>
          </w:p>
        </w:tc>
        <w:tc>
          <w:tcPr>
            <w:tcW w:w="1400" w:type="dxa"/>
          </w:tcPr>
          <w:p>
            <w:pPr>
              <w:pStyle w:val="57"/>
              <w:rPr>
                <w:rFonts w:ascii="宋体" w:hAnsi="宋体"/>
                <w:sz w:val="21"/>
                <w:szCs w:val="21"/>
                <w:highlight w:val="none"/>
              </w:rPr>
            </w:pPr>
          </w:p>
        </w:tc>
      </w:tr>
    </w:tbl>
    <w:p>
      <w:pPr>
        <w:rPr>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Ansi="宋体"/>
          <w:highlight w:val="none"/>
        </w:rPr>
      </w:pPr>
    </w:p>
    <w:p>
      <w:pPr>
        <w:pStyle w:val="16"/>
        <w:spacing w:line="360" w:lineRule="auto"/>
        <w:ind w:firstLine="420" w:firstLineChars="200"/>
        <w:rPr>
          <w:rFonts w:hint="eastAsia" w:hAnsi="宋体"/>
          <w:kern w:val="0"/>
          <w:highlight w:val="none"/>
        </w:rPr>
      </w:pPr>
      <w:r>
        <w:rPr>
          <w:rFonts w:hint="eastAsia" w:hAnsi="宋体"/>
          <w:kern w:val="0"/>
          <w:highlight w:val="none"/>
        </w:rPr>
        <w:t>注：供应商必须据实填写，不得虚假应答，如与比选文件所列</w:t>
      </w:r>
      <w:r>
        <w:rPr>
          <w:rFonts w:hint="eastAsia" w:hAnsi="宋体"/>
          <w:kern w:val="0"/>
          <w:highlight w:val="none"/>
          <w:lang w:val="en-US" w:eastAsia="zh-CN"/>
        </w:rPr>
        <w:t>商务</w:t>
      </w:r>
      <w:r>
        <w:rPr>
          <w:rFonts w:hint="eastAsia" w:hAnsi="宋体"/>
          <w:kern w:val="0"/>
          <w:highlight w:val="none"/>
        </w:rPr>
        <w:t>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p>
    <w:p>
      <w:pPr>
        <w:pStyle w:val="16"/>
        <w:spacing w:line="360" w:lineRule="auto"/>
        <w:ind w:firstLine="420" w:firstLineChars="200"/>
        <w:rPr>
          <w:rFonts w:hint="default" w:hAnsi="宋体" w:cs="Times New Roman"/>
          <w:kern w:val="0"/>
          <w:highlight w:val="none"/>
          <w:u w:val="single"/>
          <w:lang w:val="en-US"/>
        </w:rPr>
      </w:pPr>
      <w:r>
        <w:rPr>
          <w:rFonts w:hint="eastAsia" w:hAnsi="宋体"/>
          <w:b/>
          <w:bCs/>
          <w:kern w:val="0"/>
          <w:highlight w:val="none"/>
          <w:u w:val="single"/>
          <w:lang w:val="en-US" w:eastAsia="zh-CN"/>
        </w:rPr>
        <w:t>供应商参与投标无论是响应还是不响应，都务必要填写此表格，明确是否响应招标文件中的技术要求</w:t>
      </w:r>
      <w:r>
        <w:rPr>
          <w:rFonts w:hint="eastAsia" w:hAnsi="宋体"/>
          <w:kern w:val="0"/>
          <w:highlight w:val="none"/>
          <w:u w:val="single"/>
          <w:lang w:val="en-US" w:eastAsia="zh-CN"/>
        </w:rPr>
        <w:t>。</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七、</w:t>
      </w:r>
      <w:r>
        <w:rPr>
          <w:rFonts w:hint="eastAsia"/>
          <w:highlight w:val="none"/>
          <w:lang w:val="en-US" w:eastAsia="zh-CN"/>
        </w:rPr>
        <w:t>技术要求</w:t>
      </w:r>
      <w:r>
        <w:rPr>
          <w:rFonts w:hint="eastAsia"/>
          <w:highlight w:val="none"/>
        </w:rPr>
        <w:t>应答表</w:t>
      </w:r>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标的名称：皮肤科综合治疗区改造项目</w:t>
      </w:r>
    </w:p>
    <w:tbl>
      <w:tblPr>
        <w:tblStyle w:val="2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021"/>
        <w:gridCol w:w="2193"/>
        <w:gridCol w:w="2066"/>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79" w:type="dxa"/>
            <w:vAlign w:val="center"/>
          </w:tcPr>
          <w:p>
            <w:pPr>
              <w:pStyle w:val="57"/>
              <w:jc w:val="center"/>
              <w:rPr>
                <w:rFonts w:hAnsi="宋体" w:cs="Times New Roman"/>
                <w:kern w:val="0"/>
                <w:highlight w:val="none"/>
              </w:rPr>
            </w:pPr>
            <w:r>
              <w:rPr>
                <w:rFonts w:hint="eastAsia" w:ascii="宋体" w:hAnsi="宋体"/>
                <w:sz w:val="21"/>
                <w:szCs w:val="21"/>
                <w:highlight w:val="none"/>
              </w:rPr>
              <w:t>序号</w:t>
            </w:r>
          </w:p>
        </w:tc>
        <w:tc>
          <w:tcPr>
            <w:tcW w:w="2021" w:type="dxa"/>
            <w:vAlign w:val="center"/>
          </w:tcPr>
          <w:p>
            <w:pPr>
              <w:pStyle w:val="57"/>
              <w:ind w:left="0" w:leftChars="0" w:firstLine="0" w:firstLineChars="0"/>
              <w:jc w:val="center"/>
              <w:rPr>
                <w:rFonts w:hAnsi="宋体" w:cs="Times New Roman"/>
                <w:kern w:val="0"/>
                <w:highlight w:val="none"/>
              </w:rPr>
            </w:pPr>
            <w:r>
              <w:rPr>
                <w:rFonts w:hint="eastAsia" w:ascii="宋体" w:hAnsi="宋体"/>
                <w:sz w:val="21"/>
                <w:szCs w:val="21"/>
                <w:highlight w:val="none"/>
              </w:rPr>
              <w:t>比选文件</w:t>
            </w:r>
            <w:r>
              <w:rPr>
                <w:rFonts w:hint="eastAsia" w:ascii="宋体" w:hAnsi="宋体"/>
                <w:sz w:val="21"/>
                <w:szCs w:val="21"/>
                <w:highlight w:val="none"/>
                <w:lang w:val="en-US" w:eastAsia="zh-CN"/>
              </w:rPr>
              <w:t>条目序号</w:t>
            </w:r>
          </w:p>
        </w:tc>
        <w:tc>
          <w:tcPr>
            <w:tcW w:w="2193" w:type="dxa"/>
            <w:vAlign w:val="center"/>
          </w:tcPr>
          <w:p>
            <w:pPr>
              <w:pStyle w:val="57"/>
              <w:ind w:left="0" w:leftChars="0" w:firstLine="0" w:firstLineChars="0"/>
              <w:jc w:val="center"/>
              <w:rPr>
                <w:rFonts w:hAnsi="宋体" w:cs="Times New Roman"/>
                <w:kern w:val="0"/>
                <w:highlight w:val="none"/>
              </w:rPr>
            </w:pPr>
            <w:r>
              <w:rPr>
                <w:rFonts w:hint="eastAsia" w:ascii="宋体" w:hAnsi="宋体"/>
                <w:sz w:val="21"/>
                <w:szCs w:val="21"/>
                <w:highlight w:val="none"/>
              </w:rPr>
              <w:t>比选文件</w:t>
            </w:r>
            <w:r>
              <w:rPr>
                <w:rFonts w:hint="eastAsia" w:ascii="宋体" w:hAnsi="宋体"/>
                <w:sz w:val="21"/>
                <w:szCs w:val="21"/>
                <w:highlight w:val="none"/>
                <w:lang w:val="en-US" w:eastAsia="zh-CN"/>
              </w:rPr>
              <w:t>技术</w:t>
            </w:r>
            <w:r>
              <w:rPr>
                <w:rFonts w:hint="eastAsia" w:ascii="宋体" w:hAnsi="宋体"/>
                <w:sz w:val="21"/>
                <w:szCs w:val="21"/>
                <w:highlight w:val="none"/>
              </w:rPr>
              <w:t>要求</w:t>
            </w:r>
          </w:p>
        </w:tc>
        <w:tc>
          <w:tcPr>
            <w:tcW w:w="2066" w:type="dxa"/>
            <w:vAlign w:val="center"/>
          </w:tcPr>
          <w:p>
            <w:pPr>
              <w:pStyle w:val="57"/>
              <w:jc w:val="center"/>
              <w:rPr>
                <w:rFonts w:hAnsi="宋体" w:cs="Times New Roman"/>
                <w:kern w:val="0"/>
                <w:highlight w:val="none"/>
              </w:rPr>
            </w:pPr>
            <w:r>
              <w:rPr>
                <w:rFonts w:hint="eastAsia" w:ascii="宋体" w:hAnsi="宋体"/>
                <w:sz w:val="21"/>
                <w:szCs w:val="21"/>
                <w:highlight w:val="none"/>
                <w:lang w:val="en-US" w:eastAsia="zh-CN"/>
              </w:rPr>
              <w:t>投标人</w:t>
            </w:r>
            <w:r>
              <w:rPr>
                <w:rFonts w:hint="eastAsia" w:ascii="宋体" w:hAnsi="宋体"/>
                <w:sz w:val="21"/>
                <w:szCs w:val="21"/>
                <w:highlight w:val="none"/>
              </w:rPr>
              <w:t>响应</w:t>
            </w:r>
            <w:r>
              <w:rPr>
                <w:rFonts w:hint="eastAsia" w:ascii="宋体" w:hAnsi="宋体"/>
                <w:sz w:val="21"/>
                <w:szCs w:val="21"/>
                <w:highlight w:val="none"/>
                <w:lang w:val="en-US" w:eastAsia="zh-CN"/>
              </w:rPr>
              <w:t>情况</w:t>
            </w:r>
          </w:p>
        </w:tc>
        <w:tc>
          <w:tcPr>
            <w:tcW w:w="1237" w:type="dxa"/>
            <w:vAlign w:val="center"/>
          </w:tcPr>
          <w:p>
            <w:pPr>
              <w:pStyle w:val="57"/>
              <w:jc w:val="center"/>
              <w:rPr>
                <w:rFonts w:hAnsi="宋体" w:cs="Times New Roman"/>
                <w:kern w:val="0"/>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79" w:type="dxa"/>
            <w:vAlign w:val="center"/>
          </w:tcPr>
          <w:p>
            <w:pPr>
              <w:spacing w:line="360" w:lineRule="auto"/>
              <w:jc w:val="center"/>
              <w:rPr>
                <w:rFonts w:ascii="宋体"/>
                <w:kern w:val="0"/>
                <w:highlight w:val="none"/>
              </w:rPr>
            </w:pPr>
          </w:p>
        </w:tc>
        <w:tc>
          <w:tcPr>
            <w:tcW w:w="2021" w:type="dxa"/>
            <w:vAlign w:val="center"/>
          </w:tcPr>
          <w:p>
            <w:pPr>
              <w:spacing w:line="360" w:lineRule="auto"/>
              <w:jc w:val="center"/>
              <w:rPr>
                <w:rFonts w:ascii="宋体"/>
                <w:kern w:val="0"/>
                <w:highlight w:val="none"/>
              </w:rPr>
            </w:pPr>
          </w:p>
        </w:tc>
        <w:tc>
          <w:tcPr>
            <w:tcW w:w="2193" w:type="dxa"/>
            <w:vAlign w:val="center"/>
          </w:tcPr>
          <w:p>
            <w:pPr>
              <w:spacing w:line="360" w:lineRule="auto"/>
              <w:jc w:val="center"/>
              <w:rPr>
                <w:rFonts w:ascii="宋体"/>
                <w:kern w:val="0"/>
                <w:highlight w:val="none"/>
              </w:rPr>
            </w:pPr>
          </w:p>
        </w:tc>
        <w:tc>
          <w:tcPr>
            <w:tcW w:w="2066" w:type="dxa"/>
            <w:vAlign w:val="center"/>
          </w:tcPr>
          <w:p>
            <w:pPr>
              <w:spacing w:line="360" w:lineRule="auto"/>
              <w:ind w:left="277" w:hanging="277" w:hangingChars="132"/>
              <w:jc w:val="center"/>
              <w:rPr>
                <w:rFonts w:ascii="宋体"/>
                <w:kern w:val="0"/>
                <w:highlight w:val="none"/>
              </w:rPr>
            </w:pPr>
          </w:p>
        </w:tc>
        <w:tc>
          <w:tcPr>
            <w:tcW w:w="1237" w:type="dxa"/>
            <w:vAlign w:val="center"/>
          </w:tcPr>
          <w:p>
            <w:pPr>
              <w:spacing w:line="360" w:lineRule="auto"/>
              <w:ind w:left="277" w:hanging="277" w:hangingChars="132"/>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79" w:type="dxa"/>
            <w:vAlign w:val="center"/>
          </w:tcPr>
          <w:p>
            <w:pPr>
              <w:spacing w:line="360" w:lineRule="auto"/>
              <w:jc w:val="center"/>
              <w:rPr>
                <w:rFonts w:ascii="宋体"/>
                <w:kern w:val="0"/>
                <w:highlight w:val="none"/>
              </w:rPr>
            </w:pPr>
          </w:p>
        </w:tc>
        <w:tc>
          <w:tcPr>
            <w:tcW w:w="2021" w:type="dxa"/>
            <w:vAlign w:val="center"/>
          </w:tcPr>
          <w:p>
            <w:pPr>
              <w:spacing w:line="360" w:lineRule="auto"/>
              <w:jc w:val="center"/>
              <w:rPr>
                <w:rFonts w:ascii="宋体"/>
                <w:kern w:val="0"/>
                <w:highlight w:val="none"/>
              </w:rPr>
            </w:pPr>
          </w:p>
        </w:tc>
        <w:tc>
          <w:tcPr>
            <w:tcW w:w="2193" w:type="dxa"/>
            <w:vAlign w:val="center"/>
          </w:tcPr>
          <w:p>
            <w:pPr>
              <w:spacing w:line="360" w:lineRule="auto"/>
              <w:jc w:val="center"/>
              <w:rPr>
                <w:rFonts w:ascii="宋体"/>
                <w:kern w:val="0"/>
                <w:highlight w:val="none"/>
              </w:rPr>
            </w:pPr>
          </w:p>
        </w:tc>
        <w:tc>
          <w:tcPr>
            <w:tcW w:w="2066" w:type="dxa"/>
            <w:vAlign w:val="center"/>
          </w:tcPr>
          <w:p>
            <w:pPr>
              <w:spacing w:line="360" w:lineRule="auto"/>
              <w:jc w:val="center"/>
              <w:rPr>
                <w:rFonts w:ascii="宋体"/>
                <w:kern w:val="0"/>
                <w:highlight w:val="none"/>
              </w:rPr>
            </w:pPr>
          </w:p>
        </w:tc>
        <w:tc>
          <w:tcPr>
            <w:tcW w:w="1237"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79" w:type="dxa"/>
            <w:vAlign w:val="center"/>
          </w:tcPr>
          <w:p>
            <w:pPr>
              <w:spacing w:line="360" w:lineRule="auto"/>
              <w:jc w:val="center"/>
              <w:rPr>
                <w:rFonts w:ascii="宋体"/>
                <w:kern w:val="0"/>
                <w:highlight w:val="none"/>
              </w:rPr>
            </w:pPr>
          </w:p>
        </w:tc>
        <w:tc>
          <w:tcPr>
            <w:tcW w:w="2021" w:type="dxa"/>
            <w:vAlign w:val="center"/>
          </w:tcPr>
          <w:p>
            <w:pPr>
              <w:spacing w:line="360" w:lineRule="auto"/>
              <w:jc w:val="center"/>
              <w:rPr>
                <w:rFonts w:ascii="宋体"/>
                <w:kern w:val="0"/>
                <w:highlight w:val="none"/>
              </w:rPr>
            </w:pPr>
          </w:p>
        </w:tc>
        <w:tc>
          <w:tcPr>
            <w:tcW w:w="2193" w:type="dxa"/>
            <w:vAlign w:val="center"/>
          </w:tcPr>
          <w:p>
            <w:pPr>
              <w:spacing w:line="360" w:lineRule="auto"/>
              <w:jc w:val="center"/>
              <w:rPr>
                <w:rFonts w:ascii="宋体"/>
                <w:kern w:val="0"/>
                <w:highlight w:val="none"/>
              </w:rPr>
            </w:pPr>
          </w:p>
        </w:tc>
        <w:tc>
          <w:tcPr>
            <w:tcW w:w="2066" w:type="dxa"/>
            <w:vAlign w:val="center"/>
          </w:tcPr>
          <w:p>
            <w:pPr>
              <w:spacing w:line="360" w:lineRule="auto"/>
              <w:jc w:val="center"/>
              <w:rPr>
                <w:rFonts w:ascii="宋体"/>
                <w:kern w:val="0"/>
                <w:highlight w:val="none"/>
              </w:rPr>
            </w:pPr>
          </w:p>
        </w:tc>
        <w:tc>
          <w:tcPr>
            <w:tcW w:w="1237"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79" w:type="dxa"/>
            <w:vAlign w:val="center"/>
          </w:tcPr>
          <w:p>
            <w:pPr>
              <w:spacing w:line="360" w:lineRule="auto"/>
              <w:jc w:val="center"/>
              <w:rPr>
                <w:rFonts w:ascii="宋体"/>
                <w:kern w:val="0"/>
                <w:highlight w:val="none"/>
              </w:rPr>
            </w:pPr>
          </w:p>
        </w:tc>
        <w:tc>
          <w:tcPr>
            <w:tcW w:w="2021" w:type="dxa"/>
            <w:vAlign w:val="center"/>
          </w:tcPr>
          <w:p>
            <w:pPr>
              <w:spacing w:line="360" w:lineRule="auto"/>
              <w:jc w:val="center"/>
              <w:rPr>
                <w:rFonts w:ascii="宋体"/>
                <w:kern w:val="0"/>
                <w:highlight w:val="none"/>
              </w:rPr>
            </w:pPr>
          </w:p>
        </w:tc>
        <w:tc>
          <w:tcPr>
            <w:tcW w:w="2193" w:type="dxa"/>
            <w:vAlign w:val="center"/>
          </w:tcPr>
          <w:p>
            <w:pPr>
              <w:spacing w:line="360" w:lineRule="auto"/>
              <w:jc w:val="center"/>
              <w:rPr>
                <w:rFonts w:ascii="宋体"/>
                <w:kern w:val="0"/>
                <w:highlight w:val="none"/>
              </w:rPr>
            </w:pPr>
          </w:p>
        </w:tc>
        <w:tc>
          <w:tcPr>
            <w:tcW w:w="2066" w:type="dxa"/>
            <w:vAlign w:val="center"/>
          </w:tcPr>
          <w:p>
            <w:pPr>
              <w:spacing w:line="360" w:lineRule="auto"/>
              <w:jc w:val="center"/>
              <w:rPr>
                <w:rFonts w:ascii="宋体"/>
                <w:kern w:val="0"/>
                <w:highlight w:val="none"/>
              </w:rPr>
            </w:pPr>
          </w:p>
        </w:tc>
        <w:tc>
          <w:tcPr>
            <w:tcW w:w="1237"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79" w:type="dxa"/>
            <w:vAlign w:val="center"/>
          </w:tcPr>
          <w:p>
            <w:pPr>
              <w:spacing w:line="360" w:lineRule="auto"/>
              <w:jc w:val="center"/>
              <w:rPr>
                <w:rFonts w:ascii="宋体"/>
                <w:kern w:val="0"/>
                <w:highlight w:val="none"/>
              </w:rPr>
            </w:pPr>
          </w:p>
        </w:tc>
        <w:tc>
          <w:tcPr>
            <w:tcW w:w="2021" w:type="dxa"/>
            <w:vAlign w:val="center"/>
          </w:tcPr>
          <w:p>
            <w:pPr>
              <w:spacing w:line="360" w:lineRule="auto"/>
              <w:jc w:val="center"/>
              <w:rPr>
                <w:rFonts w:ascii="宋体"/>
                <w:kern w:val="0"/>
                <w:highlight w:val="none"/>
              </w:rPr>
            </w:pPr>
          </w:p>
        </w:tc>
        <w:tc>
          <w:tcPr>
            <w:tcW w:w="2193" w:type="dxa"/>
            <w:vAlign w:val="center"/>
          </w:tcPr>
          <w:p>
            <w:pPr>
              <w:spacing w:line="360" w:lineRule="auto"/>
              <w:jc w:val="center"/>
              <w:rPr>
                <w:rFonts w:ascii="宋体"/>
                <w:kern w:val="0"/>
                <w:highlight w:val="none"/>
              </w:rPr>
            </w:pPr>
          </w:p>
        </w:tc>
        <w:tc>
          <w:tcPr>
            <w:tcW w:w="2066" w:type="dxa"/>
            <w:vAlign w:val="center"/>
          </w:tcPr>
          <w:p>
            <w:pPr>
              <w:spacing w:line="360" w:lineRule="auto"/>
              <w:jc w:val="center"/>
              <w:rPr>
                <w:rFonts w:ascii="宋体"/>
                <w:kern w:val="0"/>
                <w:highlight w:val="none"/>
              </w:rPr>
            </w:pPr>
          </w:p>
        </w:tc>
        <w:tc>
          <w:tcPr>
            <w:tcW w:w="1237" w:type="dxa"/>
            <w:vAlign w:val="center"/>
          </w:tcPr>
          <w:p>
            <w:pPr>
              <w:spacing w:line="360" w:lineRule="auto"/>
              <w:jc w:val="center"/>
              <w:rPr>
                <w:rFonts w:ascii="宋体"/>
                <w:kern w:val="0"/>
                <w:highlight w:val="none"/>
              </w:rPr>
            </w:pPr>
          </w:p>
        </w:tc>
      </w:tr>
    </w:tbl>
    <w:p>
      <w:pPr>
        <w:spacing w:line="360" w:lineRule="auto"/>
        <w:ind w:left="735" w:hanging="735" w:hangingChars="350"/>
        <w:jc w:val="center"/>
        <w:rPr>
          <w:rFonts w:ascii="宋体"/>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16"/>
        <w:spacing w:line="360" w:lineRule="auto"/>
        <w:ind w:firstLine="420" w:firstLineChars="200"/>
        <w:rPr>
          <w:rFonts w:hint="eastAsia" w:hAnsi="宋体"/>
          <w:kern w:val="0"/>
          <w:highlight w:val="none"/>
        </w:rPr>
      </w:pPr>
      <w:r>
        <w:rPr>
          <w:rFonts w:hint="eastAsia" w:hAnsi="宋体"/>
          <w:kern w:val="0"/>
          <w:highlight w:val="none"/>
        </w:rPr>
        <w:t>注：供应商必须据实填写，不得虚假应答，如与比选文件所列</w:t>
      </w:r>
      <w:r>
        <w:rPr>
          <w:rFonts w:hint="eastAsia" w:hAnsi="宋体"/>
          <w:kern w:val="0"/>
          <w:highlight w:val="none"/>
          <w:lang w:val="en-US" w:eastAsia="zh-CN"/>
        </w:rPr>
        <w:t>技术</w:t>
      </w:r>
      <w:r>
        <w:rPr>
          <w:rFonts w:hint="eastAsia" w:hAnsi="宋体"/>
          <w:kern w:val="0"/>
          <w:highlight w:val="none"/>
        </w:rPr>
        <w:t>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p>
    <w:p>
      <w:pPr>
        <w:pStyle w:val="16"/>
        <w:spacing w:line="360" w:lineRule="auto"/>
        <w:ind w:firstLine="420" w:firstLineChars="200"/>
        <w:rPr>
          <w:rFonts w:ascii="宋体"/>
          <w:highlight w:val="none"/>
        </w:rPr>
      </w:pPr>
      <w:r>
        <w:rPr>
          <w:rFonts w:hint="eastAsia" w:hAnsi="宋体"/>
          <w:b/>
          <w:bCs/>
          <w:kern w:val="0"/>
          <w:highlight w:val="none"/>
          <w:u w:val="single"/>
          <w:lang w:val="en-US" w:eastAsia="zh-CN"/>
        </w:rPr>
        <w:t>供应商参与投标无论是响应还是不响应，都务必要填写此表格，明确是否响应招标文件中的商务要求</w:t>
      </w:r>
      <w:r>
        <w:rPr>
          <w:rFonts w:hint="eastAsia" w:hAnsi="宋体"/>
          <w:kern w:val="0"/>
          <w:highlight w:val="none"/>
          <w:u w:val="single"/>
          <w:lang w:val="en-US" w:eastAsia="zh-CN"/>
        </w:rPr>
        <w:t>。</w:t>
      </w: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rPr>
        <w:t>八</w:t>
      </w:r>
      <w:r>
        <w:rPr>
          <w:highlight w:val="none"/>
        </w:rPr>
        <w:t>、</w:t>
      </w:r>
      <w:r>
        <w:rPr>
          <w:rFonts w:hint="eastAsia"/>
          <w:highlight w:val="none"/>
        </w:rPr>
        <w:t>廉洁承诺书</w:t>
      </w:r>
    </w:p>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六、不为医院相关人员报销电话费、娱乐费、差旅费、餐费等应由医院相关人员支付的各种费用。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七、不组织医院相关人员参加国内外旅游、座谈会、学术会等活动。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八、不向医院相关人员赠送各种实物及有价证券。</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pPr>
        <w:tabs>
          <w:tab w:val="left" w:pos="3690"/>
        </w:tabs>
        <w:ind w:firstLine="447" w:firstLineChars="213"/>
        <w:rPr>
          <w:rFonts w:hint="eastAsia" w:ascii="宋体" w:hAnsi="宋体" w:eastAsia="宋体" w:cs="宋体"/>
          <w:kern w:val="0"/>
          <w:sz w:val="21"/>
          <w:szCs w:val="21"/>
          <w:highlight w:val="none"/>
          <w:lang w:val="en-US" w:eastAsia="zh-CN" w:bidi="ar-SA"/>
        </w:rPr>
      </w:pPr>
    </w:p>
    <w:p>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p>
    <w:p>
      <w:pPr>
        <w:tabs>
          <w:tab w:val="left" w:pos="3690"/>
        </w:tabs>
        <w:ind w:firstLine="2757" w:firstLineChars="1313"/>
        <w:rPr>
          <w:rFonts w:hint="eastAsia" w:ascii="宋体" w:hAnsi="宋体" w:cs="宋体"/>
          <w:kern w:val="0"/>
          <w:highlight w:val="none"/>
        </w:rPr>
      </w:pPr>
      <w:r>
        <w:rPr>
          <w:rFonts w:hint="eastAsia" w:ascii="宋体" w:hAnsi="宋体" w:eastAsia="宋体" w:cs="宋体"/>
          <w:kern w:val="0"/>
          <w:sz w:val="21"/>
          <w:szCs w:val="21"/>
          <w:highlight w:val="none"/>
          <w:lang w:val="en-US" w:eastAsia="zh-CN" w:bidi="ar-SA"/>
        </w:rPr>
        <w:t>承诺代表：</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bookmarkEnd w:id="39"/>
    <w:bookmarkEnd w:id="40"/>
    <w:bookmarkEnd w:id="41"/>
    <w:bookmarkEnd w:id="42"/>
    <w:p>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lang w:val="en-US" w:eastAsia="zh-CN"/>
        </w:rPr>
      </w:pPr>
      <w:bookmarkStart w:id="43" w:name="_Toc365878703"/>
      <w:bookmarkStart w:id="44" w:name="_Toc361252259"/>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w:t>
      </w:r>
      <w:r>
        <w:rPr>
          <w:rFonts w:hint="eastAsia" w:cs="宋体"/>
          <w:bCs w:val="0"/>
          <w:highlight w:val="none"/>
          <w:lang w:val="en-US" w:eastAsia="zh-CN"/>
        </w:rPr>
        <w:t>终</w:t>
      </w:r>
      <w:r>
        <w:rPr>
          <w:rFonts w:hint="eastAsia" w:ascii="宋体" w:hAnsi="宋体" w:eastAsia="宋体" w:cs="宋体"/>
          <w:bCs w:val="0"/>
          <w:highlight w:val="none"/>
        </w:rPr>
        <w:t>报价</w:t>
      </w:r>
      <w:r>
        <w:rPr>
          <w:rFonts w:hint="eastAsia" w:cs="宋体"/>
          <w:bCs w:val="0"/>
          <w:highlight w:val="none"/>
          <w:lang w:val="en-US" w:eastAsia="zh-CN"/>
        </w:rPr>
        <w:t>表</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一、关于最后报价的说明：</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w:t>
      </w:r>
      <w:r>
        <w:rPr>
          <w:rFonts w:hint="eastAsia" w:ascii="宋体" w:hAnsi="宋体" w:cs="宋体"/>
          <w:b/>
          <w:bCs/>
          <w:sz w:val="24"/>
          <w:highlight w:val="none"/>
          <w:lang w:val="en-US" w:eastAsia="zh-CN"/>
        </w:rPr>
        <w:t>是指供应商</w:t>
      </w:r>
      <w:r>
        <w:rPr>
          <w:rFonts w:hint="eastAsia" w:ascii="宋体" w:hAnsi="宋体" w:eastAsia="宋体" w:cs="宋体"/>
          <w:b/>
          <w:bCs/>
          <w:sz w:val="24"/>
          <w:highlight w:val="none"/>
        </w:rPr>
        <w:t>通过相关评审后，由</w:t>
      </w:r>
      <w:r>
        <w:rPr>
          <w:rFonts w:hint="eastAsia" w:ascii="宋体" w:hAnsi="宋体" w:cs="宋体"/>
          <w:b/>
          <w:bCs/>
          <w:sz w:val="24"/>
          <w:highlight w:val="none"/>
          <w:lang w:val="en-US" w:eastAsia="zh-CN"/>
        </w:rPr>
        <w:t>投标人的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w:t>
      </w:r>
      <w:r>
        <w:rPr>
          <w:rFonts w:hint="eastAsia" w:ascii="宋体" w:hAnsi="宋体" w:cs="宋体"/>
          <w:b/>
          <w:bCs/>
          <w:sz w:val="24"/>
          <w:highlight w:val="none"/>
          <w:lang w:val="en-US" w:eastAsia="zh-CN"/>
        </w:rPr>
        <w:t>在评标现场进行的最后（第二次）报价，可现场填写</w:t>
      </w:r>
      <w:r>
        <w:rPr>
          <w:rFonts w:hint="eastAsia" w:ascii="宋体" w:hAnsi="宋体" w:eastAsia="宋体" w:cs="宋体"/>
          <w:b/>
          <w:bCs/>
          <w:sz w:val="24"/>
          <w:highlight w:val="none"/>
        </w:rPr>
        <w:t>；</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空白表</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可</w:t>
      </w:r>
      <w:r>
        <w:rPr>
          <w:rFonts w:hint="eastAsia" w:ascii="宋体" w:hAnsi="宋体" w:eastAsia="宋体" w:cs="宋体"/>
          <w:b/>
          <w:bCs/>
          <w:sz w:val="24"/>
          <w:highlight w:val="none"/>
        </w:rPr>
        <w:t>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r>
        <w:rPr>
          <w:rFonts w:hint="eastAsia" w:ascii="宋体" w:hAnsi="宋体" w:cs="宋体"/>
          <w:b/>
          <w:bCs/>
          <w:sz w:val="24"/>
          <w:highlight w:val="none"/>
          <w:lang w:val="en-US" w:eastAsia="zh-CN"/>
        </w:rPr>
        <w:t>，亦可另行</w:t>
      </w:r>
      <w:r>
        <w:rPr>
          <w:rFonts w:hint="eastAsia" w:ascii="宋体" w:hAnsi="宋体" w:eastAsia="宋体" w:cs="宋体"/>
          <w:b/>
          <w:bCs/>
          <w:sz w:val="24"/>
          <w:highlight w:val="none"/>
          <w:lang w:val="en-US" w:eastAsia="zh-CN"/>
        </w:rPr>
        <w:t>提供</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可现场</w:t>
      </w:r>
      <w:r>
        <w:rPr>
          <w:rFonts w:hint="eastAsia" w:ascii="宋体" w:hAnsi="宋体" w:eastAsia="宋体" w:cs="宋体"/>
          <w:b/>
          <w:bCs/>
          <w:sz w:val="24"/>
          <w:highlight w:val="none"/>
        </w:rPr>
        <w:t>填写；</w:t>
      </w:r>
    </w:p>
    <w:p>
      <w:pPr>
        <w:spacing w:line="360" w:lineRule="auto"/>
        <w:rPr>
          <w:rFonts w:hint="eastAsia" w:ascii="宋体" w:hAnsi="宋体" w:eastAsia="宋体" w:cs="宋体"/>
          <w:b/>
          <w:bCs/>
          <w:sz w:val="24"/>
          <w:highlight w:val="none"/>
        </w:rPr>
      </w:pPr>
      <w:r>
        <w:rPr>
          <w:rFonts w:hint="eastAsia" w:ascii="仿宋_GB2312" w:hAnsi="仿宋_GB2312" w:eastAsia="仿宋_GB2312" w:cs="仿宋_GB2312"/>
          <w:b/>
          <w:bCs/>
          <w:sz w:val="24"/>
          <w:highlight w:val="none"/>
          <w:lang w:val="en-US" w:eastAsia="zh-CN"/>
        </w:rPr>
        <w:t>★</w:t>
      </w:r>
      <w:r>
        <w:rPr>
          <w:rFonts w:hint="eastAsia" w:ascii="宋体" w:hAnsi="宋体" w:cs="宋体"/>
          <w:b/>
          <w:bCs/>
          <w:sz w:val="24"/>
          <w:highlight w:val="none"/>
          <w:lang w:val="en-US" w:eastAsia="zh-CN"/>
        </w:rPr>
        <w:t>3、</w:t>
      </w:r>
      <w:r>
        <w:rPr>
          <w:rFonts w:hint="eastAsia" w:ascii="宋体" w:hAnsi="宋体" w:eastAsia="宋体" w:cs="宋体"/>
          <w:b/>
          <w:bCs/>
          <w:sz w:val="24"/>
          <w:highlight w:val="none"/>
        </w:rPr>
        <w:t>最后报价不得高于对该项目之前的报价</w:t>
      </w:r>
      <w:r>
        <w:rPr>
          <w:rFonts w:hint="eastAsia" w:ascii="宋体" w:hAnsi="宋体" w:cs="宋体"/>
          <w:b/>
          <w:bCs/>
          <w:sz w:val="24"/>
          <w:highlight w:val="none"/>
          <w:lang w:val="en-US" w:eastAsia="zh-CN"/>
        </w:rPr>
        <w:t>，并完整填写最终报价表所有内容，否则视为</w:t>
      </w:r>
      <w:r>
        <w:rPr>
          <w:rFonts w:hint="eastAsia" w:ascii="宋体" w:hAnsi="宋体" w:eastAsia="宋体" w:cs="宋体"/>
          <w:b/>
          <w:bCs/>
          <w:sz w:val="24"/>
          <w:highlight w:val="none"/>
        </w:rPr>
        <w:t>未按比选文件要求完成报价</w:t>
      </w:r>
      <w:r>
        <w:rPr>
          <w:rFonts w:hint="eastAsia" w:ascii="宋体" w:hAnsi="宋体" w:eastAsia="宋体" w:cs="宋体"/>
          <w:b/>
          <w:bCs/>
          <w:sz w:val="24"/>
          <w:highlight w:val="none"/>
          <w:lang w:val="en-US" w:eastAsia="zh-CN"/>
        </w:rPr>
        <w:t>。</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w:t>
      </w:r>
      <w:r>
        <w:rPr>
          <w:rFonts w:hint="eastAsia" w:ascii="宋体" w:hAnsi="宋体" w:cs="宋体"/>
          <w:b/>
          <w:sz w:val="32"/>
          <w:szCs w:val="32"/>
          <w:highlight w:val="none"/>
          <w:lang w:val="en-US" w:eastAsia="zh-CN"/>
        </w:rPr>
        <w:t>终</w:t>
      </w:r>
      <w:r>
        <w:rPr>
          <w:rFonts w:hint="eastAsia" w:ascii="宋体" w:hAnsi="宋体" w:eastAsia="宋体" w:cs="宋体"/>
          <w:b/>
          <w:sz w:val="32"/>
          <w:szCs w:val="32"/>
          <w:highlight w:val="none"/>
        </w:rPr>
        <w:t>报价表</w:t>
      </w:r>
    </w:p>
    <w:p>
      <w:pPr>
        <w:spacing w:line="360" w:lineRule="auto"/>
        <w:jc w:val="left"/>
        <w:rPr>
          <w:rFonts w:hint="eastAsia" w:ascii="宋体" w:hAnsi="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标的名称：皮肤科综合治疗区改造项目</w:t>
      </w:r>
    </w:p>
    <w:tbl>
      <w:tblPr>
        <w:tblStyle w:val="28"/>
        <w:tblW w:w="897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9"/>
        <w:gridCol w:w="3064"/>
        <w:gridCol w:w="924"/>
        <w:gridCol w:w="706"/>
        <w:gridCol w:w="1130"/>
        <w:gridCol w:w="948"/>
        <w:gridCol w:w="17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7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right="-60" w:rightChars="-29"/>
              <w:jc w:val="center"/>
              <w:textAlignment w:val="center"/>
              <w:rPr>
                <w:rFonts w:hint="eastAsia" w:ascii="宋体" w:hAnsi="宋体" w:eastAsia="宋体" w:cs="宋体"/>
                <w:b/>
                <w:bCs/>
                <w:i w:val="0"/>
                <w:iCs w:val="0"/>
                <w:color w:val="000000"/>
                <w:sz w:val="36"/>
                <w:szCs w:val="36"/>
                <w:u w:val="none"/>
              </w:rPr>
            </w:pPr>
            <w:r>
              <w:rPr>
                <w:rFonts w:hint="eastAsia" w:ascii="宋体" w:hAnsi="宋体" w:cs="宋体"/>
                <w:b/>
                <w:bCs/>
                <w:color w:val="000000"/>
                <w:kern w:val="0"/>
                <w:sz w:val="20"/>
                <w:szCs w:val="20"/>
                <w:highlight w:val="none"/>
                <w:lang w:val="en-US" w:eastAsia="zh-CN" w:bidi="ar"/>
              </w:rPr>
              <w:t>资阳市中心医院皮肤科综合治疗区改造项目工程量清单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合计（元）</w:t>
            </w: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防滑地砖</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石粉</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立方</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特细沙</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立方</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right="-625" w:rightChars="-298"/>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普通水泥</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32.5R 袋装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地砖铺贴工费</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隔热断桥铝合金阳光房</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地弹簧</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（用于地弹门）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不锈钢门夹</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（用于地弹门）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不锈钢拉手</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（用于地弹门）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外平开隔热断桥铝合金开窗.门</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85系列  5+6+5钢化中空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阳光房现场制作及安装工费</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铝塑板</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细木工板</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2440×1220×12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木工工费</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集成吊顶</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1.0mm厚,含龙骨、边线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集成吊顶安装费</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窗帘轨道</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单轨成套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定制窗帘</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轨道长度×2为窗帘实际长度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窗帘安装工费</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PVC阻燃电线管</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铜芯塑料绝缘电线</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BV-2.5mm2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铜芯塑料绝缘电线</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BV-4mm2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铜芯塑料绝缘电线</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BV-10mm2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PP-R冷水管</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Φ25×2.3 1.25MPa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PP-R冷水管管件</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圆形、方型LED吸顶灯</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直径400—500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开关及五孔插座</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250V10A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水电施工工费</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辅料</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30</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w:t>
            </w:r>
            <w:r>
              <w:rPr>
                <w:rFonts w:hint="eastAsia" w:ascii="宋体" w:hAnsi="宋体" w:cs="宋体"/>
                <w:i w:val="0"/>
                <w:iCs w:val="0"/>
                <w:color w:val="000000"/>
                <w:kern w:val="0"/>
                <w:sz w:val="20"/>
                <w:szCs w:val="20"/>
                <w:u w:val="none"/>
                <w:lang w:val="en-US" w:eastAsia="zh-CN" w:bidi="ar"/>
              </w:rPr>
              <w:t>、费</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31</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总价</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32</w:t>
            </w:r>
          </w:p>
        </w:tc>
        <w:tc>
          <w:tcPr>
            <w:tcW w:w="3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工期</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c>
          <w:tcPr>
            <w:tcW w:w="544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清单具体实施内容以招标人确定内容为准</w:t>
            </w:r>
          </w:p>
        </w:tc>
      </w:tr>
    </w:tbl>
    <w:p>
      <w:pPr>
        <w:pStyle w:val="2"/>
        <w:rPr>
          <w:rFonts w:hint="eastAsia"/>
          <w:lang w:val="en-US" w:eastAsia="zh-CN"/>
        </w:rPr>
      </w:pPr>
    </w:p>
    <w:p>
      <w:pPr>
        <w:rPr>
          <w:rFonts w:hint="eastAsia" w:ascii="宋体" w:hAnsi="宋体" w:cs="宋体"/>
          <w:b/>
          <w:bCs/>
          <w:kern w:val="0"/>
          <w:highlight w:val="none"/>
          <w:u w:val="single"/>
          <w:lang w:eastAsia="zh-CN"/>
        </w:rPr>
      </w:pPr>
    </w:p>
    <w:p>
      <w:pPr>
        <w:spacing w:line="360" w:lineRule="auto"/>
        <w:ind w:firstLine="840" w:firstLineChars="400"/>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hint="eastAsia" w:ascii="宋体" w:hAnsi="宋体" w:cs="宋体"/>
          <w:kern w:val="0"/>
          <w:highlight w:val="none"/>
          <w:lang w:val="en-US" w:eastAsia="zh-CN"/>
        </w:rPr>
        <w:t>或签字</w:t>
      </w:r>
      <w:r>
        <w:rPr>
          <w:rFonts w:ascii="宋体" w:hAnsi="宋体" w:cs="宋体"/>
          <w:kern w:val="0"/>
          <w:highlight w:val="none"/>
        </w:rPr>
        <w:t>)</w:t>
      </w:r>
    </w:p>
    <w:p>
      <w:pPr>
        <w:spacing w:line="360" w:lineRule="auto"/>
        <w:ind w:firstLine="840" w:firstLineChars="400"/>
        <w:jc w:val="left"/>
        <w:rPr>
          <w:rFonts w:hint="eastAsia" w:ascii="宋体" w:hAnsi="宋体" w:cs="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840" w:firstLineChars="4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jc w:val="left"/>
        <w:rPr>
          <w:rFonts w:hint="eastAsia" w:ascii="宋体" w:hAnsi="宋体" w:eastAsia="宋体" w:cs="Times New Roman"/>
          <w:kern w:val="0"/>
        </w:rPr>
      </w:pPr>
    </w:p>
    <w:p>
      <w:pPr>
        <w:spacing w:line="360" w:lineRule="auto"/>
        <w:jc w:val="left"/>
        <w:rPr>
          <w:rFonts w:hint="eastAsia" w:ascii="宋体" w:hAnsi="宋体" w:cs="Times New Roman"/>
          <w:kern w:val="0"/>
          <w:lang w:val="en-US" w:eastAsia="zh-CN"/>
        </w:rPr>
      </w:pPr>
      <w:r>
        <w:rPr>
          <w:rFonts w:hint="eastAsia" w:ascii="宋体" w:hAnsi="宋体" w:eastAsia="宋体" w:cs="Times New Roman"/>
          <w:kern w:val="0"/>
        </w:rPr>
        <w:t>注：1</w:t>
      </w:r>
      <w:r>
        <w:rPr>
          <w:rFonts w:hint="eastAsia" w:ascii="宋体" w:hAnsi="宋体" w:cs="Times New Roman"/>
          <w:kern w:val="0"/>
          <w:lang w:val="en-US" w:eastAsia="zh-CN"/>
        </w:rPr>
        <w:t>.比选应答的“最终报价表”的总价已包括供应商完成本项目所需的一切费用，包括货物、运输、制作、安装、人工、机械、辅材（含水、电等）、保险、代理、培训、税、费、验收前成品保护和交付后的质保等费用，以及比选文件规定的其它费用。2.“最终报价表”为多页的，每页均需由法定代表人/单位负责人或授权代表签字并加盖公章。3.“最终报价表”以包为单位填写。4.根据情况可增减表格行数，但不可随意更改表格样式。</w:t>
      </w:r>
    </w:p>
    <w:p>
      <w:pPr>
        <w:rPr>
          <w:rFonts w:hint="eastAsia"/>
          <w:highlight w:val="none"/>
        </w:rPr>
      </w:pPr>
      <w:r>
        <w:rPr>
          <w:rFonts w:hint="eastAsia"/>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43"/>
      <w:bookmarkEnd w:id="44"/>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6"/>
        <w:numPr>
          <w:ilvl w:val="0"/>
          <w:numId w:val="0"/>
        </w:numPr>
        <w:ind w:left="-1980"/>
        <w:rPr>
          <w:rFonts w:cs="Times New Roman"/>
          <w:color w:val="auto"/>
          <w:highlight w:val="none"/>
        </w:rPr>
      </w:pPr>
    </w:p>
    <w:p>
      <w:pPr>
        <w:pStyle w:val="6"/>
        <w:numPr>
          <w:ilvl w:val="0"/>
          <w:numId w:val="0"/>
        </w:numPr>
        <w:tabs>
          <w:tab w:val="left" w:pos="616"/>
          <w:tab w:val="clear" w:pos="900"/>
        </w:tabs>
        <w:ind w:left="-1980"/>
        <w:rPr>
          <w:rFonts w:hint="eastAsia" w:eastAsia="宋体" w:cs="Times New Roman"/>
          <w:color w:val="auto"/>
          <w:highlight w:val="none"/>
          <w:lang w:eastAsia="zh-CN"/>
        </w:rPr>
      </w:pPr>
    </w:p>
    <w:sectPr>
      <w:footerReference r:id="rId4" w:type="first"/>
      <w:footerReference r:id="rId3" w:type="default"/>
      <w:pgSz w:w="11906" w:h="16838"/>
      <w:pgMar w:top="2098" w:right="1474" w:bottom="1984" w:left="1587"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3</w:t>
    </w:r>
    <w:r>
      <w:rPr>
        <w:rStyle w:val="32"/>
      </w:rP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t>1</w:t>
    </w:r>
    <w:r>
      <w:fldChar w:fldCharType="end"/>
    </w:r>
  </w:p>
  <w:p>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2C9"/>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359EA"/>
    <w:rsid w:val="017B190C"/>
    <w:rsid w:val="01BB67F7"/>
    <w:rsid w:val="01BF5575"/>
    <w:rsid w:val="01DD3C4D"/>
    <w:rsid w:val="01EA636A"/>
    <w:rsid w:val="0217020E"/>
    <w:rsid w:val="021A27AB"/>
    <w:rsid w:val="02251150"/>
    <w:rsid w:val="02290C40"/>
    <w:rsid w:val="024E06A7"/>
    <w:rsid w:val="02654A25"/>
    <w:rsid w:val="0278446A"/>
    <w:rsid w:val="02856A85"/>
    <w:rsid w:val="02B54F53"/>
    <w:rsid w:val="02EE3C38"/>
    <w:rsid w:val="02F46440"/>
    <w:rsid w:val="02FA438B"/>
    <w:rsid w:val="03082F4B"/>
    <w:rsid w:val="03497EB8"/>
    <w:rsid w:val="0385459C"/>
    <w:rsid w:val="03912F41"/>
    <w:rsid w:val="03A81162"/>
    <w:rsid w:val="03B65F39"/>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5FB2B3C"/>
    <w:rsid w:val="06093262"/>
    <w:rsid w:val="0624108F"/>
    <w:rsid w:val="06604C4F"/>
    <w:rsid w:val="067B57E2"/>
    <w:rsid w:val="06847ACE"/>
    <w:rsid w:val="06B153F1"/>
    <w:rsid w:val="06E45A7E"/>
    <w:rsid w:val="072C69F3"/>
    <w:rsid w:val="072E1BF1"/>
    <w:rsid w:val="0757624F"/>
    <w:rsid w:val="077F5B2D"/>
    <w:rsid w:val="07AB1043"/>
    <w:rsid w:val="07C217C8"/>
    <w:rsid w:val="07C644D1"/>
    <w:rsid w:val="07D23B28"/>
    <w:rsid w:val="07F10452"/>
    <w:rsid w:val="07F41CF0"/>
    <w:rsid w:val="07F73C02"/>
    <w:rsid w:val="07FA41D2"/>
    <w:rsid w:val="086F1377"/>
    <w:rsid w:val="08755F60"/>
    <w:rsid w:val="0876485A"/>
    <w:rsid w:val="08B603E8"/>
    <w:rsid w:val="08C34CE7"/>
    <w:rsid w:val="0906268A"/>
    <w:rsid w:val="09177D3F"/>
    <w:rsid w:val="09293C1C"/>
    <w:rsid w:val="09405F3B"/>
    <w:rsid w:val="09520469"/>
    <w:rsid w:val="09554EED"/>
    <w:rsid w:val="097148FC"/>
    <w:rsid w:val="09880942"/>
    <w:rsid w:val="099948FD"/>
    <w:rsid w:val="099C76E1"/>
    <w:rsid w:val="09B836AD"/>
    <w:rsid w:val="09D516AE"/>
    <w:rsid w:val="09F558AC"/>
    <w:rsid w:val="0A0311E7"/>
    <w:rsid w:val="0A342878"/>
    <w:rsid w:val="0A985A73"/>
    <w:rsid w:val="0AB37C41"/>
    <w:rsid w:val="0AC7549A"/>
    <w:rsid w:val="0AD36129"/>
    <w:rsid w:val="0AF6757F"/>
    <w:rsid w:val="0B0B182B"/>
    <w:rsid w:val="0B0C3345"/>
    <w:rsid w:val="0B2A23E5"/>
    <w:rsid w:val="0B674587"/>
    <w:rsid w:val="0B73117E"/>
    <w:rsid w:val="0B985648"/>
    <w:rsid w:val="0BC32105"/>
    <w:rsid w:val="0BEF5AD9"/>
    <w:rsid w:val="0BFB2CA8"/>
    <w:rsid w:val="0C0544CC"/>
    <w:rsid w:val="0C142961"/>
    <w:rsid w:val="0C253C4D"/>
    <w:rsid w:val="0C2A3F33"/>
    <w:rsid w:val="0C3676C7"/>
    <w:rsid w:val="0C426528"/>
    <w:rsid w:val="0C873133"/>
    <w:rsid w:val="0C8A3444"/>
    <w:rsid w:val="0CC671CF"/>
    <w:rsid w:val="0CE642FD"/>
    <w:rsid w:val="0CFA5FDF"/>
    <w:rsid w:val="0D156991"/>
    <w:rsid w:val="0D246BD4"/>
    <w:rsid w:val="0D337B19"/>
    <w:rsid w:val="0D4F4C43"/>
    <w:rsid w:val="0D677904"/>
    <w:rsid w:val="0D8238FA"/>
    <w:rsid w:val="0D8900E5"/>
    <w:rsid w:val="0D976E5A"/>
    <w:rsid w:val="0DEB14A0"/>
    <w:rsid w:val="0DEC4366"/>
    <w:rsid w:val="0E0407B3"/>
    <w:rsid w:val="0E230024"/>
    <w:rsid w:val="0E3213B2"/>
    <w:rsid w:val="0E340889"/>
    <w:rsid w:val="0E651252"/>
    <w:rsid w:val="0EA855E3"/>
    <w:rsid w:val="0EA93835"/>
    <w:rsid w:val="0EC266A4"/>
    <w:rsid w:val="0F0A2FFA"/>
    <w:rsid w:val="0F386966"/>
    <w:rsid w:val="0F930041"/>
    <w:rsid w:val="0FC401FA"/>
    <w:rsid w:val="0FD85A54"/>
    <w:rsid w:val="0FFA3C1C"/>
    <w:rsid w:val="10443A9C"/>
    <w:rsid w:val="10541406"/>
    <w:rsid w:val="105534DB"/>
    <w:rsid w:val="105552F6"/>
    <w:rsid w:val="10583483"/>
    <w:rsid w:val="1068327B"/>
    <w:rsid w:val="106D43EE"/>
    <w:rsid w:val="107C2F4A"/>
    <w:rsid w:val="108245D5"/>
    <w:rsid w:val="10944070"/>
    <w:rsid w:val="10B335E5"/>
    <w:rsid w:val="10BC5375"/>
    <w:rsid w:val="10BD20EF"/>
    <w:rsid w:val="10C116E5"/>
    <w:rsid w:val="10CD30DE"/>
    <w:rsid w:val="10E16B8A"/>
    <w:rsid w:val="10E30B54"/>
    <w:rsid w:val="110F1949"/>
    <w:rsid w:val="11390774"/>
    <w:rsid w:val="11603F53"/>
    <w:rsid w:val="118C0E1C"/>
    <w:rsid w:val="118D1DE9"/>
    <w:rsid w:val="12670850"/>
    <w:rsid w:val="127D0416"/>
    <w:rsid w:val="127F665A"/>
    <w:rsid w:val="12816714"/>
    <w:rsid w:val="12C624DB"/>
    <w:rsid w:val="12CC7AF2"/>
    <w:rsid w:val="12D27AA1"/>
    <w:rsid w:val="12DA4660"/>
    <w:rsid w:val="12F605AB"/>
    <w:rsid w:val="12F64D9B"/>
    <w:rsid w:val="130848A2"/>
    <w:rsid w:val="132C0590"/>
    <w:rsid w:val="13436824"/>
    <w:rsid w:val="1347361C"/>
    <w:rsid w:val="135D2E40"/>
    <w:rsid w:val="13831332"/>
    <w:rsid w:val="1386721F"/>
    <w:rsid w:val="139879D4"/>
    <w:rsid w:val="13AF4D1D"/>
    <w:rsid w:val="13C6477A"/>
    <w:rsid w:val="13F65D16"/>
    <w:rsid w:val="140B289C"/>
    <w:rsid w:val="146124BC"/>
    <w:rsid w:val="14661880"/>
    <w:rsid w:val="14960737"/>
    <w:rsid w:val="14B23BA1"/>
    <w:rsid w:val="14B720DC"/>
    <w:rsid w:val="14D56A06"/>
    <w:rsid w:val="14F43330"/>
    <w:rsid w:val="14F745A8"/>
    <w:rsid w:val="15023C9F"/>
    <w:rsid w:val="1504288A"/>
    <w:rsid w:val="15311781"/>
    <w:rsid w:val="15455939"/>
    <w:rsid w:val="15B30AF5"/>
    <w:rsid w:val="15B84A34"/>
    <w:rsid w:val="15C22D1C"/>
    <w:rsid w:val="15D51D78"/>
    <w:rsid w:val="15E6711C"/>
    <w:rsid w:val="1619668A"/>
    <w:rsid w:val="1638724C"/>
    <w:rsid w:val="163C4F8E"/>
    <w:rsid w:val="163C57D6"/>
    <w:rsid w:val="16432F4E"/>
    <w:rsid w:val="166C5006"/>
    <w:rsid w:val="167128B5"/>
    <w:rsid w:val="1686478D"/>
    <w:rsid w:val="168D3A3C"/>
    <w:rsid w:val="169700E8"/>
    <w:rsid w:val="16A86180"/>
    <w:rsid w:val="16AB0AA6"/>
    <w:rsid w:val="16AD3796"/>
    <w:rsid w:val="16B56AEF"/>
    <w:rsid w:val="16B9038D"/>
    <w:rsid w:val="16EF5ED5"/>
    <w:rsid w:val="170964E8"/>
    <w:rsid w:val="173C59AC"/>
    <w:rsid w:val="174F6496"/>
    <w:rsid w:val="17702983"/>
    <w:rsid w:val="177D6537"/>
    <w:rsid w:val="17866455"/>
    <w:rsid w:val="178F7340"/>
    <w:rsid w:val="17957443"/>
    <w:rsid w:val="17C0399D"/>
    <w:rsid w:val="17EF3748"/>
    <w:rsid w:val="17EF431F"/>
    <w:rsid w:val="18027B12"/>
    <w:rsid w:val="181D2B9D"/>
    <w:rsid w:val="181F64EF"/>
    <w:rsid w:val="182C2DE0"/>
    <w:rsid w:val="183C7EC1"/>
    <w:rsid w:val="18455C50"/>
    <w:rsid w:val="188411C6"/>
    <w:rsid w:val="18E45FED"/>
    <w:rsid w:val="19000FED"/>
    <w:rsid w:val="19141836"/>
    <w:rsid w:val="19185113"/>
    <w:rsid w:val="19566367"/>
    <w:rsid w:val="19940C3D"/>
    <w:rsid w:val="19AD22A3"/>
    <w:rsid w:val="19B20586"/>
    <w:rsid w:val="19C239FC"/>
    <w:rsid w:val="19FB6F0E"/>
    <w:rsid w:val="1A045DC3"/>
    <w:rsid w:val="1A1104E0"/>
    <w:rsid w:val="1A1C5C79"/>
    <w:rsid w:val="1A3C4429"/>
    <w:rsid w:val="1A9A17A9"/>
    <w:rsid w:val="1A9B4876"/>
    <w:rsid w:val="1AC76DF0"/>
    <w:rsid w:val="1AD61454"/>
    <w:rsid w:val="1B0436DA"/>
    <w:rsid w:val="1B5808E4"/>
    <w:rsid w:val="1B7B0983"/>
    <w:rsid w:val="1B866CAC"/>
    <w:rsid w:val="1B91546B"/>
    <w:rsid w:val="1C47643B"/>
    <w:rsid w:val="1C4C1CA3"/>
    <w:rsid w:val="1C56042C"/>
    <w:rsid w:val="1C5A616E"/>
    <w:rsid w:val="1C8361D3"/>
    <w:rsid w:val="1C890801"/>
    <w:rsid w:val="1CD13A03"/>
    <w:rsid w:val="1CD97226"/>
    <w:rsid w:val="1CF71A15"/>
    <w:rsid w:val="1D10139C"/>
    <w:rsid w:val="1D1502E7"/>
    <w:rsid w:val="1D2527CE"/>
    <w:rsid w:val="1D5A3F0B"/>
    <w:rsid w:val="1D7757E7"/>
    <w:rsid w:val="1D8B67FB"/>
    <w:rsid w:val="1D951428"/>
    <w:rsid w:val="1DA43419"/>
    <w:rsid w:val="1DFA253D"/>
    <w:rsid w:val="1E2C3B3A"/>
    <w:rsid w:val="1E4E6844"/>
    <w:rsid w:val="1E5D1F46"/>
    <w:rsid w:val="1E897DA0"/>
    <w:rsid w:val="1E996BC3"/>
    <w:rsid w:val="1EF53F2C"/>
    <w:rsid w:val="1F0D55D0"/>
    <w:rsid w:val="1F4E5D32"/>
    <w:rsid w:val="1F5570C1"/>
    <w:rsid w:val="1F5C21FD"/>
    <w:rsid w:val="1F5F3A9B"/>
    <w:rsid w:val="1F7F5EEC"/>
    <w:rsid w:val="1F8302AF"/>
    <w:rsid w:val="1F896D6A"/>
    <w:rsid w:val="1F9F033C"/>
    <w:rsid w:val="1FAA25B9"/>
    <w:rsid w:val="1FC16504"/>
    <w:rsid w:val="1FE3647B"/>
    <w:rsid w:val="1FE741BD"/>
    <w:rsid w:val="1FEF01FC"/>
    <w:rsid w:val="1FF70178"/>
    <w:rsid w:val="20014B53"/>
    <w:rsid w:val="20020781"/>
    <w:rsid w:val="20176124"/>
    <w:rsid w:val="20256A93"/>
    <w:rsid w:val="20281BA1"/>
    <w:rsid w:val="20477B83"/>
    <w:rsid w:val="205D53C7"/>
    <w:rsid w:val="20627E53"/>
    <w:rsid w:val="20711CD8"/>
    <w:rsid w:val="20BC4690"/>
    <w:rsid w:val="20D37767"/>
    <w:rsid w:val="20D970F2"/>
    <w:rsid w:val="20F10A60"/>
    <w:rsid w:val="210F1BBD"/>
    <w:rsid w:val="21224D81"/>
    <w:rsid w:val="213B4094"/>
    <w:rsid w:val="21573F25"/>
    <w:rsid w:val="216F4EC7"/>
    <w:rsid w:val="21815B54"/>
    <w:rsid w:val="219E6AFD"/>
    <w:rsid w:val="21AF0D0A"/>
    <w:rsid w:val="21C54695"/>
    <w:rsid w:val="21EE11B9"/>
    <w:rsid w:val="21F33562"/>
    <w:rsid w:val="21F94D14"/>
    <w:rsid w:val="21FE134A"/>
    <w:rsid w:val="220B59C1"/>
    <w:rsid w:val="222F3BF9"/>
    <w:rsid w:val="224131C1"/>
    <w:rsid w:val="22543660"/>
    <w:rsid w:val="225C2514"/>
    <w:rsid w:val="227F27EC"/>
    <w:rsid w:val="22833F45"/>
    <w:rsid w:val="22920F68"/>
    <w:rsid w:val="22A255C7"/>
    <w:rsid w:val="22A46395"/>
    <w:rsid w:val="22BB5E26"/>
    <w:rsid w:val="22C5455D"/>
    <w:rsid w:val="22D622C7"/>
    <w:rsid w:val="230010F2"/>
    <w:rsid w:val="230018BE"/>
    <w:rsid w:val="230706D2"/>
    <w:rsid w:val="23162280"/>
    <w:rsid w:val="2369313B"/>
    <w:rsid w:val="239768ED"/>
    <w:rsid w:val="240A5001"/>
    <w:rsid w:val="241530DF"/>
    <w:rsid w:val="244A244D"/>
    <w:rsid w:val="245168ED"/>
    <w:rsid w:val="245473A9"/>
    <w:rsid w:val="24AA3A0B"/>
    <w:rsid w:val="24B11CC1"/>
    <w:rsid w:val="24BB5C18"/>
    <w:rsid w:val="24C83E91"/>
    <w:rsid w:val="24CA2E4E"/>
    <w:rsid w:val="24E7641E"/>
    <w:rsid w:val="24E938FF"/>
    <w:rsid w:val="24ED62A3"/>
    <w:rsid w:val="25162E4E"/>
    <w:rsid w:val="25392E9F"/>
    <w:rsid w:val="254911E5"/>
    <w:rsid w:val="254A62BB"/>
    <w:rsid w:val="2551032A"/>
    <w:rsid w:val="25596865"/>
    <w:rsid w:val="256911D0"/>
    <w:rsid w:val="256A3CD5"/>
    <w:rsid w:val="257F6C45"/>
    <w:rsid w:val="25D42F6B"/>
    <w:rsid w:val="25E973B4"/>
    <w:rsid w:val="261E645E"/>
    <w:rsid w:val="26395046"/>
    <w:rsid w:val="26501F69"/>
    <w:rsid w:val="265E2CFF"/>
    <w:rsid w:val="265F25D3"/>
    <w:rsid w:val="26631034"/>
    <w:rsid w:val="2685203A"/>
    <w:rsid w:val="268A4DCA"/>
    <w:rsid w:val="26ED706D"/>
    <w:rsid w:val="26EE1B16"/>
    <w:rsid w:val="27533F64"/>
    <w:rsid w:val="27780568"/>
    <w:rsid w:val="27793664"/>
    <w:rsid w:val="27822A1D"/>
    <w:rsid w:val="279462AC"/>
    <w:rsid w:val="27A6495D"/>
    <w:rsid w:val="27BD5803"/>
    <w:rsid w:val="27D52814"/>
    <w:rsid w:val="2805322F"/>
    <w:rsid w:val="280D12CD"/>
    <w:rsid w:val="28330FCE"/>
    <w:rsid w:val="28723FD3"/>
    <w:rsid w:val="288B76AF"/>
    <w:rsid w:val="289B5422"/>
    <w:rsid w:val="28AD757A"/>
    <w:rsid w:val="28C46D67"/>
    <w:rsid w:val="28E62B38"/>
    <w:rsid w:val="28F22A1C"/>
    <w:rsid w:val="28F87F94"/>
    <w:rsid w:val="29041902"/>
    <w:rsid w:val="29135897"/>
    <w:rsid w:val="29A0718A"/>
    <w:rsid w:val="29A507F5"/>
    <w:rsid w:val="29CF3EFD"/>
    <w:rsid w:val="29D94F40"/>
    <w:rsid w:val="29F15E58"/>
    <w:rsid w:val="29FE1773"/>
    <w:rsid w:val="2A2658E2"/>
    <w:rsid w:val="2A46045B"/>
    <w:rsid w:val="2A532A2E"/>
    <w:rsid w:val="2B0F5533"/>
    <w:rsid w:val="2B3F0852"/>
    <w:rsid w:val="2B85488A"/>
    <w:rsid w:val="2BBD4024"/>
    <w:rsid w:val="2BC2163A"/>
    <w:rsid w:val="2BCF1785"/>
    <w:rsid w:val="2BD42700"/>
    <w:rsid w:val="2BEC169E"/>
    <w:rsid w:val="2BF746B3"/>
    <w:rsid w:val="2C216795"/>
    <w:rsid w:val="2C245E51"/>
    <w:rsid w:val="2C267E1B"/>
    <w:rsid w:val="2C42327B"/>
    <w:rsid w:val="2C7F39CF"/>
    <w:rsid w:val="2C8A7DD3"/>
    <w:rsid w:val="2CAD22EA"/>
    <w:rsid w:val="2CD51841"/>
    <w:rsid w:val="2CEC40B6"/>
    <w:rsid w:val="2CF25F4F"/>
    <w:rsid w:val="2D1C3C07"/>
    <w:rsid w:val="2D40315E"/>
    <w:rsid w:val="2D504DAA"/>
    <w:rsid w:val="2D5C5ABE"/>
    <w:rsid w:val="2D742E08"/>
    <w:rsid w:val="2DAC07F4"/>
    <w:rsid w:val="2DAD00C8"/>
    <w:rsid w:val="2DB2761A"/>
    <w:rsid w:val="2DBE22D5"/>
    <w:rsid w:val="2DE7566D"/>
    <w:rsid w:val="2DFB1AA6"/>
    <w:rsid w:val="2E296928"/>
    <w:rsid w:val="2E4722CA"/>
    <w:rsid w:val="2E522D8F"/>
    <w:rsid w:val="2E735909"/>
    <w:rsid w:val="2E803123"/>
    <w:rsid w:val="2E8325DC"/>
    <w:rsid w:val="2EA66FF1"/>
    <w:rsid w:val="2ECC3CD5"/>
    <w:rsid w:val="2EE575D9"/>
    <w:rsid w:val="2F104DB2"/>
    <w:rsid w:val="2F12437D"/>
    <w:rsid w:val="2F177EEF"/>
    <w:rsid w:val="2F202EE0"/>
    <w:rsid w:val="2F45680A"/>
    <w:rsid w:val="2F6918CE"/>
    <w:rsid w:val="2F77273B"/>
    <w:rsid w:val="2F793DD9"/>
    <w:rsid w:val="2F8A56E8"/>
    <w:rsid w:val="2FB055CC"/>
    <w:rsid w:val="2FB93803"/>
    <w:rsid w:val="2FDC6A42"/>
    <w:rsid w:val="30011C29"/>
    <w:rsid w:val="30185CCC"/>
    <w:rsid w:val="303C2C32"/>
    <w:rsid w:val="30416F06"/>
    <w:rsid w:val="30444D13"/>
    <w:rsid w:val="30524CD9"/>
    <w:rsid w:val="30555D5A"/>
    <w:rsid w:val="30B5450F"/>
    <w:rsid w:val="30DF0B7A"/>
    <w:rsid w:val="30DF4A3C"/>
    <w:rsid w:val="31097D0B"/>
    <w:rsid w:val="311D2557"/>
    <w:rsid w:val="31267093"/>
    <w:rsid w:val="313774ED"/>
    <w:rsid w:val="31460EE6"/>
    <w:rsid w:val="314D62F2"/>
    <w:rsid w:val="314F4955"/>
    <w:rsid w:val="317226E8"/>
    <w:rsid w:val="3173321E"/>
    <w:rsid w:val="31AA504A"/>
    <w:rsid w:val="31AE0281"/>
    <w:rsid w:val="31CB3B06"/>
    <w:rsid w:val="31D16A7B"/>
    <w:rsid w:val="31EF440C"/>
    <w:rsid w:val="31EF6F01"/>
    <w:rsid w:val="31F167D5"/>
    <w:rsid w:val="322E42AD"/>
    <w:rsid w:val="32963820"/>
    <w:rsid w:val="32981347"/>
    <w:rsid w:val="329D4BAF"/>
    <w:rsid w:val="32C957DF"/>
    <w:rsid w:val="32E72810"/>
    <w:rsid w:val="32EB1476"/>
    <w:rsid w:val="32F83B93"/>
    <w:rsid w:val="335812BA"/>
    <w:rsid w:val="336D27D3"/>
    <w:rsid w:val="339D0514"/>
    <w:rsid w:val="34004BDD"/>
    <w:rsid w:val="34026B4E"/>
    <w:rsid w:val="340E38F7"/>
    <w:rsid w:val="342D50A6"/>
    <w:rsid w:val="34381437"/>
    <w:rsid w:val="34465A06"/>
    <w:rsid w:val="34694294"/>
    <w:rsid w:val="34813508"/>
    <w:rsid w:val="348B283E"/>
    <w:rsid w:val="348E2A01"/>
    <w:rsid w:val="34C44C99"/>
    <w:rsid w:val="34C61103"/>
    <w:rsid w:val="34EF6AC7"/>
    <w:rsid w:val="34F65DF3"/>
    <w:rsid w:val="3522139B"/>
    <w:rsid w:val="3556466A"/>
    <w:rsid w:val="35A2293F"/>
    <w:rsid w:val="35C04873"/>
    <w:rsid w:val="35E42C62"/>
    <w:rsid w:val="35F920FC"/>
    <w:rsid w:val="36077F58"/>
    <w:rsid w:val="361D6B92"/>
    <w:rsid w:val="3623039D"/>
    <w:rsid w:val="36397704"/>
    <w:rsid w:val="366E1051"/>
    <w:rsid w:val="369D517D"/>
    <w:rsid w:val="36BC485B"/>
    <w:rsid w:val="3702551E"/>
    <w:rsid w:val="370F0031"/>
    <w:rsid w:val="37265173"/>
    <w:rsid w:val="37350B14"/>
    <w:rsid w:val="379261E6"/>
    <w:rsid w:val="37E1109A"/>
    <w:rsid w:val="380F026E"/>
    <w:rsid w:val="38284F1B"/>
    <w:rsid w:val="38327222"/>
    <w:rsid w:val="386D639F"/>
    <w:rsid w:val="38837DA0"/>
    <w:rsid w:val="388424B3"/>
    <w:rsid w:val="3899266B"/>
    <w:rsid w:val="389D603E"/>
    <w:rsid w:val="389D6BB3"/>
    <w:rsid w:val="389E51DD"/>
    <w:rsid w:val="38CC250B"/>
    <w:rsid w:val="38DE31DB"/>
    <w:rsid w:val="392B6E14"/>
    <w:rsid w:val="392D452C"/>
    <w:rsid w:val="3942200C"/>
    <w:rsid w:val="39716BF7"/>
    <w:rsid w:val="39BD5D47"/>
    <w:rsid w:val="39DE552C"/>
    <w:rsid w:val="3A073C4A"/>
    <w:rsid w:val="3A110093"/>
    <w:rsid w:val="3A164749"/>
    <w:rsid w:val="3A313DDF"/>
    <w:rsid w:val="3A502507"/>
    <w:rsid w:val="3A532F29"/>
    <w:rsid w:val="3A7634C0"/>
    <w:rsid w:val="3A775CE5"/>
    <w:rsid w:val="3ACC7DDF"/>
    <w:rsid w:val="3AD46C94"/>
    <w:rsid w:val="3ADB6274"/>
    <w:rsid w:val="3AE3235D"/>
    <w:rsid w:val="3B027CA5"/>
    <w:rsid w:val="3B084B8F"/>
    <w:rsid w:val="3B143534"/>
    <w:rsid w:val="3B38112E"/>
    <w:rsid w:val="3B491430"/>
    <w:rsid w:val="3B700C2B"/>
    <w:rsid w:val="3B876595"/>
    <w:rsid w:val="3BDD601C"/>
    <w:rsid w:val="3BF56957"/>
    <w:rsid w:val="3C241E9D"/>
    <w:rsid w:val="3C4A23C4"/>
    <w:rsid w:val="3C822BDB"/>
    <w:rsid w:val="3CB52AF5"/>
    <w:rsid w:val="3CDB07AE"/>
    <w:rsid w:val="3CE13968"/>
    <w:rsid w:val="3CE2527D"/>
    <w:rsid w:val="3D073950"/>
    <w:rsid w:val="3D2832C7"/>
    <w:rsid w:val="3D2F4655"/>
    <w:rsid w:val="3D5140C2"/>
    <w:rsid w:val="3D622C7D"/>
    <w:rsid w:val="3D6D517E"/>
    <w:rsid w:val="3DBB4CCB"/>
    <w:rsid w:val="3E3F4D6C"/>
    <w:rsid w:val="3E446EB9"/>
    <w:rsid w:val="3E754140"/>
    <w:rsid w:val="3E877FC2"/>
    <w:rsid w:val="3E8F7AA2"/>
    <w:rsid w:val="3E900B33"/>
    <w:rsid w:val="3E9E10C8"/>
    <w:rsid w:val="3EA044DF"/>
    <w:rsid w:val="3EB92D70"/>
    <w:rsid w:val="3EF30A1A"/>
    <w:rsid w:val="3EF773F5"/>
    <w:rsid w:val="3EF93EBC"/>
    <w:rsid w:val="3F027B6D"/>
    <w:rsid w:val="3F033FEC"/>
    <w:rsid w:val="3F035608"/>
    <w:rsid w:val="3F23643C"/>
    <w:rsid w:val="3F3B5CDA"/>
    <w:rsid w:val="3F4C08E9"/>
    <w:rsid w:val="3F577E93"/>
    <w:rsid w:val="3F6358F0"/>
    <w:rsid w:val="3F740A45"/>
    <w:rsid w:val="3F8C3FE1"/>
    <w:rsid w:val="3F980BD8"/>
    <w:rsid w:val="3FF00A90"/>
    <w:rsid w:val="40097087"/>
    <w:rsid w:val="4033445D"/>
    <w:rsid w:val="40415B0D"/>
    <w:rsid w:val="40752CC7"/>
    <w:rsid w:val="40953369"/>
    <w:rsid w:val="40965A05"/>
    <w:rsid w:val="40E37C31"/>
    <w:rsid w:val="41004C87"/>
    <w:rsid w:val="410332AB"/>
    <w:rsid w:val="418217D9"/>
    <w:rsid w:val="419B1A30"/>
    <w:rsid w:val="41A53138"/>
    <w:rsid w:val="41FD0523"/>
    <w:rsid w:val="42090B2C"/>
    <w:rsid w:val="424B145E"/>
    <w:rsid w:val="424B180D"/>
    <w:rsid w:val="42701998"/>
    <w:rsid w:val="42786A9F"/>
    <w:rsid w:val="42AE426E"/>
    <w:rsid w:val="42F85055"/>
    <w:rsid w:val="43574906"/>
    <w:rsid w:val="43707776"/>
    <w:rsid w:val="43A37B4B"/>
    <w:rsid w:val="43AA2C88"/>
    <w:rsid w:val="440E14B4"/>
    <w:rsid w:val="4420119C"/>
    <w:rsid w:val="446E46AD"/>
    <w:rsid w:val="44A91191"/>
    <w:rsid w:val="44B51E27"/>
    <w:rsid w:val="44B738AE"/>
    <w:rsid w:val="45062140"/>
    <w:rsid w:val="450B3BFA"/>
    <w:rsid w:val="451A3E3D"/>
    <w:rsid w:val="45505AB1"/>
    <w:rsid w:val="456035C1"/>
    <w:rsid w:val="45682C72"/>
    <w:rsid w:val="457C1C35"/>
    <w:rsid w:val="458D460F"/>
    <w:rsid w:val="45961716"/>
    <w:rsid w:val="45A32084"/>
    <w:rsid w:val="45A656D1"/>
    <w:rsid w:val="45B85102"/>
    <w:rsid w:val="45E5392F"/>
    <w:rsid w:val="45FA6AFD"/>
    <w:rsid w:val="4602697D"/>
    <w:rsid w:val="460D74FE"/>
    <w:rsid w:val="46274A64"/>
    <w:rsid w:val="46317690"/>
    <w:rsid w:val="465161EB"/>
    <w:rsid w:val="465B4938"/>
    <w:rsid w:val="46661252"/>
    <w:rsid w:val="469A6FE4"/>
    <w:rsid w:val="46A2233C"/>
    <w:rsid w:val="47044E98"/>
    <w:rsid w:val="470C6DF8"/>
    <w:rsid w:val="47245974"/>
    <w:rsid w:val="47866ABC"/>
    <w:rsid w:val="478752AD"/>
    <w:rsid w:val="479C67DF"/>
    <w:rsid w:val="47AA76FA"/>
    <w:rsid w:val="47AF3A2D"/>
    <w:rsid w:val="47C85CCA"/>
    <w:rsid w:val="480A63EB"/>
    <w:rsid w:val="484339D2"/>
    <w:rsid w:val="485967F2"/>
    <w:rsid w:val="48671147"/>
    <w:rsid w:val="486A6E89"/>
    <w:rsid w:val="48747505"/>
    <w:rsid w:val="4885155F"/>
    <w:rsid w:val="48914416"/>
    <w:rsid w:val="48C76BF4"/>
    <w:rsid w:val="48D80297"/>
    <w:rsid w:val="48E42798"/>
    <w:rsid w:val="48FD7CFE"/>
    <w:rsid w:val="497179F9"/>
    <w:rsid w:val="4994190E"/>
    <w:rsid w:val="49A05F7A"/>
    <w:rsid w:val="49AA1621"/>
    <w:rsid w:val="49C03205"/>
    <w:rsid w:val="49EC7DA0"/>
    <w:rsid w:val="49F27FBC"/>
    <w:rsid w:val="4A210C51"/>
    <w:rsid w:val="4A6063A2"/>
    <w:rsid w:val="4A9B2FEE"/>
    <w:rsid w:val="4AC26B09"/>
    <w:rsid w:val="4AD8530D"/>
    <w:rsid w:val="4B047121"/>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8E1DC1"/>
    <w:rsid w:val="4DA40BCE"/>
    <w:rsid w:val="4DB10A21"/>
    <w:rsid w:val="4DE33966"/>
    <w:rsid w:val="4DED6593"/>
    <w:rsid w:val="4DEE5EBA"/>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8050FF"/>
    <w:rsid w:val="4FCB13A4"/>
    <w:rsid w:val="4FD86DCF"/>
    <w:rsid w:val="4FE47D00"/>
    <w:rsid w:val="4FFC0D0F"/>
    <w:rsid w:val="502C7B82"/>
    <w:rsid w:val="503502FF"/>
    <w:rsid w:val="50610B72"/>
    <w:rsid w:val="50681F00"/>
    <w:rsid w:val="507E34D2"/>
    <w:rsid w:val="509C11EF"/>
    <w:rsid w:val="50E85D6A"/>
    <w:rsid w:val="513149E8"/>
    <w:rsid w:val="5142589F"/>
    <w:rsid w:val="515E4EF1"/>
    <w:rsid w:val="517777B8"/>
    <w:rsid w:val="517B3EB5"/>
    <w:rsid w:val="517C4B19"/>
    <w:rsid w:val="51BA1B53"/>
    <w:rsid w:val="51F223CA"/>
    <w:rsid w:val="51FE6E1F"/>
    <w:rsid w:val="52171E30"/>
    <w:rsid w:val="524B1ADA"/>
    <w:rsid w:val="524E3F98"/>
    <w:rsid w:val="525210BA"/>
    <w:rsid w:val="527C5444"/>
    <w:rsid w:val="52946FDD"/>
    <w:rsid w:val="529D6CC7"/>
    <w:rsid w:val="52A15B9E"/>
    <w:rsid w:val="52B633F7"/>
    <w:rsid w:val="52CC5133"/>
    <w:rsid w:val="52D47D21"/>
    <w:rsid w:val="52E27458"/>
    <w:rsid w:val="52E837CD"/>
    <w:rsid w:val="52F07F1E"/>
    <w:rsid w:val="52F43F1F"/>
    <w:rsid w:val="530D6D8F"/>
    <w:rsid w:val="53146370"/>
    <w:rsid w:val="531D6B24"/>
    <w:rsid w:val="534365AF"/>
    <w:rsid w:val="53536E98"/>
    <w:rsid w:val="53634C01"/>
    <w:rsid w:val="53715570"/>
    <w:rsid w:val="5371731E"/>
    <w:rsid w:val="53990623"/>
    <w:rsid w:val="5418600B"/>
    <w:rsid w:val="542C1373"/>
    <w:rsid w:val="545221D0"/>
    <w:rsid w:val="54604C7D"/>
    <w:rsid w:val="54AC2F51"/>
    <w:rsid w:val="54AD6A7C"/>
    <w:rsid w:val="54C130EC"/>
    <w:rsid w:val="54DE6C35"/>
    <w:rsid w:val="551C3694"/>
    <w:rsid w:val="551D0F9D"/>
    <w:rsid w:val="553574EA"/>
    <w:rsid w:val="553E5926"/>
    <w:rsid w:val="55532D00"/>
    <w:rsid w:val="55540CA5"/>
    <w:rsid w:val="555836E3"/>
    <w:rsid w:val="556C76ED"/>
    <w:rsid w:val="5575393E"/>
    <w:rsid w:val="557A46A9"/>
    <w:rsid w:val="55B1434A"/>
    <w:rsid w:val="55F96F9C"/>
    <w:rsid w:val="561F5757"/>
    <w:rsid w:val="56625644"/>
    <w:rsid w:val="566969D2"/>
    <w:rsid w:val="56753EA9"/>
    <w:rsid w:val="56903F5F"/>
    <w:rsid w:val="56B60923"/>
    <w:rsid w:val="570F1328"/>
    <w:rsid w:val="57204800"/>
    <w:rsid w:val="572A6162"/>
    <w:rsid w:val="57391B27"/>
    <w:rsid w:val="5745587D"/>
    <w:rsid w:val="57607DD5"/>
    <w:rsid w:val="57673999"/>
    <w:rsid w:val="577720D4"/>
    <w:rsid w:val="57882E88"/>
    <w:rsid w:val="57AF48B9"/>
    <w:rsid w:val="57B819BF"/>
    <w:rsid w:val="57C245EC"/>
    <w:rsid w:val="57CD3824"/>
    <w:rsid w:val="57FD3025"/>
    <w:rsid w:val="584B4D97"/>
    <w:rsid w:val="585D60C3"/>
    <w:rsid w:val="58657A60"/>
    <w:rsid w:val="587B479B"/>
    <w:rsid w:val="58921D50"/>
    <w:rsid w:val="589C6BEB"/>
    <w:rsid w:val="58C47139"/>
    <w:rsid w:val="58D34740"/>
    <w:rsid w:val="58E4496D"/>
    <w:rsid w:val="58F76517"/>
    <w:rsid w:val="5907215D"/>
    <w:rsid w:val="590D1897"/>
    <w:rsid w:val="59343F0C"/>
    <w:rsid w:val="595526A4"/>
    <w:rsid w:val="59554FEC"/>
    <w:rsid w:val="597146D3"/>
    <w:rsid w:val="59B91A1F"/>
    <w:rsid w:val="59BE2B4A"/>
    <w:rsid w:val="59C26B25"/>
    <w:rsid w:val="59C77C98"/>
    <w:rsid w:val="59E41579"/>
    <w:rsid w:val="5A2F1CE1"/>
    <w:rsid w:val="5A4B0A38"/>
    <w:rsid w:val="5A507EBB"/>
    <w:rsid w:val="5AE12FDB"/>
    <w:rsid w:val="5AFC4F27"/>
    <w:rsid w:val="5B122177"/>
    <w:rsid w:val="5B3277D6"/>
    <w:rsid w:val="5B343B74"/>
    <w:rsid w:val="5B397E38"/>
    <w:rsid w:val="5B484E08"/>
    <w:rsid w:val="5B505186"/>
    <w:rsid w:val="5B5B7C89"/>
    <w:rsid w:val="5B793214"/>
    <w:rsid w:val="5B8A3673"/>
    <w:rsid w:val="5BA74539"/>
    <w:rsid w:val="5BC242B4"/>
    <w:rsid w:val="5BF771A0"/>
    <w:rsid w:val="5C02145B"/>
    <w:rsid w:val="5C1B251D"/>
    <w:rsid w:val="5C2C08FC"/>
    <w:rsid w:val="5C806824"/>
    <w:rsid w:val="5C835883"/>
    <w:rsid w:val="5C8A31FF"/>
    <w:rsid w:val="5C945926"/>
    <w:rsid w:val="5CB63FF4"/>
    <w:rsid w:val="5CB92D7D"/>
    <w:rsid w:val="5CC91F79"/>
    <w:rsid w:val="5CCC1A69"/>
    <w:rsid w:val="5CDD6245"/>
    <w:rsid w:val="5CFA65D6"/>
    <w:rsid w:val="5D2B2C34"/>
    <w:rsid w:val="5D543F38"/>
    <w:rsid w:val="5D7B268C"/>
    <w:rsid w:val="5DD15589"/>
    <w:rsid w:val="5DE441BA"/>
    <w:rsid w:val="5E08721E"/>
    <w:rsid w:val="5E4C4C10"/>
    <w:rsid w:val="5E8A14A9"/>
    <w:rsid w:val="5EAE319D"/>
    <w:rsid w:val="5EC7698C"/>
    <w:rsid w:val="5EF20BB8"/>
    <w:rsid w:val="5F2619EE"/>
    <w:rsid w:val="5F820D70"/>
    <w:rsid w:val="5F8F7A66"/>
    <w:rsid w:val="5FB32A6C"/>
    <w:rsid w:val="5FCD71B7"/>
    <w:rsid w:val="5FD41360"/>
    <w:rsid w:val="5FE04939"/>
    <w:rsid w:val="5FED2422"/>
    <w:rsid w:val="5FFE00C4"/>
    <w:rsid w:val="600A2FD4"/>
    <w:rsid w:val="600D03CE"/>
    <w:rsid w:val="601C4AB5"/>
    <w:rsid w:val="6028345A"/>
    <w:rsid w:val="602F47E9"/>
    <w:rsid w:val="6048342C"/>
    <w:rsid w:val="606326E4"/>
    <w:rsid w:val="606D70BF"/>
    <w:rsid w:val="60B40681"/>
    <w:rsid w:val="60C74A21"/>
    <w:rsid w:val="60CA5B9F"/>
    <w:rsid w:val="60D1730B"/>
    <w:rsid w:val="60E81AAA"/>
    <w:rsid w:val="61045C75"/>
    <w:rsid w:val="615452C6"/>
    <w:rsid w:val="616A72E2"/>
    <w:rsid w:val="61DA2E9A"/>
    <w:rsid w:val="61EE4FF2"/>
    <w:rsid w:val="61F55FC4"/>
    <w:rsid w:val="62007857"/>
    <w:rsid w:val="621A70C0"/>
    <w:rsid w:val="622A51D8"/>
    <w:rsid w:val="622C6936"/>
    <w:rsid w:val="623E641A"/>
    <w:rsid w:val="624200CA"/>
    <w:rsid w:val="625B39D2"/>
    <w:rsid w:val="627D5CDF"/>
    <w:rsid w:val="627E5CE3"/>
    <w:rsid w:val="629B43B7"/>
    <w:rsid w:val="62B4342F"/>
    <w:rsid w:val="62F85366"/>
    <w:rsid w:val="633F38C1"/>
    <w:rsid w:val="63482A86"/>
    <w:rsid w:val="637B4D97"/>
    <w:rsid w:val="63894210"/>
    <w:rsid w:val="638E41ED"/>
    <w:rsid w:val="638E5CCA"/>
    <w:rsid w:val="63D61D5D"/>
    <w:rsid w:val="64074306"/>
    <w:rsid w:val="64204EDE"/>
    <w:rsid w:val="64267CB1"/>
    <w:rsid w:val="64376B06"/>
    <w:rsid w:val="643871CC"/>
    <w:rsid w:val="648C045C"/>
    <w:rsid w:val="64917F63"/>
    <w:rsid w:val="649D4417"/>
    <w:rsid w:val="64B60462"/>
    <w:rsid w:val="64C30A36"/>
    <w:rsid w:val="64D92F75"/>
    <w:rsid w:val="6502071E"/>
    <w:rsid w:val="650439E7"/>
    <w:rsid w:val="658D487D"/>
    <w:rsid w:val="65BF660F"/>
    <w:rsid w:val="65C36576"/>
    <w:rsid w:val="66111377"/>
    <w:rsid w:val="662B5A52"/>
    <w:rsid w:val="66524D8D"/>
    <w:rsid w:val="665A551B"/>
    <w:rsid w:val="66805D9E"/>
    <w:rsid w:val="66915C71"/>
    <w:rsid w:val="66A22C94"/>
    <w:rsid w:val="66DB1226"/>
    <w:rsid w:val="66E8749F"/>
    <w:rsid w:val="66F61978"/>
    <w:rsid w:val="67184F6B"/>
    <w:rsid w:val="67244646"/>
    <w:rsid w:val="67371E56"/>
    <w:rsid w:val="673D77EB"/>
    <w:rsid w:val="674C27FB"/>
    <w:rsid w:val="676856EC"/>
    <w:rsid w:val="677B0314"/>
    <w:rsid w:val="67C10125"/>
    <w:rsid w:val="67E85125"/>
    <w:rsid w:val="683523F2"/>
    <w:rsid w:val="68774F7F"/>
    <w:rsid w:val="687F4234"/>
    <w:rsid w:val="68CF6B8B"/>
    <w:rsid w:val="68DF23A7"/>
    <w:rsid w:val="690447C7"/>
    <w:rsid w:val="69050959"/>
    <w:rsid w:val="690E4799"/>
    <w:rsid w:val="69374FAB"/>
    <w:rsid w:val="695E4B46"/>
    <w:rsid w:val="696A1F66"/>
    <w:rsid w:val="699658D9"/>
    <w:rsid w:val="69C9180A"/>
    <w:rsid w:val="69EC72A7"/>
    <w:rsid w:val="69ED6D3E"/>
    <w:rsid w:val="6A16012B"/>
    <w:rsid w:val="6A1904C4"/>
    <w:rsid w:val="6A1D56B2"/>
    <w:rsid w:val="6A372C18"/>
    <w:rsid w:val="6A7A2B04"/>
    <w:rsid w:val="6A7C1691"/>
    <w:rsid w:val="6A843983"/>
    <w:rsid w:val="6AD95A7D"/>
    <w:rsid w:val="6B40140C"/>
    <w:rsid w:val="6B70395E"/>
    <w:rsid w:val="6B720595"/>
    <w:rsid w:val="6BBD3F31"/>
    <w:rsid w:val="6BE513EB"/>
    <w:rsid w:val="6BE7241B"/>
    <w:rsid w:val="6BEF0D5F"/>
    <w:rsid w:val="6C0049D2"/>
    <w:rsid w:val="6C046B2A"/>
    <w:rsid w:val="6C050C53"/>
    <w:rsid w:val="6C353187"/>
    <w:rsid w:val="6C4524F2"/>
    <w:rsid w:val="6C6475C8"/>
    <w:rsid w:val="6C6E6699"/>
    <w:rsid w:val="6C741EF9"/>
    <w:rsid w:val="6CC369E5"/>
    <w:rsid w:val="6CCD7863"/>
    <w:rsid w:val="6D0A2DB0"/>
    <w:rsid w:val="6D13657C"/>
    <w:rsid w:val="6D2156DB"/>
    <w:rsid w:val="6D3113B3"/>
    <w:rsid w:val="6D341690"/>
    <w:rsid w:val="6D4F4126"/>
    <w:rsid w:val="6D732776"/>
    <w:rsid w:val="6D7838A9"/>
    <w:rsid w:val="6DC742B3"/>
    <w:rsid w:val="6DD469CF"/>
    <w:rsid w:val="6DF606F4"/>
    <w:rsid w:val="6E001FC4"/>
    <w:rsid w:val="6E361438"/>
    <w:rsid w:val="6E3D2EB1"/>
    <w:rsid w:val="6E4C3167"/>
    <w:rsid w:val="6E84366F"/>
    <w:rsid w:val="6E877718"/>
    <w:rsid w:val="6E9A3775"/>
    <w:rsid w:val="6EBA7973"/>
    <w:rsid w:val="6EDA6095"/>
    <w:rsid w:val="6EE058E3"/>
    <w:rsid w:val="6EE50395"/>
    <w:rsid w:val="6EF70BC7"/>
    <w:rsid w:val="6F086931"/>
    <w:rsid w:val="6F1352D6"/>
    <w:rsid w:val="6F212F57"/>
    <w:rsid w:val="6F2E3560"/>
    <w:rsid w:val="6F415205"/>
    <w:rsid w:val="6F4656AB"/>
    <w:rsid w:val="6F5351C3"/>
    <w:rsid w:val="6F550AD9"/>
    <w:rsid w:val="6F810491"/>
    <w:rsid w:val="6F893788"/>
    <w:rsid w:val="6F912DCA"/>
    <w:rsid w:val="6FA80977"/>
    <w:rsid w:val="6FAF46CD"/>
    <w:rsid w:val="6FC75F24"/>
    <w:rsid w:val="6FEC6252"/>
    <w:rsid w:val="6FFE360F"/>
    <w:rsid w:val="7004359C"/>
    <w:rsid w:val="70052393"/>
    <w:rsid w:val="70111D7F"/>
    <w:rsid w:val="70173375"/>
    <w:rsid w:val="70322250"/>
    <w:rsid w:val="70651B61"/>
    <w:rsid w:val="70710506"/>
    <w:rsid w:val="708D1198"/>
    <w:rsid w:val="709A3F00"/>
    <w:rsid w:val="70A15EF2"/>
    <w:rsid w:val="70B14B83"/>
    <w:rsid w:val="70F17302"/>
    <w:rsid w:val="712E63F7"/>
    <w:rsid w:val="714B3183"/>
    <w:rsid w:val="715C2793"/>
    <w:rsid w:val="71816E6E"/>
    <w:rsid w:val="71BB412E"/>
    <w:rsid w:val="71BD6F28"/>
    <w:rsid w:val="71D15BC9"/>
    <w:rsid w:val="72115ECC"/>
    <w:rsid w:val="724B4F72"/>
    <w:rsid w:val="724B5484"/>
    <w:rsid w:val="726245AA"/>
    <w:rsid w:val="726B5B54"/>
    <w:rsid w:val="726D3B7F"/>
    <w:rsid w:val="727D7636"/>
    <w:rsid w:val="72D05B37"/>
    <w:rsid w:val="72E27499"/>
    <w:rsid w:val="730936C7"/>
    <w:rsid w:val="73125DCE"/>
    <w:rsid w:val="731D3169"/>
    <w:rsid w:val="732F32BB"/>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22FF2"/>
    <w:rsid w:val="74842EFD"/>
    <w:rsid w:val="748E78D8"/>
    <w:rsid w:val="749D7B1B"/>
    <w:rsid w:val="74B63523"/>
    <w:rsid w:val="74C402F1"/>
    <w:rsid w:val="74C96B62"/>
    <w:rsid w:val="750E6AAA"/>
    <w:rsid w:val="751A2B7E"/>
    <w:rsid w:val="75287D2D"/>
    <w:rsid w:val="75311864"/>
    <w:rsid w:val="754C61BE"/>
    <w:rsid w:val="756920F3"/>
    <w:rsid w:val="756E770A"/>
    <w:rsid w:val="757D003F"/>
    <w:rsid w:val="758A4B94"/>
    <w:rsid w:val="75BE5F9B"/>
    <w:rsid w:val="75E63744"/>
    <w:rsid w:val="761A0A77"/>
    <w:rsid w:val="76206FE9"/>
    <w:rsid w:val="762471F0"/>
    <w:rsid w:val="763B75EC"/>
    <w:rsid w:val="769767EC"/>
    <w:rsid w:val="76A31B29"/>
    <w:rsid w:val="76BA2EAA"/>
    <w:rsid w:val="76C96E22"/>
    <w:rsid w:val="76E76CF6"/>
    <w:rsid w:val="76E859D9"/>
    <w:rsid w:val="76EF62A4"/>
    <w:rsid w:val="771816DB"/>
    <w:rsid w:val="77225C52"/>
    <w:rsid w:val="77271F51"/>
    <w:rsid w:val="773F135E"/>
    <w:rsid w:val="77476F3F"/>
    <w:rsid w:val="779660A9"/>
    <w:rsid w:val="779E0DD3"/>
    <w:rsid w:val="77AB07A1"/>
    <w:rsid w:val="77AE3DED"/>
    <w:rsid w:val="77CD3C2E"/>
    <w:rsid w:val="77D70DAD"/>
    <w:rsid w:val="77E91B2A"/>
    <w:rsid w:val="78340796"/>
    <w:rsid w:val="78397B5B"/>
    <w:rsid w:val="7887697D"/>
    <w:rsid w:val="788A0E9F"/>
    <w:rsid w:val="788C05D2"/>
    <w:rsid w:val="78D772CF"/>
    <w:rsid w:val="78F47F26"/>
    <w:rsid w:val="78FB1FA6"/>
    <w:rsid w:val="790A7749"/>
    <w:rsid w:val="79181E66"/>
    <w:rsid w:val="797A667D"/>
    <w:rsid w:val="797F0137"/>
    <w:rsid w:val="79817785"/>
    <w:rsid w:val="798A68CD"/>
    <w:rsid w:val="79BD47BC"/>
    <w:rsid w:val="79C773E8"/>
    <w:rsid w:val="79E461EC"/>
    <w:rsid w:val="79E51C93"/>
    <w:rsid w:val="7A0F3269"/>
    <w:rsid w:val="7A202978"/>
    <w:rsid w:val="7A3852EC"/>
    <w:rsid w:val="7A4F7B0A"/>
    <w:rsid w:val="7A6E2B03"/>
    <w:rsid w:val="7A753C97"/>
    <w:rsid w:val="7A80622F"/>
    <w:rsid w:val="7A861051"/>
    <w:rsid w:val="7A922BEB"/>
    <w:rsid w:val="7B076EE3"/>
    <w:rsid w:val="7B1B5C3E"/>
    <w:rsid w:val="7B226FCC"/>
    <w:rsid w:val="7B2F0499"/>
    <w:rsid w:val="7B4056A4"/>
    <w:rsid w:val="7B4C4049"/>
    <w:rsid w:val="7B5909EE"/>
    <w:rsid w:val="7BA875E4"/>
    <w:rsid w:val="7BBC62D0"/>
    <w:rsid w:val="7BFA5DB2"/>
    <w:rsid w:val="7BFC15CB"/>
    <w:rsid w:val="7C2B0102"/>
    <w:rsid w:val="7C2F7BF3"/>
    <w:rsid w:val="7C56252A"/>
    <w:rsid w:val="7C664A57"/>
    <w:rsid w:val="7CAA44BB"/>
    <w:rsid w:val="7CAF663E"/>
    <w:rsid w:val="7CB13596"/>
    <w:rsid w:val="7CB42BB4"/>
    <w:rsid w:val="7CE704CD"/>
    <w:rsid w:val="7D537911"/>
    <w:rsid w:val="7D9F4904"/>
    <w:rsid w:val="7DA52DFE"/>
    <w:rsid w:val="7DCF4ABD"/>
    <w:rsid w:val="7DD37DFE"/>
    <w:rsid w:val="7DD86D4D"/>
    <w:rsid w:val="7DE60785"/>
    <w:rsid w:val="7DE60C95"/>
    <w:rsid w:val="7DF433A9"/>
    <w:rsid w:val="7DF804B8"/>
    <w:rsid w:val="7DFD38A6"/>
    <w:rsid w:val="7DFD787D"/>
    <w:rsid w:val="7E0D3F64"/>
    <w:rsid w:val="7E227849"/>
    <w:rsid w:val="7E392313"/>
    <w:rsid w:val="7E4E2DEB"/>
    <w:rsid w:val="7E8027FE"/>
    <w:rsid w:val="7EA74FE6"/>
    <w:rsid w:val="7EAF6DC9"/>
    <w:rsid w:val="7EB443DF"/>
    <w:rsid w:val="7EB64039"/>
    <w:rsid w:val="7EBE525E"/>
    <w:rsid w:val="7ED763A7"/>
    <w:rsid w:val="7EFE6266"/>
    <w:rsid w:val="7F08297D"/>
    <w:rsid w:val="7F1E3EE2"/>
    <w:rsid w:val="7F2822D2"/>
    <w:rsid w:val="7F5022DE"/>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0"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5"/>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6"/>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7"/>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8"/>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80"/>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1"/>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2"/>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3"/>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4"/>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2"/>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41"/>
    <w:semiHidden/>
    <w:qFormat/>
    <w:uiPriority w:val="99"/>
    <w:rPr>
      <w:rFonts w:ascii="宋体" w:cs="宋体"/>
      <w:sz w:val="24"/>
      <w:szCs w:val="24"/>
    </w:rPr>
  </w:style>
  <w:style w:type="paragraph" w:styleId="14">
    <w:name w:val="annotation text"/>
    <w:basedOn w:val="1"/>
    <w:link w:val="39"/>
    <w:semiHidden/>
    <w:qFormat/>
    <w:uiPriority w:val="99"/>
    <w:pPr>
      <w:jc w:val="left"/>
    </w:pPr>
  </w:style>
  <w:style w:type="paragraph" w:styleId="15">
    <w:name w:val="Body Text Indent"/>
    <w:basedOn w:val="1"/>
    <w:link w:val="43"/>
    <w:qFormat/>
    <w:uiPriority w:val="99"/>
    <w:pPr>
      <w:spacing w:after="120"/>
      <w:ind w:left="420" w:leftChars="200"/>
    </w:pPr>
  </w:style>
  <w:style w:type="paragraph" w:styleId="16">
    <w:name w:val="Plain Text"/>
    <w:basedOn w:val="1"/>
    <w:link w:val="44"/>
    <w:qFormat/>
    <w:uiPriority w:val="0"/>
    <w:rPr>
      <w:rFonts w:ascii="宋体" w:hAnsi="Courier New" w:cs="宋体"/>
    </w:rPr>
  </w:style>
  <w:style w:type="paragraph" w:styleId="17">
    <w:name w:val="Date"/>
    <w:basedOn w:val="1"/>
    <w:next w:val="1"/>
    <w:link w:val="45"/>
    <w:qFormat/>
    <w:uiPriority w:val="99"/>
    <w:pPr>
      <w:ind w:left="100" w:leftChars="2500"/>
    </w:pPr>
  </w:style>
  <w:style w:type="paragraph" w:styleId="18">
    <w:name w:val="Body Text Indent 2"/>
    <w:basedOn w:val="1"/>
    <w:qFormat/>
    <w:locked/>
    <w:uiPriority w:val="0"/>
    <w:pPr>
      <w:ind w:firstLine="540" w:firstLineChars="257"/>
    </w:pPr>
  </w:style>
  <w:style w:type="paragraph" w:styleId="19">
    <w:name w:val="Balloon Text"/>
    <w:basedOn w:val="1"/>
    <w:link w:val="46"/>
    <w:semiHidden/>
    <w:qFormat/>
    <w:uiPriority w:val="99"/>
    <w:rPr>
      <w:sz w:val="18"/>
      <w:szCs w:val="18"/>
    </w:rPr>
  </w:style>
  <w:style w:type="paragraph" w:styleId="20">
    <w:name w:val="footer"/>
    <w:basedOn w:val="1"/>
    <w:link w:val="47"/>
    <w:qFormat/>
    <w:uiPriority w:val="99"/>
    <w:pPr>
      <w:tabs>
        <w:tab w:val="center" w:pos="4153"/>
        <w:tab w:val="right" w:pos="8306"/>
      </w:tabs>
      <w:snapToGrid w:val="0"/>
      <w:jc w:val="left"/>
    </w:pPr>
    <w:rPr>
      <w:sz w:val="18"/>
      <w:szCs w:val="18"/>
    </w:rPr>
  </w:style>
  <w:style w:type="paragraph" w:styleId="21">
    <w:name w:val="header"/>
    <w:basedOn w:val="1"/>
    <w:link w:val="48"/>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9"/>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50"/>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40"/>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locked/>
    <w:uiPriority w:val="0"/>
    <w:rPr>
      <w:b/>
    </w:rPr>
  </w:style>
  <w:style w:type="character" w:styleId="32">
    <w:name w:val="page number"/>
    <w:basedOn w:val="30"/>
    <w:qFormat/>
    <w:uiPriority w:val="99"/>
  </w:style>
  <w:style w:type="character" w:styleId="33">
    <w:name w:val="Hyperlink"/>
    <w:qFormat/>
    <w:uiPriority w:val="99"/>
    <w:rPr>
      <w:color w:val="0000FF"/>
      <w:u w:val="single"/>
    </w:rPr>
  </w:style>
  <w:style w:type="character" w:styleId="34">
    <w:name w:val="annotation reference"/>
    <w:semiHidden/>
    <w:qFormat/>
    <w:uiPriority w:val="99"/>
    <w:rPr>
      <w:sz w:val="21"/>
      <w:szCs w:val="21"/>
    </w:rPr>
  </w:style>
  <w:style w:type="character" w:customStyle="1" w:styleId="35">
    <w:name w:val="标题 1 Char"/>
    <w:link w:val="3"/>
    <w:qFormat/>
    <w:uiPriority w:val="9"/>
    <w:rPr>
      <w:b/>
      <w:bCs/>
      <w:kern w:val="44"/>
      <w:sz w:val="44"/>
      <w:szCs w:val="44"/>
    </w:rPr>
  </w:style>
  <w:style w:type="character" w:customStyle="1" w:styleId="36">
    <w:name w:val="标题 2 Char"/>
    <w:link w:val="4"/>
    <w:semiHidden/>
    <w:qFormat/>
    <w:uiPriority w:val="9"/>
    <w:rPr>
      <w:rFonts w:ascii="Cambria" w:hAnsi="Cambria" w:eastAsia="宋体" w:cs="Times New Roman"/>
      <w:b/>
      <w:bCs/>
      <w:sz w:val="32"/>
      <w:szCs w:val="32"/>
    </w:rPr>
  </w:style>
  <w:style w:type="character" w:customStyle="1" w:styleId="37">
    <w:name w:val="标题 3 Char"/>
    <w:link w:val="5"/>
    <w:semiHidden/>
    <w:qFormat/>
    <w:uiPriority w:val="9"/>
    <w:rPr>
      <w:b/>
      <w:bCs/>
      <w:sz w:val="32"/>
      <w:szCs w:val="32"/>
    </w:rPr>
  </w:style>
  <w:style w:type="character" w:customStyle="1" w:styleId="38">
    <w:name w:val="标题 4 Char"/>
    <w:link w:val="6"/>
    <w:semiHidden/>
    <w:qFormat/>
    <w:uiPriority w:val="9"/>
    <w:rPr>
      <w:rFonts w:ascii="Cambria" w:hAnsi="Cambria" w:eastAsia="宋体" w:cs="Times New Roman"/>
      <w:b/>
      <w:bCs/>
      <w:sz w:val="28"/>
      <w:szCs w:val="28"/>
    </w:rPr>
  </w:style>
  <w:style w:type="character" w:customStyle="1" w:styleId="39">
    <w:name w:val="批注文字 Char"/>
    <w:link w:val="14"/>
    <w:qFormat/>
    <w:locked/>
    <w:uiPriority w:val="99"/>
    <w:rPr>
      <w:kern w:val="2"/>
      <w:sz w:val="24"/>
      <w:szCs w:val="24"/>
    </w:rPr>
  </w:style>
  <w:style w:type="character" w:customStyle="1" w:styleId="40">
    <w:name w:val="批注主题 Char"/>
    <w:link w:val="27"/>
    <w:qFormat/>
    <w:locked/>
    <w:uiPriority w:val="99"/>
    <w:rPr>
      <w:b/>
      <w:bCs/>
      <w:kern w:val="2"/>
      <w:sz w:val="24"/>
      <w:szCs w:val="24"/>
    </w:rPr>
  </w:style>
  <w:style w:type="character" w:customStyle="1" w:styleId="41">
    <w:name w:val="文档结构图 Char"/>
    <w:link w:val="13"/>
    <w:qFormat/>
    <w:locked/>
    <w:uiPriority w:val="99"/>
    <w:rPr>
      <w:rFonts w:ascii="宋体" w:cs="宋体"/>
      <w:kern w:val="2"/>
      <w:sz w:val="24"/>
      <w:szCs w:val="24"/>
    </w:rPr>
  </w:style>
  <w:style w:type="character" w:customStyle="1" w:styleId="42">
    <w:name w:val="正文文本 Char"/>
    <w:link w:val="2"/>
    <w:qFormat/>
    <w:locked/>
    <w:uiPriority w:val="99"/>
    <w:rPr>
      <w:kern w:val="2"/>
      <w:sz w:val="24"/>
      <w:szCs w:val="24"/>
    </w:rPr>
  </w:style>
  <w:style w:type="character" w:customStyle="1" w:styleId="43">
    <w:name w:val="正文文本缩进 Char"/>
    <w:link w:val="15"/>
    <w:qFormat/>
    <w:locked/>
    <w:uiPriority w:val="99"/>
    <w:rPr>
      <w:kern w:val="2"/>
      <w:sz w:val="24"/>
      <w:szCs w:val="24"/>
    </w:rPr>
  </w:style>
  <w:style w:type="character" w:customStyle="1" w:styleId="44">
    <w:name w:val="纯文本 Char"/>
    <w:link w:val="16"/>
    <w:qFormat/>
    <w:locked/>
    <w:uiPriority w:val="0"/>
    <w:rPr>
      <w:rFonts w:ascii="宋体" w:hAnsi="Courier New" w:cs="宋体"/>
      <w:kern w:val="2"/>
      <w:sz w:val="21"/>
      <w:szCs w:val="21"/>
    </w:rPr>
  </w:style>
  <w:style w:type="character" w:customStyle="1" w:styleId="45">
    <w:name w:val="日期 Char"/>
    <w:link w:val="17"/>
    <w:semiHidden/>
    <w:qFormat/>
    <w:uiPriority w:val="99"/>
    <w:rPr>
      <w:szCs w:val="21"/>
    </w:rPr>
  </w:style>
  <w:style w:type="character" w:customStyle="1" w:styleId="46">
    <w:name w:val="批注框文本 Char"/>
    <w:link w:val="19"/>
    <w:semiHidden/>
    <w:qFormat/>
    <w:uiPriority w:val="99"/>
    <w:rPr>
      <w:sz w:val="0"/>
      <w:szCs w:val="0"/>
    </w:rPr>
  </w:style>
  <w:style w:type="character" w:customStyle="1" w:styleId="47">
    <w:name w:val="页脚 Char"/>
    <w:link w:val="20"/>
    <w:qFormat/>
    <w:locked/>
    <w:uiPriority w:val="99"/>
    <w:rPr>
      <w:kern w:val="2"/>
      <w:sz w:val="18"/>
      <w:szCs w:val="18"/>
    </w:rPr>
  </w:style>
  <w:style w:type="character" w:customStyle="1" w:styleId="48">
    <w:name w:val="页眉 Char"/>
    <w:link w:val="21"/>
    <w:qFormat/>
    <w:locked/>
    <w:uiPriority w:val="99"/>
    <w:rPr>
      <w:kern w:val="2"/>
      <w:sz w:val="18"/>
      <w:szCs w:val="18"/>
    </w:rPr>
  </w:style>
  <w:style w:type="character" w:customStyle="1" w:styleId="49">
    <w:name w:val="正文文本缩进 3 Char"/>
    <w:link w:val="23"/>
    <w:semiHidden/>
    <w:qFormat/>
    <w:uiPriority w:val="99"/>
    <w:rPr>
      <w:sz w:val="16"/>
      <w:szCs w:val="16"/>
    </w:rPr>
  </w:style>
  <w:style w:type="character" w:customStyle="1" w:styleId="50">
    <w:name w:val="标题 Char"/>
    <w:link w:val="26"/>
    <w:qFormat/>
    <w:locked/>
    <w:uiPriority w:val="99"/>
    <w:rPr>
      <w:rFonts w:ascii="Cambria" w:hAnsi="Cambria" w:cs="Cambria"/>
      <w:b/>
      <w:bCs/>
      <w:sz w:val="32"/>
      <w:szCs w:val="32"/>
    </w:rPr>
  </w:style>
  <w:style w:type="character" w:customStyle="1" w:styleId="51">
    <w:name w:val="标题 3 Char Char Char"/>
    <w:qFormat/>
    <w:uiPriority w:val="99"/>
    <w:rPr>
      <w:rFonts w:eastAsia="宋体"/>
      <w:b/>
      <w:bCs/>
      <w:kern w:val="2"/>
      <w:sz w:val="32"/>
      <w:szCs w:val="32"/>
      <w:lang w:val="en-US" w:eastAsia="zh-CN"/>
    </w:rPr>
  </w:style>
  <w:style w:type="character" w:customStyle="1" w:styleId="52">
    <w:name w:val="中等深浅网格 1 - 强调文字颜色 2字符"/>
    <w:link w:val="53"/>
    <w:qFormat/>
    <w:locked/>
    <w:uiPriority w:val="99"/>
    <w:rPr>
      <w:kern w:val="2"/>
      <w:sz w:val="24"/>
      <w:szCs w:val="24"/>
    </w:rPr>
  </w:style>
  <w:style w:type="paragraph" w:customStyle="1" w:styleId="53">
    <w:name w:val="中等深浅网格 1 - 强调文字颜色 21"/>
    <w:basedOn w:val="1"/>
    <w:link w:val="52"/>
    <w:qFormat/>
    <w:uiPriority w:val="99"/>
    <w:pPr>
      <w:ind w:firstLine="420" w:firstLineChars="200"/>
    </w:pPr>
  </w:style>
  <w:style w:type="character" w:customStyle="1" w:styleId="54">
    <w:name w:val="text91"/>
    <w:qFormat/>
    <w:uiPriority w:val="99"/>
    <w:rPr>
      <w:sz w:val="18"/>
      <w:szCs w:val="18"/>
      <w:u w:val="none"/>
    </w:rPr>
  </w:style>
  <w:style w:type="character" w:customStyle="1" w:styleId="55">
    <w:name w:val="正文文本缩进 Char1"/>
    <w:qFormat/>
    <w:uiPriority w:val="99"/>
    <w:rPr>
      <w:kern w:val="2"/>
      <w:sz w:val="24"/>
      <w:szCs w:val="24"/>
    </w:rPr>
  </w:style>
  <w:style w:type="paragraph" w:customStyle="1" w:styleId="56">
    <w:name w:val="Char1"/>
    <w:basedOn w:val="1"/>
    <w:qFormat/>
    <w:uiPriority w:val="99"/>
    <w:rPr>
      <w:rFonts w:ascii="仿宋_GB2312" w:eastAsia="仿宋_GB2312" w:cs="仿宋_GB2312"/>
      <w:b/>
      <w:bCs/>
      <w:sz w:val="32"/>
      <w:szCs w:val="32"/>
    </w:rPr>
  </w:style>
  <w:style w:type="paragraph" w:customStyle="1" w:styleId="57">
    <w:name w:val="表格"/>
    <w:basedOn w:val="1"/>
    <w:qFormat/>
    <w:uiPriority w:val="0"/>
    <w:pPr>
      <w:spacing w:line="400" w:lineRule="exact"/>
    </w:pPr>
    <w:rPr>
      <w:sz w:val="24"/>
      <w:szCs w:val="24"/>
    </w:rPr>
  </w:style>
  <w:style w:type="paragraph" w:customStyle="1" w:styleId="58">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9">
    <w:name w:val="默认段落字体 Para Char Char Char1 Char"/>
    <w:basedOn w:val="1"/>
    <w:next w:val="1"/>
    <w:qFormat/>
    <w:uiPriority w:val="99"/>
    <w:pPr>
      <w:spacing w:line="240" w:lineRule="atLeast"/>
      <w:ind w:left="420" w:firstLine="420"/>
      <w:jc w:val="left"/>
    </w:pPr>
    <w:rPr>
      <w:kern w:val="0"/>
    </w:rPr>
  </w:style>
  <w:style w:type="paragraph" w:customStyle="1" w:styleId="60">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1">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2">
    <w:name w:val="Char"/>
    <w:basedOn w:val="1"/>
    <w:qFormat/>
    <w:uiPriority w:val="99"/>
    <w:rPr>
      <w:rFonts w:ascii="Tahoma" w:hAnsi="Tahoma" w:cs="Tahoma"/>
      <w:b/>
      <w:bCs/>
      <w:sz w:val="36"/>
      <w:szCs w:val="36"/>
    </w:rPr>
  </w:style>
  <w:style w:type="paragraph" w:customStyle="1" w:styleId="63">
    <w:name w:val="正文首行缩进两字符"/>
    <w:basedOn w:val="1"/>
    <w:qFormat/>
    <w:uiPriority w:val="99"/>
    <w:pPr>
      <w:spacing w:line="360" w:lineRule="auto"/>
      <w:ind w:firstLine="200" w:firstLineChars="200"/>
    </w:pPr>
  </w:style>
  <w:style w:type="paragraph" w:customStyle="1" w:styleId="64">
    <w:name w:val="列出段落1"/>
    <w:basedOn w:val="1"/>
    <w:qFormat/>
    <w:uiPriority w:val="99"/>
    <w:pPr>
      <w:ind w:firstLine="420" w:firstLineChars="200"/>
    </w:pPr>
  </w:style>
  <w:style w:type="paragraph" w:customStyle="1" w:styleId="65">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9">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70">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1">
    <w:name w:val="font11"/>
    <w:qFormat/>
    <w:uiPriority w:val="99"/>
    <w:rPr>
      <w:rFonts w:ascii="宋体" w:hAnsi="宋体" w:eastAsia="宋体" w:cs="宋体"/>
      <w:color w:val="000000"/>
      <w:sz w:val="21"/>
      <w:szCs w:val="21"/>
      <w:u w:val="none"/>
    </w:rPr>
  </w:style>
  <w:style w:type="paragraph" w:customStyle="1" w:styleId="72">
    <w:name w:val="正文1"/>
    <w:qFormat/>
    <w:uiPriority w:val="0"/>
    <w:rPr>
      <w:rFonts w:ascii="Times New Roman" w:hAnsi="Times New Roman" w:eastAsia="宋体" w:cs="Times New Roman"/>
      <w:kern w:val="1"/>
      <w:sz w:val="24"/>
      <w:szCs w:val="24"/>
      <w:lang w:val="en-US" w:eastAsia="zh-CN" w:bidi="ar-SA"/>
    </w:rPr>
  </w:style>
  <w:style w:type="paragraph" w:customStyle="1" w:styleId="73">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4">
    <w:name w:val="font111"/>
    <w:qFormat/>
    <w:uiPriority w:val="99"/>
    <w:rPr>
      <w:rFonts w:ascii="E?" w:hAnsi="E?" w:eastAsia="Times New Roman" w:cs="E?"/>
      <w:color w:val="000000"/>
      <w:sz w:val="21"/>
      <w:szCs w:val="21"/>
      <w:u w:val="single"/>
    </w:rPr>
  </w:style>
  <w:style w:type="character" w:customStyle="1" w:styleId="75">
    <w:name w:val="font31"/>
    <w:qFormat/>
    <w:uiPriority w:val="99"/>
    <w:rPr>
      <w:rFonts w:ascii="宋体" w:hAnsi="宋体" w:eastAsia="宋体" w:cs="宋体"/>
      <w:color w:val="000000"/>
      <w:sz w:val="21"/>
      <w:szCs w:val="21"/>
      <w:u w:val="none"/>
    </w:rPr>
  </w:style>
  <w:style w:type="paragraph" w:customStyle="1" w:styleId="76">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7">
    <w:name w:val="列出段落2"/>
    <w:basedOn w:val="1"/>
    <w:qFormat/>
    <w:uiPriority w:val="99"/>
    <w:pPr>
      <w:ind w:firstLine="420" w:firstLineChars="200"/>
    </w:pPr>
  </w:style>
  <w:style w:type="paragraph" w:customStyle="1" w:styleId="78">
    <w:name w:val="修订6"/>
    <w:hidden/>
    <w:semiHidden/>
    <w:qFormat/>
    <w:uiPriority w:val="99"/>
    <w:rPr>
      <w:rFonts w:ascii="Times New Roman" w:hAnsi="Times New Roman" w:eastAsia="宋体" w:cs="Times New Roman"/>
      <w:kern w:val="2"/>
      <w:sz w:val="21"/>
      <w:szCs w:val="21"/>
      <w:lang w:val="en-US" w:eastAsia="zh-CN" w:bidi="ar-SA"/>
    </w:rPr>
  </w:style>
  <w:style w:type="paragraph" w:styleId="79">
    <w:name w:val="List Paragraph"/>
    <w:basedOn w:val="1"/>
    <w:qFormat/>
    <w:uiPriority w:val="99"/>
    <w:pPr>
      <w:ind w:firstLine="420" w:firstLineChars="200"/>
    </w:pPr>
    <w:rPr>
      <w:rFonts w:ascii="Calibri" w:hAnsi="Calibri" w:cs="Calibri"/>
    </w:rPr>
  </w:style>
  <w:style w:type="character" w:customStyle="1" w:styleId="80">
    <w:name w:val="标题 5 Char"/>
    <w:basedOn w:val="30"/>
    <w:link w:val="7"/>
    <w:qFormat/>
    <w:uiPriority w:val="0"/>
    <w:rPr>
      <w:rFonts w:ascii="宋体"/>
      <w:b/>
      <w:sz w:val="28"/>
    </w:rPr>
  </w:style>
  <w:style w:type="character" w:customStyle="1" w:styleId="81">
    <w:name w:val="标题 6 Char"/>
    <w:basedOn w:val="30"/>
    <w:link w:val="9"/>
    <w:qFormat/>
    <w:uiPriority w:val="0"/>
    <w:rPr>
      <w:rFonts w:ascii="Arial" w:hAnsi="Arial" w:eastAsia="黑体"/>
      <w:b/>
      <w:sz w:val="24"/>
    </w:rPr>
  </w:style>
  <w:style w:type="character" w:customStyle="1" w:styleId="82">
    <w:name w:val="标题 7 Char"/>
    <w:basedOn w:val="30"/>
    <w:link w:val="10"/>
    <w:qFormat/>
    <w:uiPriority w:val="0"/>
    <w:rPr>
      <w:rFonts w:ascii="宋体"/>
      <w:b/>
      <w:sz w:val="24"/>
    </w:rPr>
  </w:style>
  <w:style w:type="character" w:customStyle="1" w:styleId="83">
    <w:name w:val="标题 8 Char"/>
    <w:basedOn w:val="30"/>
    <w:link w:val="11"/>
    <w:qFormat/>
    <w:uiPriority w:val="0"/>
    <w:rPr>
      <w:rFonts w:ascii="Arial" w:hAnsi="Arial" w:eastAsia="黑体"/>
      <w:sz w:val="24"/>
    </w:rPr>
  </w:style>
  <w:style w:type="character" w:customStyle="1" w:styleId="84">
    <w:name w:val="标题 9 Char"/>
    <w:basedOn w:val="30"/>
    <w:link w:val="12"/>
    <w:qFormat/>
    <w:uiPriority w:val="0"/>
    <w:rPr>
      <w:rFonts w:ascii="Arial" w:hAnsi="Arial" w:eastAsia="黑体"/>
      <w:sz w:val="34"/>
    </w:rPr>
  </w:style>
  <w:style w:type="paragraph" w:customStyle="1" w:styleId="85">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7">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8">
    <w:name w:val="cf01"/>
    <w:basedOn w:val="30"/>
    <w:qFormat/>
    <w:uiPriority w:val="0"/>
    <w:rPr>
      <w:rFonts w:hint="eastAsia" w:ascii="Microsoft YaHei UI" w:hAnsi="Microsoft YaHei UI" w:eastAsia="Microsoft YaHei UI"/>
      <w:sz w:val="18"/>
      <w:szCs w:val="18"/>
    </w:rPr>
  </w:style>
  <w:style w:type="character" w:customStyle="1" w:styleId="89">
    <w:name w:val="font61"/>
    <w:basedOn w:val="30"/>
    <w:qFormat/>
    <w:uiPriority w:val="0"/>
    <w:rPr>
      <w:rFonts w:hint="eastAsia" w:ascii="宋体" w:hAnsi="宋体" w:eastAsia="宋体" w:cs="宋体"/>
      <w:color w:val="000000"/>
      <w:sz w:val="22"/>
      <w:szCs w:val="22"/>
      <w:u w:val="none"/>
    </w:rPr>
  </w:style>
  <w:style w:type="character" w:customStyle="1" w:styleId="90">
    <w:name w:val="font71"/>
    <w:basedOn w:val="30"/>
    <w:qFormat/>
    <w:uiPriority w:val="0"/>
    <w:rPr>
      <w:rFonts w:hint="eastAsia" w:ascii="宋体" w:hAnsi="宋体" w:eastAsia="宋体" w:cs="宋体"/>
      <w:color w:val="000000"/>
      <w:sz w:val="24"/>
      <w:szCs w:val="24"/>
      <w:u w:val="none"/>
    </w:rPr>
  </w:style>
  <w:style w:type="character" w:customStyle="1" w:styleId="91">
    <w:name w:val="font41"/>
    <w:basedOn w:val="30"/>
    <w:qFormat/>
    <w:uiPriority w:val="0"/>
    <w:rPr>
      <w:rFonts w:hint="default" w:ascii="仿宋_GB2312" w:eastAsia="仿宋_GB2312" w:cs="仿宋_GB2312"/>
      <w:color w:val="000000"/>
      <w:sz w:val="24"/>
      <w:szCs w:val="24"/>
      <w:u w:val="none"/>
    </w:rPr>
  </w:style>
  <w:style w:type="character" w:customStyle="1" w:styleId="92">
    <w:name w:val="font81"/>
    <w:basedOn w:val="30"/>
    <w:qFormat/>
    <w:uiPriority w:val="0"/>
    <w:rPr>
      <w:rFonts w:hint="eastAsia" w:ascii="宋体" w:hAnsi="宋体" w:eastAsia="宋体" w:cs="宋体"/>
      <w:color w:val="000000"/>
      <w:sz w:val="24"/>
      <w:szCs w:val="24"/>
      <w:u w:val="none"/>
    </w:rPr>
  </w:style>
  <w:style w:type="character" w:customStyle="1" w:styleId="93">
    <w:name w:val="font91"/>
    <w:basedOn w:val="30"/>
    <w:qFormat/>
    <w:uiPriority w:val="0"/>
    <w:rPr>
      <w:rFonts w:hint="default" w:ascii="仿宋_GB2312" w:eastAsia="仿宋_GB2312" w:cs="仿宋_GB2312"/>
      <w:color w:val="000000"/>
      <w:sz w:val="24"/>
      <w:szCs w:val="24"/>
      <w:u w:val="none"/>
    </w:rPr>
  </w:style>
  <w:style w:type="character" w:customStyle="1" w:styleId="94">
    <w:name w:val="font01"/>
    <w:basedOn w:val="30"/>
    <w:qFormat/>
    <w:uiPriority w:val="0"/>
    <w:rPr>
      <w:rFonts w:hint="eastAsia" w:ascii="宋体" w:hAnsi="宋体" w:eastAsia="宋体" w:cs="宋体"/>
      <w:color w:val="000000"/>
      <w:sz w:val="24"/>
      <w:szCs w:val="24"/>
      <w:u w:val="none"/>
    </w:rPr>
  </w:style>
  <w:style w:type="paragraph" w:customStyle="1" w:styleId="95">
    <w:name w:val="null3"/>
    <w:hidden/>
    <w:qFormat/>
    <w:uiPriority w:val="0"/>
    <w:rPr>
      <w:rFonts w:hint="eastAsia" w:asciiTheme="minorHAnsi" w:hAnsiTheme="minorHAnsi" w:eastAsiaTheme="minorEastAsia" w:cstheme="minorBidi"/>
      <w:lang w:val="en-US" w:eastAsia="zh-Hans"/>
    </w:rPr>
  </w:style>
  <w:style w:type="paragraph" w:customStyle="1" w:styleId="9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19A0DE60-FA29-4D92-9243-8E60C98B4EF8}">
  <ds:schemaRefs/>
</ds:datastoreItem>
</file>

<file path=customXml/itemProps10.xml><?xml version="1.0" encoding="utf-8"?>
<ds:datastoreItem xmlns:ds="http://schemas.openxmlformats.org/officeDocument/2006/customXml" ds:itemID="{19D62967-182E-4B59-90A5-31BB25E156BD}">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A660DF65-323F-42AA-BA0B-9C370B9BA8D6}">
  <ds:schemaRefs/>
</ds:datastoreItem>
</file>

<file path=customXml/itemProps4.xml><?xml version="1.0" encoding="utf-8"?>
<ds:datastoreItem xmlns:ds="http://schemas.openxmlformats.org/officeDocument/2006/customXml" ds:itemID="{9830D43F-2A5F-4C7A-90D4-2ACA6669301E}">
  <ds:schemaRefs/>
</ds:datastoreItem>
</file>

<file path=customXml/itemProps5.xml><?xml version="1.0" encoding="utf-8"?>
<ds:datastoreItem xmlns:ds="http://schemas.openxmlformats.org/officeDocument/2006/customXml" ds:itemID="{DF7214A0-C314-4119-B708-801301B26492}">
  <ds:schemaRefs/>
</ds:datastoreItem>
</file>

<file path=customXml/itemProps6.xml><?xml version="1.0" encoding="utf-8"?>
<ds:datastoreItem xmlns:ds="http://schemas.openxmlformats.org/officeDocument/2006/customXml" ds:itemID="{3A83849B-E06B-4A6A-8627-2FB86F6943F3}">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B0C12A16-096F-4317-BD19-172378C2C9C1}">
  <ds:schemaRefs/>
</ds:datastoreItem>
</file>

<file path=customXml/itemProps9.xml><?xml version="1.0" encoding="utf-8"?>
<ds:datastoreItem xmlns:ds="http://schemas.openxmlformats.org/officeDocument/2006/customXml" ds:itemID="{07353D91-4065-4330-A01E-5A20D4831606}">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2</TotalTime>
  <ScaleCrop>false</ScaleCrop>
  <LinksUpToDate>false</LinksUpToDate>
  <CharactersWithSpaces>5431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孙灵</cp:lastModifiedBy>
  <cp:lastPrinted>2025-01-02T01:25:45Z</cp:lastPrinted>
  <dcterms:modified xsi:type="dcterms:W3CDTF">2025-01-02T01:25:55Z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42EC625B331C416BA0F4E0680112BB95</vt:lpwstr>
  </property>
</Properties>
</file>