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318" w:leftChars="418" w:hanging="440" w:hangingChars="1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资阳市中心医院购买次氯酸钠消毒液</w:t>
      </w:r>
    </w:p>
    <w:p>
      <w:pPr>
        <w:ind w:firstLine="440" w:firstLineChars="100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和稳定性二氧化氯AB液的市场询价公告</w:t>
      </w:r>
    </w:p>
    <w:p>
      <w:pPr>
        <w:ind w:left="1317" w:leftChars="627" w:firstLine="0" w:firstLineChars="0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ind w:firstLine="64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资阳市中心医院购买次氯酸钠消毒液和稳定性二氧化氯AB液的市场询价公告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 w:firstLine="52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我院因工作需要，需采购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有效氯含量（以CL计）≥10%的</w:t>
      </w:r>
      <w:r>
        <w:rPr>
          <w:rFonts w:hint="eastAsia" w:ascii="仿宋" w:hAnsi="仿宋" w:eastAsia="仿宋" w:cs="仿宋"/>
          <w:sz w:val="32"/>
          <w:szCs w:val="32"/>
        </w:rPr>
        <w:t>次氯酸钠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消毒</w:t>
      </w:r>
      <w:r>
        <w:rPr>
          <w:rFonts w:hint="eastAsia" w:ascii="仿宋" w:hAnsi="仿宋" w:eastAsia="仿宋" w:cs="仿宋"/>
          <w:sz w:val="32"/>
          <w:szCs w:val="32"/>
        </w:rPr>
        <w:t>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1500吨；稳定性</w:t>
      </w:r>
      <w:r>
        <w:rPr>
          <w:rFonts w:hint="eastAsia" w:ascii="仿宋" w:hAnsi="仿宋" w:eastAsia="仿宋" w:cs="仿宋"/>
          <w:sz w:val="32"/>
          <w:szCs w:val="32"/>
        </w:rPr>
        <w:t>二氧化氯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AB液6吨，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特邀符合要求的供应商参加此次市场询价。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 xml:space="preserve">供应商具备的资质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具有独立履行民事责任的主体资格； </w:t>
      </w:r>
    </w:p>
    <w:p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2.遵守国家法律法规，具有良好的信誉和诚实的商业道德； </w:t>
      </w:r>
    </w:p>
    <w:p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3.具有履行合同的能力；</w:t>
      </w:r>
    </w:p>
    <w:p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 xml:space="preserve">4.所供产品符合国家、行业标准； </w:t>
      </w:r>
    </w:p>
    <w:p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5.参加政府采购活动三年内，在经营活动中无重大违法记录；</w:t>
      </w:r>
    </w:p>
    <w:p>
      <w:pPr>
        <w:pStyle w:val="2"/>
        <w:numPr>
          <w:ilvl w:val="4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6.法律、行政法规规定的其他条件；</w:t>
      </w:r>
    </w:p>
    <w:p>
      <w:pPr>
        <w:numPr>
          <w:ilvl w:val="0"/>
          <w:numId w:val="0"/>
        </w:num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项目执行标准及质量要求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1、次氯酸钠溶液有效氯含量（以CL计）≥10%,符合GB/T 19106-2013次氯酸钠溶液标准；包装符合GB/T 19106-2013次氯酸钠溶液包装要求，质保期2个月。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2、稳定性二氧化氯AB液符合GB/T26366-2021 二氧化氯消毒剂卫生标准。A剂为稳定性二氧化氯溶液，活化后二氧化氯含量≥8000/mg/L;B剂为液态活化剂。A/B液活化体积比为1:1。A/B剂使用塑料桶包装，25KG/桶，有效期≥12个月。                  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cs="Times New Roman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Calibri" w:hAnsi="Calibri" w:eastAsia="宋体" w:cs="Times New Roman"/>
          <w:b/>
          <w:bCs/>
          <w:kern w:val="2"/>
          <w:sz w:val="30"/>
          <w:szCs w:val="30"/>
          <w:lang w:val="en-US" w:eastAsia="zh-CN" w:bidi="ar-SA"/>
        </w:rPr>
        <w:t>、</w:t>
      </w:r>
      <w:r>
        <w:rPr>
          <w:rFonts w:hint="eastAsia"/>
          <w:b/>
          <w:bCs/>
          <w:sz w:val="30"/>
          <w:szCs w:val="30"/>
          <w:lang w:val="en-US" w:eastAsia="zh-CN"/>
        </w:rPr>
        <w:t>项目报价表（见附件）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公司营业执照和项目报价表加盖公章扫描为PDF文件于2025年3月17日17:00前发送至3331354405@qq.com,邮件标题形势：公司名称+联系方式。咨询联系人：马老师，电话：15108151885.                  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七、本次市场询价不做任何采购承诺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购买次氯酸钠消毒液和稳定性二氧化氯AB液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报价表：</w:t>
      </w:r>
    </w:p>
    <w:tbl>
      <w:tblPr>
        <w:tblStyle w:val="4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4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217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ind w:left="420" w:leftChars="100" w:hanging="21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18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ind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  <w:p>
            <w:pPr>
              <w:spacing w:line="24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64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次氯酸钠消毒液</w:t>
            </w:r>
          </w:p>
        </w:tc>
        <w:tc>
          <w:tcPr>
            <w:tcW w:w="1217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满足行业标准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吨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" w:type="dxa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稳定性二氧化氯AB液</w:t>
            </w:r>
          </w:p>
        </w:tc>
        <w:tc>
          <w:tcPr>
            <w:tcW w:w="1217" w:type="dxa"/>
            <w:shd w:val="clear" w:color="auto" w:fill="auto"/>
            <w:vAlign w:val="top"/>
          </w:tcPr>
          <w:p>
            <w:pPr>
              <w:pStyle w:val="2"/>
              <w:numPr>
                <w:ilvl w:val="4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满足行业标准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吨</w:t>
            </w:r>
          </w:p>
        </w:tc>
        <w:tc>
          <w:tcPr>
            <w:tcW w:w="1217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pStyle w:val="2"/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421B"/>
    <w:rsid w:val="23F3562C"/>
    <w:rsid w:val="2B80266D"/>
    <w:rsid w:val="55572C8C"/>
    <w:rsid w:val="653A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textAlignment w:val="baseline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dcterms:modified xsi:type="dcterms:W3CDTF">2025-03-11T06:15:59Z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E0B3EA265F7B44DF88B8E1B5A0D86852</vt:lpwstr>
  </property>
  <property fmtid="{D5CDD505-2E9C-101B-9397-08002B2CF9AE}" pid="4" name="KSOTemplateDocerSaveRecord">
    <vt:lpwstr>eyJoZGlkIjoiNjI5MGE0MDc3MDZiYzEyYjkxM2QxZGQ0N2IxN2U2OWEiLCJ1c2VySWQiOiIzMzQwNDA5NTIifQ==</vt:lpwstr>
  </property>
</Properties>
</file>