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冷链监测设备采购</w:t>
      </w:r>
      <w:r>
        <w:rPr>
          <w:rFonts w:hint="eastAsia" w:ascii="宋体" w:hAnsi="宋体" w:cs="宋体"/>
          <w:b/>
          <w:bCs/>
          <w:spacing w:val="-12"/>
          <w:sz w:val="48"/>
          <w:szCs w:val="48"/>
        </w:rPr>
        <w:t>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652"/>
      <w:bookmarkStart w:id="1" w:name="_Toc173895837"/>
      <w:bookmarkStart w:id="2" w:name="_Toc211679176"/>
      <w:bookmarkStart w:id="3" w:name="_Toc180296779"/>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冷链监测设备采购</w:t>
      </w:r>
      <w:r>
        <w:rPr>
          <w:rFonts w:hint="eastAsia" w:ascii="宋体" w:hAnsi="宋体" w:cs="宋体"/>
          <w:b/>
          <w:bCs/>
          <w:kern w:val="0"/>
          <w:u w:val="single"/>
        </w:rPr>
        <w:t>项目</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3995BE49">
      <w:pPr>
        <w:pStyle w:val="16"/>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val="en-US" w:eastAsia="zh-CN"/>
        </w:rPr>
        <w:t>冷链监测设备采购</w:t>
      </w:r>
      <w:r>
        <w:rPr>
          <w:rFonts w:hint="eastAsia" w:ascii="宋体" w:hAnsi="宋体" w:cs="宋体"/>
          <w:b/>
          <w:bCs/>
          <w:kern w:val="0"/>
        </w:rPr>
        <w:t>项目</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233464EB">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w:t>
      </w:r>
      <w:r>
        <w:rPr>
          <w:rFonts w:hint="eastAsia" w:ascii="宋体" w:hAnsi="宋体" w:cs="宋体"/>
          <w:spacing w:val="-4"/>
          <w:lang w:val="en-US" w:eastAsia="zh-CN"/>
        </w:rPr>
        <w:t>采购</w:t>
      </w:r>
      <w:r>
        <w:rPr>
          <w:rFonts w:hint="eastAsia" w:ascii="宋体" w:hAnsi="宋体" w:cs="宋体"/>
          <w:spacing w:val="-4"/>
        </w:rPr>
        <w:t>资阳市中心医院</w:t>
      </w:r>
      <w:r>
        <w:rPr>
          <w:rFonts w:hint="eastAsia" w:ascii="宋体" w:hAnsi="宋体" w:cs="宋体"/>
          <w:spacing w:val="-4"/>
          <w:lang w:val="en-US" w:eastAsia="zh-CN"/>
        </w:rPr>
        <w:t>冷链监测设备</w:t>
      </w:r>
      <w:r>
        <w:rPr>
          <w:rFonts w:hint="eastAsia" w:ascii="宋体" w:hAnsi="宋体" w:cs="宋体"/>
          <w:spacing w:val="-4"/>
        </w:rPr>
        <w:t>。</w:t>
      </w:r>
      <w:r>
        <w:rPr>
          <w:rFonts w:hint="eastAsia" w:ascii="宋体" w:hAnsi="宋体" w:cs="宋体"/>
          <w:spacing w:val="-4"/>
          <w:lang w:val="en-US" w:eastAsia="zh-CN"/>
        </w:rPr>
        <w:t>本项目最高限价为5.4万元。</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 xml:space="preserve"> 2 </w:t>
      </w:r>
      <w:r>
        <w:rPr>
          <w:rFonts w:hint="eastAsia" w:ascii="宋体" w:hAnsi="宋体" w:cs="宋体"/>
        </w:rPr>
        <w:t>月</w:t>
      </w:r>
      <w:r>
        <w:rPr>
          <w:rFonts w:hint="eastAsia" w:ascii="宋体" w:hAnsi="宋体" w:cs="宋体"/>
          <w:lang w:val="en-US" w:eastAsia="zh-CN"/>
        </w:rPr>
        <w:t xml:space="preserve"> 24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bookmarkEnd w:id="5"/>
      <w:r>
        <w:rPr>
          <w:rFonts w:hint="eastAsia" w:ascii="宋体" w:hAnsi="宋体" w:cs="宋体"/>
          <w:lang w:val="en-US" w:eastAsia="zh-CN"/>
        </w:rPr>
        <w:t xml:space="preserve"> 2 </w:t>
      </w:r>
      <w:r>
        <w:rPr>
          <w:rFonts w:hint="eastAsia" w:ascii="宋体" w:hAnsi="宋体" w:cs="宋体"/>
        </w:rPr>
        <w:t>月</w:t>
      </w:r>
      <w:r>
        <w:rPr>
          <w:rFonts w:hint="eastAsia" w:ascii="宋体" w:hAnsi="宋体" w:cs="宋体"/>
          <w:lang w:val="en-US" w:eastAsia="zh-CN"/>
        </w:rPr>
        <w:t xml:space="preserve"> 27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5</w:t>
      </w:r>
      <w:r>
        <w:rPr>
          <w:rFonts w:hint="eastAsia" w:ascii="宋体" w:hAnsi="宋体" w:cs="宋体"/>
          <w:spacing w:val="-6"/>
          <w:kern w:val="0"/>
        </w:rPr>
        <w:t>年</w:t>
      </w:r>
      <w:r>
        <w:rPr>
          <w:rFonts w:hint="eastAsia" w:ascii="宋体" w:hAnsi="宋体" w:cs="宋体"/>
          <w:lang w:val="en-US" w:eastAsia="zh-CN"/>
        </w:rPr>
        <w:t xml:space="preserve"> 2 </w:t>
      </w:r>
      <w:r>
        <w:rPr>
          <w:rFonts w:hint="eastAsia" w:ascii="宋体" w:hAnsi="宋体" w:cs="宋体"/>
          <w:spacing w:val="-6"/>
          <w:kern w:val="0"/>
        </w:rPr>
        <w:t>月</w:t>
      </w:r>
      <w:r>
        <w:rPr>
          <w:rFonts w:hint="eastAsia" w:ascii="宋体" w:hAnsi="宋体" w:cs="宋体"/>
          <w:spacing w:val="-6"/>
          <w:kern w:val="0"/>
          <w:lang w:val="en-US" w:eastAsia="zh-CN"/>
        </w:rPr>
        <w:t xml:space="preserve"> 28</w:t>
      </w:r>
      <w:r>
        <w:rPr>
          <w:rFonts w:hint="eastAsia" w:ascii="宋体" w:hAnsi="宋体" w:cs="宋体"/>
          <w:lang w:val="en-US" w:eastAsia="zh-CN"/>
        </w:rPr>
        <w:t xml:space="preserve">  </w:t>
      </w:r>
      <w:r>
        <w:rPr>
          <w:rFonts w:hint="eastAsia" w:ascii="宋体" w:hAnsi="宋体" w:cs="宋体"/>
          <w:spacing w:val="-6"/>
          <w:kern w:val="0"/>
        </w:rPr>
        <w:t>日</w:t>
      </w:r>
      <w:r>
        <w:rPr>
          <w:rFonts w:hint="eastAsia" w:ascii="宋体" w:hAnsi="宋体" w:cs="宋体"/>
          <w:lang w:val="en-US" w:eastAsia="zh-CN"/>
        </w:rPr>
        <w:t xml:space="preserve">  </w:t>
      </w:r>
      <w:bookmarkStart w:id="41" w:name="_GoBack"/>
      <w:bookmarkEnd w:id="41"/>
      <w:r>
        <w:rPr>
          <w:rFonts w:hint="eastAsia" w:ascii="宋体" w:hAnsi="宋体" w:cs="宋体"/>
          <w:lang w:val="en-US" w:eastAsia="zh-CN"/>
        </w:rPr>
        <w:t xml:space="preserve">15:00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653"/>
      <w:bookmarkStart w:id="10" w:name="_Toc180296780"/>
      <w:bookmarkStart w:id="11" w:name="_Toc173895838"/>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211679179"/>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p>
    <w:p w14:paraId="2310890B">
      <w:pPr>
        <w:spacing w:line="360" w:lineRule="auto"/>
        <w:ind w:firstLine="420" w:firstLineChars="200"/>
        <w:rPr>
          <w:rFonts w:ascii="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4C66376C">
      <w:pPr>
        <w:numPr>
          <w:ilvl w:val="0"/>
          <w:numId w:val="3"/>
        </w:numPr>
        <w:spacing w:line="360" w:lineRule="auto"/>
        <w:ind w:firstLine="420" w:firstLineChars="200"/>
        <w:rPr>
          <w:rFonts w:hint="eastAsia" w:ascii="宋体" w:hAnsi="宋体" w:cs="宋体"/>
          <w:b/>
          <w:bCs/>
          <w:kern w:val="0"/>
        </w:rPr>
      </w:pPr>
      <w:r>
        <w:rPr>
          <w:rFonts w:hint="eastAsia" w:ascii="宋体" w:hAnsi="宋体" w:cs="宋体"/>
          <w:b/>
          <w:bCs/>
          <w:kern w:val="0"/>
        </w:rPr>
        <w:t>评标法：</w:t>
      </w:r>
    </w:p>
    <w:tbl>
      <w:tblPr>
        <w:tblStyle w:val="28"/>
        <w:tblW w:w="503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64"/>
        <w:gridCol w:w="776"/>
        <w:gridCol w:w="4306"/>
        <w:gridCol w:w="2364"/>
      </w:tblGrid>
      <w:tr w14:paraId="4F97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right"/>
        </w:trPr>
        <w:tc>
          <w:tcPr>
            <w:tcW w:w="339" w:type="pct"/>
            <w:vAlign w:val="center"/>
          </w:tcPr>
          <w:p w14:paraId="57924A6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4AE2CB12">
            <w:pPr>
              <w:ind w:firstLine="28"/>
              <w:jc w:val="center"/>
              <w:rPr>
                <w:rFonts w:ascii="宋体" w:hAnsi="宋体"/>
                <w:highlight w:val="none"/>
              </w:rPr>
            </w:pPr>
            <w:r>
              <w:rPr>
                <w:rFonts w:hint="eastAsia" w:ascii="宋体" w:hAnsi="宋体" w:cs="仿宋"/>
                <w:highlight w:val="none"/>
              </w:rPr>
              <w:t>评分因素及权重</w:t>
            </w:r>
          </w:p>
        </w:tc>
        <w:tc>
          <w:tcPr>
            <w:tcW w:w="420" w:type="pct"/>
            <w:vAlign w:val="center"/>
          </w:tcPr>
          <w:p w14:paraId="1B80A409">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41AFFEB4">
            <w:pPr>
              <w:ind w:firstLine="28"/>
              <w:jc w:val="center"/>
              <w:rPr>
                <w:rFonts w:ascii="宋体" w:hAnsi="宋体"/>
                <w:highlight w:val="none"/>
              </w:rPr>
            </w:pPr>
            <w:r>
              <w:rPr>
                <w:rFonts w:hint="eastAsia" w:ascii="宋体" w:hAnsi="宋体" w:cs="仿宋"/>
                <w:highlight w:val="none"/>
              </w:rPr>
              <w:t>评分标准</w:t>
            </w:r>
          </w:p>
        </w:tc>
        <w:tc>
          <w:tcPr>
            <w:tcW w:w="1279" w:type="pct"/>
            <w:vAlign w:val="center"/>
          </w:tcPr>
          <w:p w14:paraId="05183C9C">
            <w:pPr>
              <w:jc w:val="center"/>
              <w:rPr>
                <w:rFonts w:ascii="宋体" w:hAnsi="宋体"/>
                <w:highlight w:val="none"/>
              </w:rPr>
            </w:pPr>
            <w:r>
              <w:rPr>
                <w:rFonts w:hint="eastAsia" w:ascii="宋体" w:hAnsi="宋体" w:cs="仿宋"/>
                <w:highlight w:val="none"/>
              </w:rPr>
              <w:t>说明</w:t>
            </w:r>
          </w:p>
        </w:tc>
      </w:tr>
      <w:tr w14:paraId="092B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right"/>
        </w:trPr>
        <w:tc>
          <w:tcPr>
            <w:tcW w:w="339" w:type="pct"/>
            <w:vAlign w:val="center"/>
          </w:tcPr>
          <w:p w14:paraId="40537DF1">
            <w:pPr>
              <w:ind w:firstLine="28"/>
              <w:jc w:val="center"/>
              <w:rPr>
                <w:rFonts w:ascii="宋体" w:hAnsi="宋体" w:cs="仿宋"/>
                <w:highlight w:val="none"/>
              </w:rPr>
            </w:pPr>
            <w:r>
              <w:rPr>
                <w:rFonts w:ascii="宋体" w:hAnsi="宋体" w:cs="仿宋"/>
                <w:highlight w:val="none"/>
              </w:rPr>
              <w:t>1</w:t>
            </w:r>
          </w:p>
        </w:tc>
        <w:tc>
          <w:tcPr>
            <w:tcW w:w="630" w:type="pct"/>
            <w:vAlign w:val="center"/>
          </w:tcPr>
          <w:p w14:paraId="43706127">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0" w:type="pct"/>
            <w:vAlign w:val="center"/>
          </w:tcPr>
          <w:p w14:paraId="4A15EB11">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552F1B7">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79" w:type="pct"/>
            <w:vAlign w:val="center"/>
          </w:tcPr>
          <w:p w14:paraId="0E7074CF">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20" w:firstLineChars="200"/>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80296784"/>
      <w:bookmarkStart w:id="26" w:name="_Toc211679181"/>
      <w:bookmarkStart w:id="27" w:name="_Toc173895657"/>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7D3147C6">
      <w:pPr>
        <w:pStyle w:val="4"/>
        <w:numPr>
          <w:ilvl w:val="0"/>
          <w:numId w:val="0"/>
        </w:numPr>
        <w:spacing w:line="400" w:lineRule="exact"/>
        <w:jc w:val="left"/>
        <w:rPr>
          <w:rFonts w:hint="eastAsia"/>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2EA78371">
      <w:pPr>
        <w:pStyle w:val="4"/>
        <w:numPr>
          <w:ilvl w:val="0"/>
          <w:numId w:val="0"/>
        </w:numPr>
        <w:spacing w:line="400" w:lineRule="exact"/>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Ansi="宋体"/>
          <w:kern w:val="0"/>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w:t>
      </w:r>
      <w:r>
        <w:rPr>
          <w:rFonts w:hint="eastAsia" w:ascii="宋体" w:hAnsi="宋体" w:cs="宋体"/>
          <w:spacing w:val="-4"/>
          <w:lang w:val="en-US" w:eastAsia="zh-CN"/>
        </w:rPr>
        <w:t>采购</w:t>
      </w:r>
      <w:r>
        <w:rPr>
          <w:rFonts w:hint="eastAsia" w:ascii="宋体" w:hAnsi="宋体" w:cs="宋体"/>
          <w:spacing w:val="-4"/>
        </w:rPr>
        <w:t>资阳市中心医院</w:t>
      </w:r>
      <w:r>
        <w:rPr>
          <w:rFonts w:hint="eastAsia" w:ascii="宋体" w:hAnsi="宋体" w:cs="宋体"/>
          <w:spacing w:val="-4"/>
          <w:lang w:val="en-US" w:eastAsia="zh-CN"/>
        </w:rPr>
        <w:t>冷链监测设备</w:t>
      </w:r>
      <w:r>
        <w:rPr>
          <w:rFonts w:hint="eastAsia" w:ascii="宋体" w:hAnsi="宋体" w:cs="宋体"/>
          <w:spacing w:val="-4"/>
        </w:rPr>
        <w:t>。本项目</w:t>
      </w:r>
      <w:r>
        <w:rPr>
          <w:rFonts w:hint="eastAsia" w:ascii="宋体" w:hAnsi="宋体" w:cs="宋体"/>
          <w:spacing w:val="-4"/>
          <w:lang w:val="en-US" w:eastAsia="zh-CN"/>
        </w:rPr>
        <w:t>采购最高限价：5.4万元</w:t>
      </w:r>
      <w:r>
        <w:rPr>
          <w:rFonts w:hint="eastAsia" w:ascii="宋体" w:hAnsi="宋体" w:cs="宋体"/>
          <w:spacing w:val="-4"/>
        </w:rPr>
        <w:t>。</w:t>
      </w:r>
      <w:r>
        <w:rPr>
          <w:rFonts w:hint="eastAsia" w:ascii="宋体" w:hAnsi="宋体" w:cs="宋体"/>
          <w:spacing w:val="-4"/>
          <w:lang w:val="en-US" w:eastAsia="zh-CN"/>
        </w:rPr>
        <w:t>高于采购限价</w:t>
      </w:r>
      <w:r>
        <w:rPr>
          <w:rFonts w:hint="eastAsia" w:hAnsi="宋体"/>
          <w:kern w:val="0"/>
        </w:rPr>
        <w:t>的报价为无效响应。</w:t>
      </w:r>
    </w:p>
    <w:tbl>
      <w:tblPr>
        <w:tblStyle w:val="28"/>
        <w:tblW w:w="9767" w:type="dxa"/>
        <w:tblInd w:w="93" w:type="dxa"/>
        <w:tblLayout w:type="fixed"/>
        <w:tblCellMar>
          <w:top w:w="0" w:type="dxa"/>
          <w:left w:w="108" w:type="dxa"/>
          <w:bottom w:w="0" w:type="dxa"/>
          <w:right w:w="108" w:type="dxa"/>
        </w:tblCellMar>
      </w:tblPr>
      <w:tblGrid>
        <w:gridCol w:w="1618"/>
        <w:gridCol w:w="2576"/>
        <w:gridCol w:w="1763"/>
        <w:gridCol w:w="1905"/>
        <w:gridCol w:w="1905"/>
      </w:tblGrid>
      <w:tr w14:paraId="6218F16A">
        <w:tblPrEx>
          <w:tblCellMar>
            <w:top w:w="0" w:type="dxa"/>
            <w:left w:w="108" w:type="dxa"/>
            <w:bottom w:w="0" w:type="dxa"/>
            <w:right w:w="108" w:type="dxa"/>
          </w:tblCellMar>
        </w:tblPrEx>
        <w:trPr>
          <w:trHeight w:val="521"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385A">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38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6B3B">
            <w:pPr>
              <w:widowControl/>
              <w:jc w:val="center"/>
              <w:textAlignment w:val="center"/>
              <w:rPr>
                <w:rFonts w:hint="eastAsia" w:ascii="宋体" w:hAnsi="宋体" w:eastAsia="宋体" w:cs="宋体"/>
                <w:b/>
                <w:bCs/>
                <w:color w:val="000000"/>
                <w:kern w:val="0"/>
                <w:sz w:val="20"/>
                <w:szCs w:val="20"/>
                <w:lang w:eastAsia="zh-CN" w:bidi="ar"/>
              </w:rPr>
            </w:pPr>
            <w:r>
              <w:rPr>
                <w:rFonts w:hint="eastAsia" w:ascii="宋体" w:hAnsi="宋体" w:cs="宋体"/>
                <w:b/>
                <w:bCs/>
                <w:color w:val="000000"/>
                <w:kern w:val="0"/>
                <w:sz w:val="20"/>
                <w:szCs w:val="20"/>
                <w:lang w:val="en-US" w:eastAsia="zh-CN" w:bidi="ar"/>
              </w:rPr>
              <w:t>质保期（年）</w:t>
            </w:r>
          </w:p>
        </w:tc>
        <w:tc>
          <w:tcPr>
            <w:tcW w:w="1905" w:type="dxa"/>
            <w:tcBorders>
              <w:top w:val="single" w:color="000000" w:sz="4" w:space="0"/>
              <w:left w:val="single" w:color="000000" w:sz="4" w:space="0"/>
              <w:bottom w:val="single" w:color="000000" w:sz="4" w:space="0"/>
              <w:right w:val="single" w:color="000000" w:sz="4" w:space="0"/>
            </w:tcBorders>
            <w:vAlign w:val="center"/>
          </w:tcPr>
          <w:p w14:paraId="03294EA6">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点位数（个）</w:t>
            </w:r>
          </w:p>
        </w:tc>
        <w:tc>
          <w:tcPr>
            <w:tcW w:w="1905" w:type="dxa"/>
            <w:tcBorders>
              <w:top w:val="single" w:color="000000" w:sz="4" w:space="0"/>
              <w:left w:val="single" w:color="000000" w:sz="4" w:space="0"/>
              <w:bottom w:val="single" w:color="000000" w:sz="4" w:space="0"/>
              <w:right w:val="single" w:color="000000" w:sz="4" w:space="0"/>
            </w:tcBorders>
            <w:vAlign w:val="center"/>
          </w:tcPr>
          <w:p w14:paraId="0A373DB6">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总额（万元）</w:t>
            </w:r>
          </w:p>
        </w:tc>
      </w:tr>
      <w:tr w14:paraId="3A7DBB82">
        <w:tblPrEx>
          <w:tblCellMar>
            <w:top w:w="0" w:type="dxa"/>
            <w:left w:w="108" w:type="dxa"/>
            <w:bottom w:w="0" w:type="dxa"/>
            <w:right w:w="108" w:type="dxa"/>
          </w:tblCellMar>
        </w:tblPrEx>
        <w:trPr>
          <w:trHeight w:val="537"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D7C">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w:t>
            </w:r>
            <w:r>
              <w:rPr>
                <w:rFonts w:ascii="宋体" w:hAnsi="宋体" w:cs="宋体"/>
                <w:color w:val="000000"/>
                <w:kern w:val="0"/>
                <w:sz w:val="22"/>
                <w:szCs w:val="16"/>
                <w:lang w:bidi="ar"/>
              </w:rPr>
              <w:t>1</w:t>
            </w:r>
            <w:r>
              <w:rPr>
                <w:rFonts w:hint="eastAsia" w:ascii="宋体" w:hAnsi="宋体" w:cs="宋体"/>
                <w:color w:val="000000"/>
                <w:kern w:val="0"/>
                <w:sz w:val="22"/>
                <w:szCs w:val="16"/>
                <w:lang w:bidi="ar"/>
              </w:rPr>
              <w:t>-01</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ED2">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冷链监测设备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0C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vAlign w:val="center"/>
          </w:tcPr>
          <w:p w14:paraId="4F00385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vAlign w:val="center"/>
          </w:tcPr>
          <w:p w14:paraId="45B401EF">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5.4</w:t>
            </w:r>
          </w:p>
        </w:tc>
      </w:tr>
    </w:tbl>
    <w:p w14:paraId="695E2E0A">
      <w:pPr>
        <w:pStyle w:val="4"/>
        <w:numPr>
          <w:ilvl w:val="0"/>
          <w:numId w:val="0"/>
        </w:numPr>
        <w:spacing w:before="0" w:after="0" w:line="336" w:lineRule="auto"/>
        <w:jc w:val="left"/>
      </w:pPr>
      <w:r>
        <w:rPr>
          <w:rFonts w:hint="eastAsia"/>
        </w:rPr>
        <w:t>★二、商务要求</w:t>
      </w:r>
    </w:p>
    <w:p w14:paraId="4CB6E421">
      <w:pPr>
        <w:spacing w:line="420" w:lineRule="exact"/>
        <w:ind w:firstLine="404" w:firstLineChars="200"/>
        <w:rPr>
          <w:rFonts w:hint="eastAsia" w:ascii="宋体" w:hAnsi="宋体" w:eastAsia="宋体" w:cs="宋体"/>
          <w:spacing w:val="-4"/>
          <w:lang w:val="en-US" w:eastAsia="zh-CN"/>
        </w:rPr>
      </w:pPr>
      <w:r>
        <w:rPr>
          <w:rFonts w:hint="eastAsia" w:ascii="宋体" w:hAnsi="宋体" w:eastAsia="宋体" w:cs="宋体"/>
          <w:spacing w:val="-4"/>
          <w:lang w:val="en-US" w:eastAsia="zh-CN"/>
        </w:rPr>
        <w:t>1.交付（实施）时间：合同签订后30天内</w:t>
      </w:r>
    </w:p>
    <w:p w14:paraId="4A679717">
      <w:pPr>
        <w:spacing w:line="420" w:lineRule="exact"/>
        <w:ind w:firstLine="404" w:firstLineChars="200"/>
        <w:rPr>
          <w:rFonts w:hint="eastAsia" w:ascii="宋体" w:hAnsi="宋体" w:eastAsia="宋体" w:cs="宋体"/>
          <w:spacing w:val="-4"/>
          <w:lang w:val="en-US" w:eastAsia="zh-CN"/>
        </w:rPr>
      </w:pPr>
      <w:r>
        <w:rPr>
          <w:rFonts w:hint="eastAsia" w:ascii="宋体" w:hAnsi="宋体" w:eastAsia="宋体" w:cs="宋体"/>
          <w:spacing w:val="-4"/>
          <w:lang w:val="en-US" w:eastAsia="zh-CN"/>
        </w:rPr>
        <w:t>2.交付地点：老区药房（2个冰箱）、政府医务室（1个冰箱）、药品冷链库房（1个冰箱）、新区药房（7个冰箱）、犬伤门诊（3个冰箱）、GCP办公室（1个冰箱）、肿瘤科GCP专项办公室（1个冰箱），输血科（11个冰箱），共计27个监测点位。</w:t>
      </w:r>
    </w:p>
    <w:p w14:paraId="13699ED3">
      <w:pPr>
        <w:spacing w:line="420" w:lineRule="exact"/>
        <w:ind w:firstLine="404" w:firstLineChars="200"/>
        <w:rPr>
          <w:rFonts w:hint="eastAsia" w:ascii="宋体" w:hAnsi="宋体" w:eastAsia="宋体" w:cs="宋体"/>
          <w:spacing w:val="-4"/>
          <w:lang w:val="en-US" w:eastAsia="zh-CN"/>
        </w:rPr>
      </w:pPr>
      <w:r>
        <w:rPr>
          <w:rFonts w:hint="eastAsia" w:ascii="宋体" w:hAnsi="宋体" w:eastAsia="宋体" w:cs="宋体"/>
          <w:spacing w:val="-4"/>
          <w:lang w:val="en-US" w:eastAsia="zh-CN"/>
        </w:rPr>
        <w:t>3.付款条件：投标人完成冷链监控系统，招标人验收合格并收到合同全额的合法发票后，30个工作日内对公转账合同全额的80%，质保期满30个工作日内再对公转账合同全额的剩余部分（即合同金额的20%）。</w:t>
      </w:r>
    </w:p>
    <w:p w14:paraId="20617981">
      <w:pPr>
        <w:spacing w:line="420" w:lineRule="exact"/>
        <w:ind w:firstLine="404" w:firstLineChars="200"/>
        <w:rPr>
          <w:rFonts w:hint="eastAsia" w:ascii="宋体" w:hAnsi="宋体" w:eastAsia="宋体" w:cs="宋体"/>
          <w:spacing w:val="-4"/>
          <w:lang w:val="en-US" w:eastAsia="zh-CN"/>
        </w:rPr>
      </w:pPr>
      <w:r>
        <w:rPr>
          <w:rFonts w:hint="eastAsia" w:ascii="宋体" w:hAnsi="宋体" w:eastAsia="宋体" w:cs="宋体"/>
          <w:spacing w:val="-4"/>
          <w:lang w:val="en-US" w:eastAsia="zh-CN"/>
        </w:rPr>
        <w:t>4.售后服务（质保）要求：质保</w:t>
      </w:r>
      <w:r>
        <w:rPr>
          <w:rFonts w:hint="eastAsia" w:ascii="宋体" w:hAnsi="宋体" w:cs="宋体"/>
          <w:spacing w:val="-4"/>
          <w:lang w:val="en-US" w:eastAsia="zh-CN"/>
        </w:rPr>
        <w:t>期</w:t>
      </w:r>
      <w:r>
        <w:rPr>
          <w:rFonts w:hint="eastAsia" w:ascii="宋体" w:hAnsi="宋体" w:eastAsia="宋体" w:cs="宋体"/>
          <w:spacing w:val="-4"/>
          <w:lang w:val="en-US" w:eastAsia="zh-CN"/>
        </w:rPr>
        <w:t>1年。</w:t>
      </w:r>
    </w:p>
    <w:p w14:paraId="3E017A5E">
      <w:pPr>
        <w:pStyle w:val="4"/>
        <w:numPr>
          <w:ilvl w:val="0"/>
          <w:numId w:val="0"/>
        </w:numPr>
        <w:spacing w:before="0" w:after="0" w:line="336" w:lineRule="auto"/>
        <w:jc w:val="left"/>
      </w:pPr>
      <w:r>
        <w:rPr>
          <w:rFonts w:hint="eastAsia"/>
        </w:rPr>
        <w:t>★三、服务要求：</w:t>
      </w:r>
    </w:p>
    <w:p w14:paraId="57BEBD05">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1.</w:t>
      </w:r>
      <w:r>
        <w:rPr>
          <w:rFonts w:hint="default" w:ascii="宋体" w:hAnsi="宋体" w:eastAsia="宋体" w:cs="宋体"/>
          <w:spacing w:val="-4"/>
          <w:lang w:val="en-US" w:eastAsia="zh-CN"/>
        </w:rPr>
        <w:t>持续进行温湿度监测，并针对不同存储要求进行分区管理。</w:t>
      </w:r>
    </w:p>
    <w:p w14:paraId="707BD7D4">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2.</w:t>
      </w:r>
      <w:r>
        <w:rPr>
          <w:rFonts w:hint="default" w:ascii="宋体" w:hAnsi="宋体" w:eastAsia="宋体" w:cs="宋体"/>
          <w:spacing w:val="-4"/>
          <w:lang w:val="en-US" w:eastAsia="zh-CN"/>
        </w:rPr>
        <w:t>具有本地声光报警功能。对硬件故障、温湿度超范围、无数据等异常情况需发出声光报警。监测终端、系统软件有人工消除报警的功能。</w:t>
      </w:r>
    </w:p>
    <w:p w14:paraId="2E12A615">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3.</w:t>
      </w:r>
      <w:r>
        <w:rPr>
          <w:rFonts w:hint="default" w:ascii="宋体" w:hAnsi="宋体" w:eastAsia="宋体" w:cs="宋体"/>
          <w:spacing w:val="-4"/>
          <w:lang w:val="en-US" w:eastAsia="zh-CN"/>
        </w:rPr>
        <w:t>具有数据存储功能。能生成监控报表，支持导出PDF和EXCEL格式数据，保存失控处理记录，自动备份数据。</w:t>
      </w:r>
    </w:p>
    <w:p w14:paraId="11E05D9B">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4.</w:t>
      </w:r>
      <w:r>
        <w:rPr>
          <w:rFonts w:hint="default" w:ascii="宋体" w:hAnsi="宋体" w:eastAsia="宋体" w:cs="宋体"/>
          <w:spacing w:val="-4"/>
          <w:lang w:val="en-US" w:eastAsia="zh-CN"/>
        </w:rPr>
        <w:t>具有远程信息推送功能。</w:t>
      </w:r>
    </w:p>
    <w:p w14:paraId="0F5BC509">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4.</w:t>
      </w:r>
      <w:r>
        <w:rPr>
          <w:rFonts w:hint="default" w:ascii="宋体" w:hAnsi="宋体" w:eastAsia="宋体" w:cs="宋体"/>
          <w:spacing w:val="-4"/>
          <w:lang w:val="en-US" w:eastAsia="zh-CN"/>
        </w:rPr>
        <w:t>1.能连接云平台，通过手机APP、电脑终端实时查看监控点数据及失控点位；</w:t>
      </w:r>
    </w:p>
    <w:p w14:paraId="434A03EC">
      <w:pPr>
        <w:spacing w:line="420" w:lineRule="exact"/>
        <w:ind w:firstLine="404" w:firstLineChars="200"/>
        <w:rPr>
          <w:rFonts w:hint="default" w:ascii="宋体" w:hAnsi="宋体" w:eastAsia="宋体" w:cs="宋体"/>
          <w:spacing w:val="-4"/>
          <w:lang w:val="en-US" w:eastAsia="zh-CN"/>
        </w:rPr>
      </w:pPr>
      <w:r>
        <w:rPr>
          <w:rFonts w:hint="eastAsia" w:ascii="宋体" w:hAnsi="宋体" w:eastAsia="宋体" w:cs="宋体"/>
          <w:spacing w:val="-4"/>
          <w:lang w:val="en-US" w:eastAsia="zh-CN"/>
        </w:rPr>
        <w:t>4.</w:t>
      </w:r>
      <w:r>
        <w:rPr>
          <w:rFonts w:hint="default" w:ascii="宋体" w:hAnsi="宋体" w:eastAsia="宋体" w:cs="宋体"/>
          <w:spacing w:val="-4"/>
          <w:lang w:val="en-US" w:eastAsia="zh-CN"/>
        </w:rPr>
        <w:t>2.对点位进行属地化管理，并分层级落实责任人；</w:t>
      </w:r>
    </w:p>
    <w:p w14:paraId="66880C89">
      <w:pPr>
        <w:spacing w:line="420" w:lineRule="exact"/>
        <w:ind w:firstLine="404" w:firstLineChars="200"/>
        <w:rPr>
          <w:rFonts w:hint="eastAsia" w:ascii="宋体" w:hAnsi="宋体" w:eastAsia="宋体" w:cs="宋体"/>
          <w:spacing w:val="-4"/>
        </w:rPr>
      </w:pPr>
      <w:r>
        <w:rPr>
          <w:rFonts w:hint="eastAsia" w:ascii="宋体" w:hAnsi="宋体" w:eastAsia="宋体" w:cs="宋体"/>
          <w:spacing w:val="-4"/>
          <w:lang w:val="en-US" w:eastAsia="zh-CN"/>
        </w:rPr>
        <w:t>4.</w:t>
      </w:r>
      <w:r>
        <w:rPr>
          <w:rFonts w:hint="default" w:ascii="宋体" w:hAnsi="宋体" w:eastAsia="宋体" w:cs="宋体"/>
          <w:spacing w:val="-4"/>
          <w:lang w:val="en-US" w:eastAsia="zh-CN"/>
        </w:rPr>
        <w:t>3.报警超时限未处理进行逐级信息推送。要求能对终端软件具备空中升级功能。</w:t>
      </w:r>
    </w:p>
    <w:p w14:paraId="1691D95D">
      <w:pPr>
        <w:widowControl/>
        <w:jc w:val="left"/>
        <w:rPr>
          <w:rFonts w:ascii="宋体" w:hAnsi="宋体" w:cs="宋体"/>
          <w:b/>
          <w:bCs/>
          <w:kern w:val="44"/>
          <w:sz w:val="32"/>
          <w:szCs w:val="32"/>
        </w:rPr>
      </w:pPr>
      <w:r>
        <w:rPr>
          <w:rFonts w:ascii="宋体" w:hAnsi="宋体" w:cs="宋体"/>
          <w:b/>
          <w:bCs/>
          <w:kern w:val="44"/>
          <w:sz w:val="32"/>
          <w:szCs w:val="32"/>
        </w:rPr>
        <w:br w:type="page"/>
      </w: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180296789"/>
      <w:bookmarkStart w:id="34" w:name="_Toc211679186"/>
      <w:bookmarkStart w:id="35" w:name="_Toc173895847"/>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Ansi="宋体"/>
          <w:kern w:val="0"/>
        </w:rPr>
      </w:pPr>
      <w:r>
        <w:rPr>
          <w:rFonts w:hint="eastAsia" w:hAnsi="宋体"/>
          <w:kern w:val="0"/>
        </w:rPr>
        <w:t>包号：</w:t>
      </w:r>
      <w:r>
        <w:rPr>
          <w:rFonts w:hAnsi="宋体"/>
          <w:kern w:val="0"/>
        </w:rPr>
        <w:t>XXX</w:t>
      </w:r>
    </w:p>
    <w:tbl>
      <w:tblPr>
        <w:tblStyle w:val="28"/>
        <w:tblW w:w="8838" w:type="dxa"/>
        <w:tblInd w:w="93" w:type="dxa"/>
        <w:tblLayout w:type="fixed"/>
        <w:tblCellMar>
          <w:top w:w="0" w:type="dxa"/>
          <w:left w:w="108" w:type="dxa"/>
          <w:bottom w:w="0" w:type="dxa"/>
          <w:right w:w="108" w:type="dxa"/>
        </w:tblCellMar>
      </w:tblPr>
      <w:tblGrid>
        <w:gridCol w:w="932"/>
        <w:gridCol w:w="1327"/>
        <w:gridCol w:w="878"/>
        <w:gridCol w:w="1372"/>
        <w:gridCol w:w="2197"/>
        <w:gridCol w:w="1066"/>
        <w:gridCol w:w="1066"/>
      </w:tblGrid>
      <w:tr w14:paraId="667726C1">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D7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B7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32C">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质保期（年）</w:t>
            </w:r>
          </w:p>
        </w:tc>
        <w:tc>
          <w:tcPr>
            <w:tcW w:w="1372" w:type="dxa"/>
            <w:tcBorders>
              <w:top w:val="single" w:color="000000" w:sz="4" w:space="0"/>
              <w:left w:val="single" w:color="000000" w:sz="4" w:space="0"/>
              <w:bottom w:val="single" w:color="000000" w:sz="4" w:space="0"/>
              <w:right w:val="single" w:color="000000" w:sz="4" w:space="0"/>
            </w:tcBorders>
            <w:vAlign w:val="center"/>
          </w:tcPr>
          <w:p w14:paraId="0917BD5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2197" w:type="dxa"/>
            <w:tcBorders>
              <w:top w:val="single" w:color="000000" w:sz="4" w:space="0"/>
              <w:left w:val="single" w:color="000000" w:sz="4" w:space="0"/>
              <w:bottom w:val="single" w:color="000000" w:sz="4" w:space="0"/>
              <w:right w:val="single" w:color="000000" w:sz="4" w:space="0"/>
            </w:tcBorders>
            <w:vAlign w:val="center"/>
          </w:tcPr>
          <w:p w14:paraId="6048840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w:t>
            </w:r>
          </w:p>
        </w:tc>
        <w:tc>
          <w:tcPr>
            <w:tcW w:w="1066" w:type="dxa"/>
            <w:tcBorders>
              <w:top w:val="single" w:color="000000" w:sz="4" w:space="0"/>
              <w:left w:val="single" w:color="000000" w:sz="4" w:space="0"/>
              <w:bottom w:val="single" w:color="000000" w:sz="4" w:space="0"/>
              <w:right w:val="single" w:color="000000" w:sz="4" w:space="0"/>
            </w:tcBorders>
            <w:vAlign w:val="center"/>
          </w:tcPr>
          <w:p w14:paraId="72A7284E">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点位数（个）</w:t>
            </w:r>
          </w:p>
        </w:tc>
        <w:tc>
          <w:tcPr>
            <w:tcW w:w="1066" w:type="dxa"/>
            <w:tcBorders>
              <w:top w:val="single" w:color="000000" w:sz="4" w:space="0"/>
              <w:left w:val="single" w:color="000000" w:sz="4" w:space="0"/>
              <w:bottom w:val="single" w:color="000000" w:sz="4" w:space="0"/>
              <w:right w:val="single" w:color="000000" w:sz="4" w:space="0"/>
            </w:tcBorders>
            <w:vAlign w:val="center"/>
          </w:tcPr>
          <w:p w14:paraId="12490606">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总额（元）</w:t>
            </w:r>
          </w:p>
        </w:tc>
      </w:tr>
      <w:tr w14:paraId="16D20C04">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875">
            <w:pPr>
              <w:widowControl/>
              <w:jc w:val="center"/>
              <w:textAlignment w:val="center"/>
              <w:rPr>
                <w:rFonts w:ascii="宋体" w:hAnsi="宋体" w:cs="宋体"/>
                <w:color w:val="000000"/>
                <w:kern w:val="0"/>
                <w:sz w:val="22"/>
                <w:szCs w:val="16"/>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300F">
            <w:pPr>
              <w:widowControl/>
              <w:jc w:val="center"/>
              <w:textAlignment w:val="center"/>
              <w:rPr>
                <w:rFonts w:ascii="宋体" w:hAnsi="宋体" w:cs="宋体"/>
                <w:color w:val="000000"/>
                <w:sz w:val="22"/>
                <w:szCs w:val="16"/>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82C">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8C95C95">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3B9EA317">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0BC4BFC">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823B944">
            <w:pPr>
              <w:widowControl/>
              <w:jc w:val="center"/>
              <w:textAlignment w:val="center"/>
              <w:rPr>
                <w:rFonts w:ascii="宋体" w:hAnsi="宋体" w:cs="宋体"/>
                <w:color w:val="000000"/>
                <w:kern w:val="0"/>
                <w:sz w:val="22"/>
                <w:szCs w:val="22"/>
                <w:lang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服务要求</w:t>
      </w:r>
      <w:r>
        <w:rPr>
          <w:rFonts w:hint="eastAsia"/>
        </w:rPr>
        <w:t>应答表</w:t>
      </w:r>
    </w:p>
    <w:p w14:paraId="2E781BEC">
      <w:pPr>
        <w:pStyle w:val="17"/>
        <w:spacing w:line="360" w:lineRule="auto"/>
        <w:rPr>
          <w:rFonts w:hAnsi="宋体"/>
        </w:rPr>
      </w:pPr>
      <w:r>
        <w:rPr>
          <w:rFonts w:hint="eastAsia" w:hAnsi="宋体"/>
          <w:kern w:val="0"/>
        </w:rPr>
        <w:t>包号：</w:t>
      </w:r>
      <w:r>
        <w:rPr>
          <w:rFonts w:hAnsi="宋体"/>
          <w:kern w:val="0"/>
        </w:rPr>
        <w:t>XX</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Ansi="宋体" w:cs="Times New Roman"/>
        </w:rPr>
      </w:pPr>
      <w:r>
        <w:rPr>
          <w:rFonts w:hint="eastAsia" w:hAnsi="宋体"/>
          <w:kern w:val="0"/>
        </w:rPr>
        <w:t>包号：</w:t>
      </w:r>
      <w:r>
        <w:rPr>
          <w:rFonts w:hAnsi="宋体"/>
          <w:kern w:val="0"/>
        </w:rPr>
        <w:t>XXX</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8838" w:type="dxa"/>
        <w:tblInd w:w="93" w:type="dxa"/>
        <w:tblLayout w:type="fixed"/>
        <w:tblCellMar>
          <w:top w:w="0" w:type="dxa"/>
          <w:left w:w="108" w:type="dxa"/>
          <w:bottom w:w="0" w:type="dxa"/>
          <w:right w:w="108" w:type="dxa"/>
        </w:tblCellMar>
      </w:tblPr>
      <w:tblGrid>
        <w:gridCol w:w="932"/>
        <w:gridCol w:w="1327"/>
        <w:gridCol w:w="878"/>
        <w:gridCol w:w="1372"/>
        <w:gridCol w:w="2197"/>
        <w:gridCol w:w="1066"/>
        <w:gridCol w:w="1066"/>
      </w:tblGrid>
      <w:tr w14:paraId="69A27923">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B1C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280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40">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质保期（年）</w:t>
            </w:r>
          </w:p>
        </w:tc>
        <w:tc>
          <w:tcPr>
            <w:tcW w:w="1372" w:type="dxa"/>
            <w:tcBorders>
              <w:top w:val="single" w:color="000000" w:sz="4" w:space="0"/>
              <w:left w:val="single" w:color="000000" w:sz="4" w:space="0"/>
              <w:bottom w:val="single" w:color="000000" w:sz="4" w:space="0"/>
              <w:right w:val="single" w:color="000000" w:sz="4" w:space="0"/>
            </w:tcBorders>
            <w:vAlign w:val="center"/>
          </w:tcPr>
          <w:p w14:paraId="270A1D7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2197" w:type="dxa"/>
            <w:tcBorders>
              <w:top w:val="single" w:color="000000" w:sz="4" w:space="0"/>
              <w:left w:val="single" w:color="000000" w:sz="4" w:space="0"/>
              <w:bottom w:val="single" w:color="000000" w:sz="4" w:space="0"/>
              <w:right w:val="single" w:color="000000" w:sz="4" w:space="0"/>
            </w:tcBorders>
            <w:vAlign w:val="center"/>
          </w:tcPr>
          <w:p w14:paraId="7B93418A">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w:t>
            </w:r>
          </w:p>
        </w:tc>
        <w:tc>
          <w:tcPr>
            <w:tcW w:w="1066" w:type="dxa"/>
            <w:tcBorders>
              <w:top w:val="single" w:color="000000" w:sz="4" w:space="0"/>
              <w:left w:val="single" w:color="000000" w:sz="4" w:space="0"/>
              <w:bottom w:val="single" w:color="000000" w:sz="4" w:space="0"/>
              <w:right w:val="single" w:color="000000" w:sz="4" w:space="0"/>
            </w:tcBorders>
            <w:vAlign w:val="center"/>
          </w:tcPr>
          <w:p w14:paraId="261D4D8D">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点位数（个）</w:t>
            </w:r>
          </w:p>
        </w:tc>
        <w:tc>
          <w:tcPr>
            <w:tcW w:w="1066" w:type="dxa"/>
            <w:tcBorders>
              <w:top w:val="single" w:color="000000" w:sz="4" w:space="0"/>
              <w:left w:val="single" w:color="000000" w:sz="4" w:space="0"/>
              <w:bottom w:val="single" w:color="000000" w:sz="4" w:space="0"/>
              <w:right w:val="single" w:color="000000" w:sz="4" w:space="0"/>
            </w:tcBorders>
            <w:vAlign w:val="center"/>
          </w:tcPr>
          <w:p w14:paraId="5D3CF96F">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总额（元）</w:t>
            </w:r>
          </w:p>
        </w:tc>
      </w:tr>
      <w:tr w14:paraId="013C8581">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692">
            <w:pPr>
              <w:widowControl/>
              <w:jc w:val="center"/>
              <w:textAlignment w:val="center"/>
              <w:rPr>
                <w:rFonts w:ascii="宋体" w:hAnsi="宋体" w:cs="宋体"/>
                <w:color w:val="000000"/>
                <w:kern w:val="0"/>
                <w:sz w:val="22"/>
                <w:szCs w:val="16"/>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7D2">
            <w:pPr>
              <w:widowControl/>
              <w:jc w:val="center"/>
              <w:textAlignment w:val="center"/>
              <w:rPr>
                <w:rFonts w:ascii="宋体" w:hAnsi="宋体" w:cs="宋体"/>
                <w:color w:val="000000"/>
                <w:sz w:val="22"/>
                <w:szCs w:val="16"/>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4162">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74873D7">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1FD7B17C">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6FF4733">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91C4C2D">
            <w:pPr>
              <w:widowControl/>
              <w:jc w:val="center"/>
              <w:textAlignment w:val="center"/>
              <w:rPr>
                <w:rFonts w:ascii="宋体" w:hAnsi="宋体" w:cs="宋体"/>
                <w:color w:val="000000"/>
                <w:kern w:val="0"/>
                <w:sz w:val="22"/>
                <w:szCs w:val="22"/>
                <w:lang w:bidi="ar"/>
              </w:rPr>
            </w:pPr>
          </w:p>
        </w:tc>
      </w:tr>
    </w:tbl>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F2454D6"/>
    <w:multiLevelType w:val="singleLevel"/>
    <w:tmpl w:val="7F2454D6"/>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D10B8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907A8"/>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47E32"/>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7C2F74"/>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71507D"/>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3E18"/>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7563</Words>
  <Characters>7723</Characters>
  <Lines>60</Lines>
  <Paragraphs>16</Paragraphs>
  <TotalTime>0</TotalTime>
  <ScaleCrop>false</ScaleCrop>
  <LinksUpToDate>false</LinksUpToDate>
  <CharactersWithSpaces>7865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2024-07-04T01:52:00Z</cp:lastPrinted>
  <dcterms:modified xsi:type="dcterms:W3CDTF">2025-02-24T07:18:02Z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