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984">
      <w:pPr>
        <w:jc w:val="left"/>
        <w:rPr>
          <w:rFonts w:ascii="仿宋" w:hAnsi="仿宋" w:eastAsia="仿宋"/>
          <w:sz w:val="32"/>
          <w:szCs w:val="32"/>
        </w:rPr>
      </w:pPr>
      <w:bookmarkStart w:id="0" w:name="_GoBack"/>
      <w:bookmarkEnd w:id="0"/>
      <w:r>
        <w:rPr>
          <w:rFonts w:hint="eastAsia" w:ascii="仿宋" w:hAnsi="仿宋" w:eastAsia="仿宋"/>
          <w:sz w:val="32"/>
          <w:szCs w:val="32"/>
        </w:rPr>
        <w:t>附表一：</w:t>
      </w:r>
    </w:p>
    <w:p w14:paraId="03933A05">
      <w:pPr>
        <w:jc w:val="center"/>
        <w:rPr>
          <w:rFonts w:ascii="仿宋" w:hAnsi="仿宋" w:eastAsia="仿宋"/>
          <w:sz w:val="32"/>
          <w:szCs w:val="32"/>
        </w:rPr>
      </w:pPr>
      <w:r>
        <w:rPr>
          <w:rFonts w:hint="eastAsia" w:ascii="仿宋" w:hAnsi="仿宋" w:eastAsia="仿宋"/>
          <w:sz w:val="32"/>
          <w:szCs w:val="32"/>
        </w:rPr>
        <w:t>市场调研产品明细表</w:t>
      </w:r>
    </w:p>
    <w:tbl>
      <w:tblPr>
        <w:tblStyle w:val="4"/>
        <w:tblW w:w="9460" w:type="dxa"/>
        <w:tblInd w:w="113" w:type="dxa"/>
        <w:tblLayout w:type="autofit"/>
        <w:tblCellMar>
          <w:top w:w="0" w:type="dxa"/>
          <w:left w:w="108" w:type="dxa"/>
          <w:bottom w:w="0" w:type="dxa"/>
          <w:right w:w="108" w:type="dxa"/>
        </w:tblCellMar>
      </w:tblPr>
      <w:tblGrid>
        <w:gridCol w:w="960"/>
        <w:gridCol w:w="2437"/>
        <w:gridCol w:w="6063"/>
      </w:tblGrid>
      <w:tr w14:paraId="78AC1CAD">
        <w:tblPrEx>
          <w:tblCellMar>
            <w:top w:w="0" w:type="dxa"/>
            <w:left w:w="108" w:type="dxa"/>
            <w:bottom w:w="0" w:type="dxa"/>
            <w:right w:w="108" w:type="dxa"/>
          </w:tblCellMar>
        </w:tblPrEx>
        <w:trPr>
          <w:trHeight w:val="600" w:hRule="atLeast"/>
          <w:tblHead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A8C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序号</w:t>
            </w:r>
          </w:p>
        </w:tc>
        <w:tc>
          <w:tcPr>
            <w:tcW w:w="2437" w:type="dxa"/>
            <w:tcBorders>
              <w:top w:val="single" w:color="auto" w:sz="4" w:space="0"/>
              <w:left w:val="nil"/>
              <w:bottom w:val="single" w:color="auto" w:sz="4" w:space="0"/>
              <w:right w:val="single" w:color="auto" w:sz="4" w:space="0"/>
            </w:tcBorders>
            <w:shd w:val="clear" w:color="auto" w:fill="auto"/>
            <w:vAlign w:val="center"/>
          </w:tcPr>
          <w:p w14:paraId="55F926C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调研设备名称</w:t>
            </w:r>
          </w:p>
        </w:tc>
        <w:tc>
          <w:tcPr>
            <w:tcW w:w="6063" w:type="dxa"/>
            <w:tcBorders>
              <w:top w:val="single" w:color="auto" w:sz="4" w:space="0"/>
              <w:left w:val="nil"/>
              <w:bottom w:val="single" w:color="auto" w:sz="4" w:space="0"/>
              <w:right w:val="single" w:color="auto" w:sz="4" w:space="0"/>
            </w:tcBorders>
            <w:shd w:val="clear" w:color="auto" w:fill="auto"/>
            <w:vAlign w:val="center"/>
          </w:tcPr>
          <w:p w14:paraId="6C57A04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配置要求</w:t>
            </w:r>
          </w:p>
        </w:tc>
      </w:tr>
      <w:tr w14:paraId="4C6C5A85">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7DD520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2437" w:type="dxa"/>
            <w:tcBorders>
              <w:top w:val="nil"/>
              <w:left w:val="nil"/>
              <w:bottom w:val="single" w:color="auto" w:sz="4" w:space="0"/>
              <w:right w:val="single" w:color="auto" w:sz="4" w:space="0"/>
            </w:tcBorders>
            <w:shd w:val="clear" w:color="auto" w:fill="auto"/>
            <w:vAlign w:val="center"/>
          </w:tcPr>
          <w:p w14:paraId="7442CD0D">
            <w:pPr>
              <w:widowControl/>
              <w:jc w:val="center"/>
              <w:rPr>
                <w:rFonts w:ascii="仿宋_GB2312" w:hAnsi="仿宋" w:eastAsia="仿宋_GB2312" w:cs="宋体"/>
                <w:color w:val="000000"/>
                <w:kern w:val="0"/>
                <w:sz w:val="24"/>
                <w:szCs w:val="24"/>
              </w:rPr>
            </w:pPr>
            <w:r>
              <w:rPr>
                <w:rFonts w:hint="eastAsia" w:ascii="仿宋_GB2312" w:eastAsia="仿宋_GB2312"/>
                <w:color w:val="000000"/>
                <w:sz w:val="20"/>
                <w:szCs w:val="20"/>
              </w:rPr>
              <w:t>Nd:YAG皮秒激光治疗机</w:t>
            </w:r>
          </w:p>
        </w:tc>
        <w:tc>
          <w:tcPr>
            <w:tcW w:w="6063" w:type="dxa"/>
            <w:tcBorders>
              <w:top w:val="nil"/>
              <w:left w:val="nil"/>
              <w:bottom w:val="single" w:color="auto" w:sz="4" w:space="0"/>
              <w:right w:val="single" w:color="auto" w:sz="4" w:space="0"/>
            </w:tcBorders>
            <w:shd w:val="clear" w:color="auto" w:fill="auto"/>
            <w:vAlign w:val="center"/>
          </w:tcPr>
          <w:p w14:paraId="2D453045">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1、能够开展以下项目：</w:t>
            </w:r>
          </w:p>
          <w:p w14:paraId="525996DD">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表皮性色素病：老年斑、贝克痣、咖啡斑、雀斑。</w:t>
            </w:r>
          </w:p>
          <w:p w14:paraId="51FD8748">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真皮性色素病：褐青色痣、炎症后色沉、太田痣、黄褐斑。</w:t>
            </w:r>
          </w:p>
          <w:p w14:paraId="063BBDA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黄色、红色、黑色、蓝色纹身。</w:t>
            </w:r>
          </w:p>
          <w:p w14:paraId="0D306D9B">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各类型痤疮瘢痕、痘印、细小皱纹、毛孔粗大、肤色不均、改善肤质，皮肤光老华等综合问题。</w:t>
            </w:r>
          </w:p>
          <w:p w14:paraId="06FA6FD4">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2、技术参数基本要求：</w:t>
            </w:r>
          </w:p>
          <w:p w14:paraId="6111EC9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激光类型：Nd:YAG激光，主波长1064nm，可选配532nm波长。</w:t>
            </w:r>
          </w:p>
          <w:p w14:paraId="07AF7C1D">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脉冲宽度：皮秒级（1-10皮秒），确保高效击碎色素颗粒。</w:t>
            </w:r>
          </w:p>
          <w:p w14:paraId="72390AAC">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能量输出：可调范围广，适应不同治疗需求。</w:t>
            </w:r>
          </w:p>
          <w:p w14:paraId="115B53C9">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重复频率：1-10Hz，可根据治疗部位和需求调整。</w:t>
            </w:r>
          </w:p>
          <w:p w14:paraId="77A9FDB0">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多波长输出：支持1064nm和532nm双波长，适应不同治疗需求。</w:t>
            </w:r>
          </w:p>
          <w:p w14:paraId="3BE81964">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冷却系统：配备接触式冷却或冷喷系统，减少热损伤。</w:t>
            </w:r>
          </w:p>
          <w:p w14:paraId="07A45E9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聚焦技术：采用聚焦透镜技术，提高能量密度，增强治疗效果。</w:t>
            </w:r>
          </w:p>
          <w:p w14:paraId="62BCBC2A">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3、配置要求：</w:t>
            </w:r>
          </w:p>
          <w:p w14:paraId="47CE9E2D">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配备防护眼镜，保护操作者和患者眼睛。</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C9708D3">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配备紧急停止按钮，确保突发情况下的安全。</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293A76B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配备智能化操作软件，支持参数调节、治疗记录、患者管理等功能。</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42EA4D09">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设备支持触摸屏操作，界面友好，易于使用。</w:t>
            </w:r>
          </w:p>
          <w:p w14:paraId="74812830">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4、其它要求：</w:t>
            </w:r>
          </w:p>
          <w:p w14:paraId="66685AB2">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对设备提供一年免费保修，自验收合格之日起计算，期间提供一切免费维修服务。质保期满后，终身维护，公司工程人员对设备进行每三个月检修一次，年底进行一次开机大检修（无需任何费用）。接到故障报告后能在24小时内响应（包括到达采购人现场）3日内修复。一年免费保修期过后，如需更换零配件，采购人只需付零配件费用，免人工费（包括人工维修费、路费、食宿费等一切人工费用）。为使用人员进行设备的操作，日常维护培训，临床治疗操作的培训。</w:t>
            </w:r>
          </w:p>
        </w:tc>
      </w:tr>
      <w:tr w14:paraId="6FB1DD0F">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73D983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2437" w:type="dxa"/>
            <w:tcBorders>
              <w:top w:val="nil"/>
              <w:left w:val="nil"/>
              <w:bottom w:val="single" w:color="auto" w:sz="4" w:space="0"/>
              <w:right w:val="single" w:color="auto" w:sz="4" w:space="0"/>
            </w:tcBorders>
            <w:shd w:val="clear" w:color="auto" w:fill="auto"/>
            <w:vAlign w:val="center"/>
          </w:tcPr>
          <w:p w14:paraId="7AA2F184">
            <w:pPr>
              <w:widowControl/>
              <w:jc w:val="center"/>
              <w:rPr>
                <w:rFonts w:ascii="仿宋_GB2312" w:hAnsi="仿宋" w:eastAsia="仿宋_GB2312" w:cs="宋体"/>
                <w:color w:val="000000"/>
                <w:kern w:val="0"/>
                <w:sz w:val="24"/>
                <w:szCs w:val="24"/>
              </w:rPr>
            </w:pPr>
            <w:r>
              <w:rPr>
                <w:rFonts w:hint="eastAsia" w:ascii="仿宋_GB2312" w:eastAsia="仿宋_GB2312"/>
                <w:color w:val="000000"/>
                <w:sz w:val="20"/>
                <w:szCs w:val="20"/>
              </w:rPr>
              <w:t>高通量测序仪</w:t>
            </w:r>
          </w:p>
        </w:tc>
        <w:tc>
          <w:tcPr>
            <w:tcW w:w="6063" w:type="dxa"/>
            <w:tcBorders>
              <w:top w:val="nil"/>
              <w:left w:val="nil"/>
              <w:bottom w:val="single" w:color="auto" w:sz="4" w:space="0"/>
              <w:right w:val="single" w:color="auto" w:sz="4" w:space="0"/>
            </w:tcBorders>
            <w:shd w:val="clear" w:color="auto" w:fill="auto"/>
            <w:vAlign w:val="center"/>
          </w:tcPr>
          <w:p w14:paraId="0370178E">
            <w:pPr>
              <w:pStyle w:val="8"/>
              <w:widowControl/>
              <w:numPr>
                <w:ilvl w:val="0"/>
                <w:numId w:val="1"/>
              </w:numPr>
              <w:ind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功能要求：</w:t>
            </w:r>
          </w:p>
          <w:p w14:paraId="63523AC0">
            <w:pPr>
              <w:pStyle w:val="8"/>
              <w:widowControl/>
              <w:ind w:left="480"/>
              <w:jc w:val="left"/>
              <w:rPr>
                <w:rFonts w:ascii="仿宋" w:hAnsi="仿宋" w:eastAsia="仿宋" w:cs="宋体"/>
                <w:color w:val="000000"/>
                <w:kern w:val="0"/>
                <w:szCs w:val="21"/>
              </w:rPr>
            </w:pPr>
            <w:r>
              <w:rPr>
                <w:rFonts w:hint="eastAsia" w:ascii="仿宋" w:hAnsi="仿宋" w:eastAsia="仿宋" w:cs="宋体"/>
                <w:color w:val="000000"/>
                <w:kern w:val="0"/>
                <w:szCs w:val="21"/>
              </w:rPr>
              <w:t>1.可开展肿瘤伴随诊断测序、肿瘤靶向甲基化测序、遗传病诊断测序、小型全基因组测序、宏基因组测序、低深度全基因组测序、转录组测序、多重扩增和杂交捕获等靶向测序等应用。</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B413A38">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2.可支持病原微生物宏基因组高通量基因检测（mNGS）和呼吸道感染病原微生物靶向高通量基因检测（tNGS）混样检测。</w:t>
            </w:r>
            <w:r>
              <w:rPr>
                <w:rFonts w:hint="eastAsia" w:ascii="仿宋" w:hAnsi="仿宋" w:eastAsia="仿宋" w:cs="宋体"/>
                <w:color w:val="000000"/>
                <w:kern w:val="0"/>
                <w:szCs w:val="21"/>
              </w:rPr>
              <w:tab/>
            </w:r>
          </w:p>
          <w:p w14:paraId="0C6DB919">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二、技术参数要求：</w:t>
            </w:r>
          </w:p>
          <w:p w14:paraId="60047B99">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1.测序仪控制软件：可实现中英文双语控制系统切换；</w:t>
            </w:r>
            <w:r>
              <w:rPr>
                <w:rFonts w:hint="eastAsia" w:ascii="仿宋" w:hAnsi="仿宋" w:eastAsia="仿宋" w:cs="宋体"/>
                <w:color w:val="000000"/>
                <w:kern w:val="0"/>
                <w:szCs w:val="21"/>
              </w:rPr>
              <w:tab/>
            </w:r>
          </w:p>
          <w:p w14:paraId="27067958">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2.操作模式：支持单载片测序、双载片同时测序、双载片滚动上机测序，以及混合读长的双载片混动上机测序等多种测序模式。</w:t>
            </w:r>
          </w:p>
          <w:p w14:paraId="3BD78CB3">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3.检测模式：可提供一键测序模式。</w:t>
            </w:r>
          </w:p>
          <w:p w14:paraId="024617A7">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三、配置要求及其他：</w:t>
            </w:r>
          </w:p>
          <w:p w14:paraId="519BEC78">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1.具备完整的样本制备系统，包括超纯水仪、破壁仪、UPS电源、移液器、除湿机、荧光定量仪（如Qbuit 4.0）、生物安全柜等。</w:t>
            </w:r>
          </w:p>
          <w:p w14:paraId="65CBAA75">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2.可提供配套使用的生信分析软件和服务器</w:t>
            </w:r>
          </w:p>
          <w:p w14:paraId="515735CD">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3.整机免费质保三年，质保期内每年免费校准并出具校准报告。</w:t>
            </w:r>
          </w:p>
          <w:p w14:paraId="19B7D783">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4.保修期内，每年定期预防性维护保养次数至少1次；免费更换零部件，免工时费。</w:t>
            </w:r>
          </w:p>
          <w:p w14:paraId="135CF1B8">
            <w:pPr>
              <w:pStyle w:val="8"/>
              <w:widowControl/>
              <w:ind w:left="48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5.提供免费的现场培训服务，涉及测序仪基本原理、仪器使用及维护、试剂使用、临床检测流程等相关内容，确保实验室可以正常运行机器并进行相关临床检测工作。</w:t>
            </w:r>
          </w:p>
        </w:tc>
      </w:tr>
      <w:tr w14:paraId="3206DF55">
        <w:tblPrEx>
          <w:tblCellMar>
            <w:top w:w="0" w:type="dxa"/>
            <w:left w:w="108" w:type="dxa"/>
            <w:bottom w:w="0" w:type="dxa"/>
            <w:right w:w="108" w:type="dxa"/>
          </w:tblCellMar>
        </w:tblPrEx>
        <w:trPr>
          <w:trHeight w:val="3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157A71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2437" w:type="dxa"/>
            <w:tcBorders>
              <w:top w:val="nil"/>
              <w:left w:val="nil"/>
              <w:bottom w:val="single" w:color="auto" w:sz="4" w:space="0"/>
              <w:right w:val="single" w:color="auto" w:sz="4" w:space="0"/>
            </w:tcBorders>
            <w:shd w:val="clear" w:color="auto" w:fill="auto"/>
            <w:vAlign w:val="center"/>
          </w:tcPr>
          <w:p w14:paraId="1566C8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高强度聚焦超声</w:t>
            </w:r>
          </w:p>
        </w:tc>
        <w:tc>
          <w:tcPr>
            <w:tcW w:w="6063" w:type="dxa"/>
            <w:tcBorders>
              <w:top w:val="nil"/>
              <w:left w:val="nil"/>
              <w:bottom w:val="single" w:color="auto" w:sz="4" w:space="0"/>
              <w:right w:val="single" w:color="auto" w:sz="4" w:space="0"/>
            </w:tcBorders>
            <w:shd w:val="clear" w:color="auto" w:fill="auto"/>
            <w:vAlign w:val="center"/>
          </w:tcPr>
          <w:p w14:paraId="3951982A">
            <w:pPr>
              <w:pStyle w:val="8"/>
              <w:widowControl/>
              <w:numPr>
                <w:ilvl w:val="0"/>
                <w:numId w:val="2"/>
              </w:numPr>
              <w:ind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主要适应症：用于子宫肌瘤、软组织肿瘤的治疗</w:t>
            </w:r>
          </w:p>
          <w:p w14:paraId="4487BEF4">
            <w:pPr>
              <w:pStyle w:val="8"/>
              <w:widowControl/>
              <w:numPr>
                <w:ilvl w:val="0"/>
                <w:numId w:val="2"/>
              </w:numPr>
              <w:ind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技术参数要求：</w:t>
            </w:r>
          </w:p>
          <w:p w14:paraId="5573910C">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★1：采用非上置式超声发射器，</w:t>
            </w:r>
          </w:p>
          <w:p w14:paraId="4D905C90">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2：治疗体位方式：俯卧式</w:t>
            </w:r>
            <w:r>
              <w:rPr>
                <w:rFonts w:hint="eastAsia" w:ascii="仿宋" w:hAnsi="仿宋" w:eastAsia="仿宋" w:cs="宋体"/>
                <w:color w:val="000000"/>
                <w:kern w:val="0"/>
                <w:szCs w:val="21"/>
              </w:rPr>
              <w:tab/>
            </w:r>
          </w:p>
          <w:p w14:paraId="363BED09">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3;超声实时监控；根据治疗中影像的变化实时评价疗效，实时反馈调节治疗剂量，并监控治疗过程。</w:t>
            </w:r>
          </w:p>
          <w:p w14:paraId="34013B40">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★4：聚焦型超声治疗头超声输出波形：连续、额定声功率：≥400W，声功率调节方式：连续可调。≥10000 ，最大旁瓣级（dB）：≤-9， 焦距（mm）：165±5 。聚能比：≥13000，治疗头 X 向行程：≥120 mm，治疗头 Y 向行程：≥120 mm，治疗头 Z 向行程：≥180 mm，治疗扫描速度：1-10 mm/s，各运动轴的运动精度：运动误差≤±1mm。</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2E4ADCF2">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5、治疗计划系统，具备边界勾画功能、靶区体积计算功能、剂量计算与分布功能、治疗线路规划：计划扫描/自定义治疗/自动治疗、具备声通道显示功能、显示治疗剂量数据功能、扫描治疗方式：点扫描和线扫描、信息自动保存功能、灰度检测：自动/手动灰度检测、能量实时监控报警功能。</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090AE976">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6：工作站，能高分辨率彩色影像实时采集，图象资料实时储存：信息实时自动保存，具备治疗数据查询系统：显示患者基本信息、计划扫描信息、治疗信息、支持对患者治疗数据的筛选、支持对治疗图像进行浏览。</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02AB1A87">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7：介质水处理系统，水温控制至少包括：10-40℃连续可调、具备自动调温、自动换水功能、介质水直接与人体皮肤可以接触、系统噪声：≤60 dB(A)。</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79256B88">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8：安全保护系统。具备各分系统的短路保护、过载保护、对治疗用介质水的温度过高和过低保护、对变压器的过载和过热保护、对电动机的过载保护、对运动故障的保护、计算机控制系统通信故障保护。</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47EC1AC4">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9：设备电源输入电功率:≤8.5 KVA、输入电压:3相交流380 V ±10％、电源电压频率: 50/60 Hz±1 Hz</w:t>
            </w:r>
          </w:p>
          <w:p w14:paraId="28D40D88">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10：治疗床，长度≥2400 mm，宽度≥800 mm，额定承重能力≥135 kg。</w:t>
            </w:r>
          </w:p>
          <w:p w14:paraId="0EFA11F8">
            <w:pPr>
              <w:pStyle w:val="8"/>
              <w:widowControl/>
              <w:numPr>
                <w:ilvl w:val="0"/>
                <w:numId w:val="2"/>
              </w:numPr>
              <w:ind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配置要求：</w:t>
            </w:r>
          </w:p>
          <w:p w14:paraId="30C39609">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1：3D适形治疗床</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A5FB574">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2：多维靶点定位系统</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24C10958">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3：影像监控系统</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C904585">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4：计算机中央控制系统</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5C7BCE8">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5：I型聚焦声能输出系统</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0336DFE">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6：介质水及电源智能处理系统</w:t>
            </w:r>
            <w:r>
              <w:rPr>
                <w:rFonts w:hint="eastAsia" w:ascii="仿宋" w:hAnsi="仿宋" w:eastAsia="仿宋" w:cs="宋体"/>
                <w:color w:val="000000"/>
                <w:kern w:val="0"/>
                <w:szCs w:val="21"/>
              </w:rPr>
              <w:tab/>
            </w:r>
          </w:p>
          <w:p w14:paraId="0771AE6B">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7：图文数据处理模块</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3941EC8">
            <w:pPr>
              <w:pStyle w:val="8"/>
              <w:widowControl/>
              <w:numPr>
                <w:ilvl w:val="0"/>
                <w:numId w:val="2"/>
              </w:numPr>
              <w:ind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其它要求：</w:t>
            </w:r>
          </w:p>
          <w:p w14:paraId="3FB6D4EC">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1：整机质保1年。</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4133115">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2：提供维修手册。</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4F4EDA2E">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3：提供维修密码或密钥。</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F14F19A">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4：提供远程维修支持。</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3D6C9C2">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5：需提供在卫生管理部门批复的高强度聚焦超声（HIFU）培训中心培训，培训合格后发放上岗证书。</w:t>
            </w:r>
          </w:p>
        </w:tc>
      </w:tr>
      <w:tr w14:paraId="20B38856">
        <w:tblPrEx>
          <w:tblCellMar>
            <w:top w:w="0" w:type="dxa"/>
            <w:left w:w="108" w:type="dxa"/>
            <w:bottom w:w="0" w:type="dxa"/>
            <w:right w:w="108" w:type="dxa"/>
          </w:tblCellMar>
        </w:tblPrEx>
        <w:trPr>
          <w:cantSplit/>
          <w:trHeight w:val="1134"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79C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2437" w:type="dxa"/>
            <w:tcBorders>
              <w:top w:val="single" w:color="auto" w:sz="4" w:space="0"/>
              <w:left w:val="nil"/>
              <w:bottom w:val="single" w:color="auto" w:sz="4" w:space="0"/>
              <w:right w:val="single" w:color="auto" w:sz="4" w:space="0"/>
            </w:tcBorders>
            <w:shd w:val="clear" w:color="auto" w:fill="auto"/>
            <w:vAlign w:val="center"/>
          </w:tcPr>
          <w:p w14:paraId="73EBDC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血透用水处理系统</w:t>
            </w:r>
          </w:p>
        </w:tc>
        <w:tc>
          <w:tcPr>
            <w:tcW w:w="6063" w:type="dxa"/>
            <w:tcBorders>
              <w:top w:val="single" w:color="auto" w:sz="4" w:space="0"/>
              <w:left w:val="nil"/>
              <w:bottom w:val="single" w:color="auto" w:sz="4" w:space="0"/>
              <w:right w:val="single" w:color="auto" w:sz="4" w:space="0"/>
            </w:tcBorders>
            <w:shd w:val="clear" w:color="auto" w:fill="auto"/>
            <w:vAlign w:val="center"/>
          </w:tcPr>
          <w:p w14:paraId="150E0E17">
            <w:pPr>
              <w:pStyle w:val="8"/>
              <w:widowControl/>
              <w:numPr>
                <w:ilvl w:val="0"/>
                <w:numId w:val="1"/>
              </w:numPr>
              <w:ind w:firstLineChars="0"/>
              <w:rPr>
                <w:rFonts w:ascii="仿宋" w:hAnsi="仿宋" w:eastAsia="仿宋" w:cs="宋体"/>
                <w:color w:val="000000"/>
                <w:kern w:val="0"/>
                <w:szCs w:val="21"/>
              </w:rPr>
            </w:pPr>
            <w:r>
              <w:rPr>
                <w:rFonts w:hint="eastAsia" w:ascii="仿宋" w:hAnsi="仿宋" w:eastAsia="仿宋" w:cs="宋体"/>
                <w:b/>
                <w:bCs/>
                <w:color w:val="000000"/>
                <w:kern w:val="0"/>
                <w:szCs w:val="21"/>
              </w:rPr>
              <w:t>功能要求</w:t>
            </w:r>
            <w:r>
              <w:rPr>
                <w:rFonts w:hint="eastAsia" w:ascii="仿宋" w:hAnsi="仿宋" w:eastAsia="仿宋" w:cs="宋体"/>
                <w:color w:val="000000"/>
                <w:kern w:val="0"/>
                <w:szCs w:val="21"/>
              </w:rPr>
              <w:t>：</w:t>
            </w:r>
          </w:p>
          <w:p w14:paraId="2A111CB0">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1，产水量：≥3600 L/H (6℃)可满足≥80床血透机设备透析用水要求</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D865E6E">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2，产水水质内毒素≤0.125IU/ml，</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6E1A1A3">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3，产水水质菌落总数≤ 50CFU/ml</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2902D7D6">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4，水处理系统为血液透析专用单台一体化双级反渗系统，全闭路循环管路供水，整个系统内无反渗水储水装置（直供水型）。</w:t>
            </w:r>
          </w:p>
          <w:p w14:paraId="6D1EFC9D">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5，反渗水机具有紧急操作模式，有后备应急设施，两级反渗透系统均可分别单独使用，确保治疗的持续、设备运行安全稳定。</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8CE0500">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6，单台双级反渗机采用3个高品质风冷高压离心泵，过水部分均为316L不锈钢材质。</w:t>
            </w:r>
          </w:p>
          <w:p w14:paraId="72A2B57A">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7，反渗主机和反渗水输送管路可以同步进行全自动化学消毒，消毒后能全自动冲洗干净所有消毒液，保证冲洗后无任何化学消毒液的残留。</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6F0F5D2">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8，反渗机具备不透析期间待机模式脉动强冲功能功能，待机模式下能够定时自动冲洗反渗膜及输水环路。</w:t>
            </w:r>
            <w:r>
              <w:rPr>
                <w:rFonts w:hint="eastAsia" w:ascii="仿宋" w:hAnsi="仿宋" w:eastAsia="仿宋" w:cs="宋体"/>
                <w:color w:val="000000"/>
                <w:kern w:val="0"/>
                <w:szCs w:val="21"/>
              </w:rPr>
              <w:tab/>
            </w:r>
          </w:p>
          <w:p w14:paraId="44252728">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9，反渗主机具备泄漏安全性，反渗机不工作时具备预处理系统、反渗主机和管道的泄漏监测及报警并及时自动切断水源保证供水安全。</w:t>
            </w:r>
          </w:p>
          <w:p w14:paraId="4575BF9F">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10，反渗机具备高温报警和排放功能。当反渗水温度超过35℃时，系统自动排放浓水直到温度降到设定的低限温度以下，可设置范围20-35℃。</w:t>
            </w:r>
          </w:p>
          <w:p w14:paraId="36EDCC1B">
            <w:pPr>
              <w:pStyle w:val="8"/>
              <w:widowControl/>
              <w:ind w:left="480"/>
              <w:rPr>
                <w:rFonts w:ascii="仿宋" w:hAnsi="仿宋" w:eastAsia="仿宋" w:cs="宋体"/>
                <w:color w:val="000000"/>
                <w:kern w:val="0"/>
                <w:szCs w:val="21"/>
              </w:rPr>
            </w:pPr>
            <w:r>
              <w:rPr>
                <w:rFonts w:hint="eastAsia" w:ascii="仿宋" w:hAnsi="仿宋" w:eastAsia="仿宋" w:cs="宋体"/>
                <w:color w:val="000000"/>
                <w:kern w:val="0"/>
                <w:szCs w:val="21"/>
              </w:rPr>
              <w:t>11，具备节能模式，在血透机不耗反渗水时，反渗主机排水量也为零，产水率可以设置范围50%-90%。</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r>
              <w:rPr>
                <w:rFonts w:hint="eastAsia" w:ascii="仿宋" w:hAnsi="仿宋" w:eastAsia="仿宋" w:cs="宋体"/>
                <w:color w:val="000000"/>
                <w:kern w:val="0"/>
                <w:szCs w:val="21"/>
              </w:rPr>
              <w:t>12，反渗机具备脉动强冲功能，在消毒、清洁、待机模式下提高管路系统内的流速，这种快速冲洗有助于将每个用水点的消毒剂快速冲洗干净，也可以抑制夜间不透析期间管路内细菌滋生。</w:t>
            </w:r>
          </w:p>
          <w:p w14:paraId="73C2FD63">
            <w:pPr>
              <w:widowControl/>
              <w:rPr>
                <w:rFonts w:ascii="仿宋" w:hAnsi="仿宋" w:eastAsia="仿宋" w:cs="宋体"/>
                <w:b/>
                <w:bCs/>
                <w:color w:val="000000"/>
                <w:kern w:val="0"/>
                <w:szCs w:val="21"/>
              </w:rPr>
            </w:pPr>
            <w:r>
              <w:rPr>
                <w:rFonts w:hint="eastAsia" w:ascii="仿宋" w:hAnsi="仿宋" w:eastAsia="仿宋" w:cs="宋体"/>
                <w:b/>
                <w:bCs/>
                <w:color w:val="000000"/>
                <w:kern w:val="0"/>
                <w:szCs w:val="21"/>
              </w:rPr>
              <w:t>二、技术参数要求</w:t>
            </w:r>
          </w:p>
          <w:p w14:paraId="43E000BD">
            <w:pPr>
              <w:widowControl/>
              <w:rPr>
                <w:rFonts w:ascii="仿宋" w:hAnsi="仿宋" w:eastAsia="仿宋" w:cs="宋体"/>
                <w:color w:val="000000"/>
                <w:kern w:val="0"/>
                <w:szCs w:val="21"/>
              </w:rPr>
            </w:pPr>
            <w:r>
              <w:rPr>
                <w:rFonts w:hint="eastAsia" w:ascii="仿宋" w:hAnsi="仿宋" w:eastAsia="仿宋" w:cs="宋体"/>
                <w:color w:val="000000"/>
                <w:kern w:val="0"/>
                <w:szCs w:val="21"/>
              </w:rPr>
              <w:t>▲ 1，单台双级反渗主机的产水量在水温6°C时≥3600L/小时，保证血透室在低温情况下≥80台透析机的用水需求。(注:温度补偿系数按照进水温度每上升或下降1°C，产水量上升或 下降3%来换算)</w:t>
            </w:r>
          </w:p>
          <w:p w14:paraId="510E331C">
            <w:pPr>
              <w:widowControl/>
              <w:rPr>
                <w:rFonts w:ascii="仿宋" w:hAnsi="仿宋" w:eastAsia="仿宋" w:cs="宋体"/>
                <w:color w:val="000000"/>
                <w:kern w:val="0"/>
                <w:szCs w:val="21"/>
              </w:rPr>
            </w:pPr>
            <w:r>
              <w:rPr>
                <w:rFonts w:hint="eastAsia" w:ascii="仿宋" w:hAnsi="仿宋" w:eastAsia="仿宋" w:cs="宋体"/>
                <w:color w:val="000000"/>
                <w:kern w:val="0"/>
                <w:szCs w:val="21"/>
              </w:rPr>
              <w:t>▲ 2，单台反渗机主机采用3组以上高品质风冷式高压泵，采用非变频泵设计，过水部分均为316L不锈钢材质。3组泵都能够完全独立参与为系统提供反渗透压工作，能够提供足够的后备冗余，保证反渗主机能够长时间连续运行。</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318B953D">
            <w:pPr>
              <w:widowControl/>
              <w:rPr>
                <w:rFonts w:ascii="仿宋" w:hAnsi="仿宋" w:eastAsia="仿宋" w:cs="宋体"/>
                <w:color w:val="000000"/>
                <w:kern w:val="0"/>
                <w:szCs w:val="21"/>
              </w:rPr>
            </w:pPr>
            <w:r>
              <w:rPr>
                <w:rFonts w:hint="eastAsia" w:ascii="仿宋" w:hAnsi="仿宋" w:eastAsia="仿宋" w:cs="宋体"/>
                <w:color w:val="000000"/>
                <w:kern w:val="0"/>
                <w:szCs w:val="21"/>
              </w:rPr>
              <w:t>▲ 3，反渗主机前后两级均采用采用8040反渗透膜单元，反渗膜数量≥8支，一级反 渗膜数量≥4支，二级反渗膜数量≥4支▲ 4，具备节能模式，在血透机不耗反渗水时，反渗主机排水量也为零，产水率可以 设置范围≥50%-90%</w:t>
            </w:r>
          </w:p>
          <w:p w14:paraId="294C8E73">
            <w:pPr>
              <w:widowControl/>
              <w:rPr>
                <w:rFonts w:ascii="仿宋" w:hAnsi="仿宋" w:eastAsia="仿宋" w:cs="宋体"/>
                <w:color w:val="000000"/>
                <w:kern w:val="0"/>
                <w:szCs w:val="21"/>
              </w:rPr>
            </w:pPr>
            <w:r>
              <w:rPr>
                <w:rFonts w:hint="eastAsia" w:ascii="仿宋" w:hAnsi="仿宋" w:eastAsia="仿宋" w:cs="宋体"/>
                <w:color w:val="000000"/>
                <w:kern w:val="0"/>
                <w:szCs w:val="21"/>
              </w:rPr>
              <w:t>5，采用无死腔膜壳设计，进水口、纯水出水口和浓水出水口均位于膜壳的上部，反 渗主机内管路及反渗膜壳采用316L或以上不锈钢材质，反渗膜壳最大耐压≥25bar</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0B3E241F">
            <w:pPr>
              <w:widowControl/>
              <w:rPr>
                <w:rFonts w:ascii="仿宋" w:hAnsi="仿宋" w:eastAsia="仿宋" w:cs="宋体"/>
                <w:color w:val="000000"/>
                <w:kern w:val="0"/>
                <w:szCs w:val="21"/>
              </w:rPr>
            </w:pPr>
            <w:r>
              <w:rPr>
                <w:rFonts w:hint="eastAsia" w:ascii="仿宋" w:hAnsi="仿宋" w:eastAsia="仿宋" w:cs="宋体"/>
                <w:color w:val="000000"/>
                <w:kern w:val="0"/>
                <w:szCs w:val="21"/>
              </w:rPr>
              <w:t>6，反渗主机和反渗水输送管路可以同步进行全自动化学消毒，消毒后能全自动冲洗 干净所有消毒液，保证冲洗后无任何化学消毒液的残留，可每12个月做一次化学消毒。</w:t>
            </w:r>
            <w:r>
              <w:rPr>
                <w:rFonts w:hint="eastAsia" w:ascii="仿宋" w:hAnsi="仿宋" w:eastAsia="仿宋" w:cs="宋体"/>
                <w:color w:val="000000"/>
                <w:kern w:val="0"/>
                <w:szCs w:val="21"/>
              </w:rPr>
              <w:tab/>
            </w:r>
          </w:p>
          <w:p w14:paraId="7CCF8C0E">
            <w:pPr>
              <w:widowControl/>
              <w:rPr>
                <w:rFonts w:ascii="仿宋" w:hAnsi="仿宋" w:eastAsia="仿宋" w:cs="宋体"/>
                <w:b/>
                <w:bCs/>
                <w:color w:val="000000"/>
                <w:kern w:val="0"/>
                <w:szCs w:val="21"/>
              </w:rPr>
            </w:pPr>
            <w:r>
              <w:rPr>
                <w:rFonts w:hint="eastAsia" w:ascii="仿宋" w:hAnsi="仿宋" w:eastAsia="仿宋" w:cs="宋体"/>
                <w:b/>
                <w:bCs/>
                <w:color w:val="000000"/>
                <w:kern w:val="0"/>
                <w:szCs w:val="21"/>
              </w:rPr>
              <w:t>三、配置要求</w:t>
            </w:r>
          </w:p>
          <w:p w14:paraId="30F9795A">
            <w:pPr>
              <w:widowControl/>
              <w:rPr>
                <w:rFonts w:ascii="仿宋" w:hAnsi="仿宋" w:eastAsia="仿宋" w:cs="宋体"/>
                <w:color w:val="000000"/>
                <w:kern w:val="0"/>
                <w:szCs w:val="21"/>
              </w:rPr>
            </w:pPr>
            <w:r>
              <w:rPr>
                <w:rFonts w:hint="eastAsia" w:ascii="仿宋" w:hAnsi="仿宋" w:eastAsia="仿宋" w:cs="宋体"/>
                <w:color w:val="000000"/>
                <w:kern w:val="0"/>
                <w:szCs w:val="21"/>
              </w:rPr>
              <w:tab/>
            </w:r>
            <w:r>
              <w:rPr>
                <w:rFonts w:hint="eastAsia" w:ascii="仿宋" w:hAnsi="仿宋" w:eastAsia="仿宋" w:cs="宋体"/>
                <w:color w:val="000000"/>
                <w:kern w:val="0"/>
                <w:szCs w:val="21"/>
              </w:rPr>
              <w:t>1、反渗主机配置：1台，包含：</w:t>
            </w:r>
          </w:p>
          <w:p w14:paraId="6DB14251">
            <w:pPr>
              <w:widowControl/>
              <w:rPr>
                <w:rFonts w:ascii="仿宋" w:hAnsi="仿宋" w:eastAsia="仿宋" w:cs="宋体"/>
                <w:color w:val="000000"/>
                <w:kern w:val="0"/>
                <w:szCs w:val="21"/>
              </w:rPr>
            </w:pPr>
            <w:r>
              <w:rPr>
                <w:rFonts w:hint="eastAsia" w:ascii="仿宋" w:hAnsi="仿宋" w:eastAsia="仿宋" w:cs="宋体"/>
                <w:color w:val="000000"/>
                <w:kern w:val="0"/>
                <w:szCs w:val="21"/>
              </w:rPr>
              <w:t>(1) 原装一体双级反渗主机，出水量在水温6℃时达3600L/小时，满足低水温情况下透析用水需要。</w:t>
            </w:r>
          </w:p>
          <w:p w14:paraId="444A1623">
            <w:pPr>
              <w:widowControl/>
              <w:rPr>
                <w:rFonts w:ascii="仿宋" w:hAnsi="仿宋" w:eastAsia="仿宋" w:cs="宋体"/>
                <w:color w:val="000000"/>
                <w:kern w:val="0"/>
                <w:szCs w:val="21"/>
              </w:rPr>
            </w:pPr>
            <w:r>
              <w:rPr>
                <w:rFonts w:hint="eastAsia" w:ascii="仿宋" w:hAnsi="仿宋" w:eastAsia="仿宋" w:cs="宋体"/>
                <w:color w:val="000000"/>
                <w:kern w:val="0"/>
                <w:szCs w:val="21"/>
              </w:rPr>
              <w:t>(2) 反渗机反渗膜壳全部使用耐腐蚀的316L不锈钢，在潮湿及化学消毒剂环境中保持不锈不腐，防止泄露，保证可靠性。</w:t>
            </w:r>
          </w:p>
          <w:p w14:paraId="6940082A">
            <w:pPr>
              <w:widowControl/>
              <w:rPr>
                <w:rFonts w:ascii="仿宋" w:hAnsi="仿宋" w:eastAsia="仿宋" w:cs="宋体"/>
                <w:color w:val="000000"/>
                <w:kern w:val="0"/>
                <w:szCs w:val="21"/>
              </w:rPr>
            </w:pPr>
            <w:r>
              <w:rPr>
                <w:rFonts w:hint="eastAsia" w:ascii="仿宋" w:hAnsi="仿宋" w:eastAsia="仿宋" w:cs="宋体"/>
                <w:color w:val="000000"/>
                <w:kern w:val="0"/>
                <w:szCs w:val="21"/>
              </w:rPr>
              <w:t>(3) 独立的膜单元结构，采用无死腔膜壳设计，每个316L不锈钢膜壳只安装一根8040反渗膜，方便反渗膜组件的单独维修工作。</w:t>
            </w:r>
          </w:p>
          <w:p w14:paraId="58863016">
            <w:pPr>
              <w:widowControl/>
              <w:rPr>
                <w:rFonts w:ascii="仿宋" w:hAnsi="仿宋" w:eastAsia="仿宋" w:cs="宋体"/>
                <w:color w:val="000000"/>
                <w:kern w:val="0"/>
                <w:szCs w:val="21"/>
              </w:rPr>
            </w:pPr>
            <w:r>
              <w:rPr>
                <w:rFonts w:hint="eastAsia" w:ascii="仿宋" w:hAnsi="仿宋" w:eastAsia="仿宋" w:cs="宋体"/>
                <w:color w:val="000000"/>
                <w:kern w:val="0"/>
                <w:szCs w:val="21"/>
              </w:rPr>
              <w:t>(4) 节约用水。根据实际血透耗水量开启相应的高压离心泵。在血透机不耗反渗水时，反渗主机排水量也为零。</w:t>
            </w:r>
          </w:p>
          <w:p w14:paraId="2EEFAD5C">
            <w:pPr>
              <w:widowControl/>
              <w:rPr>
                <w:rFonts w:ascii="仿宋" w:hAnsi="仿宋" w:eastAsia="仿宋" w:cs="宋体"/>
                <w:color w:val="000000"/>
                <w:kern w:val="0"/>
                <w:szCs w:val="21"/>
              </w:rPr>
            </w:pPr>
            <w:r>
              <w:rPr>
                <w:rFonts w:hint="eastAsia" w:ascii="仿宋" w:hAnsi="仿宋" w:eastAsia="仿宋" w:cs="宋体"/>
                <w:color w:val="000000"/>
                <w:kern w:val="0"/>
                <w:szCs w:val="21"/>
              </w:rPr>
              <w:t>(5) 反渗机能显示反渗膜前和膜后、出水、环路回水等部位的压力。</w:t>
            </w:r>
          </w:p>
          <w:p w14:paraId="3BDA7571">
            <w:pPr>
              <w:widowControl/>
              <w:rPr>
                <w:rFonts w:ascii="仿宋" w:hAnsi="仿宋" w:eastAsia="仿宋" w:cs="宋体"/>
                <w:color w:val="000000"/>
                <w:kern w:val="0"/>
                <w:szCs w:val="21"/>
              </w:rPr>
            </w:pPr>
            <w:r>
              <w:rPr>
                <w:rFonts w:hint="eastAsia" w:ascii="仿宋" w:hAnsi="仿宋" w:eastAsia="仿宋" w:cs="宋体"/>
                <w:color w:val="000000"/>
                <w:kern w:val="0"/>
                <w:szCs w:val="21"/>
              </w:rPr>
              <w:t>(6) 二级反渗透主机的前后二级反渗系统可以分别单独使用，提高设备使用的灵活性，保障设备运行的安全与稳定。</w:t>
            </w:r>
          </w:p>
          <w:p w14:paraId="46D853C8">
            <w:pPr>
              <w:widowControl/>
              <w:rPr>
                <w:rFonts w:ascii="仿宋" w:hAnsi="仿宋" w:eastAsia="仿宋" w:cs="宋体"/>
                <w:color w:val="000000"/>
                <w:kern w:val="0"/>
                <w:szCs w:val="21"/>
              </w:rPr>
            </w:pPr>
            <w:r>
              <w:rPr>
                <w:rFonts w:hint="eastAsia" w:ascii="仿宋" w:hAnsi="仿宋" w:eastAsia="仿宋" w:cs="宋体"/>
                <w:color w:val="000000"/>
                <w:kern w:val="0"/>
                <w:szCs w:val="21"/>
              </w:rPr>
              <w:t>(7) 反渗机具备高水温报警。</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7412F06D">
            <w:pPr>
              <w:widowControl/>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2、预处理配置：1套。每套包含：</w:t>
            </w:r>
          </w:p>
          <w:p w14:paraId="159E7E76">
            <w:pPr>
              <w:widowControl/>
              <w:rPr>
                <w:rFonts w:ascii="仿宋" w:hAnsi="仿宋" w:eastAsia="仿宋" w:cs="宋体"/>
                <w:color w:val="000000"/>
                <w:kern w:val="0"/>
                <w:szCs w:val="21"/>
              </w:rPr>
            </w:pPr>
            <w:r>
              <w:rPr>
                <w:rFonts w:hint="eastAsia" w:ascii="仿宋" w:hAnsi="仿宋" w:eastAsia="仿宋" w:cs="宋体"/>
                <w:color w:val="000000"/>
                <w:kern w:val="0"/>
                <w:szCs w:val="21"/>
              </w:rPr>
              <w:t>（1） 预处理软水能力8000L/H。</w:t>
            </w:r>
          </w:p>
          <w:p w14:paraId="7C6627E4">
            <w:pPr>
              <w:widowControl/>
              <w:rPr>
                <w:rFonts w:ascii="仿宋" w:hAnsi="仿宋" w:eastAsia="仿宋" w:cs="宋体"/>
                <w:color w:val="000000"/>
                <w:kern w:val="0"/>
                <w:szCs w:val="21"/>
              </w:rPr>
            </w:pPr>
            <w:r>
              <w:rPr>
                <w:rFonts w:hint="eastAsia" w:ascii="仿宋" w:hAnsi="仿宋" w:eastAsia="仿宋" w:cs="宋体"/>
                <w:color w:val="000000"/>
                <w:kern w:val="0"/>
                <w:szCs w:val="21"/>
              </w:rPr>
              <w:t>（2） 独立压力控制，全自动加压泵组件：2台。</w:t>
            </w:r>
          </w:p>
          <w:p w14:paraId="76154A6A">
            <w:pPr>
              <w:widowControl/>
              <w:rPr>
                <w:rFonts w:ascii="仿宋" w:hAnsi="仿宋" w:eastAsia="仿宋" w:cs="宋体"/>
                <w:color w:val="000000"/>
                <w:kern w:val="0"/>
                <w:szCs w:val="21"/>
              </w:rPr>
            </w:pPr>
            <w:r>
              <w:rPr>
                <w:rFonts w:hint="eastAsia" w:ascii="仿宋" w:hAnsi="仿宋" w:eastAsia="仿宋" w:cs="宋体"/>
                <w:color w:val="000000"/>
                <w:kern w:val="0"/>
                <w:szCs w:val="21"/>
              </w:rPr>
              <w:t>（3） *原水带漏水检测和保护功能，漏水自动切断水源。</w:t>
            </w:r>
          </w:p>
          <w:p w14:paraId="29D4B6A0">
            <w:pPr>
              <w:widowControl/>
              <w:rPr>
                <w:rFonts w:ascii="仿宋" w:hAnsi="仿宋" w:eastAsia="仿宋" w:cs="宋体"/>
                <w:color w:val="000000"/>
                <w:kern w:val="0"/>
                <w:szCs w:val="21"/>
              </w:rPr>
            </w:pPr>
            <w:r>
              <w:rPr>
                <w:rFonts w:hint="eastAsia" w:ascii="仿宋" w:hAnsi="仿宋" w:eastAsia="仿宋" w:cs="宋体"/>
                <w:color w:val="000000"/>
                <w:kern w:val="0"/>
                <w:szCs w:val="21"/>
              </w:rPr>
              <w:t>（4） 全自动砂滤过滤器：1套，带时间控制全自动/手动反冲装置，罐体规格不小于30（inch）*72（inch）。</w:t>
            </w:r>
          </w:p>
          <w:p w14:paraId="606EE42D">
            <w:pPr>
              <w:widowControl/>
              <w:rPr>
                <w:rFonts w:ascii="仿宋" w:hAnsi="仿宋" w:eastAsia="仿宋" w:cs="宋体"/>
                <w:color w:val="000000"/>
                <w:kern w:val="0"/>
                <w:szCs w:val="21"/>
              </w:rPr>
            </w:pPr>
            <w:r>
              <w:rPr>
                <w:rFonts w:hint="eastAsia" w:ascii="仿宋" w:hAnsi="仿宋" w:eastAsia="仿宋" w:cs="宋体"/>
                <w:color w:val="000000"/>
                <w:kern w:val="0"/>
                <w:szCs w:val="21"/>
              </w:rPr>
              <w:t>（5） 全自动除氯过滤器：2套串联，带时间控制全自动/手动反冲装置，罐体规格不小于30（inch）*72（inch），使用碘值不低于1050的活性炭，保证总氯含量＜0.1mg/L。</w:t>
            </w:r>
          </w:p>
          <w:p w14:paraId="19347A33">
            <w:pPr>
              <w:widowControl/>
              <w:rPr>
                <w:rFonts w:ascii="仿宋" w:hAnsi="仿宋" w:eastAsia="仿宋" w:cs="宋体"/>
                <w:color w:val="000000"/>
                <w:kern w:val="0"/>
                <w:szCs w:val="21"/>
              </w:rPr>
            </w:pPr>
            <w:r>
              <w:rPr>
                <w:rFonts w:hint="eastAsia" w:ascii="仿宋" w:hAnsi="仿宋" w:eastAsia="仿宋" w:cs="宋体"/>
                <w:color w:val="000000"/>
                <w:kern w:val="0"/>
                <w:szCs w:val="21"/>
              </w:rPr>
              <w:t>（6） *全自动软水器：1套，双罐，一备一用交替运行，带流量控制全自动/手动的反冲/再生装置,罐体规格不小于18（inch）*65（inch），使用树脂的总交换容量不低于2eq/L，保证软水硬度合格，碳酸钙的硬度应＜17.1mg/l。"</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24D73EAD">
            <w:pPr>
              <w:widowControl/>
              <w:rPr>
                <w:rFonts w:ascii="仿宋" w:hAnsi="仿宋" w:eastAsia="仿宋" w:cs="宋体"/>
                <w:color w:val="000000"/>
                <w:kern w:val="0"/>
                <w:szCs w:val="21"/>
              </w:rPr>
            </w:pPr>
            <w:r>
              <w:rPr>
                <w:rFonts w:hint="eastAsia" w:ascii="仿宋" w:hAnsi="仿宋" w:eastAsia="仿宋" w:cs="宋体"/>
                <w:color w:val="000000"/>
                <w:kern w:val="0"/>
                <w:szCs w:val="21"/>
              </w:rPr>
              <w:t>3，反渗水供水管路配置：1套。</w:t>
            </w:r>
          </w:p>
          <w:p w14:paraId="4317A983">
            <w:pPr>
              <w:widowControl/>
              <w:rPr>
                <w:rFonts w:ascii="仿宋" w:hAnsi="仿宋" w:eastAsia="仿宋" w:cs="宋体"/>
                <w:b/>
                <w:bCs/>
                <w:color w:val="000000"/>
                <w:kern w:val="0"/>
                <w:szCs w:val="21"/>
              </w:rPr>
            </w:pPr>
            <w:r>
              <w:rPr>
                <w:rFonts w:hint="eastAsia" w:ascii="仿宋" w:hAnsi="仿宋" w:eastAsia="仿宋" w:cs="宋体"/>
                <w:b/>
                <w:bCs/>
                <w:color w:val="000000"/>
                <w:kern w:val="0"/>
                <w:szCs w:val="21"/>
              </w:rPr>
              <w:t>四、其他要求：</w:t>
            </w:r>
          </w:p>
          <w:p w14:paraId="04F1B6F0">
            <w:pPr>
              <w:widowControl/>
              <w:rPr>
                <w:rFonts w:ascii="仿宋" w:hAnsi="仿宋" w:eastAsia="仿宋" w:cs="宋体"/>
                <w:color w:val="000000"/>
                <w:kern w:val="0"/>
                <w:szCs w:val="21"/>
              </w:rPr>
            </w:pPr>
            <w:r>
              <w:rPr>
                <w:rFonts w:hint="eastAsia" w:ascii="仿宋" w:hAnsi="仿宋" w:eastAsia="仿宋" w:cs="宋体"/>
                <w:color w:val="000000"/>
                <w:kern w:val="0"/>
                <w:szCs w:val="21"/>
              </w:rPr>
              <w:t>1，整个水处理系统免费安装、调试。</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4803B7A8">
            <w:pPr>
              <w:widowControl/>
              <w:rPr>
                <w:rFonts w:ascii="仿宋" w:hAnsi="仿宋" w:eastAsia="仿宋" w:cs="宋体"/>
                <w:color w:val="000000"/>
                <w:kern w:val="0"/>
                <w:szCs w:val="21"/>
              </w:rPr>
            </w:pPr>
            <w:r>
              <w:rPr>
                <w:rFonts w:hint="eastAsia" w:ascii="仿宋" w:hAnsi="仿宋" w:eastAsia="仿宋" w:cs="宋体"/>
                <w:color w:val="000000"/>
                <w:kern w:val="0"/>
                <w:szCs w:val="21"/>
              </w:rPr>
              <w:t>2，保修要求：整机质保≥2年，质保期内维修费用免费。24小时内排除故障。</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1A970C9">
            <w:pPr>
              <w:widowControl/>
              <w:rPr>
                <w:rFonts w:ascii="仿宋" w:hAnsi="仿宋" w:eastAsia="仿宋" w:cs="宋体"/>
                <w:color w:val="000000"/>
                <w:kern w:val="0"/>
                <w:szCs w:val="21"/>
              </w:rPr>
            </w:pPr>
            <w:r>
              <w:rPr>
                <w:rFonts w:hint="eastAsia" w:ascii="仿宋" w:hAnsi="仿宋" w:eastAsia="仿宋" w:cs="宋体"/>
                <w:color w:val="000000"/>
                <w:kern w:val="0"/>
                <w:szCs w:val="21"/>
              </w:rPr>
              <w:t>3，保修期外的维修要求：24小时内排除故障，提供维修配件优惠。</w:t>
            </w:r>
          </w:p>
          <w:p w14:paraId="6C58B72B">
            <w:pPr>
              <w:widowControl/>
              <w:rPr>
                <w:rFonts w:ascii="仿宋" w:hAnsi="仿宋" w:eastAsia="仿宋" w:cs="宋体"/>
                <w:color w:val="000000"/>
                <w:kern w:val="0"/>
                <w:szCs w:val="21"/>
              </w:rPr>
            </w:pPr>
            <w:r>
              <w:rPr>
                <w:rFonts w:hint="eastAsia" w:ascii="仿宋" w:hAnsi="仿宋" w:eastAsia="仿宋" w:cs="宋体"/>
                <w:color w:val="000000"/>
                <w:kern w:val="0"/>
                <w:szCs w:val="21"/>
              </w:rPr>
              <w:t>5，提供人员基本操作培训；</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3A7E774D">
            <w:pPr>
              <w:widowControl/>
              <w:rPr>
                <w:rFonts w:ascii="仿宋" w:hAnsi="仿宋" w:eastAsia="仿宋" w:cs="宋体"/>
                <w:b/>
                <w:bCs/>
                <w:color w:val="000000"/>
                <w:kern w:val="0"/>
                <w:szCs w:val="21"/>
              </w:rPr>
            </w:pPr>
            <w:r>
              <w:rPr>
                <w:rFonts w:hint="eastAsia" w:ascii="仿宋" w:hAnsi="仿宋" w:eastAsia="仿宋" w:cs="宋体"/>
                <w:color w:val="000000"/>
                <w:kern w:val="0"/>
                <w:szCs w:val="21"/>
              </w:rPr>
              <w:t>6，对工程师进行系统操作、维修保养及消毒规范等内容培训。</w:t>
            </w:r>
          </w:p>
        </w:tc>
      </w:tr>
      <w:tr w14:paraId="7EEC4A40">
        <w:tblPrEx>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45A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2437" w:type="dxa"/>
            <w:tcBorders>
              <w:top w:val="single" w:color="auto" w:sz="4" w:space="0"/>
              <w:left w:val="nil"/>
              <w:bottom w:val="single" w:color="auto" w:sz="4" w:space="0"/>
              <w:right w:val="single" w:color="auto" w:sz="4" w:space="0"/>
            </w:tcBorders>
            <w:shd w:val="clear" w:color="auto" w:fill="auto"/>
            <w:vAlign w:val="center"/>
          </w:tcPr>
          <w:p w14:paraId="2927B1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螺旋CT</w:t>
            </w:r>
          </w:p>
        </w:tc>
        <w:tc>
          <w:tcPr>
            <w:tcW w:w="6063" w:type="dxa"/>
            <w:tcBorders>
              <w:top w:val="single" w:color="auto" w:sz="4" w:space="0"/>
              <w:left w:val="nil"/>
              <w:bottom w:val="single" w:color="auto" w:sz="4" w:space="0"/>
              <w:right w:val="single" w:color="auto" w:sz="4" w:space="0"/>
            </w:tcBorders>
            <w:shd w:val="clear" w:color="auto" w:fill="auto"/>
            <w:vAlign w:val="center"/>
          </w:tcPr>
          <w:p w14:paraId="09AD7F83">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1、探测器排数：多排螺旋CT。</w:t>
            </w:r>
          </w:p>
          <w:p w14:paraId="0AE93F92">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2、高空间分辨率和时间分辨率，适合心脏等动态器官成像。</w:t>
            </w:r>
          </w:p>
          <w:p w14:paraId="74BE29A1">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3、扫描速度快。</w:t>
            </w:r>
          </w:p>
          <w:p w14:paraId="000FB421">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4、根据患者体型和检查部位自动调节管电流和电压。</w:t>
            </w:r>
          </w:p>
          <w:p w14:paraId="2A278603">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5、低剂量技术，支持迭代重建算法。</w:t>
            </w:r>
          </w:p>
          <w:p w14:paraId="55E9F02A">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6、支持灌注成像扫描、心脏冠脉成像，多种三维重建模式。</w:t>
            </w:r>
          </w:p>
          <w:p w14:paraId="689D80C2">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7、具备能量成像扫描技术。</w:t>
            </w:r>
          </w:p>
          <w:p w14:paraId="197F9092">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8、配备软件后处理功能。</w:t>
            </w:r>
          </w:p>
          <w:p w14:paraId="26D25E81">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9、大热容量X射线管和高效冷却系统。</w:t>
            </w:r>
          </w:p>
          <w:p w14:paraId="558F3171">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10、具有DICOM兼容性和大容量图像存储及网络传输功能。</w:t>
            </w:r>
          </w:p>
          <w:p w14:paraId="74A40872">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11、具备辐射安全性和紧急停止功能。</w:t>
            </w:r>
          </w:p>
          <w:p w14:paraId="7CD1F976">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12、具备操作便捷性。</w:t>
            </w:r>
          </w:p>
          <w:p w14:paraId="0D0130BC">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13、环境适应性优秀。</w:t>
            </w:r>
          </w:p>
          <w:p w14:paraId="72C8081E">
            <w:pPr>
              <w:pStyle w:val="8"/>
              <w:widowControl/>
              <w:ind w:left="420"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14、配备软件后处理功能。</w:t>
            </w:r>
          </w:p>
        </w:tc>
      </w:tr>
      <w:tr w14:paraId="0C5D8C85">
        <w:tblPrEx>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925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2437" w:type="dxa"/>
            <w:tcBorders>
              <w:top w:val="single" w:color="auto" w:sz="4" w:space="0"/>
              <w:left w:val="nil"/>
              <w:bottom w:val="single" w:color="auto" w:sz="4" w:space="0"/>
              <w:right w:val="single" w:color="auto" w:sz="4" w:space="0"/>
            </w:tcBorders>
            <w:shd w:val="clear" w:color="auto" w:fill="auto"/>
            <w:vAlign w:val="center"/>
          </w:tcPr>
          <w:p w14:paraId="1868F5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心肺功能测试系统</w:t>
            </w:r>
          </w:p>
        </w:tc>
        <w:tc>
          <w:tcPr>
            <w:tcW w:w="6063" w:type="dxa"/>
            <w:tcBorders>
              <w:top w:val="single" w:color="auto" w:sz="4" w:space="0"/>
              <w:left w:val="nil"/>
              <w:bottom w:val="single" w:color="auto" w:sz="4" w:space="0"/>
              <w:right w:val="single" w:color="auto" w:sz="4" w:space="0"/>
            </w:tcBorders>
            <w:shd w:val="clear" w:color="auto" w:fill="auto"/>
            <w:vAlign w:val="center"/>
          </w:tcPr>
          <w:p w14:paraId="5949B692">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一、功能要求</w:t>
            </w:r>
          </w:p>
          <w:p w14:paraId="2C62DA83">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1. 心肺功能综合评估 </w:t>
            </w:r>
          </w:p>
          <w:p w14:paraId="6765ADBA">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静态与动态流速容量环测量，支持气体代谢分析（FIO2、FEO2 ，FICO2、FECO2，VO2  BTPS（BTPS），PETCO2，PACO2等）。  </w:t>
            </w:r>
          </w:p>
          <w:p w14:paraId="42C6A61E">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采用每口气数据采集法，配合定量负荷，对呼吸运动过程中气体流量、O2浓度、CO2浓度及环境温度、气压等技术参数时时进行数据采集，通过专业的软件分析人体的最大摄氧量、潮气量、呼吸流量、氧脉搏等多项指标，对运动心肺功能进行全面评估。    </w:t>
            </w:r>
          </w:p>
          <w:p w14:paraId="451DF301">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具有运动中流速容量环功能，采用Intrabreath技术提供呼气末CO2和O2浓度，Va/Ve（肺泡通气量比通气量）等数据</w:t>
            </w:r>
          </w:p>
          <w:p w14:paraId="3237578B">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2. 心电监测与分析  </w:t>
            </w:r>
          </w:p>
          <w:p w14:paraId="1026387B">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- 12导联同步心电采集，支持ST段实时趋势图、QT离散度分析及心电图向量比较功能。  </w:t>
            </w:r>
          </w:p>
          <w:p w14:paraId="25517704">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抗运动干扰技术，导联线内置抗除颤保护，确保运动状态下信号稳定性。</w:t>
            </w:r>
          </w:p>
          <w:p w14:paraId="24075CA9">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3. 设备扩展性  </w:t>
            </w:r>
          </w:p>
          <w:p w14:paraId="497A7DE2">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可升级混合室法运动心肺测试模块，模块外置于运动心肺主机，可轻松拆卸消毒。  </w:t>
            </w:r>
          </w:p>
          <w:p w14:paraId="67091484">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兼容心脏康复管理系统，与运动监护设备网络化联动。</w:t>
            </w:r>
          </w:p>
          <w:p w14:paraId="597EECFA">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二、技术参数要求</w:t>
            </w:r>
          </w:p>
          <w:p w14:paraId="75EEBFC2">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1. 传感器精度：数字式流量容积传感器，流速测量范围：0-15L/S，流速精度：3%或0.07L/S。</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33F7AFF">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2、整机无耗材</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4E88678">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3、运动心电系统性能；十二导联运动心电监控模块：采用蓝牙无线通讯，心电采集模块重量小于等于0.2kg，分辨率：&lt; 2.5 μV每博，具有起搏器检测，检测频率 4000Hz。</w:t>
            </w:r>
          </w:p>
          <w:p w14:paraId="477B8A2D">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4、运动肺性能；斜率分析：OUES-slope（摄氧量效率斜率）、dO2/dW（摄氧量功率斜率）、VE/VCO2-slope（CO2通气效率斜率）、 HR/VO2（心率与摄氧量斜率）、VE/VO2（O2通气效率斜率）、 HR/(VO2/kg)（心率与公斤体重摄氧量斜率），运动肺测试及曲线图：Wasserman-9图、无氧阈值（AT）曲线图、内呼吸（Intrabreath）曲线图、呼吸动力学（Resp-Driver）曲线图、运动规程曲线图、运动状态（Ergo-ER）曲线图、心排量（QtCalc）曲线图、营养代谢（Calorimetry）曲线图</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970BF5B">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5、运动心电采集性能；4000Hz</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2569EC30">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6、气体代谢模块性能；测量范围：0- 100%，精确度：0.05 Vol% 或0.2%，响应时间：＜80毫秒</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6B96B704">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7、运动血氧性能；测量范围：0-100%</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0FF7FC88">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8、运动踏车性能；可控制多种品牌的功率车和跑台及运动心电。</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4CF80F1">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三、配置要求</w:t>
            </w:r>
          </w:p>
          <w:p w14:paraId="379FAC6C">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1、硬件配置 </w:t>
            </w:r>
          </w:p>
          <w:p w14:paraId="03A67BDC">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主机：大屏显示器（气体代谢+心电监测），可移动台车设计。  </w:t>
            </w:r>
          </w:p>
          <w:p w14:paraId="24EA6B7C">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配套设备：12导联心电模块、血氧探头、血压袖带、运动踏车/跑台。</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502A2F3D">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2、软件  </w:t>
            </w:r>
          </w:p>
          <w:p w14:paraId="7D632407">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中英文操作系统，具备报告输出编辑格式功能，可控制多种品牌功率车，炮台及运动心电。内置不低于20种运动负荷方案。数据可导出导入至软件，可以WORD,PDF等格式导出</w:t>
            </w:r>
          </w:p>
          <w:p w14:paraId="0506F61B">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提供Wasserman评估逻辑功能且可自定义调节"</w:t>
            </w:r>
            <w:r>
              <w:rPr>
                <w:rFonts w:hint="eastAsia" w:ascii="仿宋" w:hAnsi="仿宋" w:eastAsia="仿宋" w:cs="宋体"/>
                <w:color w:val="000000"/>
                <w:kern w:val="0"/>
                <w:szCs w:val="21"/>
              </w:rPr>
              <w:tab/>
            </w:r>
            <w:r>
              <w:rPr>
                <w:rFonts w:hint="eastAsia" w:ascii="仿宋" w:hAnsi="仿宋" w:eastAsia="仿宋" w:cs="宋体"/>
                <w:color w:val="000000"/>
                <w:kern w:val="0"/>
                <w:szCs w:val="21"/>
              </w:rPr>
              <w:t xml:space="preserve">3、定标  </w:t>
            </w:r>
          </w:p>
          <w:p w14:paraId="771C241A">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气体定标：气体定标为自动定标。  </w:t>
            </w:r>
          </w:p>
          <w:p w14:paraId="0DA1DF6D">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流速容量定标: 内置全自动流速容量定标模块，无需手动使用定标桶进行定标。</w:t>
            </w:r>
          </w:p>
          <w:p w14:paraId="16051452">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环境参数定标：环境参数定标为自动定标，在主机设备内置温度</w:t>
            </w:r>
          </w:p>
          <w:p w14:paraId="5BE93859">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及压力传感器，随时监测环境参数变化并实时进行BTPS补偿，无需外置传感器</w:t>
            </w:r>
          </w:p>
          <w:p w14:paraId="6CD1CE84">
            <w:pPr>
              <w:pStyle w:val="8"/>
              <w:widowControl/>
              <w:ind w:left="420" w:firstLine="422"/>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四、其他</w:t>
            </w:r>
          </w:p>
          <w:p w14:paraId="7828C646">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1. 质保与维护 </w:t>
            </w:r>
          </w:p>
          <w:p w14:paraId="4F4B59CC">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整机质保≥3年，核心传感器（如氧、二氧化碳）寿命≥6个月，提供终身校准服务。  </w:t>
            </w:r>
          </w:p>
          <w:p w14:paraId="18C0D661">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- 2小时远程技术支持，设备故障处理12小时到现场，备件供应周期≤3个工作日。</w:t>
            </w:r>
          </w:p>
          <w:p w14:paraId="04397257">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2、定期软件免费升级，每年1次系统性能检测。</w:t>
            </w:r>
            <w:r>
              <w:rPr>
                <w:rFonts w:hint="eastAsia" w:ascii="仿宋" w:hAnsi="仿宋" w:eastAsia="仿宋" w:cs="宋体"/>
                <w:color w:val="000000"/>
                <w:kern w:val="0"/>
                <w:szCs w:val="21"/>
              </w:rPr>
              <w:tab/>
            </w:r>
          </w:p>
          <w:p w14:paraId="0D9E48DA">
            <w:pPr>
              <w:pStyle w:val="8"/>
              <w:widowControl/>
              <w:ind w:left="420"/>
              <w:jc w:val="left"/>
              <w:rPr>
                <w:rFonts w:ascii="仿宋" w:hAnsi="仿宋" w:eastAsia="仿宋" w:cs="宋体"/>
                <w:color w:val="000000"/>
                <w:kern w:val="0"/>
                <w:szCs w:val="21"/>
              </w:rPr>
            </w:pPr>
            <w:r>
              <w:rPr>
                <w:rFonts w:hint="eastAsia" w:ascii="仿宋" w:hAnsi="仿宋" w:eastAsia="仿宋" w:cs="宋体"/>
                <w:color w:val="000000"/>
                <w:kern w:val="0"/>
                <w:szCs w:val="21"/>
              </w:rPr>
              <w:t>3、提供操作人员现场培训（≥7天）。</w:t>
            </w:r>
          </w:p>
        </w:tc>
      </w:tr>
      <w:tr w14:paraId="2FCDE36E">
        <w:tblPrEx>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B05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2437" w:type="dxa"/>
            <w:tcBorders>
              <w:top w:val="single" w:color="auto" w:sz="4" w:space="0"/>
              <w:left w:val="nil"/>
              <w:bottom w:val="single" w:color="auto" w:sz="4" w:space="0"/>
              <w:right w:val="single" w:color="auto" w:sz="4" w:space="0"/>
            </w:tcBorders>
            <w:shd w:val="clear" w:color="auto" w:fill="auto"/>
            <w:vAlign w:val="center"/>
          </w:tcPr>
          <w:p w14:paraId="1B02AFC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运动负荷试验测试系统</w:t>
            </w:r>
          </w:p>
        </w:tc>
        <w:tc>
          <w:tcPr>
            <w:tcW w:w="6063" w:type="dxa"/>
            <w:tcBorders>
              <w:top w:val="single" w:color="auto" w:sz="4" w:space="0"/>
              <w:left w:val="nil"/>
              <w:bottom w:val="single" w:color="auto" w:sz="4" w:space="0"/>
              <w:right w:val="single" w:color="auto" w:sz="4" w:space="0"/>
            </w:tcBorders>
            <w:shd w:val="clear" w:color="auto" w:fill="auto"/>
            <w:vAlign w:val="center"/>
          </w:tcPr>
          <w:p w14:paraId="29189FDC">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一、功能要求</w:t>
            </w:r>
          </w:p>
          <w:p w14:paraId="21984BF8">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心肺康复管理系统：是整合心肺康复全流程的系统。让繁杂的工作省心、省力、省时并且可以适应各种不同病人的需求。心肺康复管理系统包含病患管理、诊断数据统计分析、康复评估、康复训练治疗统计分析等功能。系统平台支持对接多种医疗设备，多数据共同展示，监测评估康复训练。为心肺康复提供了一个直观、精准的康复训练工具，以数据一站式管理平台为核心构架，将原本复杂的多平台工作统一整合成一个报告和一个系统。</w:t>
            </w:r>
          </w:p>
          <w:p w14:paraId="29EE4878">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 系统通过联网远程下发运动处方到指定的设备，并具有运动处 方管理功能，实现运动处方的建立、修改、保存、查询、删除等 功能；医护人员通过设置患者的目标心率、报警心率、训练时间、 模式，生成运动处方，并远程下发到相对应的运动设备上，患者 依据运动处方进行安全精准的康复训练；</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55EBD55">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系统可无线对接运动心肺测试系统，六分钟步行试验测试系统，人体成分测试系统、无创心排等评估设备（不限厂家），读取整合患者的评估报告，系统在一个界面显示患者的所有评估报告和训练报告，可进行相应报告的查看；</w:t>
            </w:r>
          </w:p>
          <w:p w14:paraId="6E92135C">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 心肺康复管理系统具备科室管理系统和运动康复训练系统、可以与有氧类设备及阻抗类设备进行联网；可对接医院his系统，支持报表导出、打印：可以查询、导出、打印单次的训练数据患者康复运动期间全部的训练数据，并生成运动训练报告，训练报告导出包含PDF、WORD、EXCEL格式；</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49423CAF">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二、技术参数要求</w:t>
            </w:r>
          </w:p>
          <w:p w14:paraId="74FD9413">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1. 硬件精度与兼容性  </w:t>
            </w:r>
          </w:p>
          <w:p w14:paraId="3F268D38">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功率车负荷6-999W，功率车自带不少于5种固定运动负荷测试方案，10种用户可编辑运动负荷测试方案；负荷递增精确度≤1瓦，最大变异系数不大于2%；支持无线数据传输，"</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450481F9">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2. 软件与通信标准  </w:t>
            </w:r>
          </w:p>
          <w:p w14:paraId="770A64B7">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兼容心肺功能测试系统，数字接口(RS-232)，可与医院HIS系统对接。 </w:t>
            </w:r>
          </w:p>
          <w:p w14:paraId="64C6AA34">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3. 安全性与扩展性  </w:t>
            </w:r>
          </w:p>
          <w:p w14:paraId="347C721F">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硬件与软件具备国家二类医疗器械注册证、可同时增加功率车、跑台、气阻训练设备。</w:t>
            </w:r>
          </w:p>
          <w:p w14:paraId="0AEB58EB">
            <w:pPr>
              <w:widowControl/>
              <w:jc w:val="left"/>
              <w:rPr>
                <w:rFonts w:ascii="仿宋" w:hAnsi="仿宋" w:eastAsia="仿宋" w:cs="宋体"/>
                <w:b/>
                <w:bCs/>
                <w:color w:val="000000"/>
                <w:kern w:val="0"/>
                <w:szCs w:val="21"/>
              </w:rPr>
            </w:pPr>
            <w:r>
              <w:rPr>
                <w:rFonts w:hint="eastAsia" w:ascii="仿宋" w:hAnsi="仿宋" w:eastAsia="仿宋" w:cs="宋体"/>
                <w:b/>
                <w:bCs/>
                <w:color w:val="000000"/>
                <w:kern w:val="0"/>
                <w:szCs w:val="21"/>
              </w:rPr>
              <w:t>三、配置要求及其他</w:t>
            </w:r>
          </w:p>
          <w:p w14:paraId="724DF412">
            <w:pPr>
              <w:widowControl/>
              <w:jc w:val="left"/>
              <w:rPr>
                <w:rFonts w:ascii="仿宋" w:hAnsi="仿宋" w:eastAsia="仿宋" w:cs="宋体"/>
                <w:color w:val="000000"/>
                <w:kern w:val="0"/>
                <w:szCs w:val="21"/>
              </w:rPr>
            </w:pPr>
            <w:r>
              <w:rPr>
                <w:rFonts w:hint="eastAsia" w:ascii="仿宋" w:hAnsi="仿宋" w:eastAsia="仿宋" w:cs="宋体"/>
                <w:color w:val="000000"/>
                <w:kern w:val="0"/>
                <w:szCs w:val="21"/>
                <w:u w:val="single"/>
              </w:rPr>
              <w:t>1.</w:t>
            </w:r>
            <w:r>
              <w:rPr>
                <w:rFonts w:hint="eastAsia" w:ascii="仿宋" w:hAnsi="仿宋" w:eastAsia="仿宋" w:cs="宋体"/>
                <w:color w:val="000000"/>
                <w:kern w:val="0"/>
                <w:szCs w:val="21"/>
              </w:rPr>
              <w:t xml:space="preserve"> 硬件配置：搭配高质量等级的训练踏车功率最大变异系数不大于2%并且具有定标功能。</w:t>
            </w:r>
          </w:p>
          <w:p w14:paraId="33994A74">
            <w:pPr>
              <w:widowControl/>
              <w:jc w:val="left"/>
              <w:rPr>
                <w:rFonts w:ascii="仿宋" w:hAnsi="仿宋" w:eastAsia="仿宋" w:cs="宋体"/>
                <w:color w:val="000000"/>
                <w:kern w:val="0"/>
                <w:szCs w:val="21"/>
              </w:rPr>
            </w:pPr>
            <w:r>
              <w:rPr>
                <w:rFonts w:hint="eastAsia" w:ascii="仿宋" w:hAnsi="仿宋" w:eastAsia="仿宋" w:cs="宋体"/>
                <w:color w:val="000000"/>
                <w:kern w:val="0"/>
                <w:szCs w:val="21"/>
                <w:u w:val="single"/>
              </w:rPr>
              <w:t xml:space="preserve">2. </w:t>
            </w:r>
            <w:r>
              <w:rPr>
                <w:rFonts w:hint="eastAsia" w:ascii="仿宋" w:hAnsi="仿宋" w:eastAsia="仿宋" w:cs="宋体"/>
                <w:color w:val="000000"/>
                <w:kern w:val="0"/>
                <w:szCs w:val="21"/>
              </w:rPr>
              <w:t xml:space="preserve">软件与数据管理 </w:t>
            </w:r>
          </w:p>
          <w:p w14:paraId="1ACA1DFB">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支持多终端同步操作及数据加密存储。  </w:t>
            </w:r>
          </w:p>
          <w:p w14:paraId="56ECF7DB">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提供患者信息管理系统，量表管理、训练记录追溯及多维度数据分析数据，用户信息具有患者危险程度分级、患者来源和患者病种分类，并且患者的危险程度分级在患者康复训练时在患者训练界面显示；</w:t>
            </w:r>
          </w:p>
          <w:p w14:paraId="5BED65F2">
            <w:pPr>
              <w:widowControl/>
              <w:jc w:val="left"/>
              <w:rPr>
                <w:rFonts w:ascii="仿宋" w:hAnsi="仿宋" w:eastAsia="仿宋" w:cs="宋体"/>
                <w:color w:val="000000"/>
                <w:kern w:val="0"/>
                <w:szCs w:val="21"/>
              </w:rPr>
            </w:pPr>
            <w:r>
              <w:rPr>
                <w:rFonts w:hint="eastAsia" w:ascii="仿宋" w:hAnsi="仿宋" w:eastAsia="仿宋" w:cs="宋体"/>
                <w:color w:val="000000"/>
                <w:kern w:val="0"/>
                <w:szCs w:val="21"/>
                <w:u w:val="single"/>
              </w:rPr>
              <w:t xml:space="preserve">3. </w:t>
            </w:r>
            <w:r>
              <w:rPr>
                <w:rFonts w:hint="eastAsia" w:ascii="仿宋" w:hAnsi="仿宋" w:eastAsia="仿宋" w:cs="宋体"/>
                <w:color w:val="000000"/>
                <w:kern w:val="0"/>
                <w:szCs w:val="21"/>
              </w:rPr>
              <w:t xml:space="preserve">附属设施 </w:t>
            </w:r>
          </w:p>
          <w:p w14:paraId="3D6CE981">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具有运动训练抗干扰心电血氧监控设备。"</w:t>
            </w:r>
            <w:r>
              <w:rPr>
                <w:rFonts w:hint="eastAsia" w:ascii="仿宋" w:hAnsi="仿宋" w:eastAsia="仿宋" w:cs="宋体"/>
                <w:color w:val="000000"/>
                <w:kern w:val="0"/>
                <w:szCs w:val="21"/>
              </w:rPr>
              <w:tab/>
            </w:r>
            <w:r>
              <w:rPr>
                <w:rFonts w:hint="eastAsia" w:ascii="仿宋" w:hAnsi="仿宋" w:eastAsia="仿宋" w:cs="宋体"/>
                <w:color w:val="000000"/>
                <w:kern w:val="0"/>
                <w:szCs w:val="21"/>
              </w:rPr>
              <w:tab/>
            </w:r>
          </w:p>
          <w:p w14:paraId="1646C59E">
            <w:pPr>
              <w:widowControl/>
              <w:jc w:val="left"/>
              <w:rPr>
                <w:rFonts w:ascii="仿宋" w:hAnsi="仿宋" w:eastAsia="仿宋" w:cs="宋体"/>
                <w:color w:val="000000"/>
                <w:kern w:val="0"/>
                <w:szCs w:val="21"/>
              </w:rPr>
            </w:pPr>
            <w:r>
              <w:rPr>
                <w:rFonts w:hint="eastAsia" w:ascii="仿宋" w:hAnsi="仿宋" w:eastAsia="仿宋" w:cs="宋体"/>
                <w:color w:val="000000"/>
                <w:kern w:val="0"/>
                <w:szCs w:val="21"/>
                <w:u w:val="single"/>
              </w:rPr>
              <w:t>4.</w:t>
            </w:r>
            <w:r>
              <w:rPr>
                <w:rFonts w:hint="eastAsia" w:ascii="仿宋" w:hAnsi="仿宋" w:eastAsia="仿宋" w:cs="宋体"/>
                <w:color w:val="000000"/>
                <w:kern w:val="0"/>
                <w:szCs w:val="21"/>
              </w:rPr>
              <w:t xml:space="preserve"> 保修与响应时效  </w:t>
            </w:r>
          </w:p>
          <w:p w14:paraId="34180A60">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整机质保≥3年，核心部件（如气体传感器、电机）终身保修。  </w:t>
            </w:r>
          </w:p>
          <w:p w14:paraId="1C451800">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 故障响应时间≤30分钟，现场支持≤4小时（特大故障≤2小时），备件先行替换服务。</w:t>
            </w:r>
          </w:p>
          <w:p w14:paraId="21B66748">
            <w:pPr>
              <w:widowControl/>
              <w:jc w:val="left"/>
              <w:rPr>
                <w:rFonts w:ascii="仿宋" w:hAnsi="仿宋" w:eastAsia="仿宋" w:cs="宋体"/>
                <w:color w:val="000000"/>
                <w:kern w:val="0"/>
                <w:szCs w:val="21"/>
              </w:rPr>
            </w:pPr>
            <w:r>
              <w:rPr>
                <w:rFonts w:hint="eastAsia" w:ascii="仿宋" w:hAnsi="仿宋" w:eastAsia="仿宋" w:cs="宋体"/>
                <w:color w:val="000000"/>
                <w:kern w:val="0"/>
                <w:szCs w:val="21"/>
                <w:u w:val="single"/>
              </w:rPr>
              <w:t xml:space="preserve">5. </w:t>
            </w:r>
            <w:r>
              <w:rPr>
                <w:rFonts w:hint="eastAsia" w:ascii="仿宋" w:hAnsi="仿宋" w:eastAsia="仿宋" w:cs="宋体"/>
                <w:color w:val="000000"/>
                <w:kern w:val="0"/>
                <w:szCs w:val="21"/>
              </w:rPr>
              <w:t>软件免费升级及远程维护</w:t>
            </w:r>
          </w:p>
          <w:p w14:paraId="17B30D2B">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提供原厂工程师驻场培训，涵盖设备操作、数据解读及紧急处理流程。 </w:t>
            </w:r>
          </w:p>
          <w:p w14:paraId="511F10A1">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质保期后提供成本价维修服务，备件库存保障≥10年。建立专属服务档案，定期巡检（每半年1次）并出具设备检修单。</w:t>
            </w:r>
          </w:p>
        </w:tc>
      </w:tr>
    </w:tbl>
    <w:p w14:paraId="6A4E95FF">
      <w:pPr>
        <w:widowControl/>
        <w:jc w:val="left"/>
        <w:rPr>
          <w:rFonts w:ascii="仿宋" w:hAnsi="仿宋" w:eastAsia="仿宋" w:cs="宋体"/>
          <w:color w:val="000000"/>
          <w:kern w:val="0"/>
          <w:szCs w:val="21"/>
        </w:rPr>
      </w:pPr>
    </w:p>
    <w:p w14:paraId="3B51FDDE">
      <w:pPr>
        <w:widowControl/>
        <w:jc w:val="left"/>
        <w:rPr>
          <w:rFonts w:ascii="仿宋" w:hAnsi="仿宋" w:eastAsia="仿宋"/>
          <w:sz w:val="32"/>
          <w:szCs w:val="32"/>
        </w:rPr>
      </w:pPr>
      <w:r>
        <w:rPr>
          <w:rFonts w:ascii="仿宋" w:hAnsi="仿宋" w:eastAsia="仿宋"/>
          <w:sz w:val="32"/>
          <w:szCs w:val="32"/>
        </w:rPr>
        <w:br w:type="page"/>
      </w:r>
    </w:p>
    <w:p w14:paraId="4AFA371C">
      <w:pPr>
        <w:jc w:val="left"/>
        <w:rPr>
          <w:rFonts w:ascii="仿宋" w:hAnsi="仿宋" w:eastAsia="仿宋"/>
          <w:sz w:val="32"/>
          <w:szCs w:val="32"/>
        </w:rPr>
      </w:pPr>
      <w:r>
        <w:rPr>
          <w:rFonts w:hint="eastAsia" w:ascii="仿宋" w:hAnsi="仿宋" w:eastAsia="仿宋"/>
          <w:sz w:val="32"/>
          <w:szCs w:val="32"/>
        </w:rPr>
        <w:t>附件二：</w:t>
      </w:r>
    </w:p>
    <w:p w14:paraId="7C20FDCB">
      <w:pPr>
        <w:jc w:val="center"/>
        <w:rPr>
          <w:rFonts w:ascii="仿宋" w:hAnsi="仿宋" w:eastAsia="仿宋"/>
          <w:sz w:val="32"/>
          <w:szCs w:val="32"/>
        </w:rPr>
      </w:pPr>
      <w:r>
        <w:rPr>
          <w:rFonts w:hint="eastAsia" w:ascii="仿宋" w:hAnsi="仿宋" w:eastAsia="仿宋"/>
          <w:sz w:val="32"/>
          <w:szCs w:val="32"/>
        </w:rPr>
        <w:t>市场调研报名表</w:t>
      </w:r>
    </w:p>
    <w:p w14:paraId="18B53FAC">
      <w:pPr>
        <w:jc w:val="center"/>
        <w:rPr>
          <w:rFonts w:ascii="仿宋" w:hAnsi="仿宋" w:eastAsia="仿宋"/>
          <w:sz w:val="32"/>
          <w:szCs w:val="32"/>
        </w:rPr>
      </w:pPr>
      <w:r>
        <w:rPr>
          <w:rFonts w:hint="eastAsia" w:ascii="仿宋" w:hAnsi="仿宋" w:eastAsia="仿宋"/>
          <w:sz w:val="32"/>
          <w:szCs w:val="32"/>
        </w:rPr>
        <w:t>（大宗装备市场调研项目）</w:t>
      </w:r>
    </w:p>
    <w:tbl>
      <w:tblPr>
        <w:tblStyle w:val="5"/>
        <w:tblW w:w="11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3"/>
        <w:gridCol w:w="354"/>
        <w:gridCol w:w="708"/>
        <w:gridCol w:w="143"/>
        <w:gridCol w:w="850"/>
        <w:gridCol w:w="993"/>
        <w:gridCol w:w="567"/>
        <w:gridCol w:w="567"/>
        <w:gridCol w:w="1417"/>
        <w:gridCol w:w="567"/>
        <w:gridCol w:w="567"/>
        <w:gridCol w:w="992"/>
        <w:gridCol w:w="708"/>
        <w:gridCol w:w="1276"/>
        <w:gridCol w:w="709"/>
      </w:tblGrid>
      <w:tr w14:paraId="7D79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7C5864C0">
            <w:pPr>
              <w:widowControl/>
              <w:jc w:val="center"/>
              <w:rPr>
                <w:rFonts w:ascii="仿宋_GB2312" w:eastAsia="仿宋_GB2312"/>
                <w:color w:val="000000"/>
                <w:sz w:val="16"/>
                <w:szCs w:val="16"/>
              </w:rPr>
            </w:pPr>
            <w:r>
              <w:rPr>
                <w:rFonts w:hint="eastAsia" w:ascii="仿宋_GB2312" w:eastAsia="仿宋_GB2312"/>
                <w:color w:val="000000"/>
                <w:sz w:val="16"/>
                <w:szCs w:val="16"/>
              </w:rPr>
              <w:t>序号</w:t>
            </w:r>
          </w:p>
        </w:tc>
        <w:tc>
          <w:tcPr>
            <w:tcW w:w="1205" w:type="dxa"/>
            <w:gridSpan w:val="3"/>
            <w:vAlign w:val="center"/>
          </w:tcPr>
          <w:p w14:paraId="661E0D96">
            <w:pPr>
              <w:widowControl/>
              <w:jc w:val="center"/>
              <w:rPr>
                <w:rFonts w:ascii="仿宋_GB2312" w:eastAsia="仿宋_GB2312"/>
                <w:color w:val="000000"/>
                <w:sz w:val="16"/>
                <w:szCs w:val="16"/>
              </w:rPr>
            </w:pPr>
            <w:r>
              <w:rPr>
                <w:rFonts w:hint="eastAsia" w:ascii="仿宋_GB2312" w:eastAsia="仿宋_GB2312"/>
                <w:color w:val="000000"/>
                <w:sz w:val="16"/>
                <w:szCs w:val="16"/>
              </w:rPr>
              <w:t>产品名称</w:t>
            </w:r>
          </w:p>
        </w:tc>
        <w:tc>
          <w:tcPr>
            <w:tcW w:w="850" w:type="dxa"/>
            <w:vAlign w:val="center"/>
          </w:tcPr>
          <w:p w14:paraId="29FC2CCE">
            <w:pPr>
              <w:widowControl/>
              <w:jc w:val="center"/>
              <w:rPr>
                <w:rFonts w:ascii="仿宋_GB2312" w:eastAsia="仿宋_GB2312"/>
                <w:color w:val="000000"/>
                <w:sz w:val="16"/>
                <w:szCs w:val="16"/>
              </w:rPr>
            </w:pPr>
            <w:r>
              <w:rPr>
                <w:rFonts w:hint="eastAsia" w:ascii="仿宋_GB2312" w:eastAsia="仿宋_GB2312"/>
                <w:color w:val="000000"/>
                <w:sz w:val="16"/>
                <w:szCs w:val="16"/>
              </w:rPr>
              <w:t>规格型号</w:t>
            </w:r>
          </w:p>
        </w:tc>
        <w:tc>
          <w:tcPr>
            <w:tcW w:w="993" w:type="dxa"/>
            <w:vAlign w:val="center"/>
          </w:tcPr>
          <w:p w14:paraId="4A4F913C">
            <w:pPr>
              <w:widowControl/>
              <w:jc w:val="center"/>
              <w:rPr>
                <w:rFonts w:ascii="仿宋_GB2312" w:eastAsia="仿宋_GB2312"/>
                <w:color w:val="000000"/>
                <w:sz w:val="16"/>
                <w:szCs w:val="16"/>
              </w:rPr>
            </w:pPr>
            <w:r>
              <w:rPr>
                <w:rFonts w:hint="eastAsia" w:ascii="仿宋_GB2312" w:eastAsia="仿宋_GB2312"/>
                <w:color w:val="000000"/>
                <w:sz w:val="16"/>
                <w:szCs w:val="16"/>
              </w:rPr>
              <w:t>生产公司</w:t>
            </w:r>
          </w:p>
        </w:tc>
        <w:tc>
          <w:tcPr>
            <w:tcW w:w="567" w:type="dxa"/>
            <w:vAlign w:val="center"/>
          </w:tcPr>
          <w:p w14:paraId="69837FB0">
            <w:pPr>
              <w:widowControl/>
              <w:jc w:val="center"/>
              <w:rPr>
                <w:rFonts w:ascii="仿宋_GB2312" w:eastAsia="仿宋_GB2312"/>
                <w:color w:val="000000"/>
                <w:sz w:val="16"/>
                <w:szCs w:val="16"/>
              </w:rPr>
            </w:pPr>
            <w:r>
              <w:rPr>
                <w:rFonts w:hint="eastAsia" w:ascii="仿宋_GB2312" w:eastAsia="仿宋_GB2312"/>
                <w:color w:val="000000"/>
                <w:sz w:val="16"/>
                <w:szCs w:val="16"/>
              </w:rPr>
              <w:t>注册证号</w:t>
            </w:r>
          </w:p>
        </w:tc>
        <w:tc>
          <w:tcPr>
            <w:tcW w:w="567" w:type="dxa"/>
            <w:vAlign w:val="center"/>
          </w:tcPr>
          <w:p w14:paraId="7C4E997C">
            <w:pPr>
              <w:widowControl/>
              <w:jc w:val="center"/>
              <w:rPr>
                <w:rFonts w:ascii="仿宋_GB2312" w:eastAsia="仿宋_GB2312"/>
                <w:color w:val="000000"/>
                <w:sz w:val="16"/>
                <w:szCs w:val="16"/>
              </w:rPr>
            </w:pPr>
            <w:r>
              <w:rPr>
                <w:rFonts w:hint="eastAsia" w:ascii="仿宋_GB2312" w:eastAsia="仿宋_GB2312"/>
                <w:color w:val="000000"/>
                <w:sz w:val="16"/>
                <w:szCs w:val="16"/>
              </w:rPr>
              <w:t>单价</w:t>
            </w:r>
          </w:p>
        </w:tc>
        <w:tc>
          <w:tcPr>
            <w:tcW w:w="1417" w:type="dxa"/>
            <w:vAlign w:val="center"/>
          </w:tcPr>
          <w:p w14:paraId="1F26B1AD">
            <w:pPr>
              <w:widowControl/>
              <w:jc w:val="center"/>
              <w:rPr>
                <w:rFonts w:ascii="仿宋_GB2312" w:eastAsia="仿宋_GB2312"/>
                <w:color w:val="000000"/>
                <w:sz w:val="16"/>
                <w:szCs w:val="16"/>
              </w:rPr>
            </w:pPr>
            <w:r>
              <w:rPr>
                <w:rFonts w:hint="eastAsia" w:ascii="仿宋_GB2312" w:eastAsia="仿宋_GB2312"/>
                <w:color w:val="000000"/>
                <w:sz w:val="16"/>
                <w:szCs w:val="16"/>
              </w:rPr>
              <w:t>产品技术参数</w:t>
            </w:r>
          </w:p>
        </w:tc>
        <w:tc>
          <w:tcPr>
            <w:tcW w:w="567" w:type="dxa"/>
            <w:vAlign w:val="center"/>
          </w:tcPr>
          <w:p w14:paraId="06DB7B3D">
            <w:pPr>
              <w:widowControl/>
              <w:jc w:val="center"/>
              <w:rPr>
                <w:rFonts w:ascii="仿宋_GB2312" w:hAnsi="仿宋_GB2312" w:eastAsia="仿宋_GB2312" w:cs="仿宋_GB2312"/>
                <w:sz w:val="16"/>
                <w:szCs w:val="16"/>
              </w:rPr>
            </w:pPr>
            <w:r>
              <w:rPr>
                <w:rFonts w:hint="eastAsia" w:ascii="仿宋_GB2312" w:eastAsia="仿宋_GB2312"/>
                <w:color w:val="000000"/>
                <w:sz w:val="16"/>
                <w:szCs w:val="16"/>
              </w:rPr>
              <w:t>是否进口</w:t>
            </w:r>
          </w:p>
        </w:tc>
        <w:tc>
          <w:tcPr>
            <w:tcW w:w="567" w:type="dxa"/>
            <w:vAlign w:val="center"/>
          </w:tcPr>
          <w:p w14:paraId="2D1398FF">
            <w:pPr>
              <w:widowControl/>
              <w:jc w:val="center"/>
              <w:rPr>
                <w:rFonts w:ascii="仿宋_GB2312" w:hAnsi="仿宋_GB2312" w:eastAsia="仿宋_GB2312" w:cs="仿宋_GB2312"/>
                <w:sz w:val="16"/>
                <w:szCs w:val="16"/>
              </w:rPr>
            </w:pPr>
            <w:r>
              <w:rPr>
                <w:rFonts w:hint="eastAsia" w:ascii="仿宋_GB2312" w:eastAsia="仿宋_GB2312"/>
                <w:color w:val="000000"/>
                <w:sz w:val="16"/>
                <w:szCs w:val="16"/>
              </w:rPr>
              <w:t>上市年份</w:t>
            </w:r>
          </w:p>
        </w:tc>
        <w:tc>
          <w:tcPr>
            <w:tcW w:w="992" w:type="dxa"/>
            <w:vAlign w:val="center"/>
          </w:tcPr>
          <w:p w14:paraId="124A5EE1">
            <w:pPr>
              <w:widowControl/>
              <w:jc w:val="center"/>
              <w:rPr>
                <w:rFonts w:ascii="仿宋_GB2312" w:hAnsi="仿宋_GB2312" w:eastAsia="仿宋_GB2312" w:cs="仿宋_GB2312"/>
                <w:sz w:val="16"/>
                <w:szCs w:val="16"/>
              </w:rPr>
            </w:pPr>
            <w:r>
              <w:rPr>
                <w:rFonts w:hint="eastAsia" w:ascii="仿宋_GB2312" w:eastAsia="仿宋_GB2312"/>
                <w:color w:val="000000"/>
                <w:sz w:val="16"/>
                <w:szCs w:val="16"/>
              </w:rPr>
              <w:t>质保年限（年）</w:t>
            </w:r>
          </w:p>
        </w:tc>
        <w:tc>
          <w:tcPr>
            <w:tcW w:w="708" w:type="dxa"/>
            <w:vAlign w:val="center"/>
          </w:tcPr>
          <w:p w14:paraId="2F75123B">
            <w:pPr>
              <w:widowControl/>
              <w:jc w:val="center"/>
              <w:rPr>
                <w:rFonts w:ascii="仿宋_GB2312" w:hAnsi="仿宋_GB2312" w:eastAsia="仿宋_GB2312" w:cs="仿宋_GB2312"/>
                <w:sz w:val="16"/>
                <w:szCs w:val="16"/>
              </w:rPr>
            </w:pPr>
            <w:r>
              <w:rPr>
                <w:rFonts w:hint="eastAsia" w:ascii="仿宋_GB2312" w:eastAsia="仿宋_GB2312"/>
                <w:color w:val="000000"/>
                <w:sz w:val="16"/>
                <w:szCs w:val="16"/>
              </w:rPr>
              <w:t>设备使用年限（年）</w:t>
            </w:r>
          </w:p>
        </w:tc>
        <w:tc>
          <w:tcPr>
            <w:tcW w:w="1276" w:type="dxa"/>
            <w:vAlign w:val="center"/>
          </w:tcPr>
          <w:p w14:paraId="4857C76B">
            <w:pPr>
              <w:widowControl/>
              <w:jc w:val="center"/>
              <w:rPr>
                <w:rFonts w:ascii="仿宋_GB2312" w:hAnsi="仿宋_GB2312" w:eastAsia="仿宋_GB2312" w:cs="仿宋_GB2312"/>
                <w:sz w:val="16"/>
                <w:szCs w:val="16"/>
              </w:rPr>
            </w:pPr>
            <w:r>
              <w:rPr>
                <w:rFonts w:hint="eastAsia" w:ascii="仿宋_GB2312" w:eastAsia="仿宋_GB2312"/>
                <w:color w:val="000000"/>
                <w:sz w:val="16"/>
                <w:szCs w:val="16"/>
              </w:rPr>
              <w:t>主要在用医院（如有请例举3家以内）</w:t>
            </w:r>
          </w:p>
        </w:tc>
        <w:tc>
          <w:tcPr>
            <w:tcW w:w="709" w:type="dxa"/>
            <w:vAlign w:val="center"/>
          </w:tcPr>
          <w:p w14:paraId="74C67B6B">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14:paraId="356E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420A7D7A">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05" w:type="dxa"/>
            <w:gridSpan w:val="3"/>
            <w:vAlign w:val="center"/>
          </w:tcPr>
          <w:p w14:paraId="277C865E">
            <w:pPr>
              <w:jc w:val="center"/>
              <w:rPr>
                <w:rFonts w:ascii="仿宋_GB2312" w:hAnsi="仿宋_GB2312" w:eastAsia="仿宋_GB2312" w:cs="仿宋_GB2312"/>
                <w:sz w:val="18"/>
                <w:szCs w:val="18"/>
              </w:rPr>
            </w:pPr>
            <w:r>
              <w:rPr>
                <w:rFonts w:hint="eastAsia" w:ascii="仿宋_GB2312" w:eastAsia="仿宋_GB2312"/>
                <w:color w:val="000000"/>
                <w:sz w:val="18"/>
                <w:szCs w:val="18"/>
              </w:rPr>
              <w:t>Nd:YAG皮秒激光治疗机</w:t>
            </w:r>
          </w:p>
        </w:tc>
        <w:tc>
          <w:tcPr>
            <w:tcW w:w="850" w:type="dxa"/>
            <w:vAlign w:val="center"/>
          </w:tcPr>
          <w:p w14:paraId="6F3B7DD7">
            <w:pPr>
              <w:jc w:val="center"/>
              <w:rPr>
                <w:rFonts w:ascii="仿宋_GB2312" w:hAnsi="仿宋_GB2312" w:eastAsia="仿宋_GB2312" w:cs="仿宋_GB2312"/>
                <w:szCs w:val="21"/>
              </w:rPr>
            </w:pPr>
          </w:p>
        </w:tc>
        <w:tc>
          <w:tcPr>
            <w:tcW w:w="993" w:type="dxa"/>
            <w:vAlign w:val="center"/>
          </w:tcPr>
          <w:p w14:paraId="58579C10">
            <w:pPr>
              <w:jc w:val="center"/>
              <w:rPr>
                <w:rFonts w:ascii="仿宋_GB2312" w:hAnsi="仿宋_GB2312" w:eastAsia="仿宋_GB2312" w:cs="仿宋_GB2312"/>
                <w:szCs w:val="21"/>
              </w:rPr>
            </w:pPr>
          </w:p>
        </w:tc>
        <w:tc>
          <w:tcPr>
            <w:tcW w:w="567" w:type="dxa"/>
            <w:vAlign w:val="center"/>
          </w:tcPr>
          <w:p w14:paraId="340AEE80">
            <w:pPr>
              <w:jc w:val="center"/>
              <w:rPr>
                <w:rFonts w:ascii="仿宋_GB2312" w:hAnsi="仿宋_GB2312" w:eastAsia="仿宋_GB2312" w:cs="仿宋_GB2312"/>
                <w:szCs w:val="21"/>
              </w:rPr>
            </w:pPr>
          </w:p>
        </w:tc>
        <w:tc>
          <w:tcPr>
            <w:tcW w:w="567" w:type="dxa"/>
          </w:tcPr>
          <w:p w14:paraId="6C365822">
            <w:pPr>
              <w:jc w:val="center"/>
              <w:rPr>
                <w:rFonts w:ascii="仿宋_GB2312" w:hAnsi="仿宋_GB2312" w:eastAsia="仿宋_GB2312" w:cs="仿宋_GB2312"/>
                <w:szCs w:val="21"/>
              </w:rPr>
            </w:pPr>
          </w:p>
        </w:tc>
        <w:tc>
          <w:tcPr>
            <w:tcW w:w="1417" w:type="dxa"/>
          </w:tcPr>
          <w:p w14:paraId="4C8171B3">
            <w:pPr>
              <w:jc w:val="center"/>
              <w:rPr>
                <w:rFonts w:ascii="仿宋_GB2312" w:hAnsi="仿宋_GB2312" w:eastAsia="仿宋_GB2312" w:cs="仿宋_GB2312"/>
                <w:szCs w:val="21"/>
              </w:rPr>
            </w:pPr>
          </w:p>
        </w:tc>
        <w:tc>
          <w:tcPr>
            <w:tcW w:w="567" w:type="dxa"/>
          </w:tcPr>
          <w:p w14:paraId="508FF111">
            <w:pPr>
              <w:jc w:val="center"/>
              <w:rPr>
                <w:rFonts w:ascii="仿宋_GB2312" w:hAnsi="仿宋_GB2312" w:eastAsia="仿宋_GB2312" w:cs="仿宋_GB2312"/>
                <w:szCs w:val="21"/>
              </w:rPr>
            </w:pPr>
          </w:p>
        </w:tc>
        <w:tc>
          <w:tcPr>
            <w:tcW w:w="567" w:type="dxa"/>
          </w:tcPr>
          <w:p w14:paraId="3D1FF676">
            <w:pPr>
              <w:jc w:val="center"/>
              <w:rPr>
                <w:rFonts w:ascii="仿宋_GB2312" w:hAnsi="仿宋_GB2312" w:eastAsia="仿宋_GB2312" w:cs="仿宋_GB2312"/>
                <w:szCs w:val="21"/>
              </w:rPr>
            </w:pPr>
          </w:p>
        </w:tc>
        <w:tc>
          <w:tcPr>
            <w:tcW w:w="992" w:type="dxa"/>
          </w:tcPr>
          <w:p w14:paraId="45CE6EF2">
            <w:pPr>
              <w:jc w:val="center"/>
              <w:rPr>
                <w:rFonts w:ascii="仿宋_GB2312" w:hAnsi="仿宋_GB2312" w:eastAsia="仿宋_GB2312" w:cs="仿宋_GB2312"/>
                <w:szCs w:val="21"/>
              </w:rPr>
            </w:pPr>
          </w:p>
        </w:tc>
        <w:tc>
          <w:tcPr>
            <w:tcW w:w="708" w:type="dxa"/>
          </w:tcPr>
          <w:p w14:paraId="4970DE3B">
            <w:pPr>
              <w:jc w:val="center"/>
              <w:rPr>
                <w:rFonts w:ascii="仿宋_GB2312" w:hAnsi="仿宋_GB2312" w:eastAsia="仿宋_GB2312" w:cs="仿宋_GB2312"/>
                <w:szCs w:val="21"/>
              </w:rPr>
            </w:pPr>
          </w:p>
        </w:tc>
        <w:tc>
          <w:tcPr>
            <w:tcW w:w="1276" w:type="dxa"/>
          </w:tcPr>
          <w:p w14:paraId="5067A38A">
            <w:pPr>
              <w:jc w:val="center"/>
              <w:rPr>
                <w:rFonts w:ascii="仿宋_GB2312" w:hAnsi="仿宋_GB2312" w:eastAsia="仿宋_GB2312" w:cs="仿宋_GB2312"/>
                <w:szCs w:val="21"/>
              </w:rPr>
            </w:pPr>
          </w:p>
        </w:tc>
        <w:tc>
          <w:tcPr>
            <w:tcW w:w="709" w:type="dxa"/>
            <w:vAlign w:val="center"/>
          </w:tcPr>
          <w:p w14:paraId="226C726D">
            <w:pPr>
              <w:jc w:val="center"/>
              <w:rPr>
                <w:rFonts w:ascii="仿宋_GB2312" w:hAnsi="仿宋_GB2312" w:eastAsia="仿宋_GB2312" w:cs="仿宋_GB2312"/>
                <w:szCs w:val="21"/>
              </w:rPr>
            </w:pPr>
          </w:p>
        </w:tc>
      </w:tr>
      <w:tr w14:paraId="7C5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6E773591">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05" w:type="dxa"/>
            <w:gridSpan w:val="3"/>
            <w:vAlign w:val="center"/>
          </w:tcPr>
          <w:p w14:paraId="6E4EDB0F">
            <w:pPr>
              <w:jc w:val="center"/>
              <w:rPr>
                <w:rFonts w:ascii="仿宋_GB2312" w:hAnsi="仿宋_GB2312" w:eastAsia="仿宋_GB2312" w:cs="仿宋_GB2312"/>
                <w:sz w:val="18"/>
                <w:szCs w:val="18"/>
              </w:rPr>
            </w:pPr>
            <w:r>
              <w:rPr>
                <w:rFonts w:hint="eastAsia" w:ascii="仿宋_GB2312" w:eastAsia="仿宋_GB2312"/>
                <w:color w:val="000000"/>
                <w:sz w:val="18"/>
                <w:szCs w:val="18"/>
              </w:rPr>
              <w:t>高通量测序仪</w:t>
            </w:r>
          </w:p>
        </w:tc>
        <w:tc>
          <w:tcPr>
            <w:tcW w:w="850" w:type="dxa"/>
            <w:vAlign w:val="center"/>
          </w:tcPr>
          <w:p w14:paraId="6236B121">
            <w:pPr>
              <w:jc w:val="center"/>
              <w:rPr>
                <w:rFonts w:ascii="仿宋_GB2312" w:hAnsi="仿宋_GB2312" w:eastAsia="仿宋_GB2312" w:cs="仿宋_GB2312"/>
                <w:szCs w:val="21"/>
              </w:rPr>
            </w:pPr>
          </w:p>
        </w:tc>
        <w:tc>
          <w:tcPr>
            <w:tcW w:w="993" w:type="dxa"/>
            <w:vAlign w:val="center"/>
          </w:tcPr>
          <w:p w14:paraId="6736215E">
            <w:pPr>
              <w:jc w:val="center"/>
              <w:rPr>
                <w:rFonts w:ascii="仿宋_GB2312" w:hAnsi="仿宋_GB2312" w:eastAsia="仿宋_GB2312" w:cs="仿宋_GB2312"/>
                <w:szCs w:val="21"/>
              </w:rPr>
            </w:pPr>
          </w:p>
        </w:tc>
        <w:tc>
          <w:tcPr>
            <w:tcW w:w="567" w:type="dxa"/>
            <w:vAlign w:val="center"/>
          </w:tcPr>
          <w:p w14:paraId="22AAFFF2">
            <w:pPr>
              <w:jc w:val="center"/>
              <w:rPr>
                <w:rFonts w:ascii="仿宋_GB2312" w:hAnsi="仿宋_GB2312" w:eastAsia="仿宋_GB2312" w:cs="仿宋_GB2312"/>
                <w:szCs w:val="21"/>
              </w:rPr>
            </w:pPr>
          </w:p>
        </w:tc>
        <w:tc>
          <w:tcPr>
            <w:tcW w:w="567" w:type="dxa"/>
          </w:tcPr>
          <w:p w14:paraId="59531E19">
            <w:pPr>
              <w:jc w:val="center"/>
              <w:rPr>
                <w:rFonts w:ascii="仿宋_GB2312" w:hAnsi="仿宋_GB2312" w:eastAsia="仿宋_GB2312" w:cs="仿宋_GB2312"/>
                <w:b/>
                <w:bCs/>
                <w:szCs w:val="21"/>
              </w:rPr>
            </w:pPr>
          </w:p>
        </w:tc>
        <w:tc>
          <w:tcPr>
            <w:tcW w:w="1417" w:type="dxa"/>
          </w:tcPr>
          <w:p w14:paraId="4C3156B3">
            <w:pPr>
              <w:jc w:val="center"/>
              <w:rPr>
                <w:rFonts w:ascii="仿宋_GB2312" w:hAnsi="仿宋_GB2312" w:eastAsia="仿宋_GB2312" w:cs="仿宋_GB2312"/>
                <w:b/>
                <w:bCs/>
                <w:szCs w:val="21"/>
              </w:rPr>
            </w:pPr>
          </w:p>
        </w:tc>
        <w:tc>
          <w:tcPr>
            <w:tcW w:w="567" w:type="dxa"/>
          </w:tcPr>
          <w:p w14:paraId="1EF755FD">
            <w:pPr>
              <w:jc w:val="center"/>
              <w:rPr>
                <w:rFonts w:ascii="仿宋_GB2312" w:hAnsi="仿宋_GB2312" w:eastAsia="仿宋_GB2312" w:cs="仿宋_GB2312"/>
                <w:b/>
                <w:bCs/>
                <w:szCs w:val="21"/>
              </w:rPr>
            </w:pPr>
          </w:p>
        </w:tc>
        <w:tc>
          <w:tcPr>
            <w:tcW w:w="567" w:type="dxa"/>
          </w:tcPr>
          <w:p w14:paraId="11AA8402">
            <w:pPr>
              <w:jc w:val="center"/>
              <w:rPr>
                <w:rFonts w:ascii="仿宋_GB2312" w:hAnsi="仿宋_GB2312" w:eastAsia="仿宋_GB2312" w:cs="仿宋_GB2312"/>
                <w:b/>
                <w:bCs/>
                <w:szCs w:val="21"/>
              </w:rPr>
            </w:pPr>
          </w:p>
        </w:tc>
        <w:tc>
          <w:tcPr>
            <w:tcW w:w="992" w:type="dxa"/>
          </w:tcPr>
          <w:p w14:paraId="0C4F3F2C">
            <w:pPr>
              <w:jc w:val="center"/>
              <w:rPr>
                <w:rFonts w:ascii="仿宋_GB2312" w:hAnsi="仿宋_GB2312" w:eastAsia="仿宋_GB2312" w:cs="仿宋_GB2312"/>
                <w:b/>
                <w:bCs/>
                <w:szCs w:val="21"/>
              </w:rPr>
            </w:pPr>
          </w:p>
        </w:tc>
        <w:tc>
          <w:tcPr>
            <w:tcW w:w="708" w:type="dxa"/>
          </w:tcPr>
          <w:p w14:paraId="4A4FC3C4">
            <w:pPr>
              <w:jc w:val="center"/>
              <w:rPr>
                <w:rFonts w:ascii="仿宋_GB2312" w:hAnsi="仿宋_GB2312" w:eastAsia="仿宋_GB2312" w:cs="仿宋_GB2312"/>
                <w:b/>
                <w:bCs/>
                <w:szCs w:val="21"/>
              </w:rPr>
            </w:pPr>
          </w:p>
        </w:tc>
        <w:tc>
          <w:tcPr>
            <w:tcW w:w="1276" w:type="dxa"/>
          </w:tcPr>
          <w:p w14:paraId="355EE2C1">
            <w:pPr>
              <w:jc w:val="center"/>
              <w:rPr>
                <w:rFonts w:ascii="仿宋_GB2312" w:hAnsi="仿宋_GB2312" w:eastAsia="仿宋_GB2312" w:cs="仿宋_GB2312"/>
                <w:b/>
                <w:bCs/>
                <w:szCs w:val="21"/>
              </w:rPr>
            </w:pPr>
          </w:p>
        </w:tc>
        <w:tc>
          <w:tcPr>
            <w:tcW w:w="709" w:type="dxa"/>
            <w:vAlign w:val="center"/>
          </w:tcPr>
          <w:p w14:paraId="1529B6DE">
            <w:pPr>
              <w:jc w:val="center"/>
              <w:rPr>
                <w:rFonts w:ascii="仿宋_GB2312" w:hAnsi="仿宋_GB2312" w:eastAsia="仿宋_GB2312" w:cs="仿宋_GB2312"/>
                <w:b/>
                <w:bCs/>
                <w:szCs w:val="21"/>
              </w:rPr>
            </w:pPr>
          </w:p>
        </w:tc>
      </w:tr>
      <w:tr w14:paraId="7EA2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21D14C66">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05" w:type="dxa"/>
            <w:gridSpan w:val="3"/>
            <w:vAlign w:val="center"/>
          </w:tcPr>
          <w:p w14:paraId="756C989A">
            <w:pPr>
              <w:jc w:val="center"/>
              <w:rPr>
                <w:rFonts w:ascii="仿宋_GB2312" w:hAnsi="仿宋_GB2312" w:eastAsia="仿宋_GB2312" w:cs="仿宋_GB2312"/>
                <w:sz w:val="18"/>
                <w:szCs w:val="18"/>
              </w:rPr>
            </w:pPr>
            <w:r>
              <w:rPr>
                <w:rFonts w:hint="eastAsia" w:ascii="仿宋" w:hAnsi="仿宋" w:eastAsia="仿宋"/>
                <w:color w:val="000000"/>
                <w:sz w:val="18"/>
                <w:szCs w:val="18"/>
              </w:rPr>
              <w:t>高强度聚焦超声</w:t>
            </w:r>
          </w:p>
        </w:tc>
        <w:tc>
          <w:tcPr>
            <w:tcW w:w="850" w:type="dxa"/>
            <w:vAlign w:val="center"/>
          </w:tcPr>
          <w:p w14:paraId="62274AF2">
            <w:pPr>
              <w:jc w:val="center"/>
              <w:rPr>
                <w:rFonts w:ascii="仿宋_GB2312" w:hAnsi="仿宋_GB2312" w:eastAsia="仿宋_GB2312" w:cs="仿宋_GB2312"/>
                <w:szCs w:val="21"/>
              </w:rPr>
            </w:pPr>
          </w:p>
        </w:tc>
        <w:tc>
          <w:tcPr>
            <w:tcW w:w="993" w:type="dxa"/>
            <w:vAlign w:val="center"/>
          </w:tcPr>
          <w:p w14:paraId="187321A0">
            <w:pPr>
              <w:jc w:val="center"/>
              <w:rPr>
                <w:rFonts w:ascii="仿宋_GB2312" w:hAnsi="仿宋_GB2312" w:eastAsia="仿宋_GB2312" w:cs="仿宋_GB2312"/>
                <w:szCs w:val="21"/>
              </w:rPr>
            </w:pPr>
          </w:p>
        </w:tc>
        <w:tc>
          <w:tcPr>
            <w:tcW w:w="567" w:type="dxa"/>
            <w:vAlign w:val="center"/>
          </w:tcPr>
          <w:p w14:paraId="13DDA655">
            <w:pPr>
              <w:jc w:val="center"/>
              <w:rPr>
                <w:rFonts w:ascii="仿宋_GB2312" w:hAnsi="仿宋_GB2312" w:eastAsia="仿宋_GB2312" w:cs="仿宋_GB2312"/>
                <w:szCs w:val="21"/>
              </w:rPr>
            </w:pPr>
          </w:p>
        </w:tc>
        <w:tc>
          <w:tcPr>
            <w:tcW w:w="567" w:type="dxa"/>
          </w:tcPr>
          <w:p w14:paraId="3942CEFD">
            <w:pPr>
              <w:jc w:val="center"/>
              <w:rPr>
                <w:rFonts w:ascii="仿宋_GB2312" w:hAnsi="仿宋_GB2312" w:eastAsia="仿宋_GB2312" w:cs="仿宋_GB2312"/>
                <w:szCs w:val="21"/>
              </w:rPr>
            </w:pPr>
          </w:p>
        </w:tc>
        <w:tc>
          <w:tcPr>
            <w:tcW w:w="1417" w:type="dxa"/>
          </w:tcPr>
          <w:p w14:paraId="530B9E05">
            <w:pPr>
              <w:jc w:val="center"/>
              <w:rPr>
                <w:rFonts w:ascii="仿宋_GB2312" w:hAnsi="仿宋_GB2312" w:eastAsia="仿宋_GB2312" w:cs="仿宋_GB2312"/>
                <w:szCs w:val="21"/>
              </w:rPr>
            </w:pPr>
          </w:p>
        </w:tc>
        <w:tc>
          <w:tcPr>
            <w:tcW w:w="567" w:type="dxa"/>
          </w:tcPr>
          <w:p w14:paraId="7FBA050C">
            <w:pPr>
              <w:jc w:val="center"/>
              <w:rPr>
                <w:rFonts w:ascii="仿宋_GB2312" w:hAnsi="仿宋_GB2312" w:eastAsia="仿宋_GB2312" w:cs="仿宋_GB2312"/>
                <w:szCs w:val="21"/>
              </w:rPr>
            </w:pPr>
          </w:p>
        </w:tc>
        <w:tc>
          <w:tcPr>
            <w:tcW w:w="567" w:type="dxa"/>
          </w:tcPr>
          <w:p w14:paraId="1E609865">
            <w:pPr>
              <w:jc w:val="center"/>
              <w:rPr>
                <w:rFonts w:ascii="仿宋_GB2312" w:hAnsi="仿宋_GB2312" w:eastAsia="仿宋_GB2312" w:cs="仿宋_GB2312"/>
                <w:szCs w:val="21"/>
              </w:rPr>
            </w:pPr>
          </w:p>
        </w:tc>
        <w:tc>
          <w:tcPr>
            <w:tcW w:w="992" w:type="dxa"/>
          </w:tcPr>
          <w:p w14:paraId="7AC3180E">
            <w:pPr>
              <w:jc w:val="center"/>
              <w:rPr>
                <w:rFonts w:ascii="仿宋_GB2312" w:hAnsi="仿宋_GB2312" w:eastAsia="仿宋_GB2312" w:cs="仿宋_GB2312"/>
                <w:szCs w:val="21"/>
              </w:rPr>
            </w:pPr>
          </w:p>
        </w:tc>
        <w:tc>
          <w:tcPr>
            <w:tcW w:w="708" w:type="dxa"/>
          </w:tcPr>
          <w:p w14:paraId="297EC839">
            <w:pPr>
              <w:jc w:val="center"/>
              <w:rPr>
                <w:rFonts w:ascii="仿宋_GB2312" w:hAnsi="仿宋_GB2312" w:eastAsia="仿宋_GB2312" w:cs="仿宋_GB2312"/>
                <w:szCs w:val="21"/>
              </w:rPr>
            </w:pPr>
          </w:p>
        </w:tc>
        <w:tc>
          <w:tcPr>
            <w:tcW w:w="1276" w:type="dxa"/>
          </w:tcPr>
          <w:p w14:paraId="7FD40559">
            <w:pPr>
              <w:jc w:val="center"/>
              <w:rPr>
                <w:rFonts w:ascii="仿宋_GB2312" w:hAnsi="仿宋_GB2312" w:eastAsia="仿宋_GB2312" w:cs="仿宋_GB2312"/>
                <w:szCs w:val="21"/>
              </w:rPr>
            </w:pPr>
          </w:p>
        </w:tc>
        <w:tc>
          <w:tcPr>
            <w:tcW w:w="709" w:type="dxa"/>
            <w:vAlign w:val="center"/>
          </w:tcPr>
          <w:p w14:paraId="03DE34F3">
            <w:pPr>
              <w:jc w:val="center"/>
              <w:rPr>
                <w:rFonts w:ascii="仿宋_GB2312" w:hAnsi="仿宋_GB2312" w:eastAsia="仿宋_GB2312" w:cs="仿宋_GB2312"/>
                <w:szCs w:val="21"/>
              </w:rPr>
            </w:pPr>
          </w:p>
        </w:tc>
      </w:tr>
      <w:tr w14:paraId="0B65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29EA869D">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05" w:type="dxa"/>
            <w:gridSpan w:val="3"/>
            <w:vAlign w:val="center"/>
          </w:tcPr>
          <w:p w14:paraId="253AF181">
            <w:pPr>
              <w:jc w:val="center"/>
              <w:rPr>
                <w:rFonts w:ascii="仿宋_GB2312" w:hAnsi="仿宋_GB2312" w:eastAsia="仿宋_GB2312" w:cs="仿宋_GB2312"/>
                <w:sz w:val="18"/>
                <w:szCs w:val="18"/>
              </w:rPr>
            </w:pPr>
            <w:r>
              <w:rPr>
                <w:rFonts w:hint="eastAsia" w:ascii="仿宋" w:hAnsi="仿宋" w:eastAsia="仿宋"/>
                <w:color w:val="000000"/>
                <w:sz w:val="18"/>
                <w:szCs w:val="18"/>
              </w:rPr>
              <w:t>血透用水处理系统</w:t>
            </w:r>
          </w:p>
        </w:tc>
        <w:tc>
          <w:tcPr>
            <w:tcW w:w="850" w:type="dxa"/>
            <w:vAlign w:val="center"/>
          </w:tcPr>
          <w:p w14:paraId="614FABBE">
            <w:pPr>
              <w:jc w:val="center"/>
              <w:rPr>
                <w:rFonts w:ascii="仿宋_GB2312" w:hAnsi="仿宋_GB2312" w:eastAsia="仿宋_GB2312" w:cs="仿宋_GB2312"/>
                <w:szCs w:val="21"/>
              </w:rPr>
            </w:pPr>
          </w:p>
        </w:tc>
        <w:tc>
          <w:tcPr>
            <w:tcW w:w="993" w:type="dxa"/>
            <w:vAlign w:val="center"/>
          </w:tcPr>
          <w:p w14:paraId="487C759C">
            <w:pPr>
              <w:jc w:val="center"/>
              <w:rPr>
                <w:rFonts w:ascii="仿宋_GB2312" w:hAnsi="仿宋_GB2312" w:eastAsia="仿宋_GB2312" w:cs="仿宋_GB2312"/>
                <w:szCs w:val="21"/>
              </w:rPr>
            </w:pPr>
          </w:p>
        </w:tc>
        <w:tc>
          <w:tcPr>
            <w:tcW w:w="567" w:type="dxa"/>
            <w:vAlign w:val="center"/>
          </w:tcPr>
          <w:p w14:paraId="69B8B67D">
            <w:pPr>
              <w:jc w:val="center"/>
              <w:rPr>
                <w:rFonts w:ascii="仿宋_GB2312" w:hAnsi="仿宋_GB2312" w:eastAsia="仿宋_GB2312" w:cs="仿宋_GB2312"/>
                <w:szCs w:val="21"/>
              </w:rPr>
            </w:pPr>
          </w:p>
        </w:tc>
        <w:tc>
          <w:tcPr>
            <w:tcW w:w="567" w:type="dxa"/>
          </w:tcPr>
          <w:p w14:paraId="6E3DCAED">
            <w:pPr>
              <w:jc w:val="center"/>
              <w:rPr>
                <w:rFonts w:ascii="仿宋_GB2312" w:hAnsi="仿宋_GB2312" w:eastAsia="仿宋_GB2312" w:cs="仿宋_GB2312"/>
                <w:szCs w:val="21"/>
              </w:rPr>
            </w:pPr>
          </w:p>
        </w:tc>
        <w:tc>
          <w:tcPr>
            <w:tcW w:w="1417" w:type="dxa"/>
          </w:tcPr>
          <w:p w14:paraId="539EC70E">
            <w:pPr>
              <w:jc w:val="center"/>
              <w:rPr>
                <w:rFonts w:ascii="仿宋_GB2312" w:hAnsi="仿宋_GB2312" w:eastAsia="仿宋_GB2312" w:cs="仿宋_GB2312"/>
                <w:szCs w:val="21"/>
              </w:rPr>
            </w:pPr>
          </w:p>
        </w:tc>
        <w:tc>
          <w:tcPr>
            <w:tcW w:w="567" w:type="dxa"/>
          </w:tcPr>
          <w:p w14:paraId="0D473FBA">
            <w:pPr>
              <w:jc w:val="center"/>
              <w:rPr>
                <w:rFonts w:ascii="仿宋_GB2312" w:hAnsi="仿宋_GB2312" w:eastAsia="仿宋_GB2312" w:cs="仿宋_GB2312"/>
                <w:szCs w:val="21"/>
              </w:rPr>
            </w:pPr>
          </w:p>
        </w:tc>
        <w:tc>
          <w:tcPr>
            <w:tcW w:w="567" w:type="dxa"/>
          </w:tcPr>
          <w:p w14:paraId="01647BAB">
            <w:pPr>
              <w:jc w:val="center"/>
              <w:rPr>
                <w:rFonts w:ascii="仿宋_GB2312" w:hAnsi="仿宋_GB2312" w:eastAsia="仿宋_GB2312" w:cs="仿宋_GB2312"/>
                <w:szCs w:val="21"/>
              </w:rPr>
            </w:pPr>
          </w:p>
        </w:tc>
        <w:tc>
          <w:tcPr>
            <w:tcW w:w="992" w:type="dxa"/>
          </w:tcPr>
          <w:p w14:paraId="06E91256">
            <w:pPr>
              <w:jc w:val="center"/>
              <w:rPr>
                <w:rFonts w:ascii="仿宋_GB2312" w:hAnsi="仿宋_GB2312" w:eastAsia="仿宋_GB2312" w:cs="仿宋_GB2312"/>
                <w:szCs w:val="21"/>
              </w:rPr>
            </w:pPr>
          </w:p>
        </w:tc>
        <w:tc>
          <w:tcPr>
            <w:tcW w:w="708" w:type="dxa"/>
          </w:tcPr>
          <w:p w14:paraId="36711E19">
            <w:pPr>
              <w:jc w:val="center"/>
              <w:rPr>
                <w:rFonts w:ascii="仿宋_GB2312" w:hAnsi="仿宋_GB2312" w:eastAsia="仿宋_GB2312" w:cs="仿宋_GB2312"/>
                <w:szCs w:val="21"/>
              </w:rPr>
            </w:pPr>
          </w:p>
        </w:tc>
        <w:tc>
          <w:tcPr>
            <w:tcW w:w="1276" w:type="dxa"/>
          </w:tcPr>
          <w:p w14:paraId="2C9C748C">
            <w:pPr>
              <w:jc w:val="center"/>
              <w:rPr>
                <w:rFonts w:ascii="仿宋_GB2312" w:hAnsi="仿宋_GB2312" w:eastAsia="仿宋_GB2312" w:cs="仿宋_GB2312"/>
                <w:szCs w:val="21"/>
              </w:rPr>
            </w:pPr>
          </w:p>
        </w:tc>
        <w:tc>
          <w:tcPr>
            <w:tcW w:w="709" w:type="dxa"/>
            <w:vAlign w:val="center"/>
          </w:tcPr>
          <w:p w14:paraId="092FD75C">
            <w:pPr>
              <w:jc w:val="center"/>
              <w:rPr>
                <w:rFonts w:ascii="仿宋_GB2312" w:hAnsi="仿宋_GB2312" w:eastAsia="仿宋_GB2312" w:cs="仿宋_GB2312"/>
                <w:szCs w:val="21"/>
              </w:rPr>
            </w:pPr>
          </w:p>
        </w:tc>
      </w:tr>
      <w:tr w14:paraId="72D1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024B46A0">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205" w:type="dxa"/>
            <w:gridSpan w:val="3"/>
            <w:vAlign w:val="center"/>
          </w:tcPr>
          <w:p w14:paraId="1CE106EC">
            <w:pPr>
              <w:jc w:val="center"/>
              <w:rPr>
                <w:rFonts w:ascii="仿宋_GB2312" w:hAnsi="仿宋_GB2312" w:eastAsia="仿宋_GB2312" w:cs="仿宋_GB2312"/>
                <w:sz w:val="18"/>
                <w:szCs w:val="18"/>
              </w:rPr>
            </w:pPr>
            <w:r>
              <w:rPr>
                <w:rFonts w:hint="eastAsia" w:ascii="仿宋" w:hAnsi="仿宋" w:eastAsia="仿宋"/>
                <w:color w:val="000000"/>
                <w:sz w:val="18"/>
                <w:szCs w:val="18"/>
              </w:rPr>
              <w:t>螺旋CT</w:t>
            </w:r>
          </w:p>
        </w:tc>
        <w:tc>
          <w:tcPr>
            <w:tcW w:w="850" w:type="dxa"/>
            <w:vAlign w:val="center"/>
          </w:tcPr>
          <w:p w14:paraId="7FD3584F">
            <w:pPr>
              <w:jc w:val="center"/>
              <w:rPr>
                <w:rFonts w:ascii="仿宋_GB2312" w:hAnsi="仿宋_GB2312" w:eastAsia="仿宋_GB2312" w:cs="仿宋_GB2312"/>
                <w:szCs w:val="21"/>
              </w:rPr>
            </w:pPr>
          </w:p>
        </w:tc>
        <w:tc>
          <w:tcPr>
            <w:tcW w:w="993" w:type="dxa"/>
            <w:vAlign w:val="center"/>
          </w:tcPr>
          <w:p w14:paraId="69EFD7F7">
            <w:pPr>
              <w:jc w:val="center"/>
              <w:rPr>
                <w:rFonts w:ascii="仿宋_GB2312" w:hAnsi="仿宋_GB2312" w:eastAsia="仿宋_GB2312" w:cs="仿宋_GB2312"/>
                <w:szCs w:val="21"/>
              </w:rPr>
            </w:pPr>
          </w:p>
        </w:tc>
        <w:tc>
          <w:tcPr>
            <w:tcW w:w="567" w:type="dxa"/>
            <w:vAlign w:val="center"/>
          </w:tcPr>
          <w:p w14:paraId="313D15F1">
            <w:pPr>
              <w:jc w:val="center"/>
              <w:rPr>
                <w:rFonts w:ascii="仿宋_GB2312" w:hAnsi="仿宋_GB2312" w:eastAsia="仿宋_GB2312" w:cs="仿宋_GB2312"/>
                <w:szCs w:val="21"/>
              </w:rPr>
            </w:pPr>
          </w:p>
        </w:tc>
        <w:tc>
          <w:tcPr>
            <w:tcW w:w="567" w:type="dxa"/>
          </w:tcPr>
          <w:p w14:paraId="0F7F9805">
            <w:pPr>
              <w:jc w:val="center"/>
              <w:rPr>
                <w:rFonts w:ascii="仿宋_GB2312" w:hAnsi="仿宋_GB2312" w:eastAsia="仿宋_GB2312" w:cs="仿宋_GB2312"/>
                <w:szCs w:val="21"/>
              </w:rPr>
            </w:pPr>
          </w:p>
        </w:tc>
        <w:tc>
          <w:tcPr>
            <w:tcW w:w="1417" w:type="dxa"/>
          </w:tcPr>
          <w:p w14:paraId="2CF7A6A6">
            <w:pPr>
              <w:jc w:val="center"/>
              <w:rPr>
                <w:rFonts w:ascii="仿宋_GB2312" w:hAnsi="仿宋_GB2312" w:eastAsia="仿宋_GB2312" w:cs="仿宋_GB2312"/>
                <w:szCs w:val="21"/>
              </w:rPr>
            </w:pPr>
          </w:p>
        </w:tc>
        <w:tc>
          <w:tcPr>
            <w:tcW w:w="567" w:type="dxa"/>
          </w:tcPr>
          <w:p w14:paraId="33C0F5F0">
            <w:pPr>
              <w:jc w:val="center"/>
              <w:rPr>
                <w:rFonts w:ascii="仿宋_GB2312" w:hAnsi="仿宋_GB2312" w:eastAsia="仿宋_GB2312" w:cs="仿宋_GB2312"/>
                <w:szCs w:val="21"/>
              </w:rPr>
            </w:pPr>
          </w:p>
        </w:tc>
        <w:tc>
          <w:tcPr>
            <w:tcW w:w="567" w:type="dxa"/>
          </w:tcPr>
          <w:p w14:paraId="0CA7C48B">
            <w:pPr>
              <w:jc w:val="center"/>
              <w:rPr>
                <w:rFonts w:ascii="仿宋_GB2312" w:hAnsi="仿宋_GB2312" w:eastAsia="仿宋_GB2312" w:cs="仿宋_GB2312"/>
                <w:szCs w:val="21"/>
              </w:rPr>
            </w:pPr>
          </w:p>
        </w:tc>
        <w:tc>
          <w:tcPr>
            <w:tcW w:w="992" w:type="dxa"/>
          </w:tcPr>
          <w:p w14:paraId="1B2BBF7F">
            <w:pPr>
              <w:jc w:val="center"/>
              <w:rPr>
                <w:rFonts w:ascii="仿宋_GB2312" w:hAnsi="仿宋_GB2312" w:eastAsia="仿宋_GB2312" w:cs="仿宋_GB2312"/>
                <w:szCs w:val="21"/>
              </w:rPr>
            </w:pPr>
          </w:p>
        </w:tc>
        <w:tc>
          <w:tcPr>
            <w:tcW w:w="708" w:type="dxa"/>
          </w:tcPr>
          <w:p w14:paraId="785E2B0C">
            <w:pPr>
              <w:jc w:val="center"/>
              <w:rPr>
                <w:rFonts w:ascii="仿宋_GB2312" w:hAnsi="仿宋_GB2312" w:eastAsia="仿宋_GB2312" w:cs="仿宋_GB2312"/>
                <w:szCs w:val="21"/>
              </w:rPr>
            </w:pPr>
          </w:p>
        </w:tc>
        <w:tc>
          <w:tcPr>
            <w:tcW w:w="1276" w:type="dxa"/>
          </w:tcPr>
          <w:p w14:paraId="4FA6693D">
            <w:pPr>
              <w:jc w:val="center"/>
              <w:rPr>
                <w:rFonts w:ascii="仿宋_GB2312" w:hAnsi="仿宋_GB2312" w:eastAsia="仿宋_GB2312" w:cs="仿宋_GB2312"/>
                <w:szCs w:val="21"/>
              </w:rPr>
            </w:pPr>
          </w:p>
        </w:tc>
        <w:tc>
          <w:tcPr>
            <w:tcW w:w="709" w:type="dxa"/>
            <w:vAlign w:val="center"/>
          </w:tcPr>
          <w:p w14:paraId="3E2028FE">
            <w:pPr>
              <w:jc w:val="center"/>
              <w:rPr>
                <w:rFonts w:ascii="仿宋_GB2312" w:hAnsi="仿宋_GB2312" w:eastAsia="仿宋_GB2312" w:cs="仿宋_GB2312"/>
                <w:szCs w:val="21"/>
              </w:rPr>
            </w:pPr>
          </w:p>
        </w:tc>
      </w:tr>
      <w:tr w14:paraId="1929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7F9BC7D7">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205" w:type="dxa"/>
            <w:gridSpan w:val="3"/>
            <w:vAlign w:val="center"/>
          </w:tcPr>
          <w:p w14:paraId="164E6CAF">
            <w:pPr>
              <w:jc w:val="center"/>
              <w:rPr>
                <w:rFonts w:ascii="仿宋_GB2312" w:hAnsi="仿宋_GB2312" w:eastAsia="仿宋_GB2312" w:cs="仿宋_GB2312"/>
                <w:sz w:val="18"/>
                <w:szCs w:val="18"/>
              </w:rPr>
            </w:pPr>
            <w:r>
              <w:rPr>
                <w:rFonts w:hint="eastAsia" w:ascii="仿宋" w:hAnsi="仿宋" w:eastAsia="仿宋"/>
                <w:color w:val="000000"/>
                <w:sz w:val="18"/>
                <w:szCs w:val="18"/>
              </w:rPr>
              <w:t>心肺功能测试系统</w:t>
            </w:r>
          </w:p>
        </w:tc>
        <w:tc>
          <w:tcPr>
            <w:tcW w:w="850" w:type="dxa"/>
            <w:vAlign w:val="center"/>
          </w:tcPr>
          <w:p w14:paraId="59AC2680">
            <w:pPr>
              <w:jc w:val="center"/>
              <w:rPr>
                <w:rFonts w:ascii="仿宋_GB2312" w:hAnsi="仿宋_GB2312" w:eastAsia="仿宋_GB2312" w:cs="仿宋_GB2312"/>
                <w:szCs w:val="21"/>
              </w:rPr>
            </w:pPr>
          </w:p>
        </w:tc>
        <w:tc>
          <w:tcPr>
            <w:tcW w:w="993" w:type="dxa"/>
            <w:vAlign w:val="center"/>
          </w:tcPr>
          <w:p w14:paraId="3C4DEDCB">
            <w:pPr>
              <w:jc w:val="center"/>
              <w:rPr>
                <w:rFonts w:ascii="仿宋_GB2312" w:hAnsi="仿宋_GB2312" w:eastAsia="仿宋_GB2312" w:cs="仿宋_GB2312"/>
                <w:szCs w:val="21"/>
              </w:rPr>
            </w:pPr>
          </w:p>
        </w:tc>
        <w:tc>
          <w:tcPr>
            <w:tcW w:w="567" w:type="dxa"/>
            <w:vAlign w:val="center"/>
          </w:tcPr>
          <w:p w14:paraId="14A850CD">
            <w:pPr>
              <w:jc w:val="center"/>
              <w:rPr>
                <w:rFonts w:ascii="仿宋_GB2312" w:hAnsi="仿宋_GB2312" w:eastAsia="仿宋_GB2312" w:cs="仿宋_GB2312"/>
                <w:szCs w:val="21"/>
              </w:rPr>
            </w:pPr>
          </w:p>
        </w:tc>
        <w:tc>
          <w:tcPr>
            <w:tcW w:w="567" w:type="dxa"/>
          </w:tcPr>
          <w:p w14:paraId="482FF568">
            <w:pPr>
              <w:jc w:val="center"/>
              <w:rPr>
                <w:rFonts w:ascii="仿宋_GB2312" w:hAnsi="仿宋_GB2312" w:eastAsia="仿宋_GB2312" w:cs="仿宋_GB2312"/>
                <w:szCs w:val="21"/>
              </w:rPr>
            </w:pPr>
          </w:p>
        </w:tc>
        <w:tc>
          <w:tcPr>
            <w:tcW w:w="1417" w:type="dxa"/>
          </w:tcPr>
          <w:p w14:paraId="47E3BB18">
            <w:pPr>
              <w:jc w:val="center"/>
              <w:rPr>
                <w:rFonts w:ascii="仿宋_GB2312" w:hAnsi="仿宋_GB2312" w:eastAsia="仿宋_GB2312" w:cs="仿宋_GB2312"/>
                <w:szCs w:val="21"/>
              </w:rPr>
            </w:pPr>
          </w:p>
        </w:tc>
        <w:tc>
          <w:tcPr>
            <w:tcW w:w="567" w:type="dxa"/>
          </w:tcPr>
          <w:p w14:paraId="1D7EE568">
            <w:pPr>
              <w:jc w:val="center"/>
              <w:rPr>
                <w:rFonts w:ascii="仿宋_GB2312" w:hAnsi="仿宋_GB2312" w:eastAsia="仿宋_GB2312" w:cs="仿宋_GB2312"/>
                <w:szCs w:val="21"/>
              </w:rPr>
            </w:pPr>
          </w:p>
        </w:tc>
        <w:tc>
          <w:tcPr>
            <w:tcW w:w="567" w:type="dxa"/>
          </w:tcPr>
          <w:p w14:paraId="28338ABE">
            <w:pPr>
              <w:jc w:val="center"/>
              <w:rPr>
                <w:rFonts w:ascii="仿宋_GB2312" w:hAnsi="仿宋_GB2312" w:eastAsia="仿宋_GB2312" w:cs="仿宋_GB2312"/>
                <w:szCs w:val="21"/>
              </w:rPr>
            </w:pPr>
          </w:p>
        </w:tc>
        <w:tc>
          <w:tcPr>
            <w:tcW w:w="992" w:type="dxa"/>
          </w:tcPr>
          <w:p w14:paraId="7A6E7D01">
            <w:pPr>
              <w:jc w:val="center"/>
              <w:rPr>
                <w:rFonts w:ascii="仿宋_GB2312" w:hAnsi="仿宋_GB2312" w:eastAsia="仿宋_GB2312" w:cs="仿宋_GB2312"/>
                <w:szCs w:val="21"/>
              </w:rPr>
            </w:pPr>
          </w:p>
        </w:tc>
        <w:tc>
          <w:tcPr>
            <w:tcW w:w="708" w:type="dxa"/>
          </w:tcPr>
          <w:p w14:paraId="74DCF9E6">
            <w:pPr>
              <w:jc w:val="center"/>
              <w:rPr>
                <w:rFonts w:ascii="仿宋_GB2312" w:hAnsi="仿宋_GB2312" w:eastAsia="仿宋_GB2312" w:cs="仿宋_GB2312"/>
                <w:szCs w:val="21"/>
              </w:rPr>
            </w:pPr>
          </w:p>
        </w:tc>
        <w:tc>
          <w:tcPr>
            <w:tcW w:w="1276" w:type="dxa"/>
          </w:tcPr>
          <w:p w14:paraId="3EA20910">
            <w:pPr>
              <w:jc w:val="center"/>
              <w:rPr>
                <w:rFonts w:ascii="仿宋_GB2312" w:hAnsi="仿宋_GB2312" w:eastAsia="仿宋_GB2312" w:cs="仿宋_GB2312"/>
                <w:szCs w:val="21"/>
              </w:rPr>
            </w:pPr>
          </w:p>
        </w:tc>
        <w:tc>
          <w:tcPr>
            <w:tcW w:w="709" w:type="dxa"/>
            <w:vAlign w:val="center"/>
          </w:tcPr>
          <w:p w14:paraId="183089F6">
            <w:pPr>
              <w:jc w:val="center"/>
              <w:rPr>
                <w:rFonts w:ascii="仿宋_GB2312" w:hAnsi="仿宋_GB2312" w:eastAsia="仿宋_GB2312" w:cs="仿宋_GB2312"/>
                <w:szCs w:val="21"/>
              </w:rPr>
            </w:pPr>
          </w:p>
        </w:tc>
      </w:tr>
      <w:tr w14:paraId="6CCE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5" w:type="dxa"/>
            <w:gridSpan w:val="2"/>
            <w:vAlign w:val="center"/>
          </w:tcPr>
          <w:p w14:paraId="32B0203A">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205" w:type="dxa"/>
            <w:gridSpan w:val="3"/>
            <w:vAlign w:val="center"/>
          </w:tcPr>
          <w:p w14:paraId="29D12AFC">
            <w:pPr>
              <w:jc w:val="center"/>
              <w:rPr>
                <w:rFonts w:ascii="仿宋_GB2312" w:hAnsi="仿宋_GB2312" w:eastAsia="仿宋_GB2312" w:cs="仿宋_GB2312"/>
                <w:sz w:val="18"/>
                <w:szCs w:val="18"/>
              </w:rPr>
            </w:pPr>
            <w:r>
              <w:rPr>
                <w:rFonts w:hint="eastAsia" w:ascii="仿宋" w:hAnsi="仿宋" w:eastAsia="仿宋"/>
                <w:color w:val="000000"/>
                <w:sz w:val="18"/>
                <w:szCs w:val="18"/>
              </w:rPr>
              <w:t>运动负荷试验测试系统</w:t>
            </w:r>
          </w:p>
        </w:tc>
        <w:tc>
          <w:tcPr>
            <w:tcW w:w="850" w:type="dxa"/>
            <w:vAlign w:val="center"/>
          </w:tcPr>
          <w:p w14:paraId="586ADE30">
            <w:pPr>
              <w:jc w:val="center"/>
              <w:rPr>
                <w:rFonts w:ascii="仿宋_GB2312" w:hAnsi="仿宋_GB2312" w:eastAsia="仿宋_GB2312" w:cs="仿宋_GB2312"/>
                <w:szCs w:val="21"/>
              </w:rPr>
            </w:pPr>
          </w:p>
        </w:tc>
        <w:tc>
          <w:tcPr>
            <w:tcW w:w="993" w:type="dxa"/>
            <w:vAlign w:val="center"/>
          </w:tcPr>
          <w:p w14:paraId="16DAACB5">
            <w:pPr>
              <w:jc w:val="center"/>
              <w:rPr>
                <w:rFonts w:ascii="仿宋_GB2312" w:hAnsi="仿宋_GB2312" w:eastAsia="仿宋_GB2312" w:cs="仿宋_GB2312"/>
                <w:szCs w:val="21"/>
              </w:rPr>
            </w:pPr>
          </w:p>
        </w:tc>
        <w:tc>
          <w:tcPr>
            <w:tcW w:w="567" w:type="dxa"/>
            <w:vAlign w:val="center"/>
          </w:tcPr>
          <w:p w14:paraId="5E206A5A">
            <w:pPr>
              <w:jc w:val="center"/>
              <w:rPr>
                <w:rFonts w:ascii="仿宋_GB2312" w:hAnsi="仿宋_GB2312" w:eastAsia="仿宋_GB2312" w:cs="仿宋_GB2312"/>
                <w:szCs w:val="21"/>
              </w:rPr>
            </w:pPr>
          </w:p>
        </w:tc>
        <w:tc>
          <w:tcPr>
            <w:tcW w:w="567" w:type="dxa"/>
          </w:tcPr>
          <w:p w14:paraId="1C9CED4B">
            <w:pPr>
              <w:jc w:val="center"/>
              <w:rPr>
                <w:rFonts w:ascii="仿宋_GB2312" w:hAnsi="仿宋_GB2312" w:eastAsia="仿宋_GB2312" w:cs="仿宋_GB2312"/>
                <w:szCs w:val="21"/>
              </w:rPr>
            </w:pPr>
          </w:p>
        </w:tc>
        <w:tc>
          <w:tcPr>
            <w:tcW w:w="1417" w:type="dxa"/>
          </w:tcPr>
          <w:p w14:paraId="4B480D9E">
            <w:pPr>
              <w:jc w:val="center"/>
              <w:rPr>
                <w:rFonts w:ascii="仿宋_GB2312" w:hAnsi="仿宋_GB2312" w:eastAsia="仿宋_GB2312" w:cs="仿宋_GB2312"/>
                <w:szCs w:val="21"/>
              </w:rPr>
            </w:pPr>
          </w:p>
        </w:tc>
        <w:tc>
          <w:tcPr>
            <w:tcW w:w="567" w:type="dxa"/>
          </w:tcPr>
          <w:p w14:paraId="263F4928">
            <w:pPr>
              <w:jc w:val="center"/>
              <w:rPr>
                <w:rFonts w:ascii="仿宋_GB2312" w:hAnsi="仿宋_GB2312" w:eastAsia="仿宋_GB2312" w:cs="仿宋_GB2312"/>
                <w:szCs w:val="21"/>
              </w:rPr>
            </w:pPr>
          </w:p>
        </w:tc>
        <w:tc>
          <w:tcPr>
            <w:tcW w:w="567" w:type="dxa"/>
          </w:tcPr>
          <w:p w14:paraId="64E64671">
            <w:pPr>
              <w:jc w:val="center"/>
              <w:rPr>
                <w:rFonts w:ascii="仿宋_GB2312" w:hAnsi="仿宋_GB2312" w:eastAsia="仿宋_GB2312" w:cs="仿宋_GB2312"/>
                <w:szCs w:val="21"/>
              </w:rPr>
            </w:pPr>
          </w:p>
        </w:tc>
        <w:tc>
          <w:tcPr>
            <w:tcW w:w="992" w:type="dxa"/>
          </w:tcPr>
          <w:p w14:paraId="71293EC1">
            <w:pPr>
              <w:jc w:val="center"/>
              <w:rPr>
                <w:rFonts w:ascii="仿宋_GB2312" w:hAnsi="仿宋_GB2312" w:eastAsia="仿宋_GB2312" w:cs="仿宋_GB2312"/>
                <w:szCs w:val="21"/>
              </w:rPr>
            </w:pPr>
          </w:p>
        </w:tc>
        <w:tc>
          <w:tcPr>
            <w:tcW w:w="708" w:type="dxa"/>
          </w:tcPr>
          <w:p w14:paraId="56596CEB">
            <w:pPr>
              <w:jc w:val="center"/>
              <w:rPr>
                <w:rFonts w:ascii="仿宋_GB2312" w:hAnsi="仿宋_GB2312" w:eastAsia="仿宋_GB2312" w:cs="仿宋_GB2312"/>
                <w:szCs w:val="21"/>
              </w:rPr>
            </w:pPr>
          </w:p>
        </w:tc>
        <w:tc>
          <w:tcPr>
            <w:tcW w:w="1276" w:type="dxa"/>
          </w:tcPr>
          <w:p w14:paraId="3FB4687C">
            <w:pPr>
              <w:jc w:val="center"/>
              <w:rPr>
                <w:rFonts w:ascii="仿宋_GB2312" w:hAnsi="仿宋_GB2312" w:eastAsia="仿宋_GB2312" w:cs="仿宋_GB2312"/>
                <w:szCs w:val="21"/>
              </w:rPr>
            </w:pPr>
          </w:p>
        </w:tc>
        <w:tc>
          <w:tcPr>
            <w:tcW w:w="709" w:type="dxa"/>
            <w:vAlign w:val="center"/>
          </w:tcPr>
          <w:p w14:paraId="07193338">
            <w:pPr>
              <w:jc w:val="center"/>
              <w:rPr>
                <w:rFonts w:ascii="仿宋_GB2312" w:hAnsi="仿宋_GB2312" w:eastAsia="仿宋_GB2312" w:cs="仿宋_GB2312"/>
                <w:szCs w:val="21"/>
              </w:rPr>
            </w:pPr>
          </w:p>
        </w:tc>
      </w:tr>
      <w:tr w14:paraId="29AC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2" w:type="dxa"/>
          </w:tcPr>
          <w:p w14:paraId="08AD1B80">
            <w:pPr>
              <w:jc w:val="left"/>
              <w:rPr>
                <w:rFonts w:ascii="仿宋_GB2312" w:hAnsi="仿宋_GB2312" w:eastAsia="仿宋_GB2312" w:cs="仿宋_GB2312"/>
                <w:szCs w:val="21"/>
              </w:rPr>
            </w:pPr>
          </w:p>
        </w:tc>
        <w:tc>
          <w:tcPr>
            <w:tcW w:w="567" w:type="dxa"/>
            <w:gridSpan w:val="2"/>
          </w:tcPr>
          <w:p w14:paraId="0D6A1637">
            <w:pPr>
              <w:jc w:val="left"/>
              <w:rPr>
                <w:rFonts w:ascii="仿宋_GB2312" w:hAnsi="仿宋_GB2312" w:eastAsia="仿宋_GB2312" w:cs="仿宋_GB2312"/>
                <w:szCs w:val="21"/>
              </w:rPr>
            </w:pPr>
          </w:p>
        </w:tc>
        <w:tc>
          <w:tcPr>
            <w:tcW w:w="708" w:type="dxa"/>
          </w:tcPr>
          <w:p w14:paraId="773B0FC2">
            <w:pPr>
              <w:jc w:val="left"/>
              <w:rPr>
                <w:rFonts w:ascii="仿宋_GB2312" w:hAnsi="仿宋_GB2312" w:eastAsia="仿宋_GB2312" w:cs="仿宋_GB2312"/>
                <w:szCs w:val="21"/>
              </w:rPr>
            </w:pPr>
          </w:p>
        </w:tc>
        <w:tc>
          <w:tcPr>
            <w:tcW w:w="9356" w:type="dxa"/>
            <w:gridSpan w:val="12"/>
            <w:vAlign w:val="center"/>
          </w:tcPr>
          <w:p w14:paraId="234F062F">
            <w:pPr>
              <w:jc w:val="left"/>
              <w:rPr>
                <w:rFonts w:ascii="仿宋_GB2312" w:hAnsi="仿宋_GB2312" w:eastAsia="仿宋_GB2312" w:cs="仿宋_GB2312"/>
                <w:szCs w:val="21"/>
              </w:rPr>
            </w:pPr>
            <w:r>
              <w:rPr>
                <w:rFonts w:hint="eastAsia" w:ascii="仿宋_GB2312" w:hAnsi="仿宋_GB2312" w:eastAsia="仿宋_GB2312" w:cs="仿宋_GB2312"/>
                <w:szCs w:val="21"/>
              </w:rPr>
              <w:t>备注：</w:t>
            </w:r>
            <w:r>
              <w:rPr>
                <w:rFonts w:hint="eastAsia" w:ascii="宋体" w:hAnsi="宋体" w:cs="仿宋_GB2312"/>
                <w:b/>
                <w:bCs/>
                <w:szCs w:val="21"/>
              </w:rPr>
              <w:t>该表请发送excel版本表格、产品详细参数文字描述较多的可单独提供附表。调研产品序号顺序不得随意变更。</w:t>
            </w:r>
          </w:p>
        </w:tc>
      </w:tr>
    </w:tbl>
    <w:p w14:paraId="6AED2407">
      <w:pPr>
        <w:rPr>
          <w:rFonts w:ascii="仿宋" w:hAnsi="仿宋" w:eastAsia="仿宋"/>
          <w:sz w:val="32"/>
          <w:szCs w:val="32"/>
        </w:rPr>
      </w:pPr>
      <w:r>
        <w:rPr>
          <w:rFonts w:hint="eastAsia" w:ascii="仿宋" w:hAnsi="仿宋" w:eastAsia="仿宋"/>
          <w:sz w:val="32"/>
          <w:szCs w:val="32"/>
        </w:rPr>
        <w:t>联系人：　　　　　电话：　　　　　　　联系QQ/邮箱：</w:t>
      </w:r>
    </w:p>
    <w:p w14:paraId="268C1F66">
      <w:pPr>
        <w:rPr>
          <w:rFonts w:ascii="仿宋" w:hAnsi="仿宋" w:eastAsia="仿宋"/>
          <w:sz w:val="32"/>
          <w:szCs w:val="32"/>
        </w:rPr>
      </w:pPr>
      <w:r>
        <w:rPr>
          <w:rFonts w:hint="eastAsia" w:ascii="仿宋" w:hAnsi="仿宋" w:eastAsia="仿宋"/>
          <w:sz w:val="32"/>
          <w:szCs w:val="32"/>
        </w:rPr>
        <w:t>　　　　　　　　　　　　　　　    　  报名公司：（盖章）　　　　</w:t>
      </w:r>
    </w:p>
    <w:p w14:paraId="689D5376">
      <w:pPr>
        <w:ind w:firstLine="5440" w:firstLineChars="1700"/>
        <w:rPr>
          <w:rFonts w:ascii="仿宋" w:hAnsi="仿宋" w:eastAsia="仿宋"/>
          <w:sz w:val="32"/>
          <w:szCs w:val="32"/>
        </w:rPr>
      </w:pPr>
      <w:r>
        <w:rPr>
          <w:rFonts w:hint="eastAsia" w:ascii="仿宋" w:hAnsi="仿宋" w:eastAsia="仿宋"/>
          <w:sz w:val="32"/>
          <w:szCs w:val="32"/>
        </w:rPr>
        <w:t>年　　　月　　　日</w:t>
      </w:r>
    </w:p>
    <w:p w14:paraId="7697B3AD"/>
    <w:sectPr>
      <w:footerReference r:id="rId3" w:type="default"/>
      <w:pgSz w:w="11906" w:h="16838"/>
      <w:pgMar w:top="1304" w:right="1361" w:bottom="136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041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6EBA9">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96EBA9">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9568D"/>
    <w:multiLevelType w:val="multilevel"/>
    <w:tmpl w:val="4BA9568D"/>
    <w:lvl w:ilvl="0" w:tentative="0">
      <w:start w:val="1"/>
      <w:numFmt w:val="none"/>
      <w:lvlText w:val="一、"/>
      <w:lvlJc w:val="left"/>
      <w:pPr>
        <w:ind w:left="480" w:hanging="480"/>
      </w:pPr>
      <w:rPr>
        <w:rFonts w:hint="default"/>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6FA0836"/>
    <w:multiLevelType w:val="multilevel"/>
    <w:tmpl w:val="56FA0836"/>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F041A5"/>
    <w:rsid w:val="00011EE4"/>
    <w:rsid w:val="0001442B"/>
    <w:rsid w:val="00094012"/>
    <w:rsid w:val="000B261D"/>
    <w:rsid w:val="000F5481"/>
    <w:rsid w:val="00101B2A"/>
    <w:rsid w:val="001229AC"/>
    <w:rsid w:val="00147A90"/>
    <w:rsid w:val="001B5E99"/>
    <w:rsid w:val="001F50FC"/>
    <w:rsid w:val="00234CE0"/>
    <w:rsid w:val="002625B5"/>
    <w:rsid w:val="002D4A77"/>
    <w:rsid w:val="002D6C22"/>
    <w:rsid w:val="00327669"/>
    <w:rsid w:val="0033386E"/>
    <w:rsid w:val="003363E7"/>
    <w:rsid w:val="00345E13"/>
    <w:rsid w:val="00385691"/>
    <w:rsid w:val="0039131E"/>
    <w:rsid w:val="003F7E42"/>
    <w:rsid w:val="00417489"/>
    <w:rsid w:val="00420074"/>
    <w:rsid w:val="00420633"/>
    <w:rsid w:val="00476671"/>
    <w:rsid w:val="00486DE4"/>
    <w:rsid w:val="004A1EA5"/>
    <w:rsid w:val="004D585D"/>
    <w:rsid w:val="004F1FB9"/>
    <w:rsid w:val="004F6057"/>
    <w:rsid w:val="00503AA5"/>
    <w:rsid w:val="00517C77"/>
    <w:rsid w:val="005335CE"/>
    <w:rsid w:val="00556B27"/>
    <w:rsid w:val="005637F9"/>
    <w:rsid w:val="005C2844"/>
    <w:rsid w:val="005D7D54"/>
    <w:rsid w:val="005F1C0A"/>
    <w:rsid w:val="00667761"/>
    <w:rsid w:val="0069514D"/>
    <w:rsid w:val="006E3B37"/>
    <w:rsid w:val="006E75AF"/>
    <w:rsid w:val="0074165E"/>
    <w:rsid w:val="00757191"/>
    <w:rsid w:val="007A324F"/>
    <w:rsid w:val="007A628C"/>
    <w:rsid w:val="00873430"/>
    <w:rsid w:val="0087404F"/>
    <w:rsid w:val="008D79C7"/>
    <w:rsid w:val="008E3C22"/>
    <w:rsid w:val="00901F09"/>
    <w:rsid w:val="00935669"/>
    <w:rsid w:val="00975E8D"/>
    <w:rsid w:val="00A02F95"/>
    <w:rsid w:val="00A12A56"/>
    <w:rsid w:val="00A47B06"/>
    <w:rsid w:val="00A525EE"/>
    <w:rsid w:val="00A624E2"/>
    <w:rsid w:val="00A637C6"/>
    <w:rsid w:val="00A7740D"/>
    <w:rsid w:val="00AA4C82"/>
    <w:rsid w:val="00AC3CB4"/>
    <w:rsid w:val="00AD21A5"/>
    <w:rsid w:val="00B63D41"/>
    <w:rsid w:val="00B80493"/>
    <w:rsid w:val="00B80909"/>
    <w:rsid w:val="00BE6561"/>
    <w:rsid w:val="00C30244"/>
    <w:rsid w:val="00C47B09"/>
    <w:rsid w:val="00C73AC1"/>
    <w:rsid w:val="00C73FBF"/>
    <w:rsid w:val="00C75E2D"/>
    <w:rsid w:val="00CD64DE"/>
    <w:rsid w:val="00CF04B4"/>
    <w:rsid w:val="00D10C80"/>
    <w:rsid w:val="00D44907"/>
    <w:rsid w:val="00D85F0D"/>
    <w:rsid w:val="00DB4B15"/>
    <w:rsid w:val="00DC59CE"/>
    <w:rsid w:val="00DD52EE"/>
    <w:rsid w:val="00E251E8"/>
    <w:rsid w:val="00E25688"/>
    <w:rsid w:val="00E5724A"/>
    <w:rsid w:val="00E87399"/>
    <w:rsid w:val="00EA573D"/>
    <w:rsid w:val="00EC74DC"/>
    <w:rsid w:val="00F16D7F"/>
    <w:rsid w:val="00F21F55"/>
    <w:rsid w:val="00F355A2"/>
    <w:rsid w:val="00F452DB"/>
    <w:rsid w:val="00F53B5E"/>
    <w:rsid w:val="00F64291"/>
    <w:rsid w:val="1070329F"/>
    <w:rsid w:val="21C93A8A"/>
    <w:rsid w:val="23A35181"/>
    <w:rsid w:val="42623122"/>
    <w:rsid w:val="482E462D"/>
    <w:rsid w:val="4A890111"/>
    <w:rsid w:val="526818DA"/>
    <w:rsid w:val="541F6D7A"/>
    <w:rsid w:val="57CD0491"/>
    <w:rsid w:val="5C075532"/>
    <w:rsid w:val="67DE70AC"/>
    <w:rsid w:val="693161E8"/>
    <w:rsid w:val="69704CC0"/>
    <w:rsid w:val="6AF041A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字符"/>
    <w:basedOn w:val="6"/>
    <w:link w:val="3"/>
    <w:uiPriority w:val="0"/>
    <w:rPr>
      <w:rFonts w:ascii="Calibri" w:hAnsi="Calibr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9</Pages>
  <Words>2856</Words>
  <Characters>3089</Characters>
  <Lines>62</Lines>
  <Paragraphs>17</Paragraphs>
  <TotalTime>2382</TotalTime>
  <ScaleCrop>false</ScaleCrop>
  <LinksUpToDate>false</LinksUpToDate>
  <CharactersWithSpaces>3164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2023-04-06T06:12:00Z</dcterms:created>
  <dc:creator>郝立</dc:creator>
  <cp:lastModifiedBy>林胜</cp:lastModifiedBy>
  <cp:lastPrinted>2025-06-04T08:05:00Z</cp:lastPrinted>
  <dcterms:modified xsi:type="dcterms:W3CDTF">2025-06-04T08:18:06Z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eyJoZGlkIjoiZDA3MTY5M2E4NmE4MWI0ZDk2YWZmZGNmNjYwYmFkODgiLCJ1c2VySWQiOiIxNTYwNzMyMDI5In0=</vt:lpwstr>
  </property>
  <property fmtid="{D5CDD505-2E9C-101B-9397-08002B2CF9AE}" pid="4" name="ICV">
    <vt:lpwstr>79C24D1469AD4763B21BB3EF49CCBC7B_12</vt:lpwstr>
  </property>
</Properties>
</file>