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附件一：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竞争性谈判响应文件</w:t>
      </w: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left"/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项目名称：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single"/>
          <w:lang w:val="en-US" w:eastAsia="zh-CN" w:bidi="ar-SA"/>
        </w:rPr>
        <w:t>更换非机动车收费系统项目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</w:p>
    <w:p>
      <w:pPr>
        <w:jc w:val="left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供应商全称：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  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 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   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（盖章）</w:t>
      </w:r>
    </w:p>
    <w:p>
      <w:pPr>
        <w:jc w:val="left"/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授权代表：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</w:t>
      </w:r>
    </w:p>
    <w:p>
      <w:pPr>
        <w:jc w:val="left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手机号码：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 </w:t>
      </w:r>
    </w:p>
    <w:p>
      <w:pPr>
        <w:jc w:val="left"/>
        <w:rPr>
          <w:rStyle w:val="9"/>
          <w:rFonts w:hint="eastAsia" w:ascii="宋体" w:hAnsi="宋体" w:eastAsia="宋体" w:cs="宋体"/>
          <w:bCs/>
          <w:i w:val="0"/>
          <w:iCs w:val="0"/>
          <w:caps w:val="0"/>
          <w:color w:val="55555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邮箱号码：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                           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 xml:space="preserve">  </w:t>
      </w: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二〇二三年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月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1、采购公告中要求提供的营业执照副本复印件（盖章）：对应采购文件5.1条</w:t>
      </w: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（营业执照副本复印件）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（盖章）</w:t>
      </w: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2、采购公告中要求提供的法定代表人授权书（盖章）：对应招标文件5.2条</w:t>
      </w:r>
    </w:p>
    <w:p>
      <w:pPr>
        <w:numPr>
          <w:ilvl w:val="0"/>
          <w:numId w:val="0"/>
        </w:numPr>
        <w:tabs>
          <w:tab w:val="left" w:pos="3690"/>
        </w:tabs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法定代表人授权书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（非法定代表人参加投标时提供）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致资阳市第一人民医院 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 （供应商名称）      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法定代表人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（姓名、职务）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（被授权代表姓名、职务）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为本单位合法代理人，参加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（项目名称）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项目的采购活动，代表本单位处理采购活动中的一切事宜。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本授权书于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    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   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 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日签字生效,特此声明。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 </w:t>
      </w:r>
    </w:p>
    <w:p>
      <w:pPr>
        <w:numPr>
          <w:ilvl w:val="0"/>
          <w:numId w:val="0"/>
        </w:numPr>
        <w:tabs>
          <w:tab w:val="left" w:pos="3690"/>
        </w:tabs>
        <w:ind w:firstLine="2880" w:firstLineChars="1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法定代表人（签字或盖章）：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  供应商单位（公章）：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  日  期：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被授权代表（签字）：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 电    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  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附：法定代表人的身份证复印件（盖章）。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（身份证复印件）：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附：被授权代表的身份证复印件（盖章）。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（身份证复印件）：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3、采购公告中要求提供的一般资格证明文件（盖章）：对应招标文件5.3条</w:t>
      </w:r>
    </w:p>
    <w:p>
      <w:pPr>
        <w:numPr>
          <w:ilvl w:val="0"/>
          <w:numId w:val="0"/>
        </w:numPr>
        <w:tabs>
          <w:tab w:val="left" w:pos="3690"/>
        </w:tabs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合格供应商的资格承诺书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48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我单位满足《中华人民共和国政府采购法》第二十二条规定，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。法律、行政法规规定的其他条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48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本次投标过程中我单位承诺不存在下列情形：串通投标；提供虚假材料谋取中标；采取不正当手段诋毁、排挤其他投标人；与采购人、其他投标人恶意串通；向采购人或代理机构、评标委员会成员行贿或者提供其他不正当利益；在招标过程中与采购人进行非正常的协商谈判；中标后无正当理由拒不与采购人签订采购合同；未按照采购文件确定的事项签订采购合同；将采购合同转包或者违规分包；提供假冒伪劣产品；擅自变更、中止或者终止采购合同；拒绝有关部门的监督检查或者向监督检查部门提供虚假情况；法律法规规定的其他禁止情形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特此承诺！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      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3600" w:firstLineChars="1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供应商单位（盖公章）：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3600" w:firstLineChars="1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880" w:firstLineChars="1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法定代表人或被授权代表人（签字）：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880" w:firstLineChars="1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640" w:firstLineChars="1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日期：        年      月      日 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4、采购公告中要求提供的廉洁承诺书（盖章）：对应招标文件5.4条</w:t>
      </w: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kinsoku w:val="0"/>
        <w:spacing w:after="0" w:line="360" w:lineRule="auto"/>
        <w:jc w:val="center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0"/>
          <w:szCs w:val="36"/>
          <w:highlight w:val="none"/>
          <w:lang w:val="en-US" w:eastAsia="zh-CN"/>
        </w:rPr>
        <w:t>廉洁承诺书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 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一、进一步统一思想，充分认识开展治理商业贿赂专项治理的重要性、紧迫性和必要性。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二、应积极配合医院开展自查自纠工作，积极配合对相关医务人员的商业贿赂行为进行查处。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三、不找有关领导干涉药品、医用设备、医用耗材等购销活动，不以贿赂的方式将上述商品销售到医院。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四、不向药品、医用设备、医用耗材等购销人员给予各种名义的财物或回扣。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五、不向从事药品、医用设备、医用耗材等相关活动的人员给予开单费、临床促销费、宣传费、劳务费、统方费等费用。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六、不为医院相关人员报销电话费、娱乐费、差旅费、餐费等应由本人支付的各种费用。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七、不组织甲方相关人员参加国内外旅游、座谈会、学术会等活动。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八、不向甲方相关人员赠送各种实物及有价证券。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九、不派工作人员到医院临床科室进行药品、医用设备、医用耗材的广告宣传。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十、不以任何理由向医院及其相关人员进行商业贿赂。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十一、如违反上述约定，医院有权单方终止现有购销关系，若违反承诺条款，公司承诺：三年内无权参加医院所有的采购活动。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十二、违反上述约定，应向医院支付违约金贰万元，医院可直接在双方购销款中扣除。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3120" w:firstLineChars="13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3600" w:firstLineChars="1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供应商单位（盖公章）：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880" w:firstLineChars="1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法定代表人或被授权代表人（签字）：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880" w:firstLineChars="1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640" w:firstLineChars="1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日期：        年      月      日 </w:t>
      </w: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218"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5、采购公告中要求提供的清单报价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（盖章）：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对应招标文件5.5条</w:t>
      </w:r>
    </w:p>
    <w:tbl>
      <w:tblPr>
        <w:tblStyle w:val="6"/>
        <w:tblpPr w:leftFromText="180" w:rightFromText="180" w:vertAnchor="text" w:horzAnchor="page" w:tblpX="1167" w:tblpY="1238"/>
        <w:tblOverlap w:val="never"/>
        <w:tblW w:w="96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205"/>
        <w:gridCol w:w="601"/>
        <w:gridCol w:w="431"/>
        <w:gridCol w:w="934"/>
        <w:gridCol w:w="171"/>
        <w:gridCol w:w="452"/>
        <w:gridCol w:w="5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6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资阳第一人民医院非机动车收费系统 清单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一、入口设备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控制机箱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卡容量≥20000张，存储记录≥100000条，支持脱机工作，TCP/IP通讯，可多进多出，一进一出，现金和扫码缴费，微信、支付宝等电子支付，支持无人值守。中英文显示及语音，支持自定义显示内容。语音可分时段设置，支持小程序月卡延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主控制系统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IC读写装置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中英文显示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自动出卡机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显示语音网络控制卡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语音系统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直杆道闸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遥控控制起落杆，可外接红绿灯警示，可外接红外保护，与有收费系统接口，电机能连续运行不会热保护，停电时可通过手摇把抬杆，机箱冷扎钢板厚度≥1.5mm，机箱杆子颜色可选，工作温度包含-10度---+45度范围，起降速度1-6秒可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车辆检测器+地感线圈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　计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二、出口设备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控制机箱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卡容量≥20000张，存储记录≥100000条，支持脱机工作，TCP/IP通讯，可多进多出，一进一出，现金和扫码缴费，微信、支付宝等电子支付，支持无人值守。中英文显示及语音，支持自定义显示内容。语音可分时段设置，支持小程序月卡延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主控制系统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IC读写装置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显示语音网络控制卡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语音系统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直杆道闸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遥控控制起落杆，可外接红绿灯警示，可外接红外保护，与有收费系统接口，电机能连续运行不会热保护，停电时可通过手摇把抬杆，机箱冷扎钢板厚度≥1.5mm，机箱杆子颜色可选，工作温度包含-10度---+45度范围，起降速度1-6秒可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车辆检测器+地感线圈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　计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三、管理中心设备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停车场管理软件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支持操作系统WIN7、WIN10或WIN11，运行环境Framework4.0,网络版，支持云平台查询进出流水，交易记录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软件狗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IC发卡器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免驱安装、USB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收费电脑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电脑配置：CPU性能等于或优于因特尔I3性能，内存≥4G,硬盘≥500G，显示器≥19寸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集成费（含施工线缆、线管等其他材料）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　计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6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四、非机动车收费系统汇总信息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非机动车收费系统生产厂商</w:t>
            </w:r>
          </w:p>
        </w:tc>
        <w:tc>
          <w:tcPr>
            <w:tcW w:w="5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非机动车收费系统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型号</w:t>
            </w:r>
          </w:p>
        </w:tc>
        <w:tc>
          <w:tcPr>
            <w:tcW w:w="5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非机动车收费系统报价合计：</w:t>
            </w:r>
          </w:p>
        </w:tc>
        <w:tc>
          <w:tcPr>
            <w:tcW w:w="5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jc w:val="left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6、采购公告中要求提供的清单报价（第二次）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（盖章）：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对应招标文件5.6条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（本报价书于投标现场由投标的法定代表人或被授权代表人填写）</w:t>
      </w:r>
    </w:p>
    <w:tbl>
      <w:tblPr>
        <w:tblStyle w:val="6"/>
        <w:tblpPr w:leftFromText="180" w:rightFromText="180" w:vertAnchor="text" w:horzAnchor="page" w:tblpX="1167" w:tblpY="1238"/>
        <w:tblOverlap w:val="never"/>
        <w:tblW w:w="96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205"/>
        <w:gridCol w:w="601"/>
        <w:gridCol w:w="431"/>
        <w:gridCol w:w="934"/>
        <w:gridCol w:w="171"/>
        <w:gridCol w:w="452"/>
        <w:gridCol w:w="5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8" w:hRule="atLeast"/>
        </w:trPr>
        <w:tc>
          <w:tcPr>
            <w:tcW w:w="96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资阳第一人民医院非机动车收费系统 清单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（第二次）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一、入口设备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控制机箱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卡容量≥20000张，存储记录≥100000条，支持脱机工作，TCP/IP通讯，可多进多出，一进一出，现金和扫码缴费，微信、支付宝等电子支付，支持无人值守。中英文显示及语音，支持自定义显示内容。语音可分时段设置，支持小程序月卡延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主控制系统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IC读写装置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中英文显示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自动出卡机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显示语音网络控制卡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语音系统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直杆道闸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遥控控制起落杆，可外接红绿灯警示，可外接红外保护，与有收费系统接口，电机能连续运行不会热保护，停电时可通过手摇把抬杆，机箱冷扎钢板厚度≥1.5mm，机箱杆子颜色可选，工作温度包含-10度---+45度范围，起降速度1-6秒可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车辆检测器+地感线圈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　计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二、出口设备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控制机箱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卡容量≥20000张，存储记录≥100000条，支持脱机工作，TCP/IP通讯，可多进多出，一进一出，现金和扫码缴费，微信、支付宝等电子支付，支持无人值守。中英文显示及语音，支持自定义显示内容。语音可分时段设置，支持小程序月卡延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主控制系统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IC读写装置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显示语音网络控制卡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语音系统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直杆道闸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遥控控制起落杆，可外接红绿灯警示，可外接红外保护，与有收费系统接口，电机能连续运行不会热保护，停电时可通过手摇把抬杆，机箱冷扎钢板厚度≥1.5mm，机箱杆子颜色可选，工作温度包含-10度---+45度范围，起降速度1-6秒可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车辆检测器+地感线圈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　计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三、管理中心设备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停车场管理软件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支持操作系统WIN7、WIN10或WIN11，运行环境Framework4.0,网络版，支持云平台查询进出流水，交易记录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软件狗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IC发卡器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免驱安装、USB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收费电脑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电脑配置：CPU性能等于或优于因特尔I3性能，内存≥4G,硬盘≥500G，显示器≥19寸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集成费（含施工线缆、线管等其他材料）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　计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6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四、非机动车收费系统汇总信息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非机动车收费系统生产厂商</w:t>
            </w:r>
          </w:p>
        </w:tc>
        <w:tc>
          <w:tcPr>
            <w:tcW w:w="5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非机动车收费系统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型号</w:t>
            </w:r>
          </w:p>
        </w:tc>
        <w:tc>
          <w:tcPr>
            <w:tcW w:w="5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非机动车收费系统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（第二次）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</w:t>
            </w:r>
          </w:p>
        </w:tc>
        <w:tc>
          <w:tcPr>
            <w:tcW w:w="5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  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   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D0931"/>
    <w:rsid w:val="0ABA1442"/>
    <w:rsid w:val="0FD535AC"/>
    <w:rsid w:val="15BE5A80"/>
    <w:rsid w:val="1B4F4498"/>
    <w:rsid w:val="272A3BDA"/>
    <w:rsid w:val="28D8161C"/>
    <w:rsid w:val="2AB95499"/>
    <w:rsid w:val="32076F1E"/>
    <w:rsid w:val="37370CBD"/>
    <w:rsid w:val="4065483D"/>
    <w:rsid w:val="43097130"/>
    <w:rsid w:val="48446CBF"/>
    <w:rsid w:val="48BF6C4F"/>
    <w:rsid w:val="49520D78"/>
    <w:rsid w:val="4AA57C3A"/>
    <w:rsid w:val="4C4D01D5"/>
    <w:rsid w:val="4CC3015A"/>
    <w:rsid w:val="5A09740B"/>
    <w:rsid w:val="60AF29B0"/>
    <w:rsid w:val="686B400C"/>
    <w:rsid w:val="6A820030"/>
    <w:rsid w:val="7E873872"/>
    <w:rsid w:val="7EC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kern w:val="0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1">
    <w:name w:val="font8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2023-08-09T05:13:00Z</dcterms:created>
  <dc:creator>Administrator</dc:creator>
  <cp:lastModifiedBy>Administrator</cp:lastModifiedBy>
  <dcterms:modified xsi:type="dcterms:W3CDTF">2023-10-31T03:05:27Z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A1F7956149C64BADBC6EF4F189711D89</vt:lpwstr>
  </property>
</Properties>
</file>