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附件二：</w:t>
      </w:r>
    </w:p>
    <w:p>
      <w:pPr>
        <w:keepNext w:val="0"/>
        <w:keepLines w:val="0"/>
        <w:widowControl/>
        <w:numPr>
          <w:ilvl w:val="0"/>
          <w:numId w:val="0"/>
        </w:numPr>
        <w:suppressLineNumbers w:val="0"/>
        <w:ind w:left="0" w:leftChars="0" w:firstLine="0" w:firstLineChars="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32"/>
          <w:szCs w:val="32"/>
          <w:u w:val="none"/>
          <w:lang w:val="en-US" w:eastAsia="zh-CN"/>
        </w:rPr>
        <w:t xml:space="preserve"> </w:t>
      </w:r>
      <w:r>
        <w:rPr>
          <w:rFonts w:hint="eastAsia" w:ascii="仿宋_GB2312" w:hAnsi="仿宋_GB2312" w:eastAsia="仿宋_GB2312" w:cs="仿宋_GB2312"/>
          <w:b/>
          <w:bCs/>
          <w:sz w:val="32"/>
          <w:szCs w:val="32"/>
          <w:u w:val="single"/>
          <w:lang w:val="en-US" w:eastAsia="zh-CN"/>
        </w:rPr>
        <w:t>更换非机动车收费系统</w:t>
      </w:r>
      <w:r>
        <w:rPr>
          <w:rFonts w:hint="eastAsia" w:ascii="仿宋_GB2312" w:hAnsi="仿宋_GB2312" w:eastAsia="仿宋_GB2312" w:cs="仿宋_GB2312"/>
          <w:b/>
          <w:bCs/>
          <w:sz w:val="32"/>
          <w:szCs w:val="32"/>
          <w:lang w:val="en-US" w:eastAsia="zh-CN"/>
        </w:rPr>
        <w:t>合同（模版</w:t>
      </w:r>
      <w:r>
        <w:rPr>
          <w:rFonts w:hint="eastAsia" w:ascii="仿宋_GB2312" w:hAnsi="仿宋_GB2312" w:eastAsia="仿宋_GB2312" w:cs="仿宋_GB2312"/>
          <w:b/>
          <w:bCs/>
          <w:sz w:val="30"/>
          <w:szCs w:val="30"/>
          <w:lang w:val="en-US" w:eastAsia="zh-CN"/>
        </w:rPr>
        <w:t>）</w:t>
      </w:r>
    </w:p>
    <w:p>
      <w:pPr>
        <w:keepNext w:val="0"/>
        <w:keepLines w:val="0"/>
        <w:widowControl/>
        <w:numPr>
          <w:ilvl w:val="0"/>
          <w:numId w:val="0"/>
        </w:numPr>
        <w:suppressLineNumbers w:val="0"/>
        <w:ind w:left="0" w:leftChars="0" w:firstLine="0" w:firstLineChars="0"/>
        <w:jc w:val="both"/>
        <w:rPr>
          <w:rFonts w:hint="default" w:ascii="仿宋_GB2312" w:hAnsi="仿宋_GB2312" w:eastAsia="仿宋_GB2312" w:cs="仿宋_GB2312"/>
          <w:sz w:val="24"/>
          <w:szCs w:val="24"/>
          <w:lang w:val="en-US" w:eastAsia="zh-CN"/>
        </w:rPr>
      </w:pP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签订时间：2023年 　月 　日</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采购人（甲方）：资阳市第一人民医院</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供应商（乙方）：</w:t>
      </w:r>
    </w:p>
    <w:p>
      <w:pPr>
        <w:keepNext w:val="0"/>
        <w:keepLines w:val="0"/>
        <w:widowControl/>
        <w:numPr>
          <w:ilvl w:val="0"/>
          <w:numId w:val="0"/>
        </w:numPr>
        <w:suppressLineNumbers w:val="0"/>
        <w:ind w:left="0" w:leftChars="0" w:firstLine="480" w:firstLineChars="200"/>
        <w:jc w:val="both"/>
        <w:rPr>
          <w:rFonts w:hint="eastAsia" w:ascii="仿宋_GB2312" w:hAnsi="仿宋_GB2312" w:eastAsia="仿宋_GB2312" w:cs="仿宋_GB2312"/>
          <w:sz w:val="24"/>
          <w:szCs w:val="24"/>
          <w:lang w:val="en-US" w:eastAsia="zh-CN"/>
        </w:rPr>
      </w:pPr>
      <w:bookmarkStart w:id="0" w:name="_Toc217446107"/>
      <w:r>
        <w:rPr>
          <w:rFonts w:hint="eastAsia" w:ascii="仿宋_GB2312" w:hAnsi="仿宋_GB2312" w:eastAsia="仿宋_GB2312" w:cs="仿宋_GB2312"/>
          <w:sz w:val="24"/>
          <w:szCs w:val="24"/>
          <w:lang w:val="en-US" w:eastAsia="zh-CN"/>
        </w:rPr>
        <w:t>根据《院内自行采购工作规范【2022】144号》、《中华人民共和国民法典》要求，参照《中华人民共和国政府采购法》等法律法规及</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项目编号：      ）的“采购要求”、乙方的“响应情况”，甲、乙双方同意签订本合同。双方同意共同遵守如下条款：</w:t>
      </w:r>
    </w:p>
    <w:p>
      <w:pPr>
        <w:keepNext w:val="0"/>
        <w:keepLines w:val="0"/>
        <w:widowControl/>
        <w:numPr>
          <w:ilvl w:val="0"/>
          <w:numId w:val="1"/>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合同</w:t>
      </w:r>
      <w:bookmarkEnd w:id="0"/>
      <w:r>
        <w:rPr>
          <w:rFonts w:hint="eastAsia" w:ascii="仿宋_GB2312" w:hAnsi="仿宋_GB2312" w:eastAsia="仿宋_GB2312" w:cs="仿宋_GB2312"/>
          <w:sz w:val="24"/>
          <w:szCs w:val="24"/>
          <w:lang w:val="en-US" w:eastAsia="zh-CN"/>
        </w:rPr>
        <w:t>内容</w:t>
      </w:r>
    </w:p>
    <w:p>
      <w:pPr>
        <w:keepNext w:val="0"/>
        <w:keepLines w:val="0"/>
        <w:widowControl/>
        <w:numPr>
          <w:ilvl w:val="0"/>
          <w:numId w:val="0"/>
        </w:numPr>
        <w:suppressLineNumbers w:val="0"/>
        <w:ind w:left="0" w:leftChars="0" w:firstLine="480" w:firstLineChars="200"/>
        <w:jc w:val="both"/>
        <w:rPr>
          <w:rFonts w:hint="eastAsia" w:ascii="仿宋_GB2312" w:hAnsi="仿宋_GB2312" w:eastAsia="仿宋_GB2312" w:cs="仿宋_GB2312"/>
          <w:sz w:val="24"/>
          <w:szCs w:val="24"/>
          <w:lang w:val="en-US" w:eastAsia="zh-CN"/>
        </w:rPr>
      </w:pPr>
      <w:bookmarkStart w:id="1" w:name="_Toc217446108"/>
      <w:r>
        <w:rPr>
          <w:rFonts w:hint="eastAsia" w:ascii="仿宋_GB2312" w:hAnsi="仿宋_GB2312" w:eastAsia="仿宋_GB2312" w:cs="仿宋_GB2312"/>
          <w:sz w:val="24"/>
          <w:szCs w:val="24"/>
          <w:lang w:val="en-US" w:eastAsia="zh-CN"/>
        </w:rPr>
        <w:t>乙方完成资阳市第一人民医院非机动车收费系统的更换，工程量清单如下。</w:t>
      </w:r>
    </w:p>
    <w:tbl>
      <w:tblPr>
        <w:tblStyle w:val="4"/>
        <w:tblpPr w:leftFromText="180" w:rightFromText="180" w:vertAnchor="text" w:horzAnchor="page" w:tblpX="1167" w:tblpY="1238"/>
        <w:tblOverlap w:val="never"/>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3"/>
        <w:gridCol w:w="1205"/>
        <w:gridCol w:w="601"/>
        <w:gridCol w:w="431"/>
        <w:gridCol w:w="934"/>
        <w:gridCol w:w="171"/>
        <w:gridCol w:w="452"/>
        <w:gridCol w:w="52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9690" w:type="dxa"/>
            <w:gridSpan w:val="8"/>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资阳第一人民医院非机动车收费系统 清单</w:t>
            </w:r>
            <w:r>
              <w:rPr>
                <w:rFonts w:hint="eastAsia" w:ascii="仿宋_GB2312" w:hAnsi="仿宋_GB2312" w:eastAsia="仿宋_GB2312" w:cs="仿宋_GB2312"/>
                <w:b/>
                <w:bCs/>
                <w:i w:val="0"/>
                <w:iCs w:val="0"/>
                <w:caps w:val="0"/>
                <w:color w:val="555555"/>
                <w:spacing w:val="0"/>
                <w:sz w:val="24"/>
                <w:szCs w:val="24"/>
                <w:shd w:val="clear" w:fill="FFFFFF"/>
                <w:lang w:val="en-US" w:eastAsia="zh-CN"/>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9690" w:type="dxa"/>
            <w:gridSpan w:val="8"/>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一、入口设备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23"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205"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名称</w:t>
            </w:r>
          </w:p>
        </w:tc>
        <w:tc>
          <w:tcPr>
            <w:tcW w:w="601"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数量</w:t>
            </w:r>
          </w:p>
        </w:tc>
        <w:tc>
          <w:tcPr>
            <w:tcW w:w="431"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单位</w:t>
            </w:r>
          </w:p>
        </w:tc>
        <w:tc>
          <w:tcPr>
            <w:tcW w:w="934"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单价</w:t>
            </w: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合计</w:t>
            </w:r>
          </w:p>
        </w:tc>
        <w:tc>
          <w:tcPr>
            <w:tcW w:w="5273"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控制机箱</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卡容量≥20000张，存储记录≥100000条，支持脱机工作，TCP/IP通讯，可多进多出，一进一出，现金和扫码缴费，微信、支付宝等电子支付，支持无人值守。中英文显示及语音，支持自定义显示内容。语音可分时段设置，支持小程序月卡延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主控制系统</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IC读写装置</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块</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中英文显示</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自动出卡机</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显示语音网络控制卡</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块</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语音系统</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电源</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直杆道闸</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线遥控控制起落杆，可外接红绿灯警示，可外接红外保护，与有收费系统接口，电机能连续运行不会热保护，停电时可通过手摇把抬杆，机箱冷扎钢板厚度≥1.5mm，机箱杆子颜色可选，工作温度包含-10度---+45度范围，起降速度1-6秒可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3"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车辆检测器+地感线圈</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2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小　计</w:t>
            </w:r>
            <w:r>
              <w:rPr>
                <w:rStyle w:val="7"/>
                <w:rFonts w:hint="eastAsia" w:ascii="仿宋_GB2312" w:hAnsi="仿宋_GB2312" w:eastAsia="仿宋_GB2312" w:cs="仿宋_GB2312"/>
                <w:sz w:val="24"/>
                <w:szCs w:val="24"/>
                <w:lang w:val="en-US" w:eastAsia="zh-CN" w:bidi="ar"/>
              </w:rPr>
              <w:t>:</w:t>
            </w:r>
          </w:p>
        </w:tc>
        <w:tc>
          <w:tcPr>
            <w:tcW w:w="15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p>
        </w:tc>
        <w:tc>
          <w:tcPr>
            <w:tcW w:w="5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969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二、出口设备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23"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205"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名称</w:t>
            </w:r>
          </w:p>
        </w:tc>
        <w:tc>
          <w:tcPr>
            <w:tcW w:w="601"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数量</w:t>
            </w:r>
          </w:p>
        </w:tc>
        <w:tc>
          <w:tcPr>
            <w:tcW w:w="431"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单位</w:t>
            </w:r>
          </w:p>
        </w:tc>
        <w:tc>
          <w:tcPr>
            <w:tcW w:w="934"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单价</w:t>
            </w: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合计</w:t>
            </w:r>
          </w:p>
        </w:tc>
        <w:tc>
          <w:tcPr>
            <w:tcW w:w="5273"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控制机箱</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卡容量≥20000张，存储记录≥100000条，支持脱机工作，TCP/IP通讯，可多进多出，一进一出，现金和扫码缴费，微信、支付宝等电子支付，支持无人值守。中英文显示及语音，支持自定义显示内容。语音可分时段设置，支持小程序月卡延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主控制系统</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IC读写装置</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块</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显示语音网络控制卡</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块</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语音系统</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电源</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直杆道闸</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273"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线遥控控制起落杆，可外接红绿灯警示，可外接红外保护，与有收费系统接口，电机能连续运行不会热保护，停电时可通过手摇把抬杆，机箱冷扎钢板厚度≥1.5mm，机箱杆子颜色可选，工作温度包含-10度---+45度范围，起降速度1-6秒可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车辆检测器+地感线圈</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27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2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小　计</w:t>
            </w:r>
            <w:r>
              <w:rPr>
                <w:rStyle w:val="7"/>
                <w:rFonts w:hint="eastAsia" w:ascii="仿宋_GB2312" w:hAnsi="仿宋_GB2312" w:eastAsia="仿宋_GB2312" w:cs="仿宋_GB2312"/>
                <w:sz w:val="24"/>
                <w:szCs w:val="24"/>
                <w:lang w:val="en-US" w:eastAsia="zh-CN" w:bidi="ar"/>
              </w:rPr>
              <w:t>:</w:t>
            </w:r>
          </w:p>
        </w:tc>
        <w:tc>
          <w:tcPr>
            <w:tcW w:w="15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p>
        </w:tc>
        <w:tc>
          <w:tcPr>
            <w:tcW w:w="5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969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三、管理中心设备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23"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205"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名称</w:t>
            </w:r>
          </w:p>
        </w:tc>
        <w:tc>
          <w:tcPr>
            <w:tcW w:w="601"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数量</w:t>
            </w:r>
          </w:p>
        </w:tc>
        <w:tc>
          <w:tcPr>
            <w:tcW w:w="431"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单位</w:t>
            </w:r>
          </w:p>
        </w:tc>
        <w:tc>
          <w:tcPr>
            <w:tcW w:w="934"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单价</w:t>
            </w: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合计</w:t>
            </w:r>
          </w:p>
        </w:tc>
        <w:tc>
          <w:tcPr>
            <w:tcW w:w="5273"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4"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停车场管理软件</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支持操作系统WIN7、WIN10或WIN11，运行环境Framework4.0,网络版，支持云平台查询进出流水，交易记录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软件狗</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IC发卡器</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免驱安装、USB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收费电脑</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电脑配置：CPU性能等于或优于因特尔I3性能，内存≥4G,硬盘≥500G，显示器≥19寸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集成费（含施工线缆、线管等其他材料）</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批</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2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小　计</w:t>
            </w:r>
            <w:r>
              <w:rPr>
                <w:rStyle w:val="7"/>
                <w:rFonts w:hint="eastAsia" w:ascii="仿宋_GB2312" w:hAnsi="仿宋_GB2312" w:eastAsia="仿宋_GB2312" w:cs="仿宋_GB2312"/>
                <w:sz w:val="24"/>
                <w:szCs w:val="24"/>
                <w:lang w:val="en-US" w:eastAsia="zh-CN" w:bidi="ar"/>
              </w:rPr>
              <w:t>:</w:t>
            </w:r>
          </w:p>
        </w:tc>
        <w:tc>
          <w:tcPr>
            <w:tcW w:w="15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p>
        </w:tc>
        <w:tc>
          <w:tcPr>
            <w:tcW w:w="5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96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b/>
                <w:bCs/>
                <w:i w:val="0"/>
                <w:iCs w:val="0"/>
                <w:color w:val="000000"/>
                <w:kern w:val="0"/>
                <w:sz w:val="24"/>
                <w:szCs w:val="24"/>
                <w:u w:val="none"/>
                <w:lang w:val="en-US" w:eastAsia="zh-CN" w:bidi="ar"/>
              </w:rPr>
              <w:t>四、非机动车收费系统汇总信息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6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3342"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b/>
                <w:bCs/>
                <w:i w:val="0"/>
                <w:iCs w:val="0"/>
                <w:color w:val="000000"/>
                <w:sz w:val="24"/>
                <w:szCs w:val="24"/>
                <w:u w:val="none"/>
                <w:lang w:val="en-US"/>
              </w:rPr>
            </w:pPr>
            <w:r>
              <w:rPr>
                <w:rFonts w:hint="eastAsia" w:ascii="仿宋_GB2312" w:hAnsi="仿宋_GB2312" w:eastAsia="仿宋_GB2312" w:cs="仿宋_GB2312"/>
                <w:b/>
                <w:bCs/>
                <w:i w:val="0"/>
                <w:iCs w:val="0"/>
                <w:color w:val="000000"/>
                <w:kern w:val="0"/>
                <w:sz w:val="24"/>
                <w:szCs w:val="24"/>
                <w:u w:val="none"/>
                <w:lang w:val="en-US" w:eastAsia="zh-CN" w:bidi="ar"/>
              </w:rPr>
              <w:t>非机动车收费系统生产厂商</w:t>
            </w:r>
          </w:p>
        </w:tc>
        <w:tc>
          <w:tcPr>
            <w:tcW w:w="5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623" w:type="dxa"/>
            <w:tcBorders>
              <w:top w:val="single" w:color="auto"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3342"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lang w:val="en-US" w:eastAsia="zh-CN"/>
              </w:rPr>
            </w:pPr>
            <w:r>
              <w:rPr>
                <w:rFonts w:hint="eastAsia" w:ascii="仿宋_GB2312" w:hAnsi="仿宋_GB2312" w:eastAsia="仿宋_GB2312" w:cs="仿宋_GB2312"/>
                <w:b/>
                <w:bCs/>
                <w:i w:val="0"/>
                <w:iCs w:val="0"/>
                <w:color w:val="000000"/>
                <w:kern w:val="0"/>
                <w:sz w:val="24"/>
                <w:szCs w:val="24"/>
                <w:u w:val="none"/>
                <w:lang w:val="en-US" w:eastAsia="zh-CN" w:bidi="ar"/>
              </w:rPr>
              <w:t>非机动车收费系统</w:t>
            </w:r>
            <w:r>
              <w:rPr>
                <w:rFonts w:hint="eastAsia" w:ascii="仿宋_GB2312" w:hAnsi="仿宋_GB2312" w:eastAsia="仿宋_GB2312" w:cs="仿宋_GB2312"/>
                <w:b/>
                <w:bCs/>
                <w:i w:val="0"/>
                <w:iCs w:val="0"/>
                <w:color w:val="000000"/>
                <w:sz w:val="24"/>
                <w:szCs w:val="24"/>
                <w:u w:val="none"/>
                <w:lang w:val="en-US" w:eastAsia="zh-CN"/>
              </w:rPr>
              <w:t>型号</w:t>
            </w:r>
          </w:p>
        </w:tc>
        <w:tc>
          <w:tcPr>
            <w:tcW w:w="5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3342" w:type="dxa"/>
            <w:gridSpan w:val="5"/>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b/>
                <w:bCs/>
                <w:i w:val="0"/>
                <w:iCs w:val="0"/>
                <w:color w:val="000000"/>
                <w:sz w:val="24"/>
                <w:szCs w:val="24"/>
                <w:u w:val="none"/>
                <w:lang w:val="en-US" w:eastAsia="zh-CN"/>
              </w:rPr>
            </w:pPr>
            <w:r>
              <w:rPr>
                <w:rFonts w:hint="eastAsia" w:ascii="仿宋_GB2312" w:hAnsi="仿宋_GB2312" w:eastAsia="仿宋_GB2312" w:cs="仿宋_GB2312"/>
                <w:b/>
                <w:bCs/>
                <w:i w:val="0"/>
                <w:iCs w:val="0"/>
                <w:color w:val="000000"/>
                <w:kern w:val="0"/>
                <w:sz w:val="24"/>
                <w:szCs w:val="24"/>
                <w:u w:val="none"/>
                <w:lang w:val="en-US" w:eastAsia="zh-CN" w:bidi="ar"/>
              </w:rPr>
              <w:t>非机动车收费系统报价合计：</w:t>
            </w:r>
          </w:p>
        </w:tc>
        <w:tc>
          <w:tcPr>
            <w:tcW w:w="5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仿宋_GB2312" w:eastAsia="仿宋_GB2312" w:cs="仿宋_GB2312"/>
                <w:i w:val="0"/>
                <w:iCs w:val="0"/>
                <w:color w:val="000000"/>
                <w:sz w:val="24"/>
                <w:szCs w:val="24"/>
                <w:u w:val="single"/>
                <w:lang w:val="en-US" w:eastAsia="zh-CN"/>
              </w:rPr>
            </w:pPr>
            <w:r>
              <w:rPr>
                <w:rFonts w:hint="eastAsia" w:ascii="仿宋_GB2312" w:hAnsi="仿宋_GB2312" w:eastAsia="仿宋_GB2312" w:cs="仿宋_GB2312"/>
                <w:i w:val="0"/>
                <w:iCs w:val="0"/>
                <w:color w:val="000000"/>
                <w:sz w:val="24"/>
                <w:szCs w:val="24"/>
                <w:u w:val="none"/>
                <w:lang w:val="en-US" w:eastAsia="zh-CN"/>
              </w:rPr>
              <w:t>小写：</w:t>
            </w:r>
            <w:r>
              <w:rPr>
                <w:rFonts w:hint="eastAsia" w:ascii="仿宋_GB2312" w:hAnsi="仿宋_GB2312" w:eastAsia="仿宋_GB2312" w:cs="仿宋_GB2312"/>
                <w:i w:val="0"/>
                <w:iCs w:val="0"/>
                <w:color w:val="000000"/>
                <w:sz w:val="24"/>
                <w:szCs w:val="24"/>
                <w:u w:val="single"/>
                <w:lang w:val="en-US" w:eastAsia="zh-CN"/>
              </w:rPr>
              <w:t xml:space="preserve">           </w:t>
            </w:r>
            <w:r>
              <w:rPr>
                <w:rFonts w:hint="eastAsia" w:ascii="仿宋_GB2312" w:hAnsi="仿宋_GB2312" w:eastAsia="仿宋_GB2312" w:cs="仿宋_GB2312"/>
                <w:i w:val="0"/>
                <w:iCs w:val="0"/>
                <w:color w:val="000000"/>
                <w:sz w:val="24"/>
                <w:szCs w:val="24"/>
                <w:u w:val="none"/>
                <w:lang w:val="en-US" w:eastAsia="zh-CN"/>
              </w:rPr>
              <w:t>大写：</w:t>
            </w:r>
            <w:r>
              <w:rPr>
                <w:rFonts w:hint="eastAsia" w:ascii="仿宋_GB2312" w:hAnsi="仿宋_GB2312" w:eastAsia="仿宋_GB2312" w:cs="仿宋_GB2312"/>
                <w:i w:val="0"/>
                <w:iCs w:val="0"/>
                <w:color w:val="000000"/>
                <w:sz w:val="24"/>
                <w:szCs w:val="24"/>
                <w:u w:val="single"/>
                <w:lang w:val="en-US" w:eastAsia="zh-CN"/>
              </w:rPr>
              <w:t xml:space="preserve">                       </w:t>
            </w:r>
          </w:p>
        </w:tc>
      </w:tr>
    </w:tbl>
    <w:p>
      <w:pPr>
        <w:keepNext w:val="0"/>
        <w:keepLines w:val="0"/>
        <w:widowControl/>
        <w:numPr>
          <w:ilvl w:val="0"/>
          <w:numId w:val="0"/>
        </w:numPr>
        <w:suppressLineNumbers w:val="0"/>
        <w:ind w:left="0" w:leftChars="0" w:firstLine="0" w:firstLineChars="0"/>
        <w:jc w:val="both"/>
        <w:rPr>
          <w:rFonts w:hint="default" w:ascii="仿宋_GB2312" w:hAnsi="仿宋_GB2312" w:eastAsia="仿宋_GB2312" w:cs="仿宋_GB2312"/>
          <w:sz w:val="24"/>
          <w:szCs w:val="24"/>
          <w:lang w:val="en-US" w:eastAsia="zh-CN"/>
        </w:rPr>
      </w:pPr>
      <w:bookmarkStart w:id="5" w:name="_GoBack"/>
      <w:bookmarkEnd w:id="5"/>
    </w:p>
    <w:bookmarkEnd w:id="1"/>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二、合同总价</w:t>
      </w:r>
    </w:p>
    <w:p>
      <w:pPr>
        <w:keepNext w:val="0"/>
        <w:keepLines w:val="0"/>
        <w:widowControl/>
        <w:numPr>
          <w:ilvl w:val="0"/>
          <w:numId w:val="0"/>
        </w:numPr>
        <w:suppressLineNumbers w:val="0"/>
        <w:ind w:left="0" w:leftChars="0" w:firstLine="480" w:firstLineChars="20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lang w:val="en-US" w:eastAsia="zh-CN"/>
        </w:rPr>
        <w:t>合同总价为人民币大写：</w:t>
      </w:r>
      <w:r>
        <w:rPr>
          <w:rFonts w:hint="eastAsia" w:ascii="仿宋_GB2312" w:hAnsi="仿宋_GB2312" w:eastAsia="仿宋_GB2312" w:cs="仿宋_GB2312"/>
          <w:color w:val="FF0000"/>
          <w:sz w:val="24"/>
          <w:szCs w:val="24"/>
          <w:u w:val="single"/>
          <w:lang w:val="en-US" w:eastAsia="zh-CN"/>
        </w:rPr>
        <w:t xml:space="preserve">           </w:t>
      </w:r>
      <w:r>
        <w:rPr>
          <w:rFonts w:hint="eastAsia" w:ascii="仿宋_GB2312" w:hAnsi="仿宋_GB2312" w:eastAsia="仿宋_GB2312" w:cs="仿宋_GB2312"/>
          <w:color w:val="FF0000"/>
          <w:sz w:val="24"/>
          <w:szCs w:val="24"/>
          <w:lang w:val="en-US" w:eastAsia="zh-CN"/>
        </w:rPr>
        <w:t>，即RMB￥：</w:t>
      </w:r>
      <w:r>
        <w:rPr>
          <w:rFonts w:hint="eastAsia" w:eastAsia="宋体" w:cs="Times New Roman"/>
          <w:color w:val="FF0000"/>
          <w:u w:val="single"/>
          <w:lang w:val="en-US" w:eastAsia="zh-CN"/>
        </w:rPr>
        <w:t xml:space="preserve">         </w:t>
      </w:r>
      <w:r>
        <w:rPr>
          <w:rFonts w:hint="eastAsia" w:ascii="仿宋_GB2312" w:hAnsi="仿宋_GB2312" w:eastAsia="仿宋_GB2312" w:cs="仿宋_GB2312"/>
          <w:color w:val="FF0000"/>
          <w:sz w:val="24"/>
          <w:szCs w:val="24"/>
          <w:u w:val="single"/>
          <w:lang w:val="en-US" w:eastAsia="zh-CN"/>
        </w:rPr>
        <w:t>元</w:t>
      </w:r>
      <w:r>
        <w:rPr>
          <w:rFonts w:hint="eastAsia" w:ascii="仿宋_GB2312" w:hAnsi="仿宋_GB2312" w:eastAsia="仿宋_GB2312" w:cs="仿宋_GB2312"/>
          <w:sz w:val="24"/>
          <w:szCs w:val="24"/>
          <w:lang w:val="en-US" w:eastAsia="zh-CN"/>
        </w:rPr>
        <w:t>；该合同总价已</w:t>
      </w:r>
      <w:r>
        <w:rPr>
          <w:rFonts w:hint="eastAsia" w:ascii="仿宋_GB2312" w:hAnsi="仿宋_GB2312" w:eastAsia="仿宋_GB2312" w:cs="仿宋_GB2312"/>
          <w:sz w:val="24"/>
          <w:szCs w:val="24"/>
          <w:highlight w:val="none"/>
          <w:lang w:val="en-US" w:eastAsia="zh-CN"/>
        </w:rPr>
        <w:t>包括材料及完成施工验收合格交付使用之前及保修期内保修服务与工程材料等所有其他有关各项的含税费用。甲方无须另向乙方支付本合同规定之外的其他任何费用。</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highlight w:val="none"/>
          <w:lang w:val="en-US" w:eastAsia="zh-CN"/>
        </w:rPr>
      </w:pPr>
      <w:bookmarkStart w:id="2" w:name="_Toc217446109"/>
      <w:r>
        <w:rPr>
          <w:rFonts w:hint="eastAsia" w:ascii="仿宋_GB2312" w:hAnsi="仿宋_GB2312" w:eastAsia="仿宋_GB2312" w:cs="仿宋_GB2312"/>
          <w:sz w:val="24"/>
          <w:szCs w:val="24"/>
          <w:highlight w:val="none"/>
          <w:lang w:val="en-US" w:eastAsia="zh-CN"/>
        </w:rPr>
        <w:t>三、质量要求</w:t>
      </w:r>
      <w:bookmarkEnd w:id="2"/>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（一）乙方须提供全新无质量问题的产品（含零部件、配件等），表面无划伤、无碰撞痕迹，且权属清楚，不得侵害他人的知识产权。</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（二）产品或服务必须符合或优于国家（行业）标准，以及本项目采购要求。</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（三）产品质保期：自乙方完成施工、甲方验收合格签</w:t>
      </w:r>
      <w:r>
        <w:rPr>
          <w:rFonts w:hint="eastAsia" w:ascii="仿宋_GB2312" w:hAnsi="仿宋_GB2312" w:eastAsia="仿宋_GB2312" w:cs="仿宋_GB2312"/>
          <w:sz w:val="24"/>
          <w:szCs w:val="24"/>
          <w:lang w:val="en-US" w:eastAsia="zh-CN"/>
        </w:rPr>
        <w:t>字确认之日起计算。质保期</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年</w:t>
      </w:r>
      <w:r>
        <w:rPr>
          <w:rFonts w:hint="eastAsia" w:ascii="仿宋_GB2312" w:hAnsi="仿宋_GB2312" w:eastAsia="仿宋_GB2312" w:cs="仿宋_GB2312"/>
          <w:sz w:val="24"/>
          <w:szCs w:val="24"/>
          <w:highlight w:val="none"/>
          <w:lang w:val="en-US" w:eastAsia="zh-CN"/>
        </w:rPr>
        <w:t>。</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kern w:val="2"/>
          <w:sz w:val="24"/>
          <w:szCs w:val="24"/>
          <w:lang w:val="en-US" w:eastAsia="zh-CN" w:bidi="ar-SA"/>
        </w:rPr>
        <w:t>四、工期：</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lang w:val="en-US" w:eastAsia="zh-CN"/>
        </w:rPr>
        <w:t>天</w:t>
      </w:r>
    </w:p>
    <w:p>
      <w:pPr>
        <w:numPr>
          <w:ilvl w:val="0"/>
          <w:numId w:val="0"/>
        </w:numPr>
        <w:tabs>
          <w:tab w:val="left" w:pos="3690"/>
        </w:tabs>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五、验收方式：</w:t>
      </w:r>
      <w:r>
        <w:rPr>
          <w:rFonts w:hint="eastAsia" w:ascii="仿宋_GB2312" w:hAnsi="仿宋_GB2312" w:eastAsia="仿宋_GB2312" w:cs="仿宋_GB2312"/>
          <w:sz w:val="24"/>
          <w:szCs w:val="24"/>
          <w:lang w:val="en-US" w:eastAsia="zh-CN"/>
        </w:rPr>
        <w:t>医院自行组织验。</w:t>
      </w:r>
    </w:p>
    <w:p>
      <w:pPr>
        <w:keepNext w:val="0"/>
        <w:keepLines w:val="0"/>
        <w:widowControl/>
        <w:numPr>
          <w:ilvl w:val="0"/>
          <w:numId w:val="0"/>
        </w:numPr>
        <w:suppressLineNumbers w:val="0"/>
        <w:ind w:left="0" w:leftChars="0" w:firstLine="0" w:firstLineChars="0"/>
        <w:jc w:val="both"/>
        <w:rPr>
          <w:rFonts w:hint="default" w:ascii="仿宋_GB2312" w:hAnsi="仿宋_GB2312" w:eastAsia="仿宋_GB2312" w:cs="仿宋_GB2312"/>
          <w:sz w:val="24"/>
          <w:szCs w:val="24"/>
          <w:lang w:val="en-US" w:eastAsia="zh-CN"/>
        </w:rPr>
      </w:pPr>
      <w:bookmarkStart w:id="3" w:name="_Toc217446111"/>
      <w:r>
        <w:rPr>
          <w:rFonts w:hint="eastAsia" w:ascii="仿宋_GB2312" w:hAnsi="仿宋_GB2312" w:eastAsia="仿宋_GB2312" w:cs="仿宋_GB2312"/>
          <w:sz w:val="24"/>
          <w:szCs w:val="24"/>
          <w:lang w:val="en-US" w:eastAsia="zh-CN"/>
        </w:rPr>
        <w:t>六、付款方式</w:t>
      </w:r>
      <w:bookmarkEnd w:id="3"/>
      <w:r>
        <w:rPr>
          <w:rFonts w:hint="eastAsia" w:ascii="仿宋_GB2312" w:hAnsi="仿宋_GB2312" w:eastAsia="仿宋_GB2312" w:cs="仿宋_GB2312"/>
          <w:sz w:val="24"/>
          <w:szCs w:val="24"/>
          <w:lang w:val="en-US" w:eastAsia="zh-CN"/>
        </w:rPr>
        <w:t>（三选一）：本合同选择</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color w:val="FF0000"/>
          <w:sz w:val="24"/>
          <w:szCs w:val="24"/>
          <w:u w:val="single"/>
          <w:lang w:val="en-US" w:eastAsia="zh-CN"/>
        </w:rPr>
        <w:t>付款方式（一）</w:t>
      </w:r>
      <w:r>
        <w:rPr>
          <w:rFonts w:hint="eastAsia" w:ascii="仿宋_GB2312" w:hAnsi="仿宋_GB2312" w:eastAsia="仿宋_GB2312" w:cs="仿宋_GB2312"/>
          <w:sz w:val="24"/>
          <w:szCs w:val="24"/>
          <w:lang w:val="en-US" w:eastAsia="zh-CN"/>
        </w:rPr>
        <w:t>。</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☑付款方式（一）：</w:t>
      </w:r>
      <w:r>
        <w:rPr>
          <w:rFonts w:hint="eastAsia" w:ascii="仿宋_GB2312" w:hAnsi="仿宋_GB2312" w:eastAsia="仿宋_GB2312" w:cs="仿宋_GB2312"/>
          <w:sz w:val="24"/>
          <w:szCs w:val="24"/>
          <w:highlight w:val="none"/>
          <w:lang w:val="en-US" w:eastAsia="zh-CN"/>
        </w:rPr>
        <w:t>项目完工经</w:t>
      </w:r>
      <w:r>
        <w:rPr>
          <w:rFonts w:hint="eastAsia" w:ascii="仿宋_GB2312" w:hAnsi="仿宋_GB2312" w:eastAsia="仿宋_GB2312" w:cs="仿宋_GB2312"/>
          <w:sz w:val="24"/>
          <w:szCs w:val="24"/>
          <w:lang w:val="en-US" w:eastAsia="zh-CN"/>
        </w:rPr>
        <w:t>甲方验收合格，在收到乙方出具合法有效完整的完税发票及凭证资料后的次月内，付合同总金额的100%。</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□付款方式（二）：甲方收到产品验收入库、发票齐全、正常使用完后，即可按照甲方账期进行滚动付款。</w:t>
      </w:r>
      <w:bookmarkStart w:id="4" w:name="_Toc217446115"/>
    </w:p>
    <w:p>
      <w:pPr>
        <w:pStyle w:val="6"/>
        <w:numPr>
          <w:ilvl w:val="0"/>
          <w:numId w:val="0"/>
        </w:numPr>
        <w:tabs>
          <w:tab w:val="left" w:pos="0"/>
        </w:tabs>
        <w:ind w:right="225" w:right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□付款方式（三）：</w:t>
      </w:r>
      <w:r>
        <w:rPr>
          <w:rFonts w:hint="eastAsia" w:ascii="仿宋_GB2312" w:hAnsi="仿宋_GB2312" w:eastAsia="仿宋_GB2312" w:cs="仿宋_GB2312"/>
          <w:kern w:val="2"/>
          <w:sz w:val="24"/>
          <w:szCs w:val="24"/>
          <w:lang w:val="en-US" w:eastAsia="zh-CN" w:bidi="ar-SA"/>
        </w:rPr>
        <w:t>投标人完成</w:t>
      </w:r>
      <w:r>
        <w:rPr>
          <w:rFonts w:hint="eastAsia" w:ascii="仿宋_GB2312" w:hAnsi="仿宋_GB2312" w:eastAsia="仿宋_GB2312" w:cs="仿宋_GB2312"/>
          <w:kern w:val="2"/>
          <w:sz w:val="24"/>
          <w:szCs w:val="24"/>
          <w:u w:val="single"/>
          <w:lang w:val="en-US" w:eastAsia="zh-CN" w:bidi="ar-SA"/>
        </w:rPr>
        <w:t xml:space="preserve">               </w:t>
      </w:r>
      <w:r>
        <w:rPr>
          <w:rFonts w:hint="eastAsia" w:ascii="仿宋_GB2312" w:hAnsi="仿宋_GB2312" w:eastAsia="仿宋_GB2312" w:cs="仿宋_GB2312"/>
          <w:kern w:val="2"/>
          <w:sz w:val="24"/>
          <w:szCs w:val="24"/>
          <w:lang w:val="en-US" w:eastAsia="zh-CN" w:bidi="ar-SA"/>
        </w:rPr>
        <w:t>项目、招标人验收合格后，经招标人委托的审计公司审计，根据审计结果，达到付款条件起30个工作日内，支付审计结果的97%。质保期满，达到付款条件起30个工作日内，支付审计结果的3%。</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七、违约责任</w:t>
      </w:r>
    </w:p>
    <w:bookmarkEnd w:id="4"/>
    <w:p>
      <w:pPr>
        <w:keepNext w:val="0"/>
        <w:keepLines w:val="0"/>
        <w:pageBreakBefore w:val="0"/>
        <w:widowControl w:val="0"/>
        <w:kinsoku w:val="0"/>
        <w:wordWrap/>
        <w:overflowPunct/>
        <w:topLinePunct w:val="0"/>
        <w:autoSpaceDE/>
        <w:autoSpaceDN/>
        <w:bidi w:val="0"/>
        <w:adjustRightInd/>
        <w:snapToGrid/>
        <w:spacing w:after="0" w:line="240" w:lineRule="auto"/>
        <w:ind w:firstLine="480" w:firstLineChars="200"/>
        <w:textAlignment w:val="auto"/>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乙方不履行本协议约定的任何一项义务或履行不符合约定的均被视为违约。乙方应承担因自己的违约行为而给甲方造成的全部损失（包括但不限于直接及间接经济损失、诉讼费、保全费、保全保险费、律师费、差旅费等）的赔偿责任。</w:t>
      </w:r>
    </w:p>
    <w:p>
      <w:pPr>
        <w:keepNext w:val="0"/>
        <w:keepLines w:val="0"/>
        <w:pageBreakBefore w:val="0"/>
        <w:widowControl w:val="0"/>
        <w:kinsoku w:val="0"/>
        <w:wordWrap/>
        <w:overflowPunct/>
        <w:topLinePunct w:val="0"/>
        <w:autoSpaceDE/>
        <w:autoSpaceDN/>
        <w:bidi w:val="0"/>
        <w:adjustRightInd/>
        <w:snapToGrid/>
        <w:spacing w:after="0" w:line="240" w:lineRule="auto"/>
        <w:ind w:left="0" w:leftChars="0" w:firstLine="0" w:firstLineChars="0"/>
        <w:textAlignment w:val="auto"/>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八、安全生产和防火规定</w:t>
      </w:r>
    </w:p>
    <w:p>
      <w:pPr>
        <w:keepNext w:val="0"/>
        <w:keepLines w:val="0"/>
        <w:pageBreakBefore w:val="0"/>
        <w:widowControl w:val="0"/>
        <w:kinsoku w:val="0"/>
        <w:wordWrap/>
        <w:overflowPunct/>
        <w:topLinePunct w:val="0"/>
        <w:autoSpaceDE/>
        <w:autoSpaceDN/>
        <w:bidi w:val="0"/>
        <w:adjustRightInd/>
        <w:snapToGrid/>
        <w:spacing w:after="0" w:line="240" w:lineRule="auto"/>
        <w:textAlignment w:val="auto"/>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（一）乙方在施工期间应严格遵守《建筑安装工程安全技术规程》、《建筑安装工人安全操作规程》、《中华人民共和国消防条例》和其他相关的法律法规。</w:t>
      </w:r>
    </w:p>
    <w:p>
      <w:pPr>
        <w:keepNext w:val="0"/>
        <w:keepLines w:val="0"/>
        <w:pageBreakBefore w:val="0"/>
        <w:widowControl w:val="0"/>
        <w:kinsoku w:val="0"/>
        <w:wordWrap/>
        <w:overflowPunct/>
        <w:topLinePunct w:val="0"/>
        <w:autoSpaceDE/>
        <w:autoSpaceDN/>
        <w:bidi w:val="0"/>
        <w:adjustRightInd/>
        <w:snapToGrid/>
        <w:spacing w:after="0" w:line="240" w:lineRule="auto"/>
        <w:textAlignment w:val="auto"/>
        <w:rPr>
          <w:rFonts w:hint="default"/>
          <w:highlight w:val="none"/>
          <w:lang w:val="en-US" w:eastAsia="zh-CN"/>
        </w:rPr>
      </w:pPr>
      <w:r>
        <w:rPr>
          <w:rFonts w:hint="eastAsia" w:ascii="仿宋_GB2312" w:hAnsi="仿宋_GB2312" w:eastAsia="仿宋_GB2312" w:cs="仿宋_GB2312"/>
          <w:sz w:val="24"/>
          <w:highlight w:val="none"/>
          <w:lang w:val="en-US" w:eastAsia="zh-CN"/>
        </w:rPr>
        <w:t>（二）由于乙方在施工生产过程中违反有关安全操作规程、消防条例，导致发生的安全或火灾事故，乙方应承担由此产生的一切经济损失。</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九、其他</w:t>
      </w:r>
    </w:p>
    <w:p>
      <w:pPr>
        <w:keepNext w:val="0"/>
        <w:keepLines w:val="0"/>
        <w:widowControl/>
        <w:numPr>
          <w:ilvl w:val="0"/>
          <w:numId w:val="0"/>
        </w:numPr>
        <w:suppressLineNumbers w:val="0"/>
        <w:ind w:left="0" w:leftChars="0" w:firstLine="0" w:firstLineChars="0"/>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（一）如有未尽事宜，由甲乙双方协商解决。协商不一致，向甲方所在地人民法院提起诉讼。</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（二）本合同一式五份，自双方签章之日起生效。甲方四份，乙方一份。</w:t>
      </w:r>
    </w:p>
    <w:p>
      <w:pPr>
        <w:keepNext w:val="0"/>
        <w:keepLines w:val="0"/>
        <w:widowControl/>
        <w:numPr>
          <w:ilvl w:val="0"/>
          <w:numId w:val="0"/>
        </w:numPr>
        <w:suppressLineNumbers w:val="0"/>
        <w:ind w:left="0" w:leftChars="0" w:firstLine="0" w:firstLineChars="0"/>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（三）附件：</w:t>
      </w:r>
      <w:r>
        <w:rPr>
          <w:rFonts w:hint="default" w:ascii="仿宋_GB2312" w:hAnsi="仿宋_GB2312" w:eastAsia="仿宋_GB2312" w:cs="仿宋_GB2312"/>
          <w:sz w:val="24"/>
          <w:szCs w:val="24"/>
          <w:lang w:val="en-US" w:eastAsia="zh-CN"/>
        </w:rPr>
        <w:t>廉洁承诺书</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p>
    <w:p>
      <w:pPr>
        <w:pStyle w:val="2"/>
        <w:rPr>
          <w:rFonts w:hint="eastAsia"/>
          <w:lang w:val="en-US" w:eastAsia="zh-CN"/>
        </w:rPr>
      </w:pPr>
    </w:p>
    <w:tbl>
      <w:tblPr>
        <w:tblStyle w:val="4"/>
        <w:tblW w:w="9956" w:type="dxa"/>
        <w:jc w:val="center"/>
        <w:tblLayout w:type="fixed"/>
        <w:tblCellMar>
          <w:top w:w="0" w:type="dxa"/>
          <w:left w:w="108" w:type="dxa"/>
          <w:bottom w:w="0" w:type="dxa"/>
          <w:right w:w="108" w:type="dxa"/>
        </w:tblCellMar>
      </w:tblPr>
      <w:tblGrid>
        <w:gridCol w:w="4426"/>
        <w:gridCol w:w="5530"/>
      </w:tblGrid>
      <w:tr>
        <w:trPr>
          <w:trHeight w:val="1406" w:hRule="atLeast"/>
          <w:jc w:val="center"/>
        </w:trPr>
        <w:tc>
          <w:tcPr>
            <w:tcW w:w="4426" w:type="dxa"/>
            <w:noWrap w:val="0"/>
            <w:vAlign w:val="top"/>
          </w:tcPr>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甲方：（章）资阳市第一人民医院</w:t>
            </w:r>
          </w:p>
          <w:p>
            <w:pPr>
              <w:pStyle w:val="2"/>
              <w:rPr>
                <w:rFonts w:hint="eastAsia"/>
                <w:lang w:val="en-US" w:eastAsia="zh-CN"/>
              </w:rPr>
            </w:pP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法定代表人/授权代理人签字：</w:t>
            </w:r>
          </w:p>
          <w:p>
            <w:pPr>
              <w:pStyle w:val="2"/>
              <w:rPr>
                <w:rFonts w:hint="eastAsia"/>
                <w:lang w:val="en-US" w:eastAsia="zh-CN"/>
              </w:rPr>
            </w:pPr>
          </w:p>
          <w:p>
            <w:pPr>
              <w:pStyle w:val="2"/>
              <w:rPr>
                <w:rFonts w:hint="eastAsia"/>
                <w:lang w:val="en-US" w:eastAsia="zh-CN"/>
              </w:rPr>
            </w:pPr>
            <w:r>
              <w:rPr>
                <w:rFonts w:hint="eastAsia" w:ascii="仿宋_GB2312" w:hAnsi="仿宋_GB2312" w:eastAsia="仿宋_GB2312" w:cs="仿宋_GB2312"/>
                <w:sz w:val="24"/>
                <w:szCs w:val="24"/>
                <w:lang w:val="en-US" w:eastAsia="zh-CN"/>
              </w:rPr>
              <w:t>地址：资阳市雁江区仁德西路66号</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日期：2023年　 月 　日 </w:t>
            </w:r>
          </w:p>
        </w:tc>
        <w:tc>
          <w:tcPr>
            <w:tcW w:w="5530" w:type="dxa"/>
            <w:noWrap w:val="0"/>
            <w:vAlign w:val="top"/>
          </w:tcPr>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乙方：（章）</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法定代表人/授权代理人签字：</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p>
          <w:p>
            <w:pPr>
              <w:pStyle w:val="2"/>
              <w:rPr>
                <w:rFonts w:hint="eastAsia"/>
                <w:lang w:val="en-US" w:eastAsia="zh-CN"/>
              </w:rPr>
            </w:pPr>
            <w:r>
              <w:rPr>
                <w:rFonts w:hint="eastAsia" w:ascii="仿宋_GB2312" w:hAnsi="仿宋_GB2312" w:eastAsia="仿宋_GB2312" w:cs="仿宋_GB2312"/>
                <w:sz w:val="24"/>
                <w:szCs w:val="24"/>
                <w:lang w:val="en-US" w:eastAsia="zh-CN"/>
              </w:rPr>
              <w:t>地址：</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日期：2023年 　月 　日 </w:t>
            </w:r>
          </w:p>
        </w:tc>
      </w:tr>
    </w:tbl>
    <w:p>
      <w:pPr>
        <w:keepNext w:val="0"/>
        <w:keepLines w:val="0"/>
        <w:widowControl/>
        <w:suppressLineNumbers w:val="0"/>
        <w:jc w:val="left"/>
        <w:rPr>
          <w:rFonts w:hint="eastAsia" w:ascii="仿宋_GB2312" w:hAnsi="仿宋_GB2312" w:eastAsia="仿宋_GB2312" w:cs="仿宋_GB2312"/>
          <w:sz w:val="32"/>
          <w:szCs w:val="32"/>
          <w:lang w:val="en-US" w:eastAsia="zh-CN"/>
        </w:rPr>
      </w:pPr>
    </w:p>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 xml:space="preserve">      </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 xml:space="preserve">      </w:t>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4EC159"/>
    <w:multiLevelType w:val="singleLevel"/>
    <w:tmpl w:val="114EC15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4B5E5C"/>
    <w:rsid w:val="25A07F99"/>
    <w:rsid w:val="38C547B3"/>
    <w:rsid w:val="47887727"/>
    <w:rsid w:val="48A723C2"/>
    <w:rsid w:val="49FD1CF0"/>
    <w:rsid w:val="4B5D6354"/>
    <w:rsid w:val="6D8B07C8"/>
    <w:rsid w:val="734E117F"/>
    <w:rsid w:val="735637C7"/>
    <w:rsid w:val="777C3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99"/>
    <w:pPr>
      <w:spacing w:after="120"/>
    </w:pPr>
  </w:style>
  <w:style w:type="paragraph" w:styleId="3">
    <w:name w:val="footer"/>
    <w:basedOn w:val="1"/>
    <w:qFormat/>
    <w:uiPriority w:val="0"/>
    <w:pPr>
      <w:tabs>
        <w:tab w:val="center" w:pos="4153"/>
        <w:tab w:val="right" w:pos="8306"/>
      </w:tabs>
      <w:autoSpaceDE w:val="0"/>
      <w:autoSpaceDN w:val="0"/>
      <w:adjustRightInd w:val="0"/>
      <w:snapToGrid w:val="0"/>
      <w:jc w:val="left"/>
    </w:pPr>
    <w:rPr>
      <w:kern w:val="0"/>
      <w:sz w:val="18"/>
      <w:szCs w:val="18"/>
    </w:rPr>
  </w:style>
  <w:style w:type="paragraph" w:customStyle="1" w:styleId="6">
    <w:name w:val="null3"/>
    <w:hidden/>
    <w:qFormat/>
    <w:uiPriority w:val="0"/>
    <w:rPr>
      <w:rFonts w:hint="eastAsia" w:asciiTheme="minorHAnsi" w:hAnsiTheme="minorHAnsi" w:eastAsiaTheme="minorEastAsia" w:cstheme="minorBidi"/>
      <w:lang w:val="en-US" w:eastAsia="zh-Hans"/>
    </w:rPr>
  </w:style>
  <w:style w:type="character" w:customStyle="1" w:styleId="7">
    <w:name w:val="font81"/>
    <w:basedOn w:val="5"/>
    <w:qFormat/>
    <w:uiPriority w:val="0"/>
    <w:rPr>
      <w:rFonts w:hint="default" w:ascii="Times New Roman" w:hAnsi="Times New Roman" w:cs="Times New Roman"/>
      <w:b/>
      <w:bCs/>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2023-08-09T05:12:00Z</dcterms:created>
  <dc:creator>Administrator</dc:creator>
  <cp:lastModifiedBy>Administrator</cp:lastModifiedBy>
  <dcterms:modified xsi:type="dcterms:W3CDTF">2023-10-31T03:06:55Z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936E0BA9DCA5483B8A7F65A3D95E8E57</vt:lpwstr>
  </property>
</Properties>
</file>