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资阳市中心医院锅炉低氮燃烧改造</w:t>
      </w:r>
    </w:p>
    <w:p>
      <w:pPr>
        <w:ind w:firstLine="2650" w:firstLineChars="600"/>
        <w:rPr>
          <w:rFonts w:hint="eastAsia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市场询价公告</w:t>
      </w:r>
    </w:p>
    <w:p>
      <w:pPr>
        <w:ind w:left="0" w:leftChars="0" w:firstLine="0" w:firstLineChars="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一、项目名称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资阳市中心医院锅炉房锅炉低氮燃烧改造市场询价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二、项目概况</w:t>
      </w:r>
    </w:p>
    <w:p>
      <w:pPr>
        <w:numPr>
          <w:ilvl w:val="0"/>
          <w:numId w:val="0"/>
        </w:numPr>
        <w:ind w:firstLine="42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我院锅炉房现有4吨蒸汽锅炉2台，型号：WNS4-1.25-YQ;生产厂家：四川竹根锅炉股份有限公司，根据锅炉大气污染排放标准要求将完成锅炉低氮燃烧改造，即：更换2台燃烧器达到氮氧化物排放量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&lt;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30mg/m³。（注：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1台为燃气燃烧器；1台为油气两用燃烧器。）特邀符合要求的供应商参加此次市场询价。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三、本次市场询价要求</w:t>
      </w:r>
      <w:r>
        <w:rPr>
          <w:rFonts w:hint="eastAsia"/>
          <w:sz w:val="28"/>
          <w:szCs w:val="28"/>
          <w:lang w:val="en-US" w:eastAsia="zh-CN"/>
        </w:rPr>
        <w:t>：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1、建议参加现场查勘；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2、提供锅炉低氮燃烧改造方案；</w:t>
      </w:r>
    </w:p>
    <w:p>
      <w:pPr>
        <w:numPr>
          <w:ilvl w:val="0"/>
          <w:numId w:val="0"/>
        </w:num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3、提供锅炉低氮燃烧改造报价清单；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项目执行标准：</w:t>
      </w:r>
    </w:p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1、TSG11-2020</w:t>
      </w:r>
    </w:p>
    <w:p>
      <w:pPr>
        <w:numPr>
          <w:ilvl w:val="0"/>
          <w:numId w:val="0"/>
        </w:numPr>
        <w:ind w:firstLine="600" w:firstLineChars="200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2、DB512672-2020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五、项目技术要求：见附件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六、资料递交方式：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公司营业执照、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锅炉低氮燃烧改造方案、锅炉低氮燃烧改造报价清单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表加盖公章扫描为PDF文件于2024年8月2日17:00前发送至3331354405@qq.com,邮件标题形势：公司名称+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联系方式。邮寄地址：四川省资阳市雁江区仁德西路66号资阳市中心医院/辅助办公楼/5楼基建运行部512室。咨询联系人：马老师，电话：15108151885.</w:t>
      </w:r>
    </w:p>
    <w:p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七、本次市场询价不做任何采购承诺</w:t>
      </w:r>
    </w:p>
    <w:p>
      <w:pPr>
        <w:numPr>
          <w:ilvl w:val="0"/>
          <w:numId w:val="0"/>
        </w:numPr>
        <w:rPr>
          <w:rFonts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低氮燃烧器技术要求</w:t>
      </w:r>
    </w:p>
    <w:p>
      <w:pPr>
        <w:pStyle w:val="4"/>
        <w:numPr>
          <w:ilvl w:val="0"/>
          <w:numId w:val="0"/>
        </w:numPr>
        <w:spacing w:line="360" w:lineRule="auto"/>
        <w:ind w:firstLine="1767" w:firstLineChars="400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低氮燃烧器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技术要求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1、锅炉低氮燃烧改造的改造设计须充分考虑运行安全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和TSG11-2020《锅炉安全技术规程》</w:t>
      </w:r>
      <w:r>
        <w:rPr>
          <w:rFonts w:hint="eastAsia" w:ascii="仿宋" w:hAnsi="仿宋" w:eastAsia="仿宋" w:cs="仿宋"/>
          <w:sz w:val="32"/>
          <w:szCs w:val="32"/>
        </w:rPr>
        <w:t>的相关要求，同时应满足现有锅炉设计技术参数与设计燃料的要求，最大限度地利用已有资源，不更换锅炉本体、保留原有传感器和锅炉控制功能、不影响原有通信功能，同时不改动锅炉本体的换热结构，尽量降低改造成本，保证改造效果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拟采用的技术路线为“更换全新低氮燃烧器+加装FGR烟气外循环系统”的方式对该锅炉实施技术改造。施工过程不得对锅炉本体、供回水管道、燃气系统、排烟风道进行改造，改造不得对原锅炉给水控制方式进行变更，仅在排烟管道上开烟气外循环管道接口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3、燃烧器品牌要求：烟气污染物排放浓度限值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达成都市《DB51/2672-2020》，即：</w:t>
      </w:r>
      <w:r>
        <w:rPr>
          <w:rFonts w:hint="eastAsia" w:ascii="仿宋" w:hAnsi="仿宋" w:eastAsia="仿宋" w:cs="仿宋"/>
          <w:sz w:val="32"/>
          <w:szCs w:val="32"/>
        </w:rPr>
        <w:t>氮氧化物 ＜30mg/m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；投标时须根据原锅炉的技术参数所匹配的燃烧器选型。同时提供该燃烧器的设计参数，以及由中国特检院出具的燃烧器型式试验报告复印件。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.投标人需具备独立进行所投品牌燃烧器的调试能力，并提供燃烧器厂家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</w:t>
      </w:r>
      <w:r>
        <w:rPr>
          <w:rFonts w:hint="eastAsia" w:ascii="仿宋" w:hAnsi="仿宋" w:eastAsia="仿宋" w:cs="仿宋"/>
          <w:sz w:val="32"/>
          <w:szCs w:val="32"/>
        </w:rPr>
        <w:t>具的有效授权书作为证明材料。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、改造后的主要技术指标：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锅炉在全负荷运行段时的烟气污染物排放浓度限值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达成都市《DB51/2672-2020》，</w:t>
      </w:r>
      <w:r>
        <w:rPr>
          <w:rFonts w:hint="eastAsia" w:ascii="仿宋" w:hAnsi="仿宋" w:eastAsia="仿宋" w:cs="仿宋"/>
          <w:sz w:val="32"/>
          <w:szCs w:val="32"/>
        </w:rPr>
        <w:t>以法定的第三方检测报告为准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即：</w:t>
      </w:r>
      <w:r>
        <w:rPr>
          <w:rFonts w:hint="eastAsia" w:ascii="仿宋" w:hAnsi="仿宋" w:eastAsia="仿宋" w:cs="仿宋"/>
          <w:sz w:val="32"/>
          <w:szCs w:val="32"/>
        </w:rPr>
        <w:t>氮氧化物 ＜30mg/m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 xml:space="preserve">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、主要配置要求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1）燃烧机调节方式：电子比例调节，燃烧机具备手动和自动负荷调节；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燃烧机额定输出热功率不得小于3200kw；</w:t>
      </w:r>
    </w:p>
    <w:p>
      <w:pPr>
        <w:spacing w:line="360" w:lineRule="auto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3）燃烧机的天然气最大流量不小于320N</w:t>
      </w:r>
      <w:r>
        <w:rPr>
          <w:rFonts w:hint="eastAsia" w:ascii="仿宋" w:hAnsi="仿宋" w:eastAsia="仿宋" w:cs="仿宋"/>
          <w:sz w:val="32"/>
          <w:szCs w:val="32"/>
        </w:rPr>
        <w:t>m</w:t>
      </w:r>
      <w:r>
        <w:rPr>
          <w:rFonts w:hint="eastAsia" w:ascii="仿宋" w:hAnsi="仿宋" w:eastAsia="仿宋" w:cs="仿宋"/>
          <w:sz w:val="32"/>
          <w:szCs w:val="32"/>
          <w:vertAlign w:val="superscript"/>
        </w:rPr>
        <w:t>3</w:t>
      </w:r>
      <w:r>
        <w:rPr>
          <w:rFonts w:hint="eastAsia" w:ascii="仿宋" w:hAnsi="仿宋" w:eastAsia="仿宋" w:cs="仿宋"/>
          <w:sz w:val="32"/>
          <w:szCs w:val="32"/>
          <w:vertAlign w:val="superscript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/h;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）噪音(主机，1 米处不带消音器) dB(A)：≤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）燃烧器控制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器</w:t>
      </w:r>
      <w:r>
        <w:rPr>
          <w:rFonts w:hint="eastAsia" w:ascii="仿宋" w:hAnsi="仿宋" w:eastAsia="仿宋" w:cs="仿宋"/>
          <w:sz w:val="32"/>
          <w:szCs w:val="32"/>
        </w:rPr>
        <w:t>至少包括燃烧器的顺序控制、电子方式的燃料、 空气比例控制、火焰监控、检漏、燃烧器的功率控制、运行时间计数、故障信息查询，当故障发生时，人机界面将自动显示故障发生的时间、阶段、故障名称，同时给出故障诊断方案；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）全自动比例调节燃烧器，控制系统可以设定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多</w:t>
      </w:r>
      <w:r>
        <w:rPr>
          <w:rFonts w:hint="eastAsia" w:ascii="仿宋" w:hAnsi="仿宋" w:eastAsia="仿宋" w:cs="仿宋"/>
          <w:sz w:val="32"/>
          <w:szCs w:val="32"/>
        </w:rPr>
        <w:t>个空燃比负荷点，使燃烧器的燃烧更加的优化和节能。风门和燃气调节阀采用独立的执行器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）FGR烟气外循环系统管道采用304不锈钢材质，应做保温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和铠装</w:t>
      </w:r>
      <w:r>
        <w:rPr>
          <w:rFonts w:hint="eastAsia" w:ascii="仿宋" w:hAnsi="仿宋" w:eastAsia="仿宋" w:cs="仿宋"/>
          <w:sz w:val="32"/>
          <w:szCs w:val="32"/>
        </w:rPr>
        <w:t>处理，低位应安装冷凝水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排水</w:t>
      </w:r>
      <w:r>
        <w:rPr>
          <w:rFonts w:hint="eastAsia" w:ascii="仿宋" w:hAnsi="仿宋" w:eastAsia="仿宋" w:cs="仿宋"/>
          <w:sz w:val="32"/>
          <w:szCs w:val="32"/>
        </w:rPr>
        <w:t>阀；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、控制安全保护要求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1）燃气压力异常保护：燃气压力高、低都将产生报警信号，并停止点火过程；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2）风压异常保护：风压压力低将产生报警信号，并停止点火过程；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3）泄漏保护：发现燃气泄漏，则产生报警信号，停止燃烧启动过程；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4）熄火保护：当火焰检测发现熄火时，产生报警信号，停止燃烧过程；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5）点火失败保护：点火枪或主火点火失败，产生报警信号，停止点火过程；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6）火检故障保护：点火前火检检测到有火，产生报警信号，燃烧停止启动过程；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7）火焰监控：在燃烧器的运行、停止过程中，火焰实时监控。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8）实施低氮改造后，保证锅炉、直燃机安全、可靠运行;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9）改造后不得降低锅炉的安全性能，并确保燃烧器与各控制系统相匹配，能保证与现有设备相连接、控制、信号反馈，并保证与原控制系统一致；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、燃烧器控制系统与原有控制系统匹配性良好，选用成熟的控制系统方案。电子元件更换及程序编制要与新燃烧器相匹配，选用品牌质量不低于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市场同类产品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030B2A3C"/>
    <w:rsid w:val="0C857F6F"/>
    <w:rsid w:val="0ECE329B"/>
    <w:rsid w:val="0F3B0205"/>
    <w:rsid w:val="124E421B"/>
    <w:rsid w:val="147466BF"/>
    <w:rsid w:val="154F0566"/>
    <w:rsid w:val="162B4B2F"/>
    <w:rsid w:val="17CF3BE0"/>
    <w:rsid w:val="19997F49"/>
    <w:rsid w:val="1BAD4238"/>
    <w:rsid w:val="1DC26271"/>
    <w:rsid w:val="23F3562C"/>
    <w:rsid w:val="269C3827"/>
    <w:rsid w:val="2CE455E0"/>
    <w:rsid w:val="308275EA"/>
    <w:rsid w:val="315A2315"/>
    <w:rsid w:val="35040F15"/>
    <w:rsid w:val="3D107ACD"/>
    <w:rsid w:val="41566B39"/>
    <w:rsid w:val="475A49C5"/>
    <w:rsid w:val="494D2A33"/>
    <w:rsid w:val="4AEC1656"/>
    <w:rsid w:val="522E084E"/>
    <w:rsid w:val="53F51CFD"/>
    <w:rsid w:val="576359AA"/>
    <w:rsid w:val="58791572"/>
    <w:rsid w:val="599002F5"/>
    <w:rsid w:val="59F9006D"/>
    <w:rsid w:val="5DCB7B6C"/>
    <w:rsid w:val="5E766130"/>
    <w:rsid w:val="5EA22A81"/>
    <w:rsid w:val="62D73AA7"/>
    <w:rsid w:val="62E573E1"/>
    <w:rsid w:val="6A241853"/>
    <w:rsid w:val="71635FC7"/>
    <w:rsid w:val="71AB6FD5"/>
    <w:rsid w:val="77E93077"/>
    <w:rsid w:val="780D0386"/>
    <w:rsid w:val="7B5A54AF"/>
    <w:rsid w:val="7EAD12A3"/>
    <w:rsid w:val="7ED32F18"/>
    <w:rsid w:val="7F82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428</Words>
  <Characters>510</Characters>
  <Lines>0</Lines>
  <Paragraphs>0</Paragraphs>
  <TotalTime>1</TotalTime>
  <ScaleCrop>false</ScaleCrop>
  <LinksUpToDate>false</LinksUpToDate>
  <CharactersWithSpaces>515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cp:lastPrinted>2024-07-10T01:18:00Z</cp:lastPrinted>
  <dcterms:modified xsi:type="dcterms:W3CDTF">2024-07-25T01:08:35Z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EEDD52E66A0040A5BEE2F76208172208</vt:lpwstr>
  </property>
</Properties>
</file>