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方正小标宋_GBK" w:hAnsi="方正小标宋_GBK" w:eastAsia="方正小标宋_GBK" w:cs="方正小标宋_GBK"/>
          <w:b w:val="0"/>
          <w:bCs w:val="0"/>
          <w:color w:val="5B5852"/>
          <w:kern w:val="0"/>
          <w:sz w:val="44"/>
          <w:szCs w:val="44"/>
          <w:lang w:eastAsia="zh-CN"/>
        </w:rPr>
        <w:t>资阳市中心医院</w:t>
      </w:r>
      <w:r>
        <w:rPr>
          <w:rFonts w:hint="eastAsia" w:ascii="方正小标宋_GBK" w:hAnsi="方正小标宋_GBK" w:eastAsia="方正小标宋_GBK" w:cs="方正小标宋_GBK"/>
          <w:b w:val="0"/>
          <w:bCs w:val="0"/>
          <w:color w:val="5B5852"/>
          <w:kern w:val="0"/>
          <w:sz w:val="44"/>
          <w:szCs w:val="44"/>
          <w:lang w:val="en-US" w:eastAsia="zh-CN"/>
        </w:rPr>
        <w:t>放射工作人员</w:t>
      </w:r>
    </w:p>
    <w:p>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方正小标宋_GBK" w:hAnsi="方正小标宋_GBK" w:eastAsia="方正小标宋_GBK" w:cs="方正小标宋_GBK"/>
          <w:b w:val="0"/>
          <w:bCs w:val="0"/>
          <w:color w:val="5B5852"/>
          <w:kern w:val="0"/>
          <w:sz w:val="44"/>
          <w:szCs w:val="44"/>
        </w:rPr>
        <w:t>职业健康体检</w:t>
      </w:r>
      <w:r>
        <w:rPr>
          <w:rFonts w:hint="eastAsia" w:ascii="方正小标宋_GBK" w:hAnsi="方正小标宋_GBK" w:eastAsia="方正小标宋_GBK" w:cs="方正小标宋_GBK"/>
          <w:b w:val="0"/>
          <w:bCs w:val="0"/>
          <w:color w:val="5B5852"/>
          <w:kern w:val="0"/>
          <w:sz w:val="44"/>
          <w:szCs w:val="44"/>
          <w:lang w:val="en-US" w:eastAsia="zh-CN"/>
        </w:rPr>
        <w:t>服务</w:t>
      </w:r>
    </w:p>
    <w:p>
      <w:pPr>
        <w:pStyle w:val="2"/>
        <w:rPr>
          <w:rFonts w:hint="eastAsia" w:ascii="方正小标宋_GBK" w:hAnsi="方正小标宋_GBK" w:eastAsia="方正小标宋_GBK" w:cs="方正小标宋_GBK"/>
          <w:b w:val="0"/>
          <w:bCs w:val="0"/>
          <w:color w:val="5B5852"/>
          <w:kern w:val="0"/>
          <w:sz w:val="44"/>
          <w:szCs w:val="44"/>
          <w:lang w:val="en-US" w:eastAsia="zh-CN"/>
        </w:rPr>
      </w:pP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173895652"/>
      <w:bookmarkStart w:id="2" w:name="_Toc173895837"/>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资阳市中心医院拟对放射工作人员职业健康体检服务进行比选采购，欢迎符合资质要求的供应商前来参加。</w:t>
      </w:r>
    </w:p>
    <w:p>
      <w:pPr>
        <w:wordWrap/>
        <w:overflowPunct/>
        <w:topLinePunct w:val="0"/>
        <w:autoSpaceDE/>
        <w:autoSpaceDN/>
        <w:bidi w:val="0"/>
        <w:adjustRightInd/>
        <w:snapToGrid/>
        <w:spacing w:line="240" w:lineRule="auto"/>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资阳市中心医院放射工作人员职业健康体检服务采购项目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预算95000元，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r>
        <w:rPr>
          <w:rFonts w:hint="eastAsia" w:ascii="宋体" w:hAnsi="宋体" w:cs="宋体"/>
          <w:b/>
          <w:bCs/>
          <w:kern w:val="0"/>
          <w:highlight w:val="none"/>
          <w:lang w:val="en-US" w:eastAsia="zh-CN"/>
        </w:rPr>
        <w:t>向省级卫生计生行政部门完成开展</w:t>
      </w:r>
      <w:r>
        <w:rPr>
          <w:rFonts w:hint="eastAsia" w:ascii="宋体" w:hAnsi="宋体" w:cs="宋体"/>
          <w:b/>
          <w:bCs/>
          <w:kern w:val="0"/>
          <w:highlight w:val="none"/>
        </w:rPr>
        <w:t>职业健康检查</w:t>
      </w:r>
      <w:r>
        <w:rPr>
          <w:rFonts w:hint="eastAsia" w:ascii="宋体" w:hAnsi="宋体" w:cs="宋体"/>
          <w:b/>
          <w:bCs/>
          <w:kern w:val="0"/>
          <w:highlight w:val="none"/>
          <w:lang w:eastAsia="zh-CN"/>
        </w:rPr>
        <w:t>的</w:t>
      </w:r>
      <w:r>
        <w:rPr>
          <w:rFonts w:hint="eastAsia" w:ascii="宋体" w:hAnsi="宋体" w:cs="宋体"/>
          <w:b/>
          <w:bCs/>
          <w:kern w:val="0"/>
          <w:highlight w:val="none"/>
        </w:rPr>
        <w:t>备案</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具备</w:t>
      </w:r>
      <w:r>
        <w:rPr>
          <w:rFonts w:hint="eastAsia" w:ascii="宋体" w:hAnsi="宋体" w:cs="宋体"/>
          <w:b/>
          <w:bCs/>
          <w:kern w:val="0"/>
          <w:highlight w:val="none"/>
        </w:rPr>
        <w:t>开展</w:t>
      </w:r>
      <w:r>
        <w:rPr>
          <w:rFonts w:hint="eastAsia" w:ascii="宋体" w:hAnsi="宋体" w:cs="宋体"/>
          <w:b/>
          <w:bCs/>
          <w:kern w:val="0"/>
          <w:highlight w:val="none"/>
          <w:lang w:eastAsia="zh-CN"/>
        </w:rPr>
        <w:t>“</w:t>
      </w:r>
      <w:r>
        <w:rPr>
          <w:rFonts w:hint="eastAsia" w:ascii="宋体" w:hAnsi="宋体" w:cs="宋体"/>
          <w:b/>
          <w:bCs/>
          <w:kern w:val="0"/>
          <w:highlight w:val="none"/>
        </w:rPr>
        <w:t>放射因素类</w:t>
      </w:r>
      <w:r>
        <w:rPr>
          <w:rFonts w:hint="eastAsia" w:ascii="宋体" w:hAnsi="宋体" w:cs="宋体"/>
          <w:b/>
          <w:bCs/>
          <w:kern w:val="0"/>
          <w:highlight w:val="none"/>
          <w:lang w:eastAsia="zh-CN"/>
        </w:rPr>
        <w:t>”</w:t>
      </w:r>
      <w:r>
        <w:rPr>
          <w:rFonts w:hint="eastAsia" w:ascii="宋体" w:hAnsi="宋体" w:cs="宋体"/>
          <w:b/>
          <w:bCs/>
          <w:kern w:val="0"/>
          <w:highlight w:val="none"/>
        </w:rPr>
        <w:t>职业健康检查</w:t>
      </w:r>
      <w:r>
        <w:rPr>
          <w:rFonts w:hint="eastAsia" w:ascii="宋体" w:hAnsi="宋体" w:cs="宋体"/>
          <w:b/>
          <w:bCs/>
          <w:kern w:val="0"/>
          <w:highlight w:val="none"/>
          <w:lang w:eastAsia="zh-CN"/>
        </w:rPr>
        <w:t>的</w:t>
      </w:r>
      <w:r>
        <w:rPr>
          <w:rFonts w:hint="eastAsia" w:ascii="宋体" w:hAnsi="宋体" w:cs="宋体"/>
          <w:b/>
          <w:bCs/>
          <w:kern w:val="0"/>
          <w:highlight w:val="none"/>
          <w:lang w:val="en-US" w:eastAsia="zh-CN"/>
        </w:rPr>
        <w:t>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选文件自2024年7月1日至2024年7月4日，自行在资阳市中心医院官方网站下载。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2024年7月5日13时30分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孙老师</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211679177"/>
      <w:bookmarkStart w:id="8" w:name="_Toc173895838"/>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173895840"/>
      <w:bookmarkStart w:id="12" w:name="_Toc180296782"/>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技术、服务应答表；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77466666"/>
      <w:bookmarkStart w:id="16" w:name="_Toc115628325"/>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180296784"/>
      <w:bookmarkStart w:id="24" w:name="_Toc211679181"/>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u w:val="single"/>
          <w:lang w:val="en-US" w:eastAsia="zh-CN"/>
        </w:rPr>
        <w:t xml:space="preserve">         </w:t>
      </w:r>
      <w:r>
        <w:rPr>
          <w:rFonts w:hint="eastAsia" w:ascii="仿宋_GB2312" w:hAnsi="仿宋_GB2312" w:eastAsia="仿宋_GB2312" w:cs="仿宋_GB2312"/>
          <w:b/>
          <w:bCs/>
          <w:sz w:val="36"/>
          <w:szCs w:val="36"/>
          <w:lang w:val="en-US" w:eastAsia="zh-CN"/>
        </w:rPr>
        <w:t>采购合同</w:t>
      </w: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default" w:ascii="仿宋_GB2312" w:hAnsi="仿宋_GB2312" w:eastAsia="仿宋_GB2312" w:cs="仿宋_GB2312"/>
          <w:sz w:val="24"/>
          <w:szCs w:val="24"/>
          <w:lang w:val="en-US" w:eastAsia="zh-CN"/>
        </w:rPr>
      </w:pPr>
    </w:p>
    <w:p>
      <w:pPr>
        <w:rPr>
          <w:rFonts w:hint="default" w:ascii="仿宋_GB2312" w:hAnsi="仿宋_GB2312" w:eastAsia="仿宋_GB2312" w:cs="仿宋_GB2312"/>
          <w:lang w:val="en-US" w:eastAsia="zh-CN"/>
        </w:rPr>
      </w:pPr>
      <w:bookmarkStart w:id="26" w:name="_Toc217446107"/>
      <w:r>
        <w:rPr>
          <w:rFonts w:hint="eastAsia" w:ascii="仿宋_GB2312" w:hAnsi="仿宋_GB2312" w:eastAsia="仿宋_GB2312" w:cs="仿宋_GB2312"/>
        </w:rPr>
        <w:t>接受服务</w:t>
      </w:r>
      <w:r>
        <w:rPr>
          <w:rFonts w:hint="eastAsia" w:ascii="仿宋_GB2312" w:hAnsi="仿宋_GB2312" w:eastAsia="仿宋_GB2312" w:cs="仿宋_GB2312"/>
          <w:lang w:val="en-US" w:eastAsia="zh-CN"/>
        </w:rPr>
        <w:t>方</w:t>
      </w:r>
      <w:r>
        <w:rPr>
          <w:rFonts w:hint="eastAsia" w:ascii="仿宋_GB2312" w:hAnsi="仿宋_GB2312" w:eastAsia="仿宋_GB2312" w:cs="仿宋_GB2312"/>
        </w:rPr>
        <w:t>（甲方）：</w:t>
      </w:r>
      <w:r>
        <w:rPr>
          <w:rFonts w:hint="eastAsia" w:ascii="仿宋_GB2312" w:hAnsi="仿宋_GB2312" w:eastAsia="仿宋_GB2312" w:cs="仿宋_GB2312"/>
          <w:lang w:val="en-US" w:eastAsia="zh-CN"/>
        </w:rPr>
        <w:t>资阳市中心医院</w:t>
      </w:r>
    </w:p>
    <w:p>
      <w:pPr>
        <w:rPr>
          <w:rFonts w:hint="default" w:ascii="仿宋_GB2312" w:hAnsi="仿宋_GB2312" w:eastAsia="仿宋_GB2312" w:cs="仿宋_GB2312"/>
          <w:lang w:val="en-US" w:eastAsia="zh-CN"/>
        </w:rPr>
      </w:pPr>
      <w:r>
        <w:rPr>
          <w:rFonts w:hint="eastAsia" w:ascii="仿宋_GB2312" w:hAnsi="仿宋_GB2312" w:eastAsia="仿宋_GB2312" w:cs="仿宋_GB2312"/>
        </w:rPr>
        <w:t>提供服务</w:t>
      </w:r>
      <w:r>
        <w:rPr>
          <w:rFonts w:hint="eastAsia" w:ascii="仿宋_GB2312" w:hAnsi="仿宋_GB2312" w:eastAsia="仿宋_GB2312" w:cs="仿宋_GB2312"/>
          <w:lang w:val="en-US" w:eastAsia="zh-CN"/>
        </w:rPr>
        <w:t>方</w:t>
      </w:r>
      <w:r>
        <w:rPr>
          <w:rFonts w:hint="eastAsia" w:ascii="仿宋_GB2312" w:hAnsi="仿宋_GB2312" w:eastAsia="仿宋_GB2312" w:cs="仿宋_GB2312"/>
        </w:rPr>
        <w:t>（乙方）：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根据医院的《采购管理办法》资一医发【2023】136号、《中华人民共和国民法典》、《中华人民共和国政府采购法》、</w:t>
      </w:r>
      <w:r>
        <w:rPr>
          <w:rFonts w:hint="eastAsia" w:ascii="仿宋_GB2312" w:hAnsi="仿宋_GB2312" w:eastAsia="仿宋_GB2312" w:cs="仿宋_GB2312"/>
          <w:lang w:eastAsia="zh-CN"/>
        </w:rPr>
        <w:t>《</w:t>
      </w:r>
      <w:r>
        <w:rPr>
          <w:rFonts w:hint="eastAsia" w:ascii="仿宋_GB2312" w:hAnsi="仿宋_GB2312" w:eastAsia="仿宋_GB2312" w:cs="仿宋_GB2312"/>
          <w:sz w:val="24"/>
          <w:szCs w:val="24"/>
          <w:lang w:val="en-US" w:eastAsia="zh-CN"/>
        </w:rPr>
        <w:t>放射工作人员职业健康管理办法》卫生部第55号令等法律法规要求，以及</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采购项目甲方的“比选文件”要求、乙方比选申请文件的“响应情况”，甲、乙双方同意签订本合同。双方同意共同遵守如下条款：</w:t>
      </w:r>
    </w:p>
    <w:bookmarkEnd w:id="26"/>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一、服务信息</w:t>
      </w:r>
    </w:p>
    <w:tbl>
      <w:tblPr>
        <w:tblStyle w:val="27"/>
        <w:tblW w:w="888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4253"/>
        <w:gridCol w:w="1067"/>
        <w:gridCol w:w="1240"/>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42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项目检测内容</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预计检查人次</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单价（</w:t>
            </w:r>
            <w:r>
              <w:rPr>
                <w:rFonts w:hint="eastAsia"/>
                <w:lang w:val="en-US" w:eastAsia="zh-CN"/>
              </w:rPr>
              <w:t>元/</w:t>
            </w:r>
            <w:r>
              <w:rPr>
                <w:rFonts w:hint="eastAsia" w:ascii="仿宋_GB2312" w:hAnsi="仿宋_GB2312" w:eastAsia="仿宋_GB2312" w:cs="仿宋_GB2312"/>
                <w:sz w:val="24"/>
                <w:szCs w:val="24"/>
                <w:highlight w:val="none"/>
                <w:lang w:val="en-US" w:eastAsia="zh-CN"/>
              </w:rPr>
              <w:t>人次</w:t>
            </w:r>
            <w:r>
              <w:rPr>
                <w:rFonts w:hint="eastAsia" w:ascii="仿宋_GB2312" w:hAnsi="仿宋_GB2312" w:eastAsia="仿宋_GB2312" w:cs="仿宋_GB2312"/>
                <w:sz w:val="24"/>
                <w:szCs w:val="24"/>
                <w:lang w:val="en-US" w:eastAsia="zh-CN"/>
              </w:rPr>
              <w:t>）</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4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kern w:val="2"/>
                <w:sz w:val="21"/>
                <w:szCs w:val="21"/>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在岗期间职业健康检查</w:t>
            </w:r>
          </w:p>
        </w:tc>
        <w:tc>
          <w:tcPr>
            <w:tcW w:w="4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w:t>
            </w:r>
            <w:r>
              <w:rPr>
                <w:rFonts w:hint="eastAsia" w:ascii="宋体" w:hAnsi="宋体" w:eastAsia="宋体" w:cs="宋体"/>
                <w:color w:val="000000"/>
                <w:kern w:val="0"/>
                <w:sz w:val="18"/>
                <w:szCs w:val="18"/>
                <w:lang w:val="en-US" w:eastAsia="zh-CN" w:bidi="ar"/>
              </w:rPr>
              <w:t>外周血淋巴细胞微核试验</w:t>
            </w:r>
            <w:r>
              <w:rPr>
                <w:rFonts w:hint="eastAsia" w:ascii="宋体" w:hAnsi="宋体" w:eastAsia="宋体" w:cs="宋体"/>
                <w:i w:val="0"/>
                <w:iCs w:val="0"/>
                <w:color w:val="000000"/>
                <w:kern w:val="0"/>
                <w:sz w:val="18"/>
                <w:szCs w:val="18"/>
                <w:u w:val="none"/>
                <w:lang w:val="en-US" w:eastAsia="zh-CN" w:bidi="ar"/>
              </w:rPr>
              <w:t>；胸部X线检查；心电图。（较上岗前和离岗前减少腹部B超）</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242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仿宋_GB2312" w:hAnsi="仿宋_GB2312" w:eastAsia="仿宋_GB2312" w:cs="仿宋_GB2312"/>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4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仿宋_GB2312" w:hAnsi="仿宋_GB2312" w:eastAsia="仿宋_GB2312" w:cs="仿宋_GB2312"/>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4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胸部X线摄影（在留取细胞遗传学检查所需血样后）；心电图。</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仿宋_GB2312" w:hAnsi="仿宋_GB2312" w:eastAsia="仿宋_GB2312" w:cs="仿宋_GB2312"/>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8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备注：预计体检人数为2</w:t>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8人次，以实际体检人次及使用的体检类型为准，据实结算。</w:t>
            </w:r>
          </w:p>
        </w:tc>
      </w:tr>
    </w:tbl>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二、服务内容：</w:t>
      </w:r>
    </w:p>
    <w:p>
      <w:pPr>
        <w:rPr>
          <w:rFonts w:hint="eastAsia" w:ascii="仿宋_GB2312" w:hAnsi="仿宋_GB2312" w:eastAsia="仿宋_GB2312" w:cs="仿宋_GB2312"/>
        </w:rPr>
      </w:pPr>
      <w:r>
        <w:rPr>
          <w:rFonts w:hint="eastAsia" w:ascii="仿宋_GB2312" w:hAnsi="仿宋_GB2312" w:eastAsia="仿宋_GB2312" w:cs="仿宋_GB2312"/>
        </w:rPr>
        <w:t>（一）服务费</w:t>
      </w:r>
      <w:r>
        <w:rPr>
          <w:rFonts w:hint="eastAsia" w:ascii="仿宋_GB2312" w:hAnsi="仿宋_GB2312" w:eastAsia="仿宋_GB2312" w:cs="仿宋_GB2312"/>
          <w:lang w:eastAsia="zh-CN"/>
        </w:rPr>
        <w:t>（</w:t>
      </w:r>
      <w:r>
        <w:rPr>
          <w:rFonts w:hint="eastAsia" w:ascii="仿宋_GB2312" w:hAnsi="仿宋_GB2312" w:eastAsia="仿宋_GB2312" w:cs="仿宋_GB2312"/>
          <w:sz w:val="24"/>
          <w:szCs w:val="24"/>
          <w:lang w:val="en-US" w:eastAsia="zh-CN"/>
        </w:rPr>
        <w:t>体检类型的单价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已</w:t>
      </w:r>
      <w:r>
        <w:rPr>
          <w:rFonts w:hint="eastAsia" w:ascii="仿宋_GB2312" w:hAnsi="仿宋_GB2312" w:eastAsia="仿宋_GB2312" w:cs="仿宋_GB2312"/>
        </w:rPr>
        <w:t>包含</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期内的：</w:t>
      </w:r>
    </w:p>
    <w:p>
      <w:pPr>
        <w:rPr>
          <w:rFonts w:hint="eastAsia" w:ascii="仿宋_GB2312" w:hAnsi="仿宋_GB2312" w:eastAsia="仿宋_GB2312" w:cs="仿宋_GB2312"/>
        </w:rPr>
      </w:pPr>
      <w:r>
        <w:rPr>
          <w:rFonts w:hint="eastAsia" w:ascii="仿宋_GB2312" w:hAnsi="仿宋_GB2312" w:eastAsia="仿宋_GB2312" w:cs="仿宋_GB2312"/>
        </w:rPr>
        <w:t>1. 所有人工、差旅等费用；</w:t>
      </w:r>
    </w:p>
    <w:p>
      <w:pPr>
        <w:rPr>
          <w:rFonts w:hint="eastAsia" w:ascii="仿宋_GB2312" w:hAnsi="仿宋_GB2312" w:eastAsia="仿宋_GB2312" w:cs="仿宋_GB2312"/>
        </w:rPr>
      </w:pPr>
      <w:r>
        <w:rPr>
          <w:rFonts w:hint="eastAsia" w:ascii="仿宋_GB2312" w:hAnsi="仿宋_GB2312" w:eastAsia="仿宋_GB2312" w:cs="仿宋_GB2312"/>
        </w:rPr>
        <w:t xml:space="preserve">2. </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内容中所有费用；</w:t>
      </w:r>
    </w:p>
    <w:p>
      <w:pP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服务所需</w:t>
      </w:r>
      <w:r>
        <w:rPr>
          <w:rFonts w:hint="eastAsia" w:ascii="仿宋_GB2312" w:hAnsi="仿宋_GB2312" w:eastAsia="仿宋_GB2312" w:cs="仿宋_GB2312"/>
        </w:rPr>
        <w:t>耗材</w:t>
      </w:r>
      <w:r>
        <w:rPr>
          <w:rFonts w:hint="eastAsia" w:ascii="仿宋_GB2312" w:hAnsi="仿宋_GB2312" w:eastAsia="仿宋_GB2312" w:cs="仿宋_GB2312"/>
          <w:lang w:eastAsia="zh-CN"/>
        </w:rPr>
        <w:t>；</w:t>
      </w:r>
    </w:p>
    <w:p>
      <w:pPr>
        <w:rPr>
          <w:rFonts w:hint="eastAsia" w:ascii="仿宋_GB2312" w:hAnsi="仿宋_GB2312" w:eastAsia="仿宋_GB2312" w:cs="仿宋_GB2312"/>
        </w:rPr>
      </w:pPr>
      <w:r>
        <w:rPr>
          <w:rFonts w:hint="eastAsia" w:ascii="仿宋_GB2312" w:hAnsi="仿宋_GB2312" w:eastAsia="仿宋_GB2312" w:cs="仿宋_GB2312"/>
          <w:lang w:val="en-US" w:eastAsia="zh-CN"/>
        </w:rPr>
        <w:t>4.乙方负责支付运输邮寄体检报告的费用</w:t>
      </w:r>
      <w:r>
        <w:rPr>
          <w:rFonts w:hint="eastAsia" w:ascii="仿宋_GB2312" w:hAnsi="仿宋_GB2312" w:eastAsia="仿宋_GB2312" w:cs="仿宋_GB2312"/>
        </w:rPr>
        <w:t>。</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（二）服务内容：</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1.体检服务：乙方对我院在岗、岗前、离岗、应急/事故照射的员工进行职业健康体检服务；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2.体检车到我院提供2天现场体检服务；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3.体检完成后，乙方需要在15个工</w:t>
      </w:r>
      <w:r>
        <w:rPr>
          <w:rFonts w:hint="eastAsia" w:ascii="仿宋_GB2312" w:hAnsi="仿宋_GB2312" w:eastAsia="仿宋_GB2312" w:cs="仿宋_GB2312"/>
          <w:kern w:val="2"/>
          <w:sz w:val="24"/>
          <w:szCs w:val="24"/>
          <w:lang w:val="en-US" w:eastAsia="zh-CN" w:bidi="ar-SA"/>
        </w:rPr>
        <w:t>作日内出具个人报告、</w:t>
      </w:r>
      <w:r>
        <w:rPr>
          <w:rFonts w:hint="eastAsia" w:ascii="仿宋_GB2312" w:hAnsi="仿宋_GB2312" w:eastAsia="仿宋_GB2312" w:cs="仿宋_GB2312"/>
          <w:lang w:val="en-US" w:eastAsia="zh-CN"/>
        </w:rPr>
        <w:t>总检报告；</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4.需要满足甲方提出的关于职业健康体检服务的需求。</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（三）响应时间：</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工作人员≤1小时内电话响应。</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（四）安全检查：</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乙方在提供服务的过程致使甲方或第三方人身、财产损害，由乙方承担法律赔偿责任。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（五）质量保证：</w:t>
      </w:r>
    </w:p>
    <w:p>
      <w:pPr>
        <w:ind w:firstLine="420" w:firstLineChars="20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乙方提供的相关报告需要符合国家相关标准，出具有效的个人报告、总检报告。乙方对体检检查结果负责，保证检查结果的公平、公正和真实性。</w:t>
      </w:r>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三、联系方式</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甲方联系人：             手机号：</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乙方联系人：            手机号：         </w:t>
      </w:r>
    </w:p>
    <w:p>
      <w:pPr>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四、付款方式</w:t>
      </w:r>
      <w:r>
        <w:rPr>
          <w:rFonts w:hint="eastAsia" w:ascii="仿宋_GB2312" w:hAnsi="仿宋_GB2312" w:eastAsia="仿宋_GB2312" w:cs="仿宋_GB2312"/>
          <w:lang w:val="en-US" w:eastAsia="zh-CN"/>
        </w:rPr>
        <w:t>：</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现场体检：服务完成，供应商在15个工作日内出具个人检查报告及总检报告（含邮寄）后，双方根据实际参检人数及体检套餐单价核定体检费用。供应商向采购人提供核定金额的合法完税发票后30个工作日内支付体检费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零星体检：供应商根据采购人的通知，按投标的放射职业健康体检套餐单价收取费用，为到供应商所在地的人员提供放射职业健康检查，并出具正式发票和体检报告（15个工作日内，含邮寄），以供体检人员回院报销。</w:t>
      </w:r>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五、知识产权</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乙方应保证所提供的服务或其任何一部分均不会侵犯任何第三方的专利权、商标权或著作权。</w:t>
      </w:r>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六、甲方的权利和义务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1.有权对本合同约定范围内乙方的服务行为进行监督和检查，拥有监管权。有权定期核对乙方提供服务所配备的人员数量。对服务不合理的部分有权下达整改通知书，并要求乙方限期整改。</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2.负责检查监督乙方管理工作的实施及制度的执行情况。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3.根据本合同约定，按时向乙方支付应付服务费用。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4.国家法律、法规所规定由甲方承担的其它责任。</w:t>
      </w:r>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七、乙方的权利和义务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 对本合同约定的服务范围内的项目享有管理权及服务义务。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 根据本合同的约定向甲方收取相关服务费用，并有权在本项目管理范围内管理及合理使用。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 及时向甲方通告本项目服务范围内有关服务的重大事项，及时配合处理投诉。</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 接受项目行业管理部门及政府有关部门的指导，接受甲方的监督。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 国家法律、法规所规定由乙方承担的其它责任。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 乙方在提供服务的过程致使甲方或第三方人身、财产损害，由乙方承担法律赔偿责任。</w:t>
      </w:r>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八、违约责任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1.甲方违约责任</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逾期支付服务费的，每逾期一日，应向乙方支付欠款总额万分之三/日的违约金，且乙方有权暂停服务。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2.乙方违约责任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（1）乙方不能按本合同约定提供服务的，除应及时提供服务外，应向甲方支付当年服务费总额的百分之二十的违约金；逾期提供服务超过30日，甲方有权终止本合同。</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（2）乙方支付的违约金不足以弥补甲方损失的，还应按甲方损失尚未弥补的部分进行赔偿。</w:t>
      </w:r>
    </w:p>
    <w:p>
      <w:pP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九、不可抗力事件处理</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1.在本合同有效期内，任何一方因不可抗力事件导致不能履行本合同，则本合同履行期可延长，其延长期与不可抗力影响期相同。</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2.不可抗力事件发生后，应立即通知对方，并寄送有关权威机构出具的证明。</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3.不可抗力事件延续60日以上，双方应通过友好协商，确定是否继续履行本合同。</w:t>
      </w:r>
    </w:p>
    <w:p>
      <w:pPr>
        <w:rPr>
          <w:rFonts w:hint="eastAsia" w:ascii="仿宋_GB2312" w:hAnsi="仿宋_GB2312" w:eastAsia="仿宋_GB2312" w:cs="仿宋_GB2312"/>
          <w:b/>
          <w:bCs/>
          <w:lang w:val="en-US" w:eastAsia="zh-CN"/>
        </w:rPr>
      </w:pPr>
      <w:bookmarkStart w:id="27" w:name="_Toc211854454"/>
      <w:bookmarkStart w:id="28" w:name="_Toc239233919"/>
      <w:bookmarkStart w:id="29" w:name="_Toc247334846"/>
      <w:bookmarkStart w:id="30" w:name="_Toc251768867"/>
      <w:bookmarkStart w:id="31" w:name="_Toc185395254"/>
      <w:bookmarkStart w:id="32" w:name="_Toc212019599"/>
      <w:bookmarkStart w:id="33" w:name="_Toc225244857"/>
      <w:bookmarkStart w:id="34" w:name="_Toc286993792"/>
      <w:bookmarkStart w:id="35" w:name="_Toc225670756"/>
      <w:bookmarkStart w:id="36" w:name="_Toc239568423"/>
      <w:bookmarkStart w:id="37" w:name="_Toc238984980"/>
      <w:bookmarkStart w:id="38" w:name="_Toc241833908"/>
      <w:bookmarkStart w:id="39" w:name="_Toc237145411"/>
      <w:bookmarkStart w:id="40" w:name="_Toc211911353"/>
      <w:bookmarkStart w:id="41" w:name="_Toc225654649"/>
      <w:bookmarkStart w:id="42" w:name="_Toc232492933"/>
      <w:r>
        <w:rPr>
          <w:rFonts w:hint="eastAsia" w:ascii="仿宋_GB2312" w:hAnsi="仿宋_GB2312" w:eastAsia="仿宋_GB2312" w:cs="仿宋_GB2312"/>
          <w:b/>
          <w:bCs/>
          <w:lang w:val="en-US" w:eastAsia="zh-CN"/>
        </w:rPr>
        <w:t>十、解决合同纠纷的方式</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在执行本合同中发生的或与本合同有关的争端，双方应通过友好协商解决，经协商不能达成协议时，应提交甲方当地人民法院诉讼，诉讼费由败诉方负担。 </w:t>
      </w:r>
    </w:p>
    <w:p>
      <w:pPr>
        <w:rPr>
          <w:rFonts w:hint="eastAsia" w:ascii="仿宋_GB2312" w:hAnsi="仿宋_GB2312" w:eastAsia="仿宋_GB2312" w:cs="仿宋_GB2312"/>
          <w:b/>
          <w:bCs/>
          <w:lang w:val="en-US" w:eastAsia="zh-CN"/>
        </w:rPr>
      </w:pPr>
      <w:bookmarkStart w:id="43" w:name="_Toc237145412"/>
      <w:bookmarkStart w:id="44" w:name="_Toc239568424"/>
      <w:bookmarkStart w:id="45" w:name="_Toc238984981"/>
      <w:bookmarkStart w:id="46" w:name="_Toc185395255"/>
      <w:bookmarkStart w:id="47" w:name="_Toc251768868"/>
      <w:bookmarkStart w:id="48" w:name="_Toc241833909"/>
      <w:bookmarkStart w:id="49" w:name="_Toc283019219"/>
      <w:bookmarkStart w:id="50" w:name="_Toc247334847"/>
      <w:bookmarkStart w:id="51" w:name="_Toc232492934"/>
      <w:bookmarkStart w:id="52" w:name="_Toc211854455"/>
      <w:bookmarkStart w:id="53" w:name="_Toc239233920"/>
      <w:bookmarkStart w:id="54" w:name="_Toc286993793"/>
      <w:bookmarkStart w:id="55" w:name="_Toc211911354"/>
      <w:bookmarkStart w:id="56" w:name="_Toc225670757"/>
      <w:bookmarkStart w:id="57" w:name="_Toc225244858"/>
      <w:bookmarkStart w:id="58" w:name="_Toc212019600"/>
      <w:bookmarkStart w:id="59" w:name="_Toc282696231"/>
      <w:bookmarkStart w:id="60" w:name="_Toc225654650"/>
      <w:r>
        <w:rPr>
          <w:rFonts w:hint="eastAsia" w:ascii="仿宋_GB2312" w:hAnsi="仿宋_GB2312" w:eastAsia="仿宋_GB2312" w:cs="仿宋_GB2312"/>
          <w:b/>
          <w:bCs/>
          <w:lang w:val="en-US" w:eastAsia="zh-CN"/>
        </w:rPr>
        <w:t>十一、合同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hint="eastAsia" w:ascii="仿宋_GB2312" w:hAnsi="仿宋_GB2312" w:eastAsia="仿宋_GB2312" w:cs="仿宋_GB2312"/>
          <w:b/>
          <w:bCs/>
          <w:lang w:val="en-US" w:eastAsia="zh-CN"/>
        </w:rPr>
        <w:t>生效及其他</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1.本合同经双方法定代表人或授权委托代理人签字并加盖单位公章后生效。</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2.本合同执行中涉及采购资金和采购内容修改或补充的，须经甲乙双方共同协商签订补充协议，方可作为主合同不可分割的一部分，具有同等法律效力。</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3.本合同一式五份，自双方签章之日起起效。甲方四份，乙方一份，具有同等法律效力。</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4.本合同载明的地址为双方通讯、文书送达地址，任何一方变动应提前 30天通知对方，否则视为未变动，由违约方承担相关责任。</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5.附件：</w:t>
      </w:r>
      <w:r>
        <w:rPr>
          <w:rFonts w:hint="default" w:ascii="仿宋_GB2312" w:hAnsi="仿宋_GB2312" w:eastAsia="仿宋_GB2312" w:cs="仿宋_GB2312"/>
          <w:lang w:val="en-US" w:eastAsia="zh-CN"/>
        </w:rPr>
        <w:t>廉洁承诺书</w:t>
      </w:r>
    </w:p>
    <w:p>
      <w:pPr>
        <w:rPr>
          <w:rFonts w:hint="eastAsia" w:ascii="仿宋_GB2312" w:hAnsi="仿宋_GB2312" w:eastAsia="仿宋_GB2312" w:cs="仿宋_GB2312"/>
          <w:lang w:val="en-US" w:eastAsia="zh-CN"/>
        </w:rPr>
      </w:pPr>
    </w:p>
    <w:p>
      <w:pPr>
        <w:pStyle w:val="2"/>
        <w:wordWrap/>
        <w:overflowPunct/>
        <w:topLinePunct w:val="0"/>
        <w:autoSpaceDE/>
        <w:autoSpaceDN/>
        <w:bidi w:val="0"/>
        <w:adjustRightInd/>
        <w:snapToGrid/>
        <w:spacing w:after="0" w:line="240" w:lineRule="auto"/>
        <w:rPr>
          <w:rFonts w:hint="eastAsia"/>
          <w:lang w:val="en-US" w:eastAsia="zh-CN"/>
        </w:rPr>
      </w:pPr>
    </w:p>
    <w:tbl>
      <w:tblPr>
        <w:tblStyle w:val="27"/>
        <w:tblW w:w="9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8"/>
        <w:gridCol w:w="5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4288" w:type="dxa"/>
            <w:noWrap w:val="0"/>
            <w:vAlign w:val="top"/>
          </w:tcPr>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甲方：（章）资阳市中心医院</w:t>
            </w:r>
          </w:p>
          <w:p>
            <w:pPr>
              <w:pStyle w:val="2"/>
              <w:wordWrap/>
              <w:overflowPunct/>
              <w:topLinePunct w:val="0"/>
              <w:autoSpaceDE/>
              <w:autoSpaceDN/>
              <w:bidi w:val="0"/>
              <w:adjustRightInd/>
              <w:snapToGrid/>
              <w:spacing w:after="0" w:line="240" w:lineRule="auto"/>
              <w:rPr>
                <w:rFonts w:hint="eastAsia"/>
                <w:lang w:val="en-US" w:eastAsia="zh-CN"/>
              </w:rPr>
            </w:pPr>
          </w:p>
          <w:p>
            <w:pPr>
              <w:pStyle w:val="2"/>
              <w:wordWrap/>
              <w:overflowPunct/>
              <w:topLinePunct w:val="0"/>
              <w:autoSpaceDE/>
              <w:autoSpaceDN/>
              <w:bidi w:val="0"/>
              <w:adjustRightInd/>
              <w:snapToGrid/>
              <w:spacing w:after="0" w:line="240" w:lineRule="auto"/>
              <w:rPr>
                <w:rFonts w:hint="eastAsia"/>
                <w:lang w:val="en-US" w:eastAsia="zh-CN"/>
              </w:rPr>
            </w:pP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pStyle w:val="2"/>
              <w:wordWrap/>
              <w:overflowPunct/>
              <w:topLinePunct w:val="0"/>
              <w:autoSpaceDE/>
              <w:autoSpaceDN/>
              <w:bidi w:val="0"/>
              <w:adjustRightInd/>
              <w:snapToGrid/>
              <w:spacing w:after="0" w:line="240" w:lineRule="auto"/>
              <w:rPr>
                <w:rFonts w:hint="eastAsia"/>
                <w:lang w:val="en-US" w:eastAsia="zh-CN"/>
              </w:rPr>
            </w:pPr>
          </w:p>
          <w:p>
            <w:pPr>
              <w:pStyle w:val="2"/>
              <w:wordWrap/>
              <w:overflowPunct/>
              <w:topLinePunct w:val="0"/>
              <w:autoSpaceDE/>
              <w:autoSpaceDN/>
              <w:bidi w:val="0"/>
              <w:adjustRightInd/>
              <w:snapToGrid/>
              <w:spacing w:after="0" w:line="240" w:lineRule="auto"/>
              <w:rPr>
                <w:rFonts w:hint="eastAsia" w:ascii="仿宋_GB2312" w:hAnsi="仿宋_GB2312" w:eastAsia="仿宋_GB2312" w:cs="仿宋_GB2312"/>
                <w:sz w:val="24"/>
                <w:szCs w:val="24"/>
                <w:lang w:val="en-US" w:eastAsia="zh-CN"/>
              </w:rPr>
            </w:pPr>
          </w:p>
          <w:p>
            <w:pPr>
              <w:pStyle w:val="2"/>
              <w:wordWrap/>
              <w:overflowPunct/>
              <w:topLinePunct w:val="0"/>
              <w:autoSpaceDE/>
              <w:autoSpaceDN/>
              <w:bidi w:val="0"/>
              <w:adjustRightInd/>
              <w:snapToGrid/>
              <w:spacing w:after="0" w:line="240" w:lineRule="auto"/>
              <w:rPr>
                <w:rFonts w:hint="eastAsia"/>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c>
          <w:tcPr>
            <w:tcW w:w="5043" w:type="dxa"/>
            <w:noWrap w:val="0"/>
            <w:vAlign w:val="top"/>
          </w:tcPr>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乙方：（章） </w:t>
            </w: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2"/>
              <w:wordWrap/>
              <w:overflowPunct/>
              <w:topLinePunct w:val="0"/>
              <w:autoSpaceDE/>
              <w:autoSpaceDN/>
              <w:bidi w:val="0"/>
              <w:adjustRightInd/>
              <w:snapToGrid/>
              <w:spacing w:after="0" w:line="240" w:lineRule="auto"/>
              <w:rPr>
                <w:rFonts w:hint="eastAsia"/>
                <w:lang w:val="en-US" w:eastAsia="zh-CN"/>
              </w:rPr>
            </w:pP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p>
          <w:p>
            <w:pPr>
              <w:pStyle w:val="2"/>
              <w:wordWrap/>
              <w:overflowPunct/>
              <w:topLinePunct w:val="0"/>
              <w:autoSpaceDE/>
              <w:autoSpaceDN/>
              <w:bidi w:val="0"/>
              <w:adjustRightInd/>
              <w:snapToGrid/>
              <w:spacing w:after="0" w:line="240" w:lineRule="auto"/>
              <w:rPr>
                <w:rFonts w:hint="eastAsia" w:ascii="仿宋_GB2312" w:hAnsi="仿宋_GB2312" w:eastAsia="仿宋_GB2312" w:cs="仿宋_GB2312"/>
                <w:sz w:val="24"/>
                <w:szCs w:val="24"/>
                <w:lang w:val="en-US" w:eastAsia="zh-CN"/>
              </w:rPr>
            </w:pPr>
          </w:p>
          <w:p>
            <w:pPr>
              <w:pStyle w:val="2"/>
              <w:wordWrap/>
              <w:overflowPunct/>
              <w:topLinePunct w:val="0"/>
              <w:autoSpaceDE/>
              <w:autoSpaceDN/>
              <w:bidi w:val="0"/>
              <w:adjustRightInd/>
              <w:snapToGrid/>
              <w:spacing w:after="0" w:line="240" w:lineRule="auto"/>
              <w:ind w:left="0" w:leftChars="0" w:firstLine="0" w:firstLineChars="0"/>
              <w:rPr>
                <w:rFonts w:hint="default"/>
                <w:lang w:val="en-US" w:eastAsia="zh-CN"/>
              </w:rPr>
            </w:pPr>
            <w:r>
              <w:rPr>
                <w:rFonts w:hint="eastAsia" w:ascii="仿宋_GB2312" w:hAnsi="仿宋_GB2312" w:eastAsia="仿宋_GB2312" w:cs="仿宋_GB2312"/>
                <w:sz w:val="24"/>
                <w:szCs w:val="24"/>
                <w:lang w:val="en-US" w:eastAsia="zh-CN"/>
              </w:rPr>
              <w:t>地址：</w:t>
            </w:r>
          </w:p>
          <w:p>
            <w:pPr>
              <w:keepNext w:val="0"/>
              <w:keepLines w:val="0"/>
              <w:widowControl/>
              <w:numPr>
                <w:ilvl w:val="0"/>
                <w:numId w:val="0"/>
              </w:numPr>
              <w:suppressLineNumbers w:val="0"/>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r>
    </w:tbl>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采购内容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本项目共1个包，采购四种类型的放射职业健康体检套餐（上岗前职业健康检查、在岗期间职业健康检查、离岗前职业健康检查、应急/事故照射职业健康检查），为医院涉及放射工作的人员提供职业健康体检服务。本项目预算95000元，其中职业健康检查控制价91080元。</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numPr>
          <w:ilvl w:val="0"/>
          <w:numId w:val="3"/>
        </w:numPr>
        <w:spacing w:line="520" w:lineRule="exact"/>
        <w:rPr>
          <w:rFonts w:hint="eastAsia" w:ascii="宋体" w:hAnsi="宋体" w:cs="Times New Roman"/>
          <w:b/>
          <w:highlight w:val="none"/>
          <w:lang w:val="en-US" w:eastAsia="zh-CN"/>
        </w:rPr>
      </w:pPr>
      <w:r>
        <w:rPr>
          <w:rFonts w:hint="eastAsia" w:ascii="宋体" w:hAnsi="宋体" w:cs="Times New Roman"/>
          <w:b/>
          <w:highlight w:val="none"/>
          <w:lang w:val="en-US" w:eastAsia="zh-CN"/>
        </w:rPr>
        <w:t>服务期限</w:t>
      </w:r>
      <w:r>
        <w:rPr>
          <w:rFonts w:hint="eastAsia" w:ascii="宋体" w:hAnsi="宋体" w:eastAsia="宋体" w:cs="Times New Roman"/>
          <w:b/>
          <w:highlight w:val="none"/>
          <w:lang w:val="en-US" w:eastAsia="zh-CN"/>
        </w:rPr>
        <w:t>：</w:t>
      </w:r>
      <w:r>
        <w:rPr>
          <w:rFonts w:hint="eastAsia" w:ascii="宋体" w:hAnsi="宋体" w:cs="Times New Roman"/>
          <w:b/>
          <w:highlight w:val="none"/>
          <w:lang w:val="en-US" w:eastAsia="zh-CN"/>
        </w:rPr>
        <w:t>2年。</w:t>
      </w:r>
    </w:p>
    <w:p>
      <w:pPr>
        <w:numPr>
          <w:ilvl w:val="0"/>
          <w:numId w:val="3"/>
        </w:numPr>
        <w:spacing w:line="520" w:lineRule="exact"/>
        <w:rPr>
          <w:rFonts w:hint="default" w:ascii="宋体" w:hAnsi="宋体" w:eastAsia="宋体" w:cstheme="minorBidi"/>
          <w:kern w:val="2"/>
          <w:sz w:val="21"/>
          <w:szCs w:val="21"/>
          <w:highlight w:val="none"/>
          <w:lang w:val="en-US" w:eastAsia="zh-CN" w:bidi="ar-SA"/>
        </w:rPr>
      </w:pPr>
      <w:r>
        <w:rPr>
          <w:rFonts w:hint="eastAsia" w:ascii="宋体" w:hAnsi="宋体" w:cs="Times New Roman"/>
          <w:b/>
          <w:highlight w:val="none"/>
          <w:lang w:val="en-US" w:eastAsia="zh-CN"/>
        </w:rPr>
        <w:t>服务要求：</w:t>
      </w:r>
    </w:p>
    <w:p>
      <w:pPr>
        <w:pageBreakBefore w:val="0"/>
        <w:widowControl/>
        <w:numPr>
          <w:ilvl w:val="0"/>
          <w:numId w:val="4"/>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供应商具有开展外出职业健康检查的能力，拥有适应开展外出职业健康检查的仪器、设备、专用车辆等设备。</w:t>
      </w:r>
    </w:p>
    <w:p>
      <w:pPr>
        <w:pageBreakBefore w:val="0"/>
        <w:widowControl/>
        <w:numPr>
          <w:ilvl w:val="0"/>
          <w:numId w:val="4"/>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供应商按现场体检（集中检查）和零星体检的方式提供4种体检项目套餐的职业健康检查服务。</w:t>
      </w:r>
    </w:p>
    <w:p>
      <w:pPr>
        <w:pageBreakBefore w:val="0"/>
        <w:widowControl/>
        <w:numPr>
          <w:ilvl w:val="0"/>
          <w:numId w:val="4"/>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现场体检（集中检查）：每年提供一次现场集中检查的服务，每次时间不少于2天。供应商按照采购人要求的时段，自行提供适应开展外出职业健康检查的仪器、设备、专用车辆等设备，到采购人所在地，为采购人组织的人员提供放射职业健康检查。</w:t>
      </w:r>
    </w:p>
    <w:p>
      <w:pPr>
        <w:pageBreakBefore w:val="0"/>
        <w:widowControl/>
        <w:numPr>
          <w:ilvl w:val="0"/>
          <w:numId w:val="4"/>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零星体检：供应商根据采购人的通知，为自行到达供应商所在地的指定人员提供放射职业健康检查。</w:t>
      </w:r>
    </w:p>
    <w:p>
      <w:pPr>
        <w:pageBreakBefore w:val="0"/>
        <w:widowControl/>
        <w:numPr>
          <w:ilvl w:val="0"/>
          <w:numId w:val="4"/>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投标人需要满足招标人提出的关于职业健康体检服务的需求。投标人工作人员电话响应时间≤1小时。</w:t>
      </w:r>
    </w:p>
    <w:p>
      <w:pPr>
        <w:pageBreakBefore w:val="0"/>
        <w:widowControl/>
        <w:numPr>
          <w:ilvl w:val="0"/>
          <w:numId w:val="4"/>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职业健康检查控制价91080元。相关要求如下表3.2.2.6</w:t>
      </w:r>
    </w:p>
    <w:tbl>
      <w:tblPr>
        <w:tblStyle w:val="28"/>
        <w:tblpPr w:leftFromText="180" w:rightFromText="180" w:vertAnchor="text" w:horzAnchor="page" w:tblpX="1668" w:tblpY="388"/>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653"/>
        <w:gridCol w:w="1987"/>
        <w:gridCol w:w="1707"/>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72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65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198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报价最高限价</w:t>
            </w:r>
          </w:p>
        </w:tc>
        <w:tc>
          <w:tcPr>
            <w:tcW w:w="170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76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2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653"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上岗前职业健康检查</w:t>
            </w:r>
          </w:p>
        </w:tc>
        <w:tc>
          <w:tcPr>
            <w:tcW w:w="1987" w:type="dxa"/>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330元/人次</w:t>
            </w:r>
          </w:p>
        </w:tc>
        <w:tc>
          <w:tcPr>
            <w:tcW w:w="1707" w:type="dxa"/>
            <w:vAlign w:val="center"/>
          </w:tcPr>
          <w:p>
            <w:pPr>
              <w:pStyle w:val="2"/>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40</w:t>
            </w:r>
          </w:p>
        </w:tc>
        <w:tc>
          <w:tcPr>
            <w:tcW w:w="17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项目检测内容见表3.3.1.1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2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653"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在岗期间职业健康检查</w:t>
            </w:r>
          </w:p>
        </w:tc>
        <w:tc>
          <w:tcPr>
            <w:tcW w:w="1987" w:type="dxa"/>
            <w:vAlign w:val="center"/>
          </w:tcPr>
          <w:p>
            <w:pPr>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300元/人次</w:t>
            </w:r>
          </w:p>
        </w:tc>
        <w:tc>
          <w:tcPr>
            <w:tcW w:w="170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242</w:t>
            </w:r>
          </w:p>
        </w:tc>
        <w:tc>
          <w:tcPr>
            <w:tcW w:w="1760" w:type="dxa"/>
            <w:vAlign w:val="center"/>
          </w:tcPr>
          <w:p>
            <w:pPr>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项目检测内容见表3.3.1.1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2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653"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1987"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330元/人次</w:t>
            </w:r>
          </w:p>
        </w:tc>
        <w:tc>
          <w:tcPr>
            <w:tcW w:w="170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760" w:type="dxa"/>
            <w:vAlign w:val="center"/>
          </w:tcPr>
          <w:p>
            <w:pPr>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项目检测内容见表3.3.1.1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2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653"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1987" w:type="dxa"/>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330元/人次</w:t>
            </w:r>
          </w:p>
        </w:tc>
        <w:tc>
          <w:tcPr>
            <w:tcW w:w="170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760" w:type="dxa"/>
            <w:vAlign w:val="center"/>
          </w:tcPr>
          <w:p>
            <w:pPr>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项目检测内容见表3.3.1.1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834" w:type="dxa"/>
            <w:gridSpan w:val="5"/>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预计体检人数为298人次，以实际体检人次及使用的体检类型为准，据实结算。</w:t>
            </w:r>
          </w:p>
        </w:tc>
      </w:tr>
    </w:tbl>
    <w:p>
      <w:pPr>
        <w:numPr>
          <w:ilvl w:val="0"/>
          <w:numId w:val="3"/>
        </w:numPr>
        <w:spacing w:line="520" w:lineRule="exact"/>
        <w:rPr>
          <w:rFonts w:hint="eastAsia" w:ascii="宋体" w:hAnsi="宋体" w:cs="Times New Roman"/>
          <w:b/>
          <w:highlight w:val="none"/>
          <w:lang w:val="en-US" w:eastAsia="zh-CN"/>
        </w:rPr>
      </w:pPr>
      <w:r>
        <w:rPr>
          <w:rFonts w:hint="eastAsia" w:ascii="宋体" w:hAnsi="宋体" w:cs="Times New Roman"/>
          <w:b/>
          <w:highlight w:val="none"/>
          <w:lang w:val="en-US" w:eastAsia="zh-CN"/>
        </w:rPr>
        <w:t>服务费结算：</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供应商投标的4种放射职业健康体检类型的单价，包含供应商为完成现场体检、零星体检所需的各种设备使用、运输、人工、差旅、所需耗材、邮寄体检报告、税费等全部费用；招标人根据实际使用放职业健康体检服务的人次及体检项目套餐单价，结算服务费。</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现场体检：服务完成，供应商在15个工作日内出具个人检查报告及总检报告（含邮寄）后，双方根据实际参检人数及体检套餐单价核定体检费用。供应商向采购人提供核定金额的合法完税发票后30个工作日内支付体检费用。</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零星体检：供应商根据采购人的通知，按投标的放射职业健康体检套餐单价收取费用，为到供应商所在地的人员提供放射职业健康检查，并出具相应金额的合法完税发票发票和体检报告（15个工作日内，含邮寄），以供体检人员回院报销。</w:t>
      </w:r>
      <w:bookmarkStart w:id="71" w:name="_GoBack"/>
      <w:bookmarkEnd w:id="71"/>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w:t>
      </w:r>
      <w:r>
        <w:rPr>
          <w:rFonts w:hint="eastAsia" w:ascii="宋体" w:hAnsi="宋体" w:cstheme="minorBidi"/>
          <w:b/>
          <w:bCs/>
          <w:kern w:val="2"/>
          <w:sz w:val="21"/>
          <w:szCs w:val="21"/>
          <w:highlight w:val="none"/>
          <w:lang w:val="en-US" w:eastAsia="zh-CN" w:bidi="ar-SA"/>
        </w:rPr>
        <w:t>四）安全要求：</w:t>
      </w:r>
      <w:r>
        <w:rPr>
          <w:rFonts w:hint="eastAsia" w:ascii="宋体" w:hAnsi="宋体" w:cstheme="minorBidi"/>
          <w:kern w:val="2"/>
          <w:sz w:val="21"/>
          <w:szCs w:val="21"/>
          <w:highlight w:val="none"/>
          <w:lang w:val="en-US" w:eastAsia="zh-CN" w:bidi="ar-SA"/>
        </w:rPr>
        <w:t>供应商在提供服务的过程致使采购人或第三方人身、财产损害，由供应商承担法律赔偿责任。</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b/>
          <w:bCs/>
          <w:kern w:val="2"/>
          <w:sz w:val="21"/>
          <w:szCs w:val="21"/>
          <w:highlight w:val="none"/>
          <w:lang w:val="en-US" w:eastAsia="zh-CN" w:bidi="ar-SA"/>
        </w:rPr>
        <w:t>（五）质量要求：</w:t>
      </w:r>
      <w:r>
        <w:rPr>
          <w:rFonts w:hint="eastAsia" w:ascii="宋体" w:hAnsi="宋体" w:cstheme="minorBidi"/>
          <w:kern w:val="2"/>
          <w:sz w:val="21"/>
          <w:szCs w:val="21"/>
          <w:highlight w:val="none"/>
          <w:lang w:val="en-US" w:eastAsia="zh-CN" w:bidi="ar-SA"/>
        </w:rPr>
        <w:t>供应商提供的相关报告需要符合国家相关标准，出具有效的个人报告、总检报告。供应商对体检检查结果负责，保证检查结果的公平、公正和真实性。</w:t>
      </w:r>
    </w:p>
    <w:p>
      <w:pPr>
        <w:pStyle w:val="4"/>
        <w:numPr>
          <w:ilvl w:val="0"/>
          <w:numId w:val="0"/>
        </w:numPr>
        <w:spacing w:before="0" w:after="0" w:line="336" w:lineRule="auto"/>
        <w:jc w:val="left"/>
        <w:rPr>
          <w:rFonts w:hint="eastAsia"/>
          <w:highlight w:val="none"/>
        </w:rPr>
      </w:pPr>
      <w:r>
        <w:rPr>
          <w:rFonts w:hint="eastAsia"/>
          <w:highlight w:val="none"/>
        </w:rPr>
        <w:t>★</w:t>
      </w:r>
      <w:r>
        <w:rPr>
          <w:rFonts w:hint="eastAsia"/>
          <w:highlight w:val="none"/>
          <w:lang w:val="en-US" w:eastAsia="zh-CN"/>
        </w:rPr>
        <w:t>三</w:t>
      </w:r>
      <w:r>
        <w:rPr>
          <w:rFonts w:hint="eastAsia"/>
          <w:highlight w:val="none"/>
        </w:rPr>
        <w:t>、</w:t>
      </w:r>
      <w:r>
        <w:rPr>
          <w:rFonts w:hint="eastAsia"/>
          <w:highlight w:val="none"/>
          <w:lang w:val="en-US" w:eastAsia="zh-CN"/>
        </w:rPr>
        <w:t>技术</w:t>
      </w:r>
      <w:r>
        <w:rPr>
          <w:rFonts w:hint="eastAsia"/>
          <w:highlight w:val="none"/>
        </w:rPr>
        <w:t>要求</w:t>
      </w:r>
    </w:p>
    <w:p>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（一）</w:t>
      </w:r>
      <w:r>
        <w:rPr>
          <w:rFonts w:hint="eastAsia" w:ascii="宋体" w:hAnsi="宋体" w:cstheme="minorBidi"/>
          <w:b/>
          <w:bCs/>
          <w:kern w:val="2"/>
          <w:sz w:val="21"/>
          <w:szCs w:val="21"/>
          <w:highlight w:val="none"/>
          <w:lang w:val="en-US" w:eastAsia="zh-CN" w:bidi="ar-SA"/>
        </w:rPr>
        <w:t>体检类型包含的检测内容</w:t>
      </w:r>
      <w:r>
        <w:rPr>
          <w:rFonts w:hint="eastAsia" w:ascii="宋体" w:hAnsi="宋体" w:cstheme="minorBidi"/>
          <w:kern w:val="2"/>
          <w:sz w:val="21"/>
          <w:szCs w:val="21"/>
          <w:highlight w:val="none"/>
          <w:lang w:val="en-US" w:eastAsia="zh-CN" w:bidi="ar-SA"/>
        </w:rPr>
        <w:t>：如下表3.3.1.1：</w:t>
      </w:r>
    </w:p>
    <w:tbl>
      <w:tblPr>
        <w:tblStyle w:val="27"/>
        <w:tblW w:w="85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5"/>
        <w:gridCol w:w="7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体检类型</w:t>
            </w:r>
          </w:p>
        </w:tc>
        <w:tc>
          <w:tcPr>
            <w:tcW w:w="7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360" w:firstLineChars="20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项目</w:t>
            </w:r>
            <w:r>
              <w:rPr>
                <w:rFonts w:hint="eastAsia" w:ascii="宋体" w:hAnsi="宋体" w:cs="宋体"/>
                <w:b/>
                <w:bCs/>
                <w:color w:val="auto"/>
                <w:sz w:val="18"/>
                <w:szCs w:val="18"/>
                <w:lang w:val="en-US" w:eastAsia="zh-CN"/>
              </w:rPr>
              <w:t>检测</w:t>
            </w:r>
            <w:r>
              <w:rPr>
                <w:rFonts w:hint="eastAsia" w:ascii="宋体" w:hAnsi="宋体" w:eastAsia="宋体" w:cs="宋体"/>
                <w:b/>
                <w:bCs/>
                <w:color w:val="auto"/>
                <w:sz w:val="18"/>
                <w:szCs w:val="18"/>
                <w:lang w:val="en-US" w:eastAsia="zh-CN"/>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w:t>
            </w:r>
            <w:r>
              <w:rPr>
                <w:rFonts w:hint="eastAsia" w:ascii="宋体" w:hAnsi="宋体" w:eastAsia="宋体" w:cs="宋体"/>
                <w:color w:val="000000"/>
                <w:kern w:val="0"/>
                <w:sz w:val="18"/>
                <w:szCs w:val="18"/>
                <w:lang w:val="en-US" w:eastAsia="zh-CN" w:bidi="ar"/>
              </w:rPr>
              <w:t>外周血淋巴细胞微核试验</w:t>
            </w:r>
            <w:r>
              <w:rPr>
                <w:rFonts w:hint="eastAsia" w:ascii="宋体" w:hAnsi="宋体" w:eastAsia="宋体" w:cs="宋体"/>
                <w:i w:val="0"/>
                <w:iCs w:val="0"/>
                <w:color w:val="000000"/>
                <w:kern w:val="0"/>
                <w:sz w:val="18"/>
                <w:szCs w:val="18"/>
                <w:u w:val="none"/>
                <w:lang w:val="en-US" w:eastAsia="zh-CN" w:bidi="ar"/>
              </w:rPr>
              <w:t>；胸部X线检查；心电图。</w:t>
            </w:r>
            <w:r>
              <w:rPr>
                <w:rFonts w:hint="eastAsia" w:ascii="宋体" w:hAnsi="宋体" w:eastAsia="宋体" w:cs="宋体"/>
                <w:i w:val="0"/>
                <w:iCs w:val="0"/>
                <w:color w:val="auto"/>
                <w:kern w:val="0"/>
                <w:sz w:val="18"/>
                <w:szCs w:val="18"/>
                <w:highlight w:val="none"/>
                <w:u w:val="none"/>
                <w:lang w:val="en-US" w:eastAsia="zh-CN" w:bidi="ar"/>
              </w:rPr>
              <w:t>（较上岗前和离岗前减少腹部B超）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离岗前</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胸部X线摄影（在留取细胞遗传学检查所需血样后）；心电图。</w:t>
            </w:r>
          </w:p>
        </w:tc>
      </w:tr>
    </w:tbl>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b/>
          <w:bCs/>
          <w:kern w:val="2"/>
          <w:sz w:val="21"/>
          <w:szCs w:val="21"/>
          <w:highlight w:val="none"/>
          <w:lang w:val="en-US" w:eastAsia="zh-CN" w:bidi="ar-SA"/>
        </w:rPr>
        <w:t>（二）报告要求：</w:t>
      </w:r>
      <w:r>
        <w:rPr>
          <w:rFonts w:hint="eastAsia" w:ascii="宋体" w:hAnsi="宋体" w:cstheme="minorBidi"/>
          <w:kern w:val="2"/>
          <w:sz w:val="21"/>
          <w:szCs w:val="21"/>
          <w:highlight w:val="none"/>
          <w:lang w:val="en-US" w:eastAsia="zh-CN" w:bidi="ar-SA"/>
        </w:rPr>
        <w:t>在职业健康检查结束之日起15个工作日内将职业健康检查结果，包括劳动者个人职业健康检查报告和用人单位职业健康检查总结报告，书面告知用人单位，由用人单位将劳动者个人职业健康检查结果及职业健康检查机构的建议等书面形式如实告知劳动者。</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61" w:name="_Toc180296788"/>
      <w:bookmarkStart w:id="62" w:name="_Toc173895846"/>
      <w:bookmarkStart w:id="63" w:name="_Toc173895658"/>
      <w:bookmarkStart w:id="64"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61"/>
      <w:bookmarkEnd w:id="62"/>
      <w:bookmarkEnd w:id="63"/>
      <w:r>
        <w:rPr>
          <w:rFonts w:hint="eastAsia" w:ascii="方正黑体_GBK" w:hAnsi="方正黑体_GBK" w:eastAsia="方正黑体_GBK" w:cs="方正黑体_GBK"/>
          <w:b/>
          <w:bCs/>
          <w:kern w:val="44"/>
          <w:sz w:val="32"/>
          <w:szCs w:val="32"/>
          <w:highlight w:val="none"/>
          <w:lang w:val="en-US" w:eastAsia="zh-CN"/>
        </w:rPr>
        <w:t>及要求</w:t>
      </w:r>
      <w:bookmarkEnd w:id="64"/>
      <w:bookmarkStart w:id="65" w:name="_Toc180296789"/>
      <w:bookmarkStart w:id="66" w:name="_Toc211679186"/>
      <w:bookmarkStart w:id="67" w:name="_Toc173895659"/>
      <w:bookmarkStart w:id="68"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pStyle w:val="4"/>
        <w:numPr>
          <w:ilvl w:val="0"/>
          <w:numId w:val="0"/>
        </w:numPr>
        <w:spacing w:before="0" w:after="0" w:line="360" w:lineRule="auto"/>
        <w:ind w:firstLine="420" w:firstLineChars="200"/>
        <w:jc w:val="both"/>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向省级卫生计生行政部门完成开展职业健康检查的备案，具备开展“放射因素类”职业健康检查的能力。</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放射工作人员职业健康体检服务采购项目</w:t>
      </w:r>
    </w:p>
    <w:p>
      <w:pPr>
        <w:rPr>
          <w:rFonts w:hint="eastAsia" w:ascii="宋体" w:hAnsi="宋体" w:cs="宋体"/>
          <w:b/>
          <w:bCs/>
          <w:kern w:val="0"/>
          <w:highlight w:val="none"/>
          <w:u w:val="single"/>
          <w:lang w:eastAsia="zh-CN"/>
        </w:rPr>
      </w:pPr>
    </w:p>
    <w:tbl>
      <w:tblPr>
        <w:tblStyle w:val="27"/>
        <w:tblW w:w="9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3960"/>
        <w:gridCol w:w="946"/>
        <w:gridCol w:w="960"/>
        <w:gridCol w:w="1160"/>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项目检测内容</w:t>
            </w:r>
          </w:p>
        </w:tc>
        <w:tc>
          <w:tcPr>
            <w:tcW w:w="9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报价最高限价</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r>
              <w:rPr>
                <w:rFonts w:hint="eastAsia"/>
                <w:lang w:val="en-US" w:eastAsia="zh-CN"/>
              </w:rPr>
              <w:t>元/</w:t>
            </w:r>
            <w:r>
              <w:rPr>
                <w:rFonts w:hint="eastAsia" w:ascii="仿宋_GB2312" w:hAnsi="仿宋_GB2312" w:eastAsia="仿宋_GB2312" w:cs="仿宋_GB2312"/>
                <w:sz w:val="24"/>
                <w:szCs w:val="24"/>
                <w:highlight w:val="none"/>
                <w:lang w:val="en-US" w:eastAsia="zh-CN"/>
              </w:rPr>
              <w:t>人次</w:t>
            </w:r>
            <w:r>
              <w:rPr>
                <w:rFonts w:hint="eastAsia" w:ascii="仿宋_GB2312" w:hAnsi="仿宋_GB2312" w:eastAsia="仿宋_GB2312" w:cs="仿宋_GB2312"/>
                <w:sz w:val="24"/>
                <w:szCs w:val="24"/>
                <w:lang w:val="en-US" w:eastAsia="zh-CN"/>
              </w:rPr>
              <w:t>）</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330元/人次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Times New Roman" w:hAnsi="Times New Roman" w:eastAsia="宋体" w:cs="Times New Roman"/>
                <w:kern w:val="2"/>
                <w:sz w:val="21"/>
                <w:szCs w:val="21"/>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w:t>
            </w:r>
            <w:r>
              <w:rPr>
                <w:rFonts w:hint="eastAsia" w:ascii="宋体" w:hAnsi="宋体" w:eastAsia="宋体" w:cs="宋体"/>
                <w:color w:val="000000"/>
                <w:kern w:val="0"/>
                <w:sz w:val="18"/>
                <w:szCs w:val="18"/>
                <w:lang w:val="en-US" w:eastAsia="zh-CN" w:bidi="ar"/>
              </w:rPr>
              <w:t>外周血淋巴细胞微核试验</w:t>
            </w:r>
            <w:r>
              <w:rPr>
                <w:rFonts w:hint="eastAsia" w:ascii="宋体" w:hAnsi="宋体" w:eastAsia="宋体" w:cs="宋体"/>
                <w:i w:val="0"/>
                <w:iCs w:val="0"/>
                <w:color w:val="000000"/>
                <w:kern w:val="0"/>
                <w:sz w:val="18"/>
                <w:szCs w:val="18"/>
                <w:u w:val="none"/>
                <w:lang w:val="en-US" w:eastAsia="zh-CN" w:bidi="ar"/>
              </w:rPr>
              <w:t>；胸部X线检查；心电图。</w:t>
            </w:r>
            <w:r>
              <w:rPr>
                <w:rFonts w:hint="eastAsia" w:ascii="宋体" w:hAnsi="宋体" w:eastAsia="宋体" w:cs="宋体"/>
                <w:i w:val="0"/>
                <w:iCs w:val="0"/>
                <w:color w:val="auto"/>
                <w:kern w:val="0"/>
                <w:sz w:val="18"/>
                <w:szCs w:val="18"/>
                <w:highlight w:val="none"/>
                <w:u w:val="none"/>
                <w:lang w:val="en-US" w:eastAsia="zh-CN" w:bidi="ar"/>
              </w:rPr>
              <w:t>（较上岗前和离岗前减少腹部B超）</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300元/人次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242</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kern w:val="2"/>
                <w:sz w:val="24"/>
                <w:szCs w:val="24"/>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330元/人次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15</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kern w:val="2"/>
                <w:sz w:val="24"/>
                <w:szCs w:val="24"/>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胸部X线摄影（在留取细胞遗传学检查所需血样后）；心电图。</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330元/人次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kern w:val="2"/>
                <w:sz w:val="24"/>
                <w:szCs w:val="24"/>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18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sz w:val="24"/>
                <w:szCs w:val="24"/>
                <w:lang w:val="en-US" w:eastAsia="zh-CN"/>
              </w:rPr>
              <w:t>备注：预计体检人数为298人次，以实际体检人次及使用的体检类型为准，据实结算。</w:t>
            </w:r>
          </w:p>
        </w:tc>
      </w:tr>
    </w:tbl>
    <w:p>
      <w:pPr>
        <w:spacing w:line="360" w:lineRule="auto"/>
        <w:jc w:val="left"/>
        <w:rPr>
          <w:rFonts w:hint="eastAsia" w:ascii="仿宋_GB2312" w:hAnsi="仿宋_GB2312" w:eastAsia="仿宋_GB2312" w:cs="仿宋_GB2312"/>
          <w:b/>
          <w:bCs/>
          <w:sz w:val="24"/>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65"/>
    <w:bookmarkEnd w:id="66"/>
    <w:bookmarkEnd w:id="67"/>
    <w:bookmarkEnd w:id="68"/>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69" w:name="_Toc365878703"/>
      <w:bookmarkStart w:id="70"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3960"/>
        <w:gridCol w:w="946"/>
        <w:gridCol w:w="960"/>
        <w:gridCol w:w="1160"/>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项目检测内容</w:t>
            </w:r>
          </w:p>
        </w:tc>
        <w:tc>
          <w:tcPr>
            <w:tcW w:w="9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报价最高限价</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r>
              <w:rPr>
                <w:rFonts w:hint="eastAsia"/>
                <w:lang w:val="en-US" w:eastAsia="zh-CN"/>
              </w:rPr>
              <w:t>元/</w:t>
            </w:r>
            <w:r>
              <w:rPr>
                <w:rFonts w:hint="eastAsia" w:ascii="仿宋_GB2312" w:hAnsi="仿宋_GB2312" w:eastAsia="仿宋_GB2312" w:cs="仿宋_GB2312"/>
                <w:sz w:val="24"/>
                <w:szCs w:val="24"/>
                <w:highlight w:val="none"/>
                <w:lang w:val="en-US" w:eastAsia="zh-CN"/>
              </w:rPr>
              <w:t>人次</w:t>
            </w:r>
            <w:r>
              <w:rPr>
                <w:rFonts w:hint="eastAsia" w:ascii="仿宋_GB2312" w:hAnsi="仿宋_GB2312" w:eastAsia="仿宋_GB2312" w:cs="仿宋_GB2312"/>
                <w:sz w:val="24"/>
                <w:szCs w:val="24"/>
                <w:lang w:val="en-US" w:eastAsia="zh-CN"/>
              </w:rPr>
              <w:t>）</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330元/人次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Times New Roman" w:hAnsi="Times New Roman" w:eastAsia="宋体" w:cs="Times New Roman"/>
                <w:kern w:val="2"/>
                <w:sz w:val="21"/>
                <w:szCs w:val="21"/>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w:t>
            </w:r>
            <w:r>
              <w:rPr>
                <w:rFonts w:hint="eastAsia" w:ascii="宋体" w:hAnsi="宋体" w:eastAsia="宋体" w:cs="宋体"/>
                <w:color w:val="000000"/>
                <w:kern w:val="0"/>
                <w:sz w:val="18"/>
                <w:szCs w:val="18"/>
                <w:lang w:val="en-US" w:eastAsia="zh-CN" w:bidi="ar"/>
              </w:rPr>
              <w:t>外周血淋巴细胞微核试验</w:t>
            </w:r>
            <w:r>
              <w:rPr>
                <w:rFonts w:hint="eastAsia" w:ascii="宋体" w:hAnsi="宋体" w:eastAsia="宋体" w:cs="宋体"/>
                <w:i w:val="0"/>
                <w:iCs w:val="0"/>
                <w:color w:val="000000"/>
                <w:kern w:val="0"/>
                <w:sz w:val="18"/>
                <w:szCs w:val="18"/>
                <w:u w:val="none"/>
                <w:lang w:val="en-US" w:eastAsia="zh-CN" w:bidi="ar"/>
              </w:rPr>
              <w:t>；胸部X线检查；心电</w:t>
            </w:r>
            <w:r>
              <w:rPr>
                <w:rFonts w:hint="eastAsia" w:ascii="宋体" w:hAnsi="宋体" w:eastAsia="宋体" w:cs="宋体"/>
                <w:color w:val="000000"/>
                <w:kern w:val="0"/>
                <w:sz w:val="18"/>
                <w:szCs w:val="18"/>
                <w:lang w:val="en-US" w:eastAsia="zh-CN" w:bidi="ar"/>
              </w:rPr>
              <w:t>图。（较上岗前和离岗前减少腹部B超）</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300元/人次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242</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kern w:val="2"/>
                <w:sz w:val="24"/>
                <w:szCs w:val="24"/>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胸部X线检查；心电图；腹部B超。</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330元/人次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15</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kern w:val="2"/>
                <w:sz w:val="24"/>
                <w:szCs w:val="24"/>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胸部X线摄影（在留取细胞遗传学检查所需血样后）；心电图。</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330元/人次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kern w:val="2"/>
                <w:sz w:val="24"/>
                <w:szCs w:val="24"/>
                <w:lang w:val="en-US" w:eastAsia="zh-CN" w:bidi="ar-SA"/>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18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sz w:val="24"/>
                <w:szCs w:val="24"/>
                <w:lang w:val="en-US" w:eastAsia="zh-CN"/>
              </w:rPr>
              <w:t>备注：预计体检人数为298人次，以实际体检人次及使用的体检类型为准，据实结算。</w:t>
            </w:r>
          </w:p>
        </w:tc>
      </w:tr>
    </w:tbl>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pStyle w:val="2"/>
        <w:rPr>
          <w:rFonts w:hint="eastAsia" w:ascii="宋体" w:hAnsi="宋体" w:eastAsia="宋体" w:cs="宋体"/>
          <w:b/>
          <w:sz w:val="32"/>
          <w:szCs w:val="32"/>
          <w:highlight w:val="none"/>
        </w:rPr>
      </w:pPr>
    </w:p>
    <w:p>
      <w:pPr>
        <w:rPr>
          <w:rFonts w:hint="eastAsia"/>
        </w:rPr>
      </w:pPr>
    </w:p>
    <w:p>
      <w:pPr>
        <w:adjustRightInd w:val="0"/>
        <w:spacing w:line="400" w:lineRule="exact"/>
        <w:ind w:firstLine="2880" w:firstLineChars="1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ind w:firstLine="1440" w:firstLineChars="6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ind w:firstLine="2880" w:firstLineChars="1200"/>
        <w:jc w:val="left"/>
        <w:rPr>
          <w:rFonts w:hint="eastAsia" w:ascii="宋体" w:hAnsi="宋体" w:eastAsia="宋体" w:cs="宋体"/>
          <w:bCs/>
          <w:color w:val="000000"/>
          <w:sz w:val="24"/>
          <w:highlight w:val="none"/>
        </w:rPr>
      </w:pPr>
    </w:p>
    <w:p>
      <w:pPr>
        <w:adjustRightInd w:val="0"/>
        <w:spacing w:line="400" w:lineRule="exact"/>
        <w:ind w:firstLine="2880" w:firstLineChars="1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69"/>
      <w:bookmarkEnd w:id="7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31181D9D"/>
    <w:multiLevelType w:val="singleLevel"/>
    <w:tmpl w:val="31181D9D"/>
    <w:lvl w:ilvl="0" w:tentative="0">
      <w:start w:val="1"/>
      <w:numFmt w:val="decimal"/>
      <w:lvlText w:val="%1."/>
      <w:lvlJc w:val="left"/>
      <w:pPr>
        <w:tabs>
          <w:tab w:val="left" w:pos="312"/>
        </w:tabs>
      </w:pPr>
    </w:lvl>
  </w:abstractNum>
  <w:abstractNum w:abstractNumId="3">
    <w:nsid w:val="33244480"/>
    <w:multiLevelType w:val="singleLevel"/>
    <w:tmpl w:val="33244480"/>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E45FED"/>
    <w:rsid w:val="19000FED"/>
    <w:rsid w:val="19141836"/>
    <w:rsid w:val="19185113"/>
    <w:rsid w:val="19566367"/>
    <w:rsid w:val="19940C3D"/>
    <w:rsid w:val="19AD22A3"/>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833F45"/>
    <w:rsid w:val="22920F68"/>
    <w:rsid w:val="22A255C7"/>
    <w:rsid w:val="22A46395"/>
    <w:rsid w:val="22BB5E26"/>
    <w:rsid w:val="22C5455D"/>
    <w:rsid w:val="22D622C7"/>
    <w:rsid w:val="230010F2"/>
    <w:rsid w:val="230706D2"/>
    <w:rsid w:val="23162280"/>
    <w:rsid w:val="2369313B"/>
    <w:rsid w:val="239768ED"/>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D5803"/>
    <w:rsid w:val="27D52814"/>
    <w:rsid w:val="28330FCE"/>
    <w:rsid w:val="28723FD3"/>
    <w:rsid w:val="288B76AF"/>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694294"/>
    <w:rsid w:val="34813508"/>
    <w:rsid w:val="348B283E"/>
    <w:rsid w:val="348E2A01"/>
    <w:rsid w:val="34C44C99"/>
    <w:rsid w:val="34C61103"/>
    <w:rsid w:val="34EF6AC7"/>
    <w:rsid w:val="34F65DF3"/>
    <w:rsid w:val="3522139B"/>
    <w:rsid w:val="3556466A"/>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6D639F"/>
    <w:rsid w:val="38837DA0"/>
    <w:rsid w:val="388424B3"/>
    <w:rsid w:val="3899266B"/>
    <w:rsid w:val="389D6BB3"/>
    <w:rsid w:val="389E51DD"/>
    <w:rsid w:val="38CC250B"/>
    <w:rsid w:val="38DE31DB"/>
    <w:rsid w:val="392B6E14"/>
    <w:rsid w:val="3942200C"/>
    <w:rsid w:val="39BD5D47"/>
    <w:rsid w:val="39DE552C"/>
    <w:rsid w:val="3A073C4A"/>
    <w:rsid w:val="3A110093"/>
    <w:rsid w:val="3A502507"/>
    <w:rsid w:val="3A532F29"/>
    <w:rsid w:val="3A775CE5"/>
    <w:rsid w:val="3ACC7DDF"/>
    <w:rsid w:val="3AD46C94"/>
    <w:rsid w:val="3ADB6274"/>
    <w:rsid w:val="3AE3235D"/>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536E98"/>
    <w:rsid w:val="53634C01"/>
    <w:rsid w:val="53715570"/>
    <w:rsid w:val="5371731E"/>
    <w:rsid w:val="53990623"/>
    <w:rsid w:val="5418600B"/>
    <w:rsid w:val="542C1373"/>
    <w:rsid w:val="545221D0"/>
    <w:rsid w:val="54AC2F51"/>
    <w:rsid w:val="54AD6A7C"/>
    <w:rsid w:val="54C130EC"/>
    <w:rsid w:val="54DE6C35"/>
    <w:rsid w:val="551C3694"/>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DA2E9A"/>
    <w:rsid w:val="61EE4FF2"/>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741EF9"/>
    <w:rsid w:val="6CC369E5"/>
    <w:rsid w:val="6CCD7863"/>
    <w:rsid w:val="6D2156DB"/>
    <w:rsid w:val="6D3113B3"/>
    <w:rsid w:val="6D341690"/>
    <w:rsid w:val="6D4F4126"/>
    <w:rsid w:val="6D7838A9"/>
    <w:rsid w:val="6DC742B3"/>
    <w:rsid w:val="6DD469CF"/>
    <w:rsid w:val="6DF606F4"/>
    <w:rsid w:val="6E001FC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D15BC9"/>
    <w:rsid w:val="72115ECC"/>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E91B2A"/>
    <w:rsid w:val="78340796"/>
    <w:rsid w:val="78397B5B"/>
    <w:rsid w:val="7887697D"/>
    <w:rsid w:val="788A0E9F"/>
    <w:rsid w:val="788C05D2"/>
    <w:rsid w:val="78F47F26"/>
    <w:rsid w:val="78FB1FA6"/>
    <w:rsid w:val="790A7749"/>
    <w:rsid w:val="79181E66"/>
    <w:rsid w:val="797A667D"/>
    <w:rsid w:val="797F0137"/>
    <w:rsid w:val="798A68CD"/>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2024-06-27T06:16:00Z</cp:lastPrinted>
  <dcterms:modified xsi:type="dcterms:W3CDTF">2024-07-01T00:28:54Z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