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center"/>
        <w:textAlignment w:val="center"/>
        <w:rPr>
          <w:rFonts w:hint="eastAsia" w:ascii="方正小标宋简体" w:hAnsi="方正小标宋简体" w:eastAsia="方正小标宋简体" w:cs="方正小标宋简体"/>
          <w:color w:val="auto"/>
          <w:kern w:val="0"/>
          <w:sz w:val="36"/>
          <w:szCs w:val="36"/>
          <w:lang w:bidi="ar"/>
        </w:rPr>
      </w:pPr>
      <w:r>
        <w:rPr>
          <w:rFonts w:hint="eastAsia" w:ascii="方正小标宋简体" w:hAnsi="方正小标宋简体" w:eastAsia="方正小标宋简体" w:cs="方正小标宋简体"/>
          <w:color w:val="000000"/>
          <w:kern w:val="0"/>
          <w:sz w:val="36"/>
          <w:szCs w:val="36"/>
          <w:lang w:bidi="ar"/>
        </w:rPr>
        <w:t>资阳市中心医院</w:t>
      </w:r>
      <w:r>
        <w:rPr>
          <w:rFonts w:hint="eastAsia" w:ascii="方正小标宋简体" w:hAnsi="方正小标宋简体" w:eastAsia="方正小标宋简体" w:cs="方正小标宋简体"/>
          <w:color w:val="000000"/>
          <w:kern w:val="0"/>
          <w:sz w:val="36"/>
          <w:szCs w:val="36"/>
          <w:lang w:bidi="ar"/>
        </w:rPr>
        <w:br w:type="textWrapping"/>
      </w:r>
      <w:r>
        <w:rPr>
          <w:rFonts w:hint="eastAsia" w:ascii="方正小标宋简体" w:hAnsi="方正小标宋简体" w:eastAsia="方正小标宋简体" w:cs="方正小标宋简体"/>
          <w:color w:val="auto"/>
          <w:kern w:val="0"/>
          <w:sz w:val="36"/>
          <w:szCs w:val="36"/>
          <w:lang w:bidi="ar"/>
        </w:rPr>
        <w:t>医保物价收费智能审核系统运维服务项目</w:t>
      </w:r>
    </w:p>
    <w:p>
      <w:pPr>
        <w:widowControl/>
        <w:spacing w:line="400" w:lineRule="exact"/>
        <w:jc w:val="center"/>
        <w:textAlignment w:val="center"/>
        <w:rPr>
          <w:rFonts w:hint="eastAsia" w:ascii="方正小标宋简体" w:hAnsi="方正小标宋简体" w:eastAsia="方正小标宋简体" w:cs="方正小标宋简体"/>
          <w:color w:val="auto"/>
          <w:kern w:val="0"/>
          <w:sz w:val="36"/>
          <w:szCs w:val="36"/>
          <w:lang w:eastAsia="zh-CN" w:bidi="ar"/>
        </w:rPr>
      </w:pPr>
      <w:r>
        <w:rPr>
          <w:rFonts w:hint="eastAsia" w:ascii="方正小标宋简体" w:hAnsi="方正小标宋简体" w:eastAsia="方正小标宋简体" w:cs="方正小标宋简体"/>
          <w:color w:val="auto"/>
          <w:kern w:val="0"/>
          <w:sz w:val="36"/>
          <w:szCs w:val="36"/>
          <w:lang w:bidi="ar"/>
        </w:rPr>
        <w:t>调研公告</w:t>
      </w:r>
      <w:r>
        <w:rPr>
          <w:rFonts w:hint="eastAsia" w:ascii="方正小标宋简体" w:hAnsi="方正小标宋简体" w:eastAsia="方正小标宋简体" w:cs="方正小标宋简体"/>
          <w:color w:val="auto"/>
          <w:kern w:val="0"/>
          <w:sz w:val="36"/>
          <w:szCs w:val="36"/>
          <w:lang w:eastAsia="zh-CN" w:bidi="ar"/>
        </w:rPr>
        <w:t>（</w:t>
      </w:r>
      <w:r>
        <w:rPr>
          <w:rFonts w:hint="eastAsia" w:ascii="方正小标宋简体" w:hAnsi="方正小标宋简体" w:eastAsia="方正小标宋简体" w:cs="方正小标宋简体"/>
          <w:color w:val="auto"/>
          <w:kern w:val="0"/>
          <w:sz w:val="36"/>
          <w:szCs w:val="36"/>
          <w:lang w:val="en-US" w:eastAsia="zh-CN" w:bidi="ar"/>
        </w:rPr>
        <w:t>第二次</w:t>
      </w:r>
      <w:r>
        <w:rPr>
          <w:rFonts w:hint="eastAsia" w:ascii="方正小标宋简体" w:hAnsi="方正小标宋简体" w:eastAsia="方正小标宋简体" w:cs="方正小标宋简体"/>
          <w:color w:val="auto"/>
          <w:kern w:val="0"/>
          <w:sz w:val="36"/>
          <w:szCs w:val="36"/>
          <w:lang w:eastAsia="zh-CN" w:bidi="ar"/>
        </w:rPr>
        <w:t>）</w:t>
      </w:r>
    </w:p>
    <w:p>
      <w:pPr>
        <w:pStyle w:val="5"/>
        <w:spacing w:line="400" w:lineRule="exact"/>
        <w:ind w:firstLine="560" w:firstLineChars="200"/>
        <w:rPr>
          <w:rFonts w:hint="eastAsia" w:ascii="仿宋" w:hAnsi="仿宋" w:cs="仿宋"/>
          <w:color w:val="auto"/>
          <w:sz w:val="28"/>
          <w:szCs w:val="28"/>
          <w:lang w:val="en-US"/>
        </w:rPr>
      </w:pP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lang w:val="en-US" w:eastAsia="zh-CN"/>
        </w:rPr>
      </w:pPr>
      <w:r>
        <w:rPr>
          <w:rFonts w:hint="eastAsia" w:ascii="仿宋" w:hAnsi="仿宋" w:eastAsia="仿宋" w:cs="仿宋"/>
          <w:i w:val="0"/>
          <w:iCs w:val="0"/>
          <w:color w:val="000000"/>
          <w:sz w:val="28"/>
          <w:szCs w:val="28"/>
          <w:u w:val="none"/>
          <w:lang w:val="en-US" w:eastAsia="zh-CN"/>
        </w:rPr>
        <w:t>因第一次挂网调研报名公司不足三家，现将第二次调研公告如下，诚邀潜在供应商报名，已参加此项目调研报名的供应商可不用再二次提供报名资料。现将有关事宜公告如下：</w:t>
      </w:r>
    </w:p>
    <w:tbl>
      <w:tblPr>
        <w:tblStyle w:val="11"/>
        <w:tblpPr w:leftFromText="180" w:rightFromText="180" w:vertAnchor="page" w:horzAnchor="page" w:tblpX="1925" w:tblpY="4488"/>
        <w:tblOverlap w:val="never"/>
        <w:tblW w:w="8678" w:type="dxa"/>
        <w:jc w:val="center"/>
        <w:tblLayout w:type="autofit"/>
        <w:tblCellMar>
          <w:top w:w="0" w:type="dxa"/>
          <w:left w:w="108" w:type="dxa"/>
          <w:bottom w:w="0" w:type="dxa"/>
          <w:right w:w="108" w:type="dxa"/>
        </w:tblCellMar>
      </w:tblPr>
      <w:tblGrid>
        <w:gridCol w:w="1747"/>
        <w:gridCol w:w="4878"/>
        <w:gridCol w:w="2053"/>
      </w:tblGrid>
      <w:tr>
        <w:tblPrEx>
          <w:tblCellMar>
            <w:top w:w="0" w:type="dxa"/>
            <w:left w:w="108" w:type="dxa"/>
            <w:bottom w:w="0" w:type="dxa"/>
            <w:right w:w="108" w:type="dxa"/>
          </w:tblCellMar>
        </w:tblPrEx>
        <w:trPr>
          <w:trHeight w:val="542" w:hRule="atLeast"/>
          <w:jc w:val="center"/>
        </w:trPr>
        <w:tc>
          <w:tcPr>
            <w:tcW w:w="1747" w:type="dxa"/>
            <w:tcBorders>
              <w:top w:val="single" w:color="auto" w:sz="8" w:space="0"/>
              <w:left w:val="single" w:color="auto" w:sz="8" w:space="0"/>
              <w:bottom w:val="nil"/>
              <w:right w:val="single" w:color="auto" w:sz="8" w:space="0"/>
            </w:tcBorders>
            <w:shd w:val="clear" w:color="auto" w:fill="auto"/>
            <w:vAlign w:val="center"/>
          </w:tcPr>
          <w:p>
            <w:pPr>
              <w:pStyle w:val="27"/>
              <w:wordWrap w:val="0"/>
              <w:spacing w:line="440" w:lineRule="exact"/>
              <w:ind w:left="661" w:leftChars="200" w:hanging="241" w:hangingChars="100"/>
              <w:jc w:val="left"/>
              <w:rPr>
                <w:rFonts w:hint="eastAsia" w:ascii="宋体" w:hAnsi="宋体" w:eastAsia="宋体" w:cs="宋体"/>
                <w:b/>
                <w:bCs/>
                <w:color w:val="auto"/>
                <w:sz w:val="24"/>
              </w:rPr>
            </w:pPr>
            <w:r>
              <w:rPr>
                <w:rFonts w:hint="eastAsia" w:ascii="宋体" w:hAnsi="宋体" w:eastAsia="宋体" w:cs="宋体"/>
                <w:b/>
                <w:bCs/>
                <w:color w:val="auto"/>
                <w:sz w:val="24"/>
              </w:rPr>
              <w:t>序号</w:t>
            </w:r>
          </w:p>
        </w:tc>
        <w:tc>
          <w:tcPr>
            <w:tcW w:w="4878" w:type="dxa"/>
            <w:tcBorders>
              <w:top w:val="single" w:color="auto" w:sz="8" w:space="0"/>
              <w:left w:val="nil"/>
              <w:bottom w:val="nil"/>
              <w:right w:val="single" w:color="auto" w:sz="8" w:space="0"/>
            </w:tcBorders>
            <w:shd w:val="clear" w:color="auto" w:fill="auto"/>
            <w:vAlign w:val="center"/>
          </w:tcPr>
          <w:p>
            <w:pPr>
              <w:pStyle w:val="27"/>
              <w:wordWrap w:val="0"/>
              <w:spacing w:line="440" w:lineRule="exact"/>
              <w:ind w:firstLine="1446" w:firstLineChars="600"/>
              <w:jc w:val="left"/>
              <w:rPr>
                <w:rFonts w:hint="eastAsia" w:ascii="宋体" w:hAnsi="宋体" w:eastAsia="宋体" w:cs="宋体"/>
                <w:b/>
                <w:bCs/>
                <w:color w:val="auto"/>
                <w:sz w:val="24"/>
              </w:rPr>
            </w:pPr>
            <w:r>
              <w:rPr>
                <w:rFonts w:hint="eastAsia" w:ascii="宋体" w:hAnsi="宋体" w:eastAsia="宋体" w:cs="宋体"/>
                <w:b/>
                <w:bCs/>
                <w:color w:val="auto"/>
                <w:sz w:val="24"/>
              </w:rPr>
              <w:t>产品名称</w:t>
            </w:r>
          </w:p>
        </w:tc>
        <w:tc>
          <w:tcPr>
            <w:tcW w:w="2053" w:type="dxa"/>
            <w:tcBorders>
              <w:top w:val="single" w:color="auto" w:sz="8" w:space="0"/>
              <w:left w:val="nil"/>
              <w:bottom w:val="nil"/>
              <w:right w:val="single" w:color="auto" w:sz="8" w:space="0"/>
            </w:tcBorders>
            <w:shd w:val="clear" w:color="auto" w:fill="auto"/>
            <w:vAlign w:val="center"/>
          </w:tcPr>
          <w:p>
            <w:pPr>
              <w:pStyle w:val="27"/>
              <w:wordWrap w:val="0"/>
              <w:spacing w:line="440" w:lineRule="exact"/>
              <w:ind w:left="661" w:leftChars="200" w:hanging="241" w:hangingChars="100"/>
              <w:jc w:val="left"/>
              <w:rPr>
                <w:rFonts w:hint="eastAsia" w:ascii="宋体" w:hAnsi="宋体" w:eastAsia="宋体" w:cs="宋体"/>
                <w:b/>
                <w:bCs/>
                <w:color w:val="auto"/>
                <w:sz w:val="24"/>
              </w:rPr>
            </w:pPr>
            <w:r>
              <w:rPr>
                <w:rFonts w:hint="eastAsia" w:ascii="宋体" w:hAnsi="宋体" w:eastAsia="宋体" w:cs="宋体"/>
                <w:b/>
                <w:bCs/>
                <w:color w:val="auto"/>
                <w:sz w:val="24"/>
              </w:rPr>
              <w:t>数量</w:t>
            </w:r>
          </w:p>
        </w:tc>
      </w:tr>
      <w:tr>
        <w:tblPrEx>
          <w:tblCellMar>
            <w:top w:w="0" w:type="dxa"/>
            <w:left w:w="108" w:type="dxa"/>
            <w:bottom w:w="0" w:type="dxa"/>
            <w:right w:w="108" w:type="dxa"/>
          </w:tblCellMar>
        </w:tblPrEx>
        <w:trPr>
          <w:trHeight w:val="542" w:hRule="atLeast"/>
          <w:jc w:val="center"/>
        </w:trPr>
        <w:tc>
          <w:tcPr>
            <w:tcW w:w="17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7"/>
              <w:wordWrap w:val="0"/>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lang w:eastAsia="zh-CN"/>
              </w:rPr>
              <w:t xml:space="preserve"> </w:t>
            </w:r>
            <w:r>
              <w:rPr>
                <w:rFonts w:hint="eastAsia" w:ascii="宋体" w:hAnsi="宋体" w:eastAsia="宋体" w:cs="宋体"/>
                <w:color w:val="auto"/>
                <w:sz w:val="24"/>
              </w:rPr>
              <w:t>1</w:t>
            </w:r>
          </w:p>
        </w:tc>
        <w:tc>
          <w:tcPr>
            <w:tcW w:w="4878" w:type="dxa"/>
            <w:tcBorders>
              <w:top w:val="single" w:color="auto" w:sz="4" w:space="0"/>
              <w:left w:val="nil"/>
              <w:bottom w:val="single" w:color="auto" w:sz="4" w:space="0"/>
              <w:right w:val="single" w:color="auto" w:sz="4" w:space="0"/>
            </w:tcBorders>
            <w:shd w:val="clear" w:color="auto" w:fill="auto"/>
            <w:vAlign w:val="center"/>
          </w:tcPr>
          <w:p>
            <w:pPr>
              <w:pStyle w:val="27"/>
              <w:wordWrap w:val="0"/>
              <w:spacing w:line="440" w:lineRule="exact"/>
              <w:ind w:left="0" w:leftChars="0" w:firstLine="240" w:firstLineChars="1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医保物价收费智能审核系统</w:t>
            </w:r>
          </w:p>
        </w:tc>
        <w:tc>
          <w:tcPr>
            <w:tcW w:w="2053" w:type="dxa"/>
            <w:tcBorders>
              <w:top w:val="single" w:color="auto" w:sz="4" w:space="0"/>
              <w:left w:val="nil"/>
              <w:bottom w:val="single" w:color="auto" w:sz="4" w:space="0"/>
              <w:right w:val="single" w:color="auto" w:sz="4" w:space="0"/>
            </w:tcBorders>
            <w:shd w:val="clear" w:color="auto" w:fill="auto"/>
            <w:vAlign w:val="center"/>
          </w:tcPr>
          <w:p>
            <w:pPr>
              <w:pStyle w:val="27"/>
              <w:wordWrap w:val="0"/>
              <w:spacing w:line="440" w:lineRule="exact"/>
              <w:ind w:firstLine="480"/>
              <w:jc w:val="both"/>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p>
        </w:tc>
      </w:tr>
    </w:tbl>
    <w:p>
      <w:pPr>
        <w:pStyle w:val="2"/>
        <w:spacing w:line="440" w:lineRule="exact"/>
        <w:rPr>
          <w:rFonts w:hint="eastAsia" w:ascii="方正黑体简体" w:hAnsi="方正黑体简体" w:eastAsia="方正黑体简体" w:cs="方正黑体简体"/>
          <w:color w:val="auto"/>
          <w:kern w:val="0"/>
          <w:sz w:val="28"/>
          <w:szCs w:val="28"/>
          <w:lang w:bidi="ar"/>
        </w:rPr>
      </w:pPr>
      <w:r>
        <w:rPr>
          <w:rFonts w:hint="eastAsia" w:ascii="方正黑体简体" w:hAnsi="方正黑体简体" w:eastAsia="方正黑体简体" w:cs="方正黑体简体"/>
          <w:color w:val="auto"/>
          <w:kern w:val="0"/>
          <w:sz w:val="28"/>
          <w:szCs w:val="28"/>
          <w:lang w:val="en-US" w:eastAsia="zh-CN" w:bidi="ar"/>
        </w:rPr>
        <w:t>一、项目名称</w:t>
      </w:r>
    </w:p>
    <w:p>
      <w:pPr>
        <w:numPr>
          <w:ilvl w:val="0"/>
          <w:numId w:val="0"/>
        </w:numPr>
        <w:spacing w:line="360" w:lineRule="exact"/>
        <w:ind w:leftChars="0"/>
        <w:rPr>
          <w:rFonts w:hint="eastAsia" w:ascii="方正黑体简体" w:hAnsi="方正黑体简体" w:eastAsia="方正黑体简体" w:cs="方正黑体简体"/>
          <w:color w:val="auto"/>
          <w:kern w:val="0"/>
          <w:sz w:val="28"/>
          <w:szCs w:val="28"/>
          <w:lang w:bidi="ar"/>
        </w:rPr>
      </w:pPr>
    </w:p>
    <w:p>
      <w:pPr>
        <w:numPr>
          <w:ilvl w:val="0"/>
          <w:numId w:val="1"/>
        </w:numPr>
        <w:spacing w:line="360" w:lineRule="exact"/>
        <w:ind w:left="-560" w:leftChars="0" w:firstLine="560" w:firstLineChars="0"/>
        <w:rPr>
          <w:rFonts w:hint="eastAsia" w:ascii="方正黑体简体" w:hAnsi="方正黑体简体" w:eastAsia="方正黑体简体" w:cs="方正黑体简体"/>
          <w:color w:val="auto"/>
          <w:kern w:val="0"/>
          <w:sz w:val="28"/>
          <w:szCs w:val="28"/>
          <w:lang w:bidi="ar"/>
        </w:rPr>
      </w:pPr>
      <w:r>
        <w:rPr>
          <w:rFonts w:hint="eastAsia" w:ascii="方正黑体简体" w:hAnsi="方正黑体简体" w:eastAsia="方正黑体简体" w:cs="方正黑体简体"/>
          <w:color w:val="auto"/>
          <w:kern w:val="0"/>
          <w:sz w:val="28"/>
          <w:szCs w:val="28"/>
          <w:lang w:bidi="ar"/>
        </w:rPr>
        <w:t>项目要求</w:t>
      </w:r>
    </w:p>
    <w:tbl>
      <w:tblPr>
        <w:tblStyle w:val="11"/>
        <w:tblW w:w="5000" w:type="pct"/>
        <w:tblInd w:w="0" w:type="dxa"/>
        <w:tblLayout w:type="fixed"/>
        <w:tblCellMar>
          <w:top w:w="0" w:type="dxa"/>
          <w:left w:w="108" w:type="dxa"/>
          <w:bottom w:w="0" w:type="dxa"/>
          <w:right w:w="108" w:type="dxa"/>
        </w:tblCellMar>
      </w:tblPr>
      <w:tblGrid>
        <w:gridCol w:w="967"/>
        <w:gridCol w:w="6682"/>
        <w:gridCol w:w="873"/>
      </w:tblGrid>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keepNext w:val="0"/>
              <w:keepLines w:val="0"/>
              <w:pageBreakBefore w:val="0"/>
              <w:kinsoku/>
              <w:wordWrap/>
              <w:overflowPunct/>
              <w:topLinePunct w:val="0"/>
              <w:bidi w:val="0"/>
              <w:snapToGrid/>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序号</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项目要求</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备注</w:t>
            </w: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1</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left"/>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服务要求</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703"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1.1</w:t>
            </w:r>
          </w:p>
        </w:tc>
        <w:tc>
          <w:tcPr>
            <w:tcW w:w="3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240" w:lineRule="auto"/>
              <w:jc w:val="left"/>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改正性维护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在软件使用过程中识别和纠正软件错误，改正软件性能缺陷</w:t>
            </w:r>
            <w:r>
              <w:rPr>
                <w:rFonts w:hint="eastAsia" w:ascii="宋体" w:hAnsi="宋体" w:eastAsia="宋体" w:cs="宋体"/>
                <w:color w:val="auto"/>
                <w:sz w:val="24"/>
                <w:szCs w:val="24"/>
                <w:lang w:eastAsia="zh-CN"/>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1.1</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
              <w:keepNext w:val="0"/>
              <w:keepLines w:val="0"/>
              <w:pageBreakBefore w:val="0"/>
              <w:kinsoku/>
              <w:wordWrap/>
              <w:overflowPunct/>
              <w:topLinePunct w:val="0"/>
              <w:bidi w:val="0"/>
              <w:snapToGrid/>
              <w:spacing w:line="240" w:lineRule="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升级服务。提供在正常条件下保证系统正常稳定运行的系统版本更新升级服务并满足临床使用需求</w:t>
            </w:r>
            <w:r>
              <w:rPr>
                <w:rFonts w:hint="eastAsia" w:eastAsia="宋体" w:cs="宋体"/>
                <w:color w:val="auto"/>
                <w:kern w:val="2"/>
                <w:sz w:val="24"/>
                <w:szCs w:val="24"/>
                <w:lang w:val="en-US" w:eastAsia="zh-CN" w:bidi="ar-SA"/>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51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1.3</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优化服务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提出在正常条件下改进系统性能的各项建议，包括系统资源分配与效率改进建议、软件配置规划和性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lang w:val="en-US" w:eastAsia="zh-CN" w:bidi="ar-SA"/>
              </w:rPr>
              <w:t>患者转科时，参照出院管理对限制药品、限制项目弹窗提醒；根据医院需求，动态或分别设置门诊和住院医生端强制勾选管控。</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432"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1.4</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检查与医院HIS、LIS系统对接的接口运行情况</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系统日常维护</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1264"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rPr>
            </w:pP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24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（1）系统维护</w:t>
            </w:r>
          </w:p>
          <w:p>
            <w:pPr>
              <w:keepNext w:val="0"/>
              <w:keepLines w:val="0"/>
              <w:pageBreakBefore w:val="0"/>
              <w:kinsoku/>
              <w:wordWrap/>
              <w:overflowPunct/>
              <w:topLinePunct w:val="0"/>
              <w:bidi w:val="0"/>
              <w:snapToGrid/>
              <w:spacing w:line="240" w:lineRule="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对医院智能审核系统功进行日常维护、系统bug的处理，能快速排查和解决系统出现的问题、业务流程问题，保障系统的稳定运行。</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rPr>
            </w:pP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24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（2）数据库维护</w:t>
            </w:r>
          </w:p>
          <w:p>
            <w:pPr>
              <w:keepNext w:val="0"/>
              <w:keepLines w:val="0"/>
              <w:pageBreakBefore w:val="0"/>
              <w:kinsoku/>
              <w:wordWrap/>
              <w:overflowPunct/>
              <w:topLinePunct w:val="0"/>
              <w:bidi w:val="0"/>
              <w:snapToGrid/>
              <w:spacing w:line="240" w:lineRule="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对医院智能审核系统及时更新数据库的安全补丁，维护好数据库的正常运维、数据备份等。</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rPr>
            </w:pP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24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（3）业务数据维护与统计</w:t>
            </w:r>
          </w:p>
          <w:p>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维护医院智能审核系统业务数据进行维护和统计，能根据医保规则对his医嘱、计费、医保办出院数据进行分析和审核疑似违规项目，展示疑点问题及医生操作结果，对系统已实现的场景数据进行分析和统计。</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51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1.4.2</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审核规则维护升级</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282"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rPr>
            </w:pP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
              <w:keepNext w:val="0"/>
              <w:keepLines w:val="0"/>
              <w:pageBreakBefore w:val="0"/>
              <w:kinsoku/>
              <w:wordWrap/>
              <w:overflowPunct/>
              <w:topLinePunct w:val="0"/>
              <w:bidi w:val="0"/>
              <w:snapToGrid/>
              <w:spacing w:line="24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（1）医保控费政策分析</w:t>
            </w:r>
          </w:p>
          <w:p>
            <w:pPr>
              <w:pStyle w:val="5"/>
              <w:keepNext w:val="0"/>
              <w:keepLines w:val="0"/>
              <w:pageBreakBefore w:val="0"/>
              <w:kinsoku/>
              <w:wordWrap/>
              <w:overflowPunct/>
              <w:topLinePunct w:val="0"/>
              <w:bidi w:val="0"/>
              <w:snapToGrid/>
              <w:spacing w:line="240" w:lineRule="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及时了解国家医保报销政策，对国家医保报销政策变动后，根据变动内容对审核规则进行调整和更新；当地医保报销政策变动后，根据用户提供的资料对审核规则进行调整和更新。并及时与医保科进行沟通确认。</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51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rPr>
            </w:pP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
              <w:keepNext w:val="0"/>
              <w:keepLines w:val="0"/>
              <w:pageBreakBefore w:val="0"/>
              <w:kinsoku/>
              <w:wordWrap/>
              <w:overflowPunct/>
              <w:topLinePunct w:val="0"/>
              <w:bidi w:val="0"/>
              <w:snapToGrid/>
              <w:spacing w:line="24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（3）规则调整与升级</w:t>
            </w:r>
          </w:p>
          <w:p>
            <w:pPr>
              <w:keepNext w:val="0"/>
              <w:keepLines w:val="0"/>
              <w:pageBreakBefore w:val="0"/>
              <w:widowControl/>
              <w:kinsoku/>
              <w:wordWrap/>
              <w:overflowPunct/>
              <w:topLinePunct w:val="0"/>
              <w:bidi w:val="0"/>
              <w:snapToGrid/>
              <w:spacing w:line="240" w:lineRule="auto"/>
              <w:textAlignment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根据国家医保报销政策变动后，及时分析的医保政策，并分解、编辑审核规则，并对规则知识库进行升级更新。</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437"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1.4.3</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240" w:lineRule="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技术咨询服务</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396"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rPr>
            </w:pP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240" w:lineRule="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技术咨询服务的内容包括审核规则答疑、系统使用答疑。</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51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1.4.4</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240" w:lineRule="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定期巡检</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51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rPr>
            </w:pP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240" w:lineRule="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每半年进行一次远程巡检，巡检内容包括：cpu、内存、磁盘、数据库数据大小、系统运行状态，接口调用状态，并将巡检记录提交给用户。</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1.4.5</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240" w:lineRule="auto"/>
              <w:rPr>
                <w:rFonts w:hint="eastAsia" w:ascii="宋体" w:hAnsi="宋体" w:eastAsia="宋体" w:cs="宋体"/>
                <w:color w:val="000000"/>
                <w:sz w:val="24"/>
                <w:szCs w:val="24"/>
              </w:rPr>
            </w:pPr>
            <w:r>
              <w:rPr>
                <w:rFonts w:hint="eastAsia" w:ascii="宋体" w:hAnsi="宋体" w:eastAsia="宋体" w:cs="宋体"/>
                <w:kern w:val="2"/>
                <w:sz w:val="24"/>
                <w:szCs w:val="24"/>
                <w:lang w:val="en-US" w:eastAsia="zh-CN" w:bidi="ar-SA"/>
              </w:rPr>
              <w:t>收集用户使用意见和建议</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000000"/>
                <w:kern w:val="0"/>
                <w:sz w:val="24"/>
                <w:szCs w:val="24"/>
                <w:lang w:bidi="ar"/>
              </w:rPr>
            </w:pP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240" w:lineRule="auto"/>
              <w:rPr>
                <w:rFonts w:hint="eastAsia" w:ascii="宋体" w:hAnsi="宋体" w:eastAsia="宋体" w:cs="宋体"/>
                <w:color w:val="000000"/>
                <w:kern w:val="0"/>
                <w:sz w:val="24"/>
                <w:szCs w:val="24"/>
                <w:lang w:bidi="ar"/>
              </w:rPr>
            </w:pPr>
            <w:r>
              <w:rPr>
                <w:rFonts w:hint="eastAsia" w:ascii="宋体" w:hAnsi="宋体" w:eastAsia="宋体" w:cs="宋体"/>
                <w:kern w:val="2"/>
                <w:sz w:val="24"/>
                <w:szCs w:val="24"/>
                <w:lang w:val="en-US" w:eastAsia="zh-CN" w:bidi="ar-SA"/>
              </w:rPr>
              <w:t>定期通过主动回访、巡访、用户意见调查等方式收集最终用户对系统的使用意见和建议，并对用户意见做跟踪处理，采纳用户好的建议，对系统进行优化，提高用户的满意度。</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1.4.6</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240" w:lineRule="auto"/>
              <w:rPr>
                <w:rFonts w:hint="eastAsia" w:ascii="宋体" w:hAnsi="宋体" w:eastAsia="宋体" w:cs="宋体"/>
                <w:color w:val="000000"/>
                <w:kern w:val="0"/>
                <w:sz w:val="24"/>
                <w:szCs w:val="24"/>
                <w:lang w:bidi="ar"/>
              </w:rPr>
            </w:pPr>
            <w:r>
              <w:rPr>
                <w:rFonts w:hint="eastAsia" w:ascii="宋体" w:hAnsi="宋体" w:eastAsia="宋体" w:cs="宋体"/>
                <w:kern w:val="2"/>
                <w:sz w:val="24"/>
                <w:szCs w:val="24"/>
                <w:lang w:val="en-US" w:eastAsia="zh-CN" w:bidi="ar-SA"/>
              </w:rPr>
              <w:t>对用户操作指导</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000000"/>
                <w:kern w:val="0"/>
                <w:sz w:val="24"/>
                <w:szCs w:val="24"/>
                <w:lang w:bidi="ar"/>
              </w:rPr>
            </w:pP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snapToGrid/>
              <w:spacing w:line="240" w:lineRule="auto"/>
              <w:rPr>
                <w:rFonts w:hint="eastAsia" w:ascii="宋体" w:hAnsi="宋体" w:eastAsia="宋体" w:cs="宋体"/>
                <w:color w:val="000000"/>
                <w:kern w:val="0"/>
                <w:sz w:val="24"/>
                <w:szCs w:val="24"/>
                <w:lang w:bidi="ar"/>
              </w:rPr>
            </w:pPr>
            <w:r>
              <w:rPr>
                <w:rFonts w:hint="eastAsia" w:ascii="宋体" w:hAnsi="宋体" w:eastAsia="宋体" w:cs="宋体"/>
                <w:kern w:val="2"/>
                <w:sz w:val="24"/>
                <w:szCs w:val="24"/>
                <w:lang w:val="en-US" w:eastAsia="zh-CN" w:bidi="ar-SA"/>
              </w:rPr>
              <w:t>在巡检过程中可对用户进行操作指导，也可根据用户需求定期组织小范围的远程操作培训，保障所有最终用户均可熟练使用系统。</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left"/>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维保要求</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rPr>
                <w:rFonts w:hint="eastAsia" w:ascii="宋体" w:hAnsi="宋体" w:eastAsia="宋体" w:cs="宋体"/>
                <w:color w:val="auto"/>
                <w:kern w:val="0"/>
                <w:sz w:val="24"/>
                <w:szCs w:val="24"/>
                <w:lang w:bidi="ar"/>
              </w:rPr>
            </w:pPr>
            <w:r>
              <w:rPr>
                <w:rFonts w:hint="eastAsia" w:ascii="宋体" w:hAnsi="宋体" w:eastAsia="宋体" w:cs="宋体"/>
                <w:b w:val="0"/>
                <w:bCs w:val="0"/>
                <w:color w:val="auto"/>
                <w:sz w:val="24"/>
                <w:szCs w:val="24"/>
                <w:lang w:val="en-US" w:eastAsia="zh-CN"/>
              </w:rPr>
              <w:t>可根据医院系统使用情况指派专人与院方对接，做到事事落实到人，建立双方维保工作台帐，对不能及时完成事项要说明原因。</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color w:val="auto"/>
                <w:sz w:val="24"/>
                <w:szCs w:val="24"/>
                <w:lang w:val="en-US" w:eastAsia="zh-CN"/>
              </w:rPr>
              <w:t>积极配合完成因院方接受检查、巡察、评审、复审而提出的信息化相关要求。</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2.3</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color w:val="auto"/>
                <w:sz w:val="24"/>
                <w:szCs w:val="24"/>
                <w:lang w:val="en-US" w:eastAsia="zh-CN"/>
              </w:rPr>
              <w:t>任何情况下，不得采用任何技术手段或措施限制院方对系统的使用权。拥有可靠的技术措施和制度，保障项目实施中所获得的院方业务数据及患者、医务人员个人信息和诊疗信息等均永久保密，若有泄露应承担相应的法律责任。</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2.4</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提供7*24小时服务（一周七天，一天24小时），包括通过采用运维方维保运维平台、电话、远程维护、现场服务等方式。保证有足够的人员负责本系统运维工作，并保证0.5小时内对用户的维护请求予以响应。</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评级要求</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3.1</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
              <w:keepNext w:val="0"/>
              <w:keepLines w:val="0"/>
              <w:pageBreakBefore w:val="0"/>
              <w:kinsoku/>
              <w:wordWrap/>
              <w:overflowPunct/>
              <w:topLinePunct w:val="0"/>
              <w:bidi w:val="0"/>
              <w:snapToGrid/>
              <w:spacing w:before="0" w:line="240" w:lineRule="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参照《电子病历系统功能应用水平分级评价方法及标准（试行）》六级要求建设；</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3.2</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
              <w:keepNext w:val="0"/>
              <w:keepLines w:val="0"/>
              <w:pageBreakBefore w:val="0"/>
              <w:kinsoku/>
              <w:wordWrap/>
              <w:overflowPunct/>
              <w:topLinePunct w:val="0"/>
              <w:bidi w:val="0"/>
              <w:snapToGrid/>
              <w:spacing w:before="0"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rPr>
              <w:t>参照《国家医疗健康信息区域卫生(医院)信息互联互通标准化成熟度测评方案（1010年版）》五级乙等求建设；</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3.3</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
              <w:keepNext w:val="0"/>
              <w:keepLines w:val="0"/>
              <w:pageBreakBefore w:val="0"/>
              <w:kinsoku/>
              <w:wordWrap/>
              <w:overflowPunct/>
              <w:topLinePunct w:val="0"/>
              <w:bidi w:val="0"/>
              <w:snapToGrid/>
              <w:spacing w:before="0"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rPr>
              <w:t>参照《医院智慧服务分级评估标准体系（试行）》四级要求建设；</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3.4</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
              <w:keepNext w:val="0"/>
              <w:keepLines w:val="0"/>
              <w:pageBreakBefore w:val="0"/>
              <w:kinsoku/>
              <w:wordWrap/>
              <w:overflowPunct/>
              <w:topLinePunct w:val="0"/>
              <w:bidi w:val="0"/>
              <w:snapToGrid/>
              <w:spacing w:before="0"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rPr>
              <w:t>参照《医院智慧管理分级评估标准体系（试行）》三级要求建设；</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70" w:hRule="atLeast"/>
        </w:trPr>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3.5</w:t>
            </w:r>
          </w:p>
        </w:tc>
        <w:tc>
          <w:tcPr>
            <w:tcW w:w="3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必须达到《信息安全技术信息系统安全等级保护基本要求》(GB/T11139-1019)三级要求；</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snapToGrid/>
              <w:spacing w:line="240" w:lineRule="auto"/>
              <w:rPr>
                <w:rFonts w:hint="eastAsia" w:ascii="宋体" w:hAnsi="宋体" w:eastAsia="宋体" w:cs="宋体"/>
                <w:color w:val="000000"/>
                <w:sz w:val="24"/>
                <w:szCs w:val="24"/>
              </w:rPr>
            </w:pPr>
          </w:p>
        </w:tc>
      </w:tr>
    </w:tbl>
    <w:p>
      <w:pPr>
        <w:pStyle w:val="5"/>
        <w:spacing w:before="0" w:line="360" w:lineRule="exact"/>
        <w:ind w:firstLine="560" w:firstLineChars="200"/>
        <w:rPr>
          <w:rFonts w:hint="eastAsia" w:ascii="仿宋" w:hAnsi="仿宋" w:cs="仿宋"/>
          <w:color w:val="000000"/>
          <w:sz w:val="28"/>
          <w:szCs w:val="28"/>
          <w:lang w:val="en-US"/>
        </w:rPr>
      </w:pPr>
    </w:p>
    <w:p>
      <w:pPr>
        <w:spacing w:line="360" w:lineRule="exact"/>
        <w:ind w:firstLine="560" w:firstLineChars="200"/>
        <w:rPr>
          <w:rFonts w:hint="eastAsia" w:ascii="方正黑体简体" w:hAnsi="方正黑体简体" w:eastAsia="方正黑体简体" w:cs="方正黑体简体"/>
          <w:color w:val="000000"/>
          <w:kern w:val="0"/>
          <w:sz w:val="28"/>
          <w:szCs w:val="28"/>
          <w:lang w:bidi="ar"/>
        </w:rPr>
      </w:pPr>
      <w:r>
        <w:rPr>
          <w:rFonts w:hint="eastAsia" w:ascii="方正黑体简体" w:hAnsi="方正黑体简体" w:eastAsia="方正黑体简体" w:cs="方正黑体简体"/>
          <w:color w:val="000000"/>
          <w:kern w:val="0"/>
          <w:sz w:val="28"/>
          <w:szCs w:val="28"/>
          <w:lang w:bidi="ar"/>
        </w:rPr>
        <w:t>三、报名时间、方式</w:t>
      </w:r>
    </w:p>
    <w:p>
      <w:pPr>
        <w:widowControl/>
        <w:numPr>
          <w:ilvl w:val="0"/>
          <w:numId w:val="2"/>
        </w:numPr>
        <w:spacing w:line="360" w:lineRule="exact"/>
        <w:ind w:firstLine="560" w:firstLineChars="200"/>
        <w:textAlignment w:val="center"/>
        <w:rPr>
          <w:rFonts w:hint="eastAsia" w:ascii="仿宋" w:hAnsi="仿宋" w:eastAsia="仿宋" w:cs="仿宋"/>
          <w:color w:val="auto"/>
          <w:sz w:val="28"/>
          <w:szCs w:val="28"/>
        </w:rPr>
      </w:pPr>
      <w:r>
        <w:rPr>
          <w:rFonts w:hint="eastAsia" w:ascii="仿宋" w:hAnsi="仿宋" w:eastAsia="仿宋" w:cs="仿宋"/>
          <w:color w:val="000000"/>
          <w:sz w:val="28"/>
          <w:szCs w:val="28"/>
        </w:rPr>
        <w:t>报名时间：本公告自</w:t>
      </w:r>
      <w:r>
        <w:rPr>
          <w:rFonts w:hint="eastAsia" w:ascii="仿宋" w:hAnsi="仿宋" w:eastAsia="仿宋" w:cs="仿宋"/>
          <w:color w:val="auto"/>
          <w:sz w:val="28"/>
          <w:szCs w:val="28"/>
        </w:rPr>
        <w:t>挂网公告日起，截止时间为2024年</w:t>
      </w:r>
      <w:r>
        <w:rPr>
          <w:rFonts w:hint="eastAsia" w:ascii="仿宋" w:hAnsi="仿宋" w:eastAsia="仿宋" w:cs="仿宋"/>
          <w:color w:val="auto"/>
          <w:sz w:val="28"/>
          <w:szCs w:val="28"/>
          <w:lang w:val="en-US" w:eastAsia="zh-CN"/>
        </w:rPr>
        <w:t xml:space="preserve">   9</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5</w:t>
      </w:r>
      <w:bookmarkStart w:id="42" w:name="_GoBack"/>
      <w:bookmarkEnd w:id="42"/>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日，公告截止日期后递交的报名资料无效。</w:t>
      </w:r>
    </w:p>
    <w:p>
      <w:pPr>
        <w:widowControl/>
        <w:numPr>
          <w:ilvl w:val="0"/>
          <w:numId w:val="2"/>
        </w:numPr>
        <w:spacing w:line="360" w:lineRule="exact"/>
        <w:ind w:firstLine="560" w:firstLineChars="200"/>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报名方式:本次市场调研活动采用邮箱报名，不接受现场报名。</w:t>
      </w:r>
    </w:p>
    <w:p>
      <w:pPr>
        <w:widowControl/>
        <w:numPr>
          <w:ilvl w:val="0"/>
          <w:numId w:val="2"/>
        </w:numPr>
        <w:spacing w:line="360" w:lineRule="exact"/>
        <w:ind w:firstLine="560" w:firstLineChars="200"/>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1.报名资料按附件《报名须知》要求，将电子文档（盖章扫描件和可编辑版本）发送至</w:t>
      </w:r>
      <w:r>
        <w:rPr>
          <w:rFonts w:hint="eastAsia" w:ascii="仿宋" w:hAnsi="仿宋" w:eastAsia="仿宋" w:cs="仿宋"/>
          <w:color w:val="auto"/>
          <w:sz w:val="28"/>
          <w:szCs w:val="28"/>
          <w:lang w:val="en-US" w:eastAsia="zh-CN"/>
        </w:rPr>
        <w:t>1130020890</w:t>
      </w:r>
      <w:r>
        <w:rPr>
          <w:rFonts w:hint="eastAsia" w:ascii="仿宋" w:hAnsi="仿宋" w:eastAsia="仿宋" w:cs="仿宋"/>
          <w:color w:val="auto"/>
          <w:sz w:val="28"/>
          <w:szCs w:val="28"/>
        </w:rPr>
        <w:t>@qq.com，并抄送至</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539</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31388@qq.com。邮件名称：“XXXX项目名称+公司名称+联系人+联系电话）”报名资料目录见附件。</w:t>
      </w:r>
    </w:p>
    <w:p>
      <w:pPr>
        <w:pStyle w:val="5"/>
        <w:spacing w:line="360" w:lineRule="exact"/>
        <w:ind w:firstLine="560" w:firstLineChars="200"/>
        <w:rPr>
          <w:rFonts w:hint="eastAsia" w:ascii="仿宋" w:hAnsi="仿宋" w:cs="仿宋"/>
          <w:color w:val="auto"/>
          <w:sz w:val="28"/>
          <w:szCs w:val="28"/>
          <w:lang w:val="en-US"/>
        </w:rPr>
      </w:pPr>
      <w:r>
        <w:rPr>
          <w:rFonts w:hint="eastAsia" w:ascii="仿宋" w:hAnsi="仿宋" w:cs="仿宋"/>
          <w:color w:val="auto"/>
          <w:sz w:val="28"/>
          <w:szCs w:val="28"/>
          <w:lang w:val="en-US" w:eastAsia="zh-CN"/>
        </w:rPr>
        <w:t>2</w:t>
      </w:r>
      <w:r>
        <w:rPr>
          <w:rFonts w:hint="eastAsia" w:ascii="仿宋" w:hAnsi="仿宋" w:cs="仿宋"/>
          <w:color w:val="auto"/>
          <w:sz w:val="28"/>
          <w:szCs w:val="28"/>
          <w:lang w:val="en-US"/>
        </w:rPr>
        <w:t>.联系人：报名资询：</w:t>
      </w:r>
      <w:r>
        <w:rPr>
          <w:rFonts w:hint="eastAsia" w:ascii="仿宋" w:hAnsi="仿宋" w:cs="仿宋"/>
          <w:color w:val="auto"/>
          <w:sz w:val="28"/>
          <w:szCs w:val="28"/>
          <w:lang w:val="en-US" w:eastAsia="zh-CN"/>
        </w:rPr>
        <w:t>李</w:t>
      </w:r>
      <w:r>
        <w:rPr>
          <w:rFonts w:hint="eastAsia" w:ascii="仿宋" w:hAnsi="仿宋" w:cs="仿宋"/>
          <w:color w:val="auto"/>
          <w:sz w:val="28"/>
          <w:szCs w:val="28"/>
          <w:lang w:val="en-US"/>
        </w:rPr>
        <w:t>老师 0</w:t>
      </w:r>
      <w:r>
        <w:rPr>
          <w:rFonts w:hint="eastAsia" w:ascii="仿宋" w:hAnsi="仿宋" w:cs="仿宋"/>
          <w:color w:val="auto"/>
          <w:sz w:val="28"/>
          <w:szCs w:val="28"/>
          <w:lang w:val="en-US" w:eastAsia="zh-CN"/>
        </w:rPr>
        <w:t>2</w:t>
      </w:r>
      <w:r>
        <w:rPr>
          <w:rFonts w:hint="eastAsia" w:ascii="仿宋" w:hAnsi="仿宋" w:cs="仿宋"/>
          <w:color w:val="auto"/>
          <w:sz w:val="28"/>
          <w:szCs w:val="28"/>
          <w:lang w:val="en-US"/>
        </w:rPr>
        <w:t>8-</w:t>
      </w:r>
      <w:r>
        <w:rPr>
          <w:rFonts w:hint="eastAsia" w:ascii="仿宋" w:hAnsi="仿宋" w:cs="仿宋"/>
          <w:color w:val="auto"/>
          <w:sz w:val="28"/>
          <w:szCs w:val="28"/>
          <w:lang w:val="en-US" w:eastAsia="zh-CN"/>
        </w:rPr>
        <w:t>2</w:t>
      </w:r>
      <w:r>
        <w:rPr>
          <w:rFonts w:hint="eastAsia" w:ascii="仿宋" w:hAnsi="仿宋" w:cs="仿宋"/>
          <w:color w:val="auto"/>
          <w:sz w:val="28"/>
          <w:szCs w:val="28"/>
          <w:lang w:val="en-US"/>
        </w:rPr>
        <w:t>6</w:t>
      </w:r>
      <w:r>
        <w:rPr>
          <w:rFonts w:hint="eastAsia" w:ascii="仿宋" w:hAnsi="仿宋" w:cs="仿宋"/>
          <w:color w:val="auto"/>
          <w:sz w:val="28"/>
          <w:szCs w:val="28"/>
          <w:lang w:val="en-US" w:eastAsia="zh-CN"/>
        </w:rPr>
        <w:t>2</w:t>
      </w:r>
      <w:r>
        <w:rPr>
          <w:rFonts w:hint="eastAsia" w:ascii="仿宋" w:hAnsi="仿宋" w:cs="仿宋"/>
          <w:color w:val="auto"/>
          <w:sz w:val="28"/>
          <w:szCs w:val="28"/>
          <w:lang w:val="en-US"/>
        </w:rPr>
        <w:t>195</w:t>
      </w:r>
      <w:r>
        <w:rPr>
          <w:rFonts w:hint="eastAsia" w:ascii="仿宋" w:hAnsi="仿宋" w:cs="仿宋"/>
          <w:color w:val="auto"/>
          <w:sz w:val="28"/>
          <w:szCs w:val="28"/>
          <w:lang w:val="en-US" w:eastAsia="zh-CN"/>
        </w:rPr>
        <w:t>2</w:t>
      </w:r>
      <w:r>
        <w:rPr>
          <w:rFonts w:hint="eastAsia" w:ascii="仿宋" w:hAnsi="仿宋" w:cs="仿宋"/>
          <w:color w:val="auto"/>
          <w:sz w:val="28"/>
          <w:szCs w:val="28"/>
          <w:lang w:val="en-US"/>
        </w:rPr>
        <w:t>6</w:t>
      </w:r>
    </w:p>
    <w:p>
      <w:pPr>
        <w:pStyle w:val="5"/>
        <w:spacing w:line="360" w:lineRule="exact"/>
        <w:ind w:firstLine="560" w:firstLineChars="200"/>
        <w:rPr>
          <w:rFonts w:hint="eastAsia" w:ascii="仿宋" w:hAnsi="仿宋" w:cs="仿宋"/>
          <w:color w:val="000000"/>
          <w:sz w:val="28"/>
          <w:szCs w:val="28"/>
          <w:lang w:val="en-US"/>
        </w:rPr>
      </w:pPr>
      <w:r>
        <w:rPr>
          <w:rFonts w:hint="eastAsia" w:ascii="仿宋" w:hAnsi="仿宋" w:cs="仿宋"/>
          <w:color w:val="auto"/>
          <w:sz w:val="28"/>
          <w:szCs w:val="28"/>
          <w:lang w:val="en-US"/>
        </w:rPr>
        <w:t>3.线上或线下集中调研需求论证时间及地点，另行通知，请参加调研会的供应商准备相应的纸质版报价表及汇报PPT</w:t>
      </w:r>
      <w:r>
        <w:rPr>
          <w:rFonts w:hint="eastAsia" w:ascii="仿宋" w:hAnsi="仿宋" w:cs="仿宋"/>
          <w:color w:val="000000"/>
          <w:sz w:val="28"/>
          <w:szCs w:val="28"/>
          <w:lang w:val="en-US"/>
        </w:rPr>
        <w:t>等。</w:t>
      </w:r>
    </w:p>
    <w:p>
      <w:pPr>
        <w:widowControl/>
        <w:spacing w:line="360" w:lineRule="exact"/>
        <w:ind w:firstLine="560" w:firstLineChars="200"/>
        <w:textAlignment w:val="center"/>
      </w:pPr>
      <w:r>
        <w:rPr>
          <w:rFonts w:hint="eastAsia" w:ascii="方正黑体简体" w:hAnsi="方正黑体简体" w:eastAsia="方正黑体简体" w:cs="方正黑体简体"/>
          <w:color w:val="000000"/>
          <w:kern w:val="0"/>
          <w:sz w:val="28"/>
          <w:szCs w:val="28"/>
          <w:lang w:bidi="ar"/>
        </w:rPr>
        <w:t>四、其他说明</w:t>
      </w:r>
    </w:p>
    <w:p>
      <w:pPr>
        <w:pStyle w:val="5"/>
        <w:spacing w:line="360" w:lineRule="exact"/>
        <w:ind w:firstLine="560" w:firstLineChars="200"/>
        <w:rPr>
          <w:rFonts w:hint="eastAsia" w:ascii="仿宋" w:hAnsi="仿宋" w:cs="仿宋"/>
          <w:color w:val="000000"/>
          <w:sz w:val="28"/>
          <w:szCs w:val="28"/>
          <w:lang w:val="en-US"/>
        </w:rPr>
      </w:pPr>
      <w:r>
        <w:rPr>
          <w:rFonts w:hint="eastAsia" w:ascii="仿宋" w:hAnsi="仿宋" w:cs="仿宋"/>
          <w:color w:val="000000"/>
          <w:sz w:val="28"/>
          <w:szCs w:val="28"/>
          <w:lang w:val="en-US"/>
        </w:rPr>
        <w:t>1.本次公开市场调研内容因市场了解的局限性，仅作为医院市场调研参考使用，我院有权使用所征集技术指标中的相关内容，不作为正式采购依据，无任何针对性，如有不全之处，敬请理解，并请供应商详实介绍推荐产品，本项目最终配置和技术参数以采购时为准。对未公告配置及技术性能的，请供应商自行提供。</w:t>
      </w:r>
    </w:p>
    <w:p>
      <w:pPr>
        <w:pStyle w:val="5"/>
        <w:spacing w:line="360" w:lineRule="exact"/>
        <w:ind w:firstLine="560" w:firstLineChars="200"/>
        <w:rPr>
          <w:rFonts w:hint="eastAsia" w:ascii="仿宋" w:hAnsi="仿宋" w:cs="仿宋"/>
          <w:color w:val="000000"/>
          <w:sz w:val="28"/>
          <w:szCs w:val="28"/>
          <w:lang w:val="en-US"/>
        </w:rPr>
      </w:pPr>
      <w:r>
        <w:rPr>
          <w:rFonts w:hint="eastAsia" w:ascii="仿宋" w:hAnsi="仿宋" w:cs="仿宋"/>
          <w:color w:val="000000"/>
          <w:sz w:val="28"/>
          <w:szCs w:val="28"/>
          <w:lang w:val="en-US"/>
        </w:rPr>
        <w:t>1.本次市场调研需提供项目参考价格和配置清单，配置清单范围包括但不限于本公告所提供的配置需求内容，各供应商可依据本公司提供的具体方案对配置清单进行合理调整。所谓参考价格是指按照与我院项目相似或体量相当的建设方案计算的参考价格，如果项目中集成有硬件，请在配置清单中罗列，硬件配置的参考报价仅用于医院后期采购参考，并不一定集成在本项目之中。</w:t>
      </w:r>
    </w:p>
    <w:p>
      <w:pPr>
        <w:pStyle w:val="5"/>
        <w:spacing w:line="360" w:lineRule="exact"/>
        <w:ind w:firstLine="560" w:firstLineChars="200"/>
        <w:rPr>
          <w:rFonts w:hint="eastAsia" w:ascii="仿宋" w:hAnsi="仿宋" w:cs="仿宋"/>
          <w:color w:val="000000"/>
          <w:sz w:val="28"/>
          <w:szCs w:val="28"/>
          <w:lang w:val="en-US"/>
        </w:rPr>
      </w:pPr>
      <w:r>
        <w:rPr>
          <w:rFonts w:hint="eastAsia" w:ascii="仿宋" w:hAnsi="仿宋" w:cs="仿宋"/>
          <w:color w:val="000000"/>
          <w:sz w:val="28"/>
          <w:szCs w:val="28"/>
          <w:lang w:val="en-US"/>
        </w:rPr>
        <w:t>3.参加供应商保证拟推荐货物应为合法、全新、未使用过的原装正品，配置应为出厂标准配置，如有选配件需单独注明；如需使用单一来源的耗材也需单独注明。</w:t>
      </w:r>
    </w:p>
    <w:p>
      <w:pPr>
        <w:pStyle w:val="2"/>
        <w:spacing w:line="360" w:lineRule="auto"/>
        <w:ind w:firstLine="600"/>
        <w:jc w:val="center"/>
        <w:rPr>
          <w:rFonts w:hint="eastAsia" w:ascii="仿宋" w:hAnsi="仿宋" w:eastAsia="仿宋" w:cs="仿宋"/>
          <w:b/>
          <w:bCs/>
          <w:color w:val="auto"/>
          <w:sz w:val="30"/>
          <w:szCs w:val="30"/>
        </w:rPr>
      </w:pPr>
    </w:p>
    <w:p>
      <w:pPr>
        <w:pStyle w:val="2"/>
        <w:spacing w:line="360" w:lineRule="auto"/>
        <w:jc w:val="both"/>
        <w:rPr>
          <w:rFonts w:hint="eastAsia" w:ascii="仿宋" w:hAnsi="仿宋" w:eastAsia="仿宋" w:cs="仿宋"/>
          <w:b/>
          <w:bCs/>
          <w:color w:val="auto"/>
          <w:sz w:val="30"/>
          <w:szCs w:val="30"/>
        </w:rPr>
      </w:pPr>
    </w:p>
    <w:p>
      <w:pPr>
        <w:pStyle w:val="2"/>
        <w:spacing w:line="360" w:lineRule="auto"/>
        <w:ind w:firstLine="600"/>
        <w:jc w:val="center"/>
        <w:rPr>
          <w:rFonts w:hint="eastAsia" w:ascii="仿宋" w:hAnsi="仿宋" w:eastAsia="仿宋" w:cs="仿宋"/>
          <w:b/>
          <w:bCs/>
          <w:color w:val="auto"/>
          <w:sz w:val="30"/>
          <w:szCs w:val="30"/>
        </w:rPr>
      </w:pPr>
    </w:p>
    <w:p>
      <w:pPr>
        <w:pStyle w:val="2"/>
        <w:spacing w:line="360" w:lineRule="auto"/>
        <w:ind w:firstLine="600"/>
        <w:jc w:val="center"/>
        <w:rPr>
          <w:rFonts w:hint="eastAsia" w:ascii="仿宋" w:hAnsi="仿宋" w:eastAsia="仿宋" w:cs="仿宋"/>
          <w:b/>
          <w:bCs/>
          <w:color w:val="auto"/>
          <w:sz w:val="30"/>
          <w:szCs w:val="30"/>
        </w:rPr>
      </w:pPr>
    </w:p>
    <w:p>
      <w:pPr>
        <w:pStyle w:val="2"/>
        <w:spacing w:line="360" w:lineRule="auto"/>
        <w:ind w:firstLine="600"/>
        <w:jc w:val="center"/>
        <w:rPr>
          <w:rFonts w:hint="eastAsia" w:ascii="仿宋" w:hAnsi="仿宋" w:eastAsia="仿宋" w:cs="仿宋"/>
          <w:b/>
          <w:bCs/>
          <w:color w:val="auto"/>
          <w:sz w:val="30"/>
          <w:szCs w:val="30"/>
        </w:rPr>
      </w:pPr>
    </w:p>
    <w:p>
      <w:pPr>
        <w:pStyle w:val="2"/>
        <w:spacing w:line="360" w:lineRule="auto"/>
        <w:ind w:firstLine="600"/>
        <w:jc w:val="center"/>
        <w:rPr>
          <w:rFonts w:hint="eastAsia" w:ascii="仿宋" w:hAnsi="仿宋" w:eastAsia="仿宋" w:cs="仿宋"/>
          <w:b/>
          <w:bCs/>
          <w:color w:val="auto"/>
          <w:sz w:val="30"/>
          <w:szCs w:val="30"/>
        </w:rPr>
      </w:pPr>
    </w:p>
    <w:p>
      <w:pPr>
        <w:pStyle w:val="2"/>
        <w:spacing w:line="360" w:lineRule="auto"/>
        <w:jc w:val="both"/>
        <w:rPr>
          <w:rFonts w:hint="eastAsia" w:ascii="仿宋" w:hAnsi="仿宋" w:eastAsia="仿宋" w:cs="仿宋"/>
          <w:b/>
          <w:bCs/>
          <w:color w:val="auto"/>
          <w:sz w:val="30"/>
          <w:szCs w:val="30"/>
          <w:lang w:eastAsia="zh-CN"/>
        </w:rPr>
      </w:pPr>
    </w:p>
    <w:p>
      <w:pPr>
        <w:pStyle w:val="2"/>
        <w:spacing w:line="360" w:lineRule="auto"/>
        <w:jc w:val="center"/>
        <w:rPr>
          <w:rFonts w:hint="eastAsia" w:ascii="仿宋" w:hAnsi="仿宋" w:eastAsia="仿宋" w:cs="仿宋"/>
          <w:b/>
          <w:bCs/>
          <w:color w:val="auto"/>
          <w:sz w:val="44"/>
          <w:szCs w:val="44"/>
        </w:rPr>
      </w:pPr>
      <w:r>
        <w:rPr>
          <w:rFonts w:hint="eastAsia" w:ascii="仿宋" w:hAnsi="仿宋" w:eastAsia="仿宋" w:cs="仿宋"/>
          <w:b/>
          <w:bCs/>
          <w:color w:val="auto"/>
          <w:sz w:val="44"/>
          <w:szCs w:val="44"/>
        </w:rPr>
        <w:t>报名注意事项</w:t>
      </w:r>
    </w:p>
    <w:p>
      <w:pPr>
        <w:spacing w:line="500" w:lineRule="exact"/>
        <w:textAlignment w:val="baseline"/>
        <w:outlineLvl w:val="1"/>
        <w:rPr>
          <w:rFonts w:hint="eastAsia" w:ascii="仿宋" w:hAnsi="仿宋" w:eastAsia="仿宋" w:cs="仿宋"/>
          <w:sz w:val="30"/>
          <w:szCs w:val="30"/>
        </w:rPr>
      </w:pPr>
    </w:p>
    <w:p>
      <w:pPr>
        <w:pStyle w:val="2"/>
        <w:spacing w:line="360" w:lineRule="auto"/>
        <w:ind w:firstLine="600"/>
        <w:rPr>
          <w:rFonts w:hint="eastAsia" w:ascii="仿宋" w:hAnsi="仿宋" w:eastAsia="仿宋" w:cs="仿宋"/>
          <w:color w:val="auto"/>
          <w:sz w:val="30"/>
          <w:szCs w:val="30"/>
        </w:rPr>
      </w:pPr>
      <w:r>
        <w:rPr>
          <w:rFonts w:hint="eastAsia" w:ascii="仿宋" w:hAnsi="仿宋" w:eastAsia="仿宋" w:cs="仿宋"/>
          <w:color w:val="auto"/>
          <w:sz w:val="30"/>
          <w:szCs w:val="30"/>
        </w:rPr>
        <w:t>1.请参与报名的供应商在准备报名资料时，按照报名资料目录顺序和模板提交，若其中某项资料不需提供，请勿删除页面，自动跳过当前页即可。</w:t>
      </w:r>
    </w:p>
    <w:p>
      <w:pPr>
        <w:pStyle w:val="2"/>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1.可根据项目方案内容通过PPT重点介绍产品功能、亮点及落地案例，15分钟。</w:t>
      </w:r>
    </w:p>
    <w:p>
      <w:pPr>
        <w:pStyle w:val="2"/>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3.报名资料电子文档（盖章扫描件和可编辑版本）发送至</w:t>
      </w:r>
      <w:r>
        <w:rPr>
          <w:rFonts w:hint="eastAsia" w:ascii="仿宋" w:hAnsi="仿宋" w:eastAsia="仿宋" w:cs="仿宋"/>
          <w:color w:val="auto"/>
          <w:sz w:val="28"/>
          <w:szCs w:val="28"/>
          <w:lang w:val="en-US" w:eastAsia="zh-CN"/>
        </w:rPr>
        <w:t>1130020890</w:t>
      </w:r>
      <w:r>
        <w:rPr>
          <w:rFonts w:hint="eastAsia" w:ascii="仿宋" w:hAnsi="仿宋" w:eastAsia="仿宋" w:cs="仿宋"/>
          <w:color w:val="auto"/>
          <w:sz w:val="28"/>
          <w:szCs w:val="28"/>
        </w:rPr>
        <w:t>@qq.com</w:t>
      </w:r>
      <w:r>
        <w:rPr>
          <w:rFonts w:hint="eastAsia" w:ascii="仿宋" w:hAnsi="仿宋" w:eastAsia="仿宋" w:cs="仿宋"/>
          <w:color w:val="auto"/>
          <w:sz w:val="30"/>
          <w:szCs w:val="30"/>
        </w:rPr>
        <w:t>，并抄送至2539231388@qq.com。邮件名称：“XXXX项目名称（公司名称+联系人+联系电话）”</w:t>
      </w:r>
      <w:r>
        <w:rPr>
          <w:rFonts w:hint="eastAsia" w:ascii="仿宋" w:hAnsi="仿宋" w:eastAsia="仿宋" w:cs="仿宋"/>
          <w:color w:val="auto"/>
          <w:sz w:val="30"/>
          <w:szCs w:val="30"/>
        </w:rPr>
        <w:br w:type="textWrapping"/>
      </w:r>
      <w:r>
        <w:rPr>
          <w:rFonts w:hint="eastAsia" w:ascii="仿宋" w:hAnsi="仿宋" w:eastAsia="仿宋" w:cs="仿宋"/>
          <w:color w:val="auto"/>
          <w:sz w:val="30"/>
          <w:szCs w:val="30"/>
        </w:rPr>
        <w:t xml:space="preserve">    4.收到您的邮件即报名成功。特殊情况，我们会通过电话与您联系，请注意保持电话畅通。感谢您的积极参与！</w:t>
      </w:r>
    </w:p>
    <w:p>
      <w:pPr>
        <w:pStyle w:val="2"/>
        <w:rPr>
          <w:rFonts w:hint="eastAsia"/>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sdt>
      <w:sdtPr>
        <w:rPr>
          <w:rFonts w:ascii="宋体" w:hAnsi="宋体" w:eastAsia="宋体"/>
          <w:sz w:val="28"/>
          <w:szCs w:val="36"/>
        </w:rPr>
        <w:id w:val="147450881"/>
        <w15:color w:val="DBDBDB"/>
        <w:docPartObj>
          <w:docPartGallery w:val="Table of Contents"/>
          <w:docPartUnique/>
        </w:docPartObj>
      </w:sdtPr>
      <w:sdtEndPr>
        <w:rPr>
          <w:rFonts w:asciiTheme="minorHAnsi" w:hAnsiTheme="minorHAnsi" w:eastAsiaTheme="minorEastAsia"/>
          <w:sz w:val="21"/>
          <w:szCs w:val="24"/>
        </w:rPr>
      </w:sdtEndPr>
      <w:sdtContent>
        <w:p>
          <w:pPr>
            <w:jc w:val="center"/>
            <w:rPr>
              <w:rFonts w:ascii="宋体" w:hAnsi="宋体" w:eastAsia="宋体"/>
              <w:sz w:val="28"/>
              <w:szCs w:val="36"/>
            </w:rPr>
          </w:pPr>
        </w:p>
        <w:p>
          <w:pPr>
            <w:jc w:val="center"/>
            <w:rPr>
              <w:rFonts w:ascii="宋体" w:hAnsi="宋体" w:eastAsia="宋体"/>
              <w:sz w:val="28"/>
              <w:szCs w:val="36"/>
            </w:rPr>
          </w:pPr>
        </w:p>
        <w:p>
          <w:pPr>
            <w:jc w:val="center"/>
            <w:rPr>
              <w:rFonts w:ascii="宋体" w:hAnsi="宋体" w:eastAsia="宋体"/>
              <w:sz w:val="28"/>
              <w:szCs w:val="36"/>
            </w:rPr>
          </w:pPr>
        </w:p>
        <w:p>
          <w:pPr>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调研报名目录</w:t>
          </w:r>
        </w:p>
        <w:p>
          <w:pPr>
            <w:jc w:val="center"/>
          </w:pPr>
        </w:p>
        <w:p>
          <w:pPr>
            <w:pStyle w:val="8"/>
            <w:tabs>
              <w:tab w:val="right" w:leader="dot" w:pos="8306"/>
            </w:tabs>
          </w:pPr>
          <w:r>
            <w:fldChar w:fldCharType="begin"/>
          </w:r>
          <w:r>
            <w:instrText xml:space="preserve">TOC \o "1-3" \h \u </w:instrText>
          </w:r>
          <w:r>
            <w:fldChar w:fldCharType="separate"/>
          </w:r>
          <w:r>
            <w:fldChar w:fldCharType="begin"/>
          </w:r>
          <w:r>
            <w:instrText xml:space="preserve"> HYPERLINK \l "_Toc31680" </w:instrText>
          </w:r>
          <w:r>
            <w:fldChar w:fldCharType="separate"/>
          </w:r>
          <w:r>
            <w:rPr>
              <w:rFonts w:hint="eastAsia"/>
            </w:rPr>
            <w:t>一、 报名登记表</w:t>
          </w:r>
          <w:r>
            <w:tab/>
          </w:r>
          <w:r>
            <w:fldChar w:fldCharType="begin"/>
          </w:r>
          <w:r>
            <w:instrText xml:space="preserve"> PAGEREF _Toc31680 \h </w:instrText>
          </w:r>
          <w:r>
            <w:fldChar w:fldCharType="separate"/>
          </w:r>
          <w:r>
            <w:t>6</w:t>
          </w:r>
          <w:r>
            <w:fldChar w:fldCharType="end"/>
          </w:r>
          <w:r>
            <w:fldChar w:fldCharType="end"/>
          </w:r>
        </w:p>
        <w:p>
          <w:pPr>
            <w:pStyle w:val="8"/>
            <w:tabs>
              <w:tab w:val="right" w:leader="dot" w:pos="8306"/>
            </w:tabs>
          </w:pPr>
          <w:r>
            <w:fldChar w:fldCharType="begin"/>
          </w:r>
          <w:r>
            <w:instrText xml:space="preserve"> HYPERLINK \l "_Toc21711" </w:instrText>
          </w:r>
          <w:r>
            <w:fldChar w:fldCharType="separate"/>
          </w:r>
          <w:r>
            <w:rPr>
              <w:rFonts w:hint="eastAsia"/>
            </w:rPr>
            <w:t>二、资质：</w:t>
          </w:r>
          <w:r>
            <w:tab/>
          </w:r>
          <w:r>
            <w:fldChar w:fldCharType="begin"/>
          </w:r>
          <w:r>
            <w:instrText xml:space="preserve"> PAGEREF _Toc21711 \h </w:instrText>
          </w:r>
          <w:r>
            <w:fldChar w:fldCharType="separate"/>
          </w:r>
          <w:r>
            <w:t>6</w:t>
          </w:r>
          <w:r>
            <w:fldChar w:fldCharType="end"/>
          </w:r>
          <w:r>
            <w:fldChar w:fldCharType="end"/>
          </w:r>
        </w:p>
        <w:p>
          <w:pPr>
            <w:pStyle w:val="9"/>
            <w:tabs>
              <w:tab w:val="right" w:leader="dot" w:pos="8306"/>
            </w:tabs>
          </w:pPr>
          <w:r>
            <w:fldChar w:fldCharType="begin"/>
          </w:r>
          <w:r>
            <w:instrText xml:space="preserve"> HYPERLINK \l "_Toc29454" </w:instrText>
          </w:r>
          <w:r>
            <w:fldChar w:fldCharType="separate"/>
          </w:r>
          <w:r>
            <w:rPr>
              <w:rFonts w:hint="eastAsia"/>
            </w:rPr>
            <w:t>2.1营业执照</w:t>
          </w:r>
          <w:r>
            <w:tab/>
          </w:r>
          <w:r>
            <w:fldChar w:fldCharType="begin"/>
          </w:r>
          <w:r>
            <w:instrText xml:space="preserve"> PAGEREF _Toc29454 \h </w:instrText>
          </w:r>
          <w:r>
            <w:fldChar w:fldCharType="separate"/>
          </w:r>
          <w:r>
            <w:t>6</w:t>
          </w:r>
          <w:r>
            <w:fldChar w:fldCharType="end"/>
          </w:r>
          <w:r>
            <w:fldChar w:fldCharType="end"/>
          </w:r>
        </w:p>
        <w:p>
          <w:pPr>
            <w:pStyle w:val="9"/>
            <w:tabs>
              <w:tab w:val="right" w:leader="dot" w:pos="8306"/>
            </w:tabs>
          </w:pPr>
          <w:r>
            <w:fldChar w:fldCharType="begin"/>
          </w:r>
          <w:r>
            <w:instrText xml:space="preserve"> HYPERLINK \l "_Toc23485" </w:instrText>
          </w:r>
          <w:r>
            <w:fldChar w:fldCharType="separate"/>
          </w:r>
          <w:r>
            <w:rPr>
              <w:rFonts w:hint="eastAsia"/>
            </w:rPr>
            <w:t>2.2法定代表人授权书</w:t>
          </w:r>
          <w:r>
            <w:tab/>
          </w:r>
          <w:r>
            <w:fldChar w:fldCharType="begin"/>
          </w:r>
          <w:r>
            <w:instrText xml:space="preserve"> PAGEREF _Toc23485 \h </w:instrText>
          </w:r>
          <w:r>
            <w:fldChar w:fldCharType="separate"/>
          </w:r>
          <w:r>
            <w:t>6</w:t>
          </w:r>
          <w:r>
            <w:fldChar w:fldCharType="end"/>
          </w:r>
          <w:r>
            <w:fldChar w:fldCharType="end"/>
          </w:r>
        </w:p>
        <w:p>
          <w:pPr>
            <w:pStyle w:val="9"/>
            <w:tabs>
              <w:tab w:val="right" w:leader="dot" w:pos="8306"/>
            </w:tabs>
          </w:pPr>
          <w:r>
            <w:fldChar w:fldCharType="begin"/>
          </w:r>
          <w:r>
            <w:instrText xml:space="preserve"> HYPERLINK \l "_Toc22620" </w:instrText>
          </w:r>
          <w:r>
            <w:fldChar w:fldCharType="separate"/>
          </w:r>
          <w:r>
            <w:rPr>
              <w:rFonts w:hint="eastAsia"/>
            </w:rPr>
            <w:t>2.3法人及被授权人身份证</w:t>
          </w:r>
          <w:r>
            <w:tab/>
          </w:r>
          <w:r>
            <w:fldChar w:fldCharType="begin"/>
          </w:r>
          <w:r>
            <w:instrText xml:space="preserve"> PAGEREF _Toc22620 \h </w:instrText>
          </w:r>
          <w:r>
            <w:fldChar w:fldCharType="separate"/>
          </w:r>
          <w:r>
            <w:t>6</w:t>
          </w:r>
          <w:r>
            <w:fldChar w:fldCharType="end"/>
          </w:r>
          <w:r>
            <w:fldChar w:fldCharType="end"/>
          </w:r>
        </w:p>
        <w:p>
          <w:pPr>
            <w:pStyle w:val="9"/>
            <w:tabs>
              <w:tab w:val="right" w:leader="dot" w:pos="8306"/>
            </w:tabs>
          </w:pPr>
          <w:r>
            <w:fldChar w:fldCharType="begin"/>
          </w:r>
          <w:r>
            <w:instrText xml:space="preserve"> HYPERLINK \l "_Toc31657" </w:instrText>
          </w:r>
          <w:r>
            <w:fldChar w:fldCharType="separate"/>
          </w:r>
          <w:r>
            <w:rPr>
              <w:rFonts w:hint="eastAsia"/>
            </w:rPr>
            <w:t>2.4公司资质</w:t>
          </w:r>
          <w:r>
            <w:tab/>
          </w:r>
          <w:r>
            <w:fldChar w:fldCharType="begin"/>
          </w:r>
          <w:r>
            <w:instrText xml:space="preserve"> PAGEREF _Toc31657 \h </w:instrText>
          </w:r>
          <w:r>
            <w:fldChar w:fldCharType="separate"/>
          </w:r>
          <w:r>
            <w:t>6</w:t>
          </w:r>
          <w:r>
            <w:fldChar w:fldCharType="end"/>
          </w:r>
          <w:r>
            <w:fldChar w:fldCharType="end"/>
          </w:r>
        </w:p>
        <w:p>
          <w:pPr>
            <w:pStyle w:val="9"/>
            <w:tabs>
              <w:tab w:val="right" w:leader="dot" w:pos="8306"/>
            </w:tabs>
          </w:pPr>
          <w:r>
            <w:fldChar w:fldCharType="begin"/>
          </w:r>
          <w:r>
            <w:instrText xml:space="preserve"> HYPERLINK \l "_Toc20155" </w:instrText>
          </w:r>
          <w:r>
            <w:fldChar w:fldCharType="separate"/>
          </w:r>
          <w:r>
            <w:rPr>
              <w:rFonts w:hint="eastAsia"/>
            </w:rPr>
            <w:t>2.5软件资质</w:t>
          </w:r>
          <w:r>
            <w:tab/>
          </w:r>
          <w:r>
            <w:fldChar w:fldCharType="begin"/>
          </w:r>
          <w:r>
            <w:instrText xml:space="preserve"> PAGEREF _Toc20155 \h </w:instrText>
          </w:r>
          <w:r>
            <w:fldChar w:fldCharType="separate"/>
          </w:r>
          <w:r>
            <w:t>6</w:t>
          </w:r>
          <w:r>
            <w:fldChar w:fldCharType="end"/>
          </w:r>
          <w:r>
            <w:fldChar w:fldCharType="end"/>
          </w:r>
        </w:p>
        <w:p>
          <w:pPr>
            <w:pStyle w:val="9"/>
            <w:tabs>
              <w:tab w:val="right" w:leader="dot" w:pos="8306"/>
            </w:tabs>
          </w:pPr>
          <w:r>
            <w:fldChar w:fldCharType="begin"/>
          </w:r>
          <w:r>
            <w:instrText xml:space="preserve"> HYPERLINK \l "_Toc17735" </w:instrText>
          </w:r>
          <w:r>
            <w:fldChar w:fldCharType="separate"/>
          </w:r>
          <w:r>
            <w:rPr>
              <w:rFonts w:hint="eastAsia"/>
            </w:rPr>
            <w:t>2.6本项目涉及资质</w:t>
          </w:r>
          <w:r>
            <w:tab/>
          </w:r>
          <w:r>
            <w:fldChar w:fldCharType="begin"/>
          </w:r>
          <w:r>
            <w:instrText xml:space="preserve"> PAGEREF _Toc17735 \h </w:instrText>
          </w:r>
          <w:r>
            <w:fldChar w:fldCharType="separate"/>
          </w:r>
          <w:r>
            <w:t>6</w:t>
          </w:r>
          <w:r>
            <w:fldChar w:fldCharType="end"/>
          </w:r>
          <w:r>
            <w:fldChar w:fldCharType="end"/>
          </w:r>
        </w:p>
        <w:p>
          <w:pPr>
            <w:pStyle w:val="9"/>
            <w:tabs>
              <w:tab w:val="right" w:leader="dot" w:pos="8306"/>
            </w:tabs>
          </w:pPr>
          <w:r>
            <w:fldChar w:fldCharType="begin"/>
          </w:r>
          <w:r>
            <w:instrText xml:space="preserve"> HYPERLINK \l "_Toc24141" </w:instrText>
          </w:r>
          <w:r>
            <w:fldChar w:fldCharType="separate"/>
          </w:r>
          <w:r>
            <w:rPr>
              <w:rFonts w:hint="eastAsia"/>
            </w:rPr>
            <w:t>2.7开发商委托销售授权函</w:t>
          </w:r>
          <w:r>
            <w:tab/>
          </w:r>
          <w:r>
            <w:fldChar w:fldCharType="begin"/>
          </w:r>
          <w:r>
            <w:instrText xml:space="preserve"> PAGEREF _Toc24141 \h </w:instrText>
          </w:r>
          <w:r>
            <w:fldChar w:fldCharType="separate"/>
          </w:r>
          <w:r>
            <w:t>6</w:t>
          </w:r>
          <w:r>
            <w:fldChar w:fldCharType="end"/>
          </w:r>
          <w:r>
            <w:fldChar w:fldCharType="end"/>
          </w:r>
        </w:p>
        <w:p>
          <w:pPr>
            <w:pStyle w:val="9"/>
            <w:tabs>
              <w:tab w:val="right" w:leader="dot" w:pos="8306"/>
            </w:tabs>
          </w:pPr>
          <w:r>
            <w:fldChar w:fldCharType="begin"/>
          </w:r>
          <w:r>
            <w:instrText xml:space="preserve"> HYPERLINK \l "_Toc31086" </w:instrText>
          </w:r>
          <w:r>
            <w:fldChar w:fldCharType="separate"/>
          </w:r>
          <w:r>
            <w:rPr>
              <w:rFonts w:hint="eastAsia"/>
            </w:rPr>
            <w:t>2.8提供单一来源采购证明</w:t>
          </w:r>
          <w:r>
            <w:tab/>
          </w:r>
          <w:r>
            <w:fldChar w:fldCharType="begin"/>
          </w:r>
          <w:r>
            <w:instrText xml:space="preserve"> PAGEREF _Toc31086 \h </w:instrText>
          </w:r>
          <w:r>
            <w:fldChar w:fldCharType="separate"/>
          </w:r>
          <w:r>
            <w:t>6</w:t>
          </w:r>
          <w:r>
            <w:fldChar w:fldCharType="end"/>
          </w:r>
          <w:r>
            <w:fldChar w:fldCharType="end"/>
          </w:r>
        </w:p>
        <w:p>
          <w:pPr>
            <w:pStyle w:val="8"/>
            <w:tabs>
              <w:tab w:val="right" w:leader="dot" w:pos="8306"/>
            </w:tabs>
          </w:pPr>
          <w:r>
            <w:fldChar w:fldCharType="begin"/>
          </w:r>
          <w:r>
            <w:instrText xml:space="preserve"> HYPERLINK \l "_Toc8415" </w:instrText>
          </w:r>
          <w:r>
            <w:fldChar w:fldCharType="separate"/>
          </w:r>
          <w:r>
            <w:rPr>
              <w:rFonts w:hint="eastAsia"/>
            </w:rPr>
            <w:t>三、项目调研情况一览汇总表</w:t>
          </w:r>
          <w:r>
            <w:tab/>
          </w:r>
          <w:r>
            <w:fldChar w:fldCharType="begin"/>
          </w:r>
          <w:r>
            <w:instrText xml:space="preserve"> PAGEREF _Toc8415 \h </w:instrText>
          </w:r>
          <w:r>
            <w:fldChar w:fldCharType="separate"/>
          </w:r>
          <w:r>
            <w:t>7</w:t>
          </w:r>
          <w:r>
            <w:fldChar w:fldCharType="end"/>
          </w:r>
          <w:r>
            <w:fldChar w:fldCharType="end"/>
          </w:r>
        </w:p>
        <w:p>
          <w:pPr>
            <w:pStyle w:val="8"/>
            <w:tabs>
              <w:tab w:val="right" w:leader="dot" w:pos="8306"/>
            </w:tabs>
          </w:pPr>
          <w:r>
            <w:fldChar w:fldCharType="begin"/>
          </w:r>
          <w:r>
            <w:instrText xml:space="preserve"> HYPERLINK \l "_Toc32193" </w:instrText>
          </w:r>
          <w:r>
            <w:fldChar w:fldCharType="separate"/>
          </w:r>
          <w:r>
            <w:rPr>
              <w:rFonts w:hint="eastAsia"/>
            </w:rPr>
            <w:t>四、 调研项目配置清单及分项报价明细</w:t>
          </w:r>
          <w:r>
            <w:tab/>
          </w:r>
          <w:r>
            <w:fldChar w:fldCharType="begin"/>
          </w:r>
          <w:r>
            <w:instrText xml:space="preserve"> PAGEREF _Toc32193 \h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"_Toc29804" </w:instrText>
          </w:r>
          <w:r>
            <w:fldChar w:fldCharType="separate"/>
          </w:r>
          <w:r>
            <w:rPr>
              <w:rFonts w:hint="eastAsia"/>
            </w:rPr>
            <w:t>五、三甲综合医院同类项目案例</w:t>
          </w:r>
          <w:r>
            <w:tab/>
          </w:r>
          <w:r>
            <w:fldChar w:fldCharType="begin"/>
          </w:r>
          <w:r>
            <w:instrText xml:space="preserve"> PAGEREF _Toc29804 \h </w:instrText>
          </w:r>
          <w:r>
            <w:fldChar w:fldCharType="separate"/>
          </w:r>
          <w:r>
            <w:t>8</w:t>
          </w:r>
          <w:r>
            <w:fldChar w:fldCharType="end"/>
          </w:r>
          <w:r>
            <w:fldChar w:fldCharType="end"/>
          </w:r>
        </w:p>
        <w:p>
          <w:pPr>
            <w:pStyle w:val="9"/>
            <w:tabs>
              <w:tab w:val="right" w:leader="dot" w:pos="8306"/>
            </w:tabs>
          </w:pPr>
          <w:r>
            <w:fldChar w:fldCharType="begin"/>
          </w:r>
          <w:r>
            <w:instrText xml:space="preserve"> HYPERLINK \l "_Toc5033" </w:instrText>
          </w:r>
          <w:r>
            <w:fldChar w:fldCharType="separate"/>
          </w:r>
          <w:r>
            <w:rPr>
              <w:rFonts w:hint="eastAsia"/>
            </w:rPr>
            <w:t>5.1 四川省内（  ）家</w:t>
          </w:r>
          <w:r>
            <w:tab/>
          </w:r>
          <w:r>
            <w:fldChar w:fldCharType="begin"/>
          </w:r>
          <w:r>
            <w:instrText xml:space="preserve"> PAGEREF _Toc5033 \h </w:instrText>
          </w:r>
          <w:r>
            <w:fldChar w:fldCharType="separate"/>
          </w:r>
          <w:r>
            <w:t>8</w:t>
          </w:r>
          <w:r>
            <w:fldChar w:fldCharType="end"/>
          </w:r>
          <w:r>
            <w:fldChar w:fldCharType="end"/>
          </w:r>
        </w:p>
        <w:p>
          <w:pPr>
            <w:pStyle w:val="9"/>
            <w:tabs>
              <w:tab w:val="right" w:leader="dot" w:pos="8306"/>
            </w:tabs>
          </w:pPr>
          <w:r>
            <w:fldChar w:fldCharType="begin"/>
          </w:r>
          <w:r>
            <w:instrText xml:space="preserve"> HYPERLINK \l "_Toc27307" </w:instrText>
          </w:r>
          <w:r>
            <w:fldChar w:fldCharType="separate"/>
          </w:r>
          <w:r>
            <w:rPr>
              <w:rFonts w:hint="eastAsia"/>
            </w:rPr>
            <w:t>5.1 四川省外（  ）家</w:t>
          </w:r>
          <w:r>
            <w:tab/>
          </w:r>
          <w:r>
            <w:fldChar w:fldCharType="begin"/>
          </w:r>
          <w:r>
            <w:instrText xml:space="preserve"> PAGEREF _Toc27307 \h </w:instrText>
          </w:r>
          <w:r>
            <w:fldChar w:fldCharType="separate"/>
          </w:r>
          <w:r>
            <w:t>8</w:t>
          </w:r>
          <w:r>
            <w:fldChar w:fldCharType="end"/>
          </w:r>
          <w:r>
            <w:fldChar w:fldCharType="end"/>
          </w:r>
        </w:p>
        <w:p>
          <w:pPr>
            <w:pStyle w:val="9"/>
            <w:tabs>
              <w:tab w:val="right" w:leader="dot" w:pos="8306"/>
            </w:tabs>
          </w:pPr>
          <w:r>
            <w:fldChar w:fldCharType="begin"/>
          </w:r>
          <w:r>
            <w:instrText xml:space="preserve"> HYPERLINK \l "_Toc19497" </w:instrText>
          </w:r>
          <w:r>
            <w:fldChar w:fldCharType="separate"/>
          </w:r>
          <w:r>
            <w:rPr>
              <w:rFonts w:hint="eastAsia"/>
            </w:rPr>
            <w:t>5.3三甲综合医院同类项目案例合同及验收佐证</w:t>
          </w:r>
          <w:r>
            <w:tab/>
          </w:r>
          <w:r>
            <w:fldChar w:fldCharType="begin"/>
          </w:r>
          <w:r>
            <w:instrText xml:space="preserve"> PAGEREF _Toc19497 \h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"_Toc9748" </w:instrText>
          </w:r>
          <w:r>
            <w:fldChar w:fldCharType="separate"/>
          </w:r>
          <w:r>
            <w:rPr>
              <w:rFonts w:hint="eastAsia"/>
            </w:rPr>
            <w:t>六、报价表包含内容</w:t>
          </w:r>
          <w:r>
            <w:tab/>
          </w:r>
          <w:r>
            <w:fldChar w:fldCharType="begin"/>
          </w:r>
          <w:r>
            <w:instrText xml:space="preserve"> PAGEREF _Toc9748 \h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"_Toc18260" </w:instrText>
          </w:r>
          <w:r>
            <w:fldChar w:fldCharType="separate"/>
          </w:r>
          <w:r>
            <w:rPr>
              <w:rFonts w:hint="eastAsia"/>
            </w:rPr>
            <w:t>七、建设方案</w:t>
          </w:r>
          <w:r>
            <w:tab/>
          </w:r>
          <w:r>
            <w:fldChar w:fldCharType="begin"/>
          </w:r>
          <w:r>
            <w:instrText xml:space="preserve"> PAGEREF _Toc18260 \h </w:instrText>
          </w:r>
          <w:r>
            <w:fldChar w:fldCharType="separate"/>
          </w:r>
          <w:r>
            <w:t>9</w:t>
          </w:r>
          <w:r>
            <w:fldChar w:fldCharType="end"/>
          </w:r>
          <w:r>
            <w:fldChar w:fldCharType="end"/>
          </w:r>
        </w:p>
        <w:p>
          <w:pPr>
            <w:pStyle w:val="9"/>
            <w:tabs>
              <w:tab w:val="right" w:leader="dot" w:pos="8306"/>
            </w:tabs>
          </w:pPr>
          <w:r>
            <w:fldChar w:fldCharType="begin"/>
          </w:r>
          <w:r>
            <w:instrText xml:space="preserve"> HYPERLINK \l "_Toc6143" </w:instrText>
          </w:r>
          <w:r>
            <w:fldChar w:fldCharType="separate"/>
          </w:r>
          <w:r>
            <w:rPr>
              <w:rFonts w:hint="eastAsia"/>
            </w:rPr>
            <w:t>7.1 实施条件（实施所需的支持条件）</w:t>
          </w:r>
          <w:r>
            <w:tab/>
          </w:r>
          <w:r>
            <w:fldChar w:fldCharType="begin"/>
          </w:r>
          <w:r>
            <w:instrText xml:space="preserve"> PAGEREF _Toc6143 \h </w:instrText>
          </w:r>
          <w:r>
            <w:fldChar w:fldCharType="separate"/>
          </w:r>
          <w:r>
            <w:t>9</w:t>
          </w:r>
          <w:r>
            <w:fldChar w:fldCharType="end"/>
          </w:r>
          <w:r>
            <w:fldChar w:fldCharType="end"/>
          </w:r>
        </w:p>
        <w:p>
          <w:pPr>
            <w:pStyle w:val="9"/>
            <w:tabs>
              <w:tab w:val="right" w:leader="dot" w:pos="8306"/>
            </w:tabs>
          </w:pPr>
          <w:r>
            <w:fldChar w:fldCharType="begin"/>
          </w:r>
          <w:r>
            <w:instrText xml:space="preserve"> HYPERLINK \l "_Toc1131" </w:instrText>
          </w:r>
          <w:r>
            <w:fldChar w:fldCharType="separate"/>
          </w:r>
          <w:r>
            <w:rPr>
              <w:rFonts w:hint="eastAsia"/>
            </w:rPr>
            <w:t>7.1 实施周期</w:t>
          </w:r>
          <w:r>
            <w:tab/>
          </w:r>
          <w:r>
            <w:fldChar w:fldCharType="begin"/>
          </w:r>
          <w:r>
            <w:instrText xml:space="preserve"> PAGEREF _Toc1131 \h </w:instrText>
          </w:r>
          <w:r>
            <w:fldChar w:fldCharType="separate"/>
          </w:r>
          <w:r>
            <w:t>9</w:t>
          </w:r>
          <w:r>
            <w:fldChar w:fldCharType="end"/>
          </w:r>
          <w:r>
            <w:fldChar w:fldCharType="end"/>
          </w:r>
        </w:p>
        <w:p>
          <w:pPr>
            <w:pStyle w:val="9"/>
            <w:tabs>
              <w:tab w:val="right" w:leader="dot" w:pos="8306"/>
            </w:tabs>
          </w:pPr>
          <w:r>
            <w:fldChar w:fldCharType="begin"/>
          </w:r>
          <w:r>
            <w:instrText xml:space="preserve"> HYPERLINK \l "_Toc28875" </w:instrText>
          </w:r>
          <w:r>
            <w:fldChar w:fldCharType="separate"/>
          </w:r>
          <w:r>
            <w:rPr>
              <w:rFonts w:hint="eastAsia"/>
            </w:rPr>
            <w:t>7.3 系统运行环境</w:t>
          </w:r>
          <w:r>
            <w:tab/>
          </w:r>
          <w:r>
            <w:fldChar w:fldCharType="begin"/>
          </w:r>
          <w:r>
            <w:instrText xml:space="preserve"> PAGEREF _Toc28875 \h </w:instrText>
          </w:r>
          <w:r>
            <w:fldChar w:fldCharType="separate"/>
          </w:r>
          <w:r>
            <w:t>9</w:t>
          </w:r>
          <w:r>
            <w:fldChar w:fldCharType="end"/>
          </w:r>
          <w:r>
            <w:fldChar w:fldCharType="end"/>
          </w:r>
        </w:p>
        <w:p>
          <w:pPr>
            <w:pStyle w:val="9"/>
            <w:tabs>
              <w:tab w:val="right" w:leader="dot" w:pos="8306"/>
            </w:tabs>
          </w:pPr>
          <w:r>
            <w:fldChar w:fldCharType="begin"/>
          </w:r>
          <w:r>
            <w:instrText xml:space="preserve"> HYPERLINK \l "_Toc28653" </w:instrText>
          </w:r>
          <w:r>
            <w:fldChar w:fldCharType="separate"/>
          </w:r>
          <w:r>
            <w:rPr>
              <w:rFonts w:hint="eastAsia"/>
            </w:rPr>
            <w:t>7.4 系统总体架构</w:t>
          </w:r>
          <w:r>
            <w:tab/>
          </w:r>
          <w:r>
            <w:fldChar w:fldCharType="begin"/>
          </w:r>
          <w:r>
            <w:instrText xml:space="preserve"> PAGEREF _Toc28653 \h </w:instrText>
          </w:r>
          <w:r>
            <w:fldChar w:fldCharType="separate"/>
          </w:r>
          <w:r>
            <w:t>9</w:t>
          </w:r>
          <w:r>
            <w:fldChar w:fldCharType="end"/>
          </w:r>
          <w:r>
            <w:fldChar w:fldCharType="end"/>
          </w:r>
        </w:p>
        <w:p>
          <w:r>
            <w:fldChar w:fldCharType="end"/>
          </w:r>
        </w:p>
      </w:sdtContent>
    </w:sdt>
    <w:p/>
    <w:p/>
    <w:p/>
    <w:p/>
    <w:p/>
    <w:p/>
    <w:p/>
    <w:p/>
    <w:p/>
    <w:p/>
    <w:p/>
    <w:p>
      <w:pPr>
        <w:sectPr>
          <w:pgSz w:w="11906" w:h="16838"/>
          <w:pgMar w:top="1134" w:right="1800" w:bottom="1134" w:left="1800" w:header="851" w:footer="992" w:gutter="0"/>
          <w:cols w:space="425" w:num="1"/>
          <w:docGrid w:type="lines" w:linePitch="312" w:charSpace="0"/>
        </w:sectPr>
      </w:pPr>
    </w:p>
    <w:p>
      <w:pPr>
        <w:pStyle w:val="3"/>
        <w:numPr>
          <w:ilvl w:val="0"/>
          <w:numId w:val="3"/>
        </w:numPr>
        <w:spacing w:before="100" w:after="100"/>
        <w:jc w:val="both"/>
      </w:pPr>
      <w:bookmarkStart w:id="0" w:name="_Toc247514300"/>
      <w:bookmarkStart w:id="1" w:name="_Toc427002393"/>
      <w:bookmarkStart w:id="2" w:name="_Toc7415"/>
      <w:bookmarkStart w:id="3" w:name="_Toc31680"/>
      <w:bookmarkStart w:id="4" w:name="_Toc152042597"/>
      <w:bookmarkStart w:id="5" w:name="_Toc247527848"/>
      <w:bookmarkStart w:id="6" w:name="_Toc152045808"/>
      <w:bookmarkStart w:id="7" w:name="_Toc10065"/>
      <w:bookmarkStart w:id="8" w:name="_Toc144974876"/>
      <w:r>
        <w:rPr>
          <w:rFonts w:hint="eastAsia"/>
        </w:rPr>
        <w:t>报名登记表</w:t>
      </w:r>
      <w:bookmarkEnd w:id="0"/>
      <w:bookmarkEnd w:id="1"/>
      <w:bookmarkEnd w:id="2"/>
      <w:bookmarkEnd w:id="3"/>
      <w:bookmarkEnd w:id="4"/>
      <w:bookmarkEnd w:id="5"/>
      <w:bookmarkEnd w:id="6"/>
      <w:bookmarkEnd w:id="7"/>
      <w:bookmarkEnd w:id="8"/>
    </w:p>
    <w:tbl>
      <w:tblPr>
        <w:tblStyle w:val="11"/>
        <w:tblW w:w="5461" w:type="pct"/>
        <w:jc w:val="center"/>
        <w:tblLayout w:type="autofit"/>
        <w:tblCellMar>
          <w:top w:w="0" w:type="dxa"/>
          <w:left w:w="108" w:type="dxa"/>
          <w:bottom w:w="0" w:type="dxa"/>
          <w:right w:w="108" w:type="dxa"/>
        </w:tblCellMar>
      </w:tblPr>
      <w:tblGrid>
        <w:gridCol w:w="559"/>
        <w:gridCol w:w="1511"/>
        <w:gridCol w:w="1026"/>
        <w:gridCol w:w="1282"/>
        <w:gridCol w:w="2254"/>
        <w:gridCol w:w="1108"/>
        <w:gridCol w:w="1568"/>
      </w:tblGrid>
      <w:tr>
        <w:tblPrEx>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联系邮箱</w:t>
            </w:r>
          </w:p>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pPr>
            <w:r>
              <w:rPr>
                <w:rFonts w:hint="eastAsia" w:ascii="宋体" w:hAnsi="宋体" w:eastAsia="宋体" w:cs="宋体"/>
                <w:color w:val="000000"/>
                <w:kern w:val="0"/>
                <w:sz w:val="24"/>
                <w:lang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pPr>
            <w:r>
              <w:rPr>
                <w:rFonts w:hint="eastAsia" w:ascii="宋体" w:hAnsi="宋体" w:eastAsia="宋体" w:cs="宋体"/>
                <w:color w:val="000000"/>
                <w:kern w:val="0"/>
                <w:sz w:val="24"/>
                <w:lang w:bidi="ar"/>
              </w:rPr>
              <w:t>备注</w:t>
            </w:r>
          </w:p>
        </w:tc>
      </w:tr>
      <w:tr>
        <w:tblPrEx>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color w:val="000000"/>
                <w:sz w:val="24"/>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color w:val="000000"/>
                <w:sz w:val="24"/>
              </w:rPr>
            </w:pPr>
          </w:p>
        </w:tc>
      </w:tr>
    </w:tbl>
    <w:p/>
    <w:p>
      <w:pPr>
        <w:pStyle w:val="3"/>
        <w:spacing w:before="100" w:after="100"/>
        <w:jc w:val="both"/>
      </w:pPr>
      <w:bookmarkStart w:id="9" w:name="_Toc21711"/>
      <w:bookmarkStart w:id="10" w:name="_Toc2669"/>
      <w:r>
        <w:rPr>
          <w:rFonts w:hint="eastAsia"/>
        </w:rPr>
        <w:t>二、资质：</w:t>
      </w:r>
      <w:bookmarkEnd w:id="9"/>
    </w:p>
    <w:p>
      <w:pPr>
        <w:pStyle w:val="4"/>
      </w:pPr>
      <w:bookmarkStart w:id="11" w:name="_Toc29454"/>
      <w:r>
        <w:rPr>
          <w:rFonts w:hint="eastAsia"/>
        </w:rPr>
        <w:t>2.1营业执照</w:t>
      </w:r>
      <w:bookmarkEnd w:id="10"/>
      <w:bookmarkEnd w:id="11"/>
      <w:bookmarkStart w:id="12" w:name="_Toc3036"/>
    </w:p>
    <w:p>
      <w:pPr>
        <w:pStyle w:val="4"/>
      </w:pPr>
      <w:bookmarkStart w:id="13" w:name="_Toc23485"/>
      <w:r>
        <w:rPr>
          <w:rFonts w:hint="eastAsia"/>
        </w:rPr>
        <w:t>2.2法定代表人授权书</w:t>
      </w:r>
      <w:bookmarkEnd w:id="12"/>
      <w:bookmarkEnd w:id="13"/>
    </w:p>
    <w:p>
      <w:pPr>
        <w:pStyle w:val="4"/>
      </w:pPr>
      <w:bookmarkStart w:id="14" w:name="_Toc5131"/>
      <w:bookmarkStart w:id="15" w:name="_Toc22620"/>
      <w:r>
        <w:rPr>
          <w:rFonts w:hint="eastAsia"/>
        </w:rPr>
        <w:t>2.3法人及被授权人身份证</w:t>
      </w:r>
      <w:bookmarkEnd w:id="14"/>
      <w:bookmarkEnd w:id="15"/>
    </w:p>
    <w:p>
      <w:pPr>
        <w:pStyle w:val="4"/>
      </w:pPr>
      <w:bookmarkStart w:id="16" w:name="_Toc31657"/>
      <w:bookmarkStart w:id="17" w:name="_Toc22588"/>
      <w:r>
        <w:rPr>
          <w:rFonts w:hint="eastAsia"/>
        </w:rPr>
        <w:t>2.4公司资质</w:t>
      </w:r>
      <w:bookmarkEnd w:id="16"/>
      <w:bookmarkEnd w:id="17"/>
    </w:p>
    <w:p>
      <w:pPr>
        <w:pStyle w:val="4"/>
      </w:pPr>
      <w:bookmarkStart w:id="18" w:name="_Toc20155"/>
      <w:r>
        <w:rPr>
          <w:rFonts w:hint="eastAsia"/>
        </w:rPr>
        <w:t>2.5软件资质</w:t>
      </w:r>
      <w:bookmarkEnd w:id="18"/>
    </w:p>
    <w:p>
      <w:pPr>
        <w:pStyle w:val="4"/>
      </w:pPr>
      <w:bookmarkStart w:id="19" w:name="_Toc11995"/>
      <w:bookmarkStart w:id="20" w:name="_Toc17735"/>
      <w:r>
        <w:rPr>
          <w:rFonts w:hint="eastAsia"/>
        </w:rPr>
        <w:t>2.6本项目涉及资质</w:t>
      </w:r>
      <w:bookmarkEnd w:id="19"/>
      <w:bookmarkEnd w:id="20"/>
    </w:p>
    <w:p>
      <w:pPr>
        <w:pStyle w:val="4"/>
      </w:pPr>
      <w:bookmarkStart w:id="21" w:name="_Toc21787"/>
      <w:bookmarkStart w:id="22" w:name="_Toc24141"/>
      <w:r>
        <w:rPr>
          <w:rFonts w:hint="eastAsia"/>
        </w:rPr>
        <w:t>2.7开发商委托销售授权函</w:t>
      </w:r>
      <w:bookmarkEnd w:id="21"/>
      <w:bookmarkEnd w:id="22"/>
    </w:p>
    <w:p>
      <w:pPr>
        <w:pStyle w:val="4"/>
      </w:pPr>
      <w:bookmarkStart w:id="23" w:name="_Toc31086"/>
      <w:r>
        <w:rPr>
          <w:rFonts w:hint="eastAsia"/>
        </w:rPr>
        <w:t>2.8提供单一来源采购证明</w:t>
      </w:r>
      <w:bookmarkEnd w:id="23"/>
    </w:p>
    <w:p>
      <w:pPr>
        <w:pStyle w:val="2"/>
        <w:rPr>
          <w:rFonts w:hint="eastAsia" w:hAnsi="宋体"/>
        </w:rPr>
      </w:pPr>
    </w:p>
    <w:p>
      <w:pPr>
        <w:pStyle w:val="2"/>
        <w:rPr>
          <w:rFonts w:hint="eastAsia" w:hAnsi="宋体"/>
        </w:rPr>
      </w:pPr>
    </w:p>
    <w:p>
      <w:pPr>
        <w:pStyle w:val="2"/>
        <w:rPr>
          <w:rFonts w:hint="eastAsia" w:hAnsi="宋体"/>
        </w:rPr>
      </w:pPr>
    </w:p>
    <w:p>
      <w:pPr>
        <w:pStyle w:val="2"/>
        <w:rPr>
          <w:rFonts w:hint="eastAsia" w:hAnsi="宋体"/>
        </w:rPr>
      </w:pPr>
    </w:p>
    <w:p>
      <w:pPr>
        <w:pStyle w:val="2"/>
        <w:rPr>
          <w:rFonts w:hint="eastAsia" w:hAnsi="宋体"/>
        </w:rPr>
      </w:pPr>
    </w:p>
    <w:p>
      <w:pPr>
        <w:pStyle w:val="2"/>
        <w:rPr>
          <w:rFonts w:hint="eastAsia" w:hAnsi="宋体"/>
        </w:rPr>
      </w:pPr>
    </w:p>
    <w:p>
      <w:pPr>
        <w:sectPr>
          <w:pgSz w:w="11906" w:h="16838"/>
          <w:pgMar w:top="1440" w:right="1800" w:bottom="1440" w:left="1800" w:header="851" w:footer="992" w:gutter="0"/>
          <w:cols w:space="425" w:num="1"/>
          <w:docGrid w:type="lines" w:linePitch="312" w:charSpace="0"/>
        </w:sectPr>
      </w:pPr>
    </w:p>
    <w:p>
      <w:pPr>
        <w:pStyle w:val="3"/>
        <w:spacing w:before="100" w:after="100"/>
        <w:jc w:val="both"/>
      </w:pPr>
      <w:bookmarkStart w:id="24" w:name="_Toc8415"/>
      <w:r>
        <w:rPr>
          <w:rFonts w:hint="eastAsia"/>
        </w:rPr>
        <w:t>三、项目调研情况一览汇总表</w:t>
      </w:r>
      <w:bookmarkEnd w:id="24"/>
    </w:p>
    <w:p>
      <w:pPr>
        <w:pStyle w:val="5"/>
        <w:ind w:firstLine="720" w:firstLineChars="300"/>
        <w:rPr>
          <w:rFonts w:hint="eastAsia" w:ascii="仿宋" w:hAnsi="仿宋" w:cs="仿宋"/>
          <w:color w:val="000000"/>
          <w:kern w:val="0"/>
          <w:lang w:val="en-US" w:bidi="ar"/>
        </w:rPr>
      </w:pPr>
      <w:r>
        <w:rPr>
          <w:rFonts w:hint="eastAsia" w:ascii="仿宋" w:hAnsi="仿宋" w:cs="仿宋"/>
          <w:color w:val="000000"/>
          <w:kern w:val="0"/>
          <w:lang w:val="en-US" w:bidi="ar"/>
        </w:rPr>
        <w:t>项目名称：                              采购品目分类名称：</w:t>
      </w:r>
    </w:p>
    <w:p>
      <w:pPr>
        <w:pStyle w:val="5"/>
        <w:ind w:firstLine="720" w:firstLineChars="300"/>
        <w:rPr>
          <w:rFonts w:hint="eastAsia" w:ascii="仿宋" w:hAnsi="仿宋" w:cs="仿宋"/>
          <w:color w:val="000000"/>
          <w:kern w:val="0"/>
          <w:lang w:val="en-US" w:bidi="ar"/>
        </w:rPr>
      </w:pPr>
      <w:r>
        <w:rPr>
          <w:rFonts w:hint="eastAsia" w:ascii="仿宋" w:hAnsi="仿宋" w:cs="仿宋"/>
          <w:color w:val="000000"/>
          <w:kern w:val="0"/>
          <w:lang w:val="en-US" w:bidi="ar"/>
        </w:rPr>
        <w:t>供应商名称：                            联系人及联系电话：</w:t>
      </w:r>
    </w:p>
    <w:tbl>
      <w:tblPr>
        <w:tblStyle w:val="11"/>
        <w:tblW w:w="4464" w:type="pct"/>
        <w:jc w:val="center"/>
        <w:tblLayout w:type="fixed"/>
        <w:tblCellMar>
          <w:top w:w="0" w:type="dxa"/>
          <w:left w:w="108" w:type="dxa"/>
          <w:bottom w:w="0" w:type="dxa"/>
          <w:right w:w="108" w:type="dxa"/>
        </w:tblCellMar>
      </w:tblPr>
      <w:tblGrid>
        <w:gridCol w:w="566"/>
        <w:gridCol w:w="1780"/>
        <w:gridCol w:w="2076"/>
        <w:gridCol w:w="1271"/>
        <w:gridCol w:w="1371"/>
        <w:gridCol w:w="1429"/>
        <w:gridCol w:w="3145"/>
        <w:gridCol w:w="1563"/>
      </w:tblGrid>
      <w:tr>
        <w:tblPrEx>
          <w:tblCellMar>
            <w:top w:w="0" w:type="dxa"/>
            <w:left w:w="108" w:type="dxa"/>
            <w:bottom w:w="0" w:type="dxa"/>
            <w:right w:w="108" w:type="dxa"/>
          </w:tblCellMar>
        </w:tblPrEx>
        <w:trPr>
          <w:trHeight w:val="1399" w:hRule="atLeast"/>
          <w:jc w:val="center"/>
        </w:trPr>
        <w:tc>
          <w:tcPr>
            <w:tcW w:w="2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color w:val="000000"/>
                <w:sz w:val="24"/>
              </w:rPr>
            </w:pPr>
            <w:r>
              <w:rPr>
                <w:rFonts w:hint="eastAsia" w:ascii="仿宋" w:hAnsi="仿宋" w:eastAsia="仿宋" w:cs="仿宋"/>
                <w:sz w:val="20"/>
                <w:szCs w:val="20"/>
              </w:rPr>
              <w:t>序号</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供应商名称</w:t>
            </w:r>
          </w:p>
          <w:p>
            <w:pPr>
              <w:pStyle w:val="2"/>
              <w:spacing w:line="240" w:lineRule="exact"/>
              <w:jc w:val="center"/>
              <w:rPr>
                <w:rFonts w:hint="eastAsia" w:ascii="仿宋" w:hAnsi="仿宋" w:eastAsia="仿宋" w:cs="仿宋"/>
                <w:color w:val="auto"/>
                <w:kern w:val="2"/>
              </w:rPr>
            </w:pPr>
            <w:r>
              <w:rPr>
                <w:rFonts w:hint="eastAsia" w:ascii="仿宋" w:hAnsi="仿宋" w:eastAsia="仿宋" w:cs="仿宋"/>
                <w:color w:val="auto"/>
                <w:sz w:val="20"/>
                <w:szCs w:val="20"/>
              </w:rPr>
              <w:t>（必填）</w:t>
            </w:r>
          </w:p>
        </w:tc>
        <w:tc>
          <w:tcPr>
            <w:tcW w:w="7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产品公司名称</w:t>
            </w:r>
          </w:p>
          <w:p>
            <w:pPr>
              <w:pStyle w:val="2"/>
              <w:spacing w:line="240" w:lineRule="exact"/>
              <w:jc w:val="center"/>
              <w:rPr>
                <w:rFonts w:hint="eastAsia" w:ascii="仿宋" w:hAnsi="仿宋" w:eastAsia="仿宋" w:cs="仿宋"/>
                <w:color w:val="auto"/>
                <w:kern w:val="2"/>
              </w:rPr>
            </w:pPr>
            <w:r>
              <w:rPr>
                <w:rFonts w:hint="eastAsia" w:ascii="仿宋" w:hAnsi="仿宋" w:eastAsia="仿宋" w:cs="仿宋"/>
                <w:color w:val="auto"/>
                <w:sz w:val="20"/>
                <w:szCs w:val="20"/>
              </w:rPr>
              <w:t>（必填）</w:t>
            </w:r>
          </w:p>
        </w:tc>
        <w:tc>
          <w:tcPr>
            <w:tcW w:w="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0"/>
                <w:szCs w:val="20"/>
                <w:lang w:val="en-US" w:eastAsia="zh-CN"/>
              </w:rPr>
              <w:t>服务期</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总包干</w:t>
            </w:r>
          </w:p>
          <w:p>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0"/>
                <w:szCs w:val="20"/>
              </w:rPr>
              <w:t>报价</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（万元）</w:t>
            </w: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0"/>
                <w:szCs w:val="20"/>
              </w:rPr>
              <w:t>该产品在国内三甲医院用户案例</w:t>
            </w:r>
          </w:p>
        </w:tc>
        <w:tc>
          <w:tcPr>
            <w:tcW w:w="11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0"/>
                <w:szCs w:val="20"/>
              </w:rPr>
              <w:t>优势特色</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0"/>
                <w:szCs w:val="20"/>
              </w:rPr>
              <w:t>评级情况</w:t>
            </w:r>
          </w:p>
        </w:tc>
      </w:tr>
      <w:tr>
        <w:tblPrEx>
          <w:tblCellMar>
            <w:top w:w="0" w:type="dxa"/>
            <w:left w:w="108" w:type="dxa"/>
            <w:bottom w:w="0" w:type="dxa"/>
            <w:right w:w="108" w:type="dxa"/>
          </w:tblCellMar>
        </w:tblPrEx>
        <w:trPr>
          <w:trHeight w:val="1436" w:hRule="atLeast"/>
          <w:jc w:val="center"/>
        </w:trPr>
        <w:tc>
          <w:tcPr>
            <w:tcW w:w="2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0"/>
                <w:szCs w:val="20"/>
              </w:rPr>
              <w:t>1</w:t>
            </w:r>
          </w:p>
        </w:tc>
        <w:tc>
          <w:tcPr>
            <w:tcW w:w="674" w:type="pct"/>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auto"/>
                <w:sz w:val="24"/>
              </w:rPr>
            </w:pPr>
          </w:p>
        </w:tc>
        <w:tc>
          <w:tcPr>
            <w:tcW w:w="786" w:type="pct"/>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auto"/>
                <w:sz w:val="24"/>
              </w:rPr>
            </w:pPr>
          </w:p>
        </w:tc>
        <w:tc>
          <w:tcPr>
            <w:tcW w:w="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1年</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auto"/>
                <w:sz w:val="24"/>
              </w:rPr>
            </w:pPr>
          </w:p>
        </w:tc>
        <w:tc>
          <w:tcPr>
            <w:tcW w:w="541" w:type="pct"/>
            <w:vMerge w:val="restart"/>
            <w:tcBorders>
              <w:top w:val="single" w:color="auto" w:sz="4" w:space="0"/>
              <w:left w:val="single" w:color="auto" w:sz="4" w:space="0"/>
              <w:right w:val="single" w:color="auto" w:sz="4" w:space="0"/>
            </w:tcBorders>
            <w:shd w:val="clear" w:color="auto" w:fill="auto"/>
            <w:vAlign w:val="center"/>
          </w:tcPr>
          <w:p>
            <w:pPr>
              <w:pStyle w:val="2"/>
              <w:spacing w:line="240" w:lineRule="exact"/>
              <w:rPr>
                <w:rFonts w:hint="eastAsia" w:ascii="仿宋" w:hAnsi="仿宋" w:eastAsia="仿宋" w:cs="仿宋"/>
                <w:color w:val="auto"/>
                <w:sz w:val="20"/>
                <w:szCs w:val="20"/>
              </w:rPr>
            </w:pPr>
            <w:r>
              <w:rPr>
                <w:rFonts w:hint="eastAsia" w:ascii="仿宋" w:hAnsi="仿宋" w:eastAsia="仿宋" w:cs="仿宋"/>
                <w:color w:val="auto"/>
                <w:sz w:val="20"/>
                <w:szCs w:val="20"/>
              </w:rPr>
              <w:t>填写样例:</w:t>
            </w:r>
          </w:p>
          <w:p>
            <w:pPr>
              <w:pStyle w:val="2"/>
              <w:spacing w:line="240" w:lineRule="exact"/>
              <w:rPr>
                <w:rFonts w:hint="eastAsia" w:ascii="仿宋" w:hAnsi="仿宋" w:eastAsia="仿宋" w:cs="仿宋"/>
                <w:color w:val="auto"/>
                <w:sz w:val="20"/>
                <w:szCs w:val="20"/>
              </w:rPr>
            </w:pPr>
            <w:r>
              <w:rPr>
                <w:rFonts w:hint="eastAsia" w:ascii="仿宋" w:hAnsi="仿宋" w:eastAsia="仿宋" w:cs="仿宋"/>
                <w:color w:val="auto"/>
                <w:sz w:val="20"/>
                <w:szCs w:val="20"/>
              </w:rPr>
              <w:t>省内X家，省外X家</w:t>
            </w:r>
          </w:p>
          <w:p>
            <w:pPr>
              <w:widowControl/>
              <w:spacing w:line="240" w:lineRule="exact"/>
              <w:jc w:val="center"/>
              <w:rPr>
                <w:rFonts w:hint="eastAsia" w:ascii="仿宋" w:hAnsi="仿宋" w:eastAsia="仿宋" w:cs="仿宋"/>
                <w:color w:val="auto"/>
                <w:sz w:val="24"/>
              </w:rPr>
            </w:pPr>
            <w:r>
              <w:rPr>
                <w:rFonts w:hint="eastAsia" w:ascii="仿宋" w:hAnsi="仿宋" w:eastAsia="仿宋" w:cs="仿宋"/>
                <w:color w:val="auto"/>
                <w:sz w:val="20"/>
                <w:szCs w:val="20"/>
              </w:rPr>
              <w:t>代表案例具体医院名称：</w:t>
            </w:r>
          </w:p>
        </w:tc>
        <w:tc>
          <w:tcPr>
            <w:tcW w:w="1191" w:type="pct"/>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auto"/>
                <w:sz w:val="24"/>
              </w:rPr>
            </w:pPr>
          </w:p>
        </w:tc>
        <w:tc>
          <w:tcPr>
            <w:tcW w:w="592" w:type="pct"/>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填写样例:</w:t>
            </w:r>
          </w:p>
          <w:p>
            <w:pPr>
              <w:widowControl/>
              <w:spacing w:line="240" w:lineRule="exac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1.电子病历：</w:t>
            </w:r>
          </w:p>
          <w:p>
            <w:pPr>
              <w:widowControl/>
              <w:spacing w:line="240" w:lineRule="exac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1.智慧管理：</w:t>
            </w:r>
          </w:p>
          <w:p>
            <w:pPr>
              <w:widowControl/>
              <w:spacing w:line="240" w:lineRule="exac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3.智慧服务：</w:t>
            </w:r>
          </w:p>
          <w:p>
            <w:pPr>
              <w:widowControl/>
              <w:spacing w:line="240" w:lineRule="exact"/>
              <w:rPr>
                <w:rFonts w:hint="eastAsia" w:ascii="仿宋" w:hAnsi="仿宋" w:eastAsia="仿宋" w:cs="仿宋"/>
                <w:color w:val="auto"/>
                <w:sz w:val="24"/>
              </w:rPr>
            </w:pPr>
            <w:r>
              <w:rPr>
                <w:rFonts w:hint="eastAsia" w:ascii="仿宋" w:hAnsi="仿宋" w:eastAsia="仿宋" w:cs="仿宋"/>
                <w:color w:val="auto"/>
                <w:sz w:val="20"/>
                <w:szCs w:val="20"/>
              </w:rPr>
              <w:t>4.四川省智慧医院得分：</w:t>
            </w:r>
          </w:p>
        </w:tc>
      </w:tr>
      <w:tr>
        <w:tblPrEx>
          <w:tblCellMar>
            <w:top w:w="0" w:type="dxa"/>
            <w:left w:w="108" w:type="dxa"/>
            <w:bottom w:w="0" w:type="dxa"/>
            <w:right w:w="108" w:type="dxa"/>
          </w:tblCellMar>
        </w:tblPrEx>
        <w:trPr>
          <w:trHeight w:val="1313" w:hRule="atLeast"/>
          <w:jc w:val="center"/>
        </w:trPr>
        <w:tc>
          <w:tcPr>
            <w:tcW w:w="2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2</w:t>
            </w:r>
          </w:p>
        </w:tc>
        <w:tc>
          <w:tcPr>
            <w:tcW w:w="674"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sz w:val="24"/>
              </w:rPr>
            </w:pPr>
          </w:p>
        </w:tc>
        <w:tc>
          <w:tcPr>
            <w:tcW w:w="786"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sz w:val="24"/>
              </w:rPr>
            </w:pPr>
          </w:p>
        </w:tc>
        <w:tc>
          <w:tcPr>
            <w:tcW w:w="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3年</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FF0000"/>
                <w:sz w:val="20"/>
                <w:szCs w:val="20"/>
              </w:rPr>
            </w:pPr>
          </w:p>
        </w:tc>
        <w:tc>
          <w:tcPr>
            <w:tcW w:w="54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ascii="仿宋" w:hAnsi="仿宋" w:eastAsia="仿宋" w:cs="仿宋"/>
                <w:color w:val="FF0000"/>
                <w:kern w:val="0"/>
                <w:sz w:val="20"/>
                <w:szCs w:val="20"/>
              </w:rPr>
            </w:pPr>
          </w:p>
        </w:tc>
        <w:tc>
          <w:tcPr>
            <w:tcW w:w="1191" w:type="pct"/>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000000"/>
                <w:sz w:val="24"/>
              </w:rPr>
            </w:pPr>
          </w:p>
        </w:tc>
        <w:tc>
          <w:tcPr>
            <w:tcW w:w="592" w:type="pct"/>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exact"/>
              <w:rPr>
                <w:rFonts w:hint="eastAsia" w:ascii="仿宋" w:hAnsi="仿宋" w:eastAsia="仿宋" w:cs="仿宋"/>
                <w:color w:val="FF0000"/>
                <w:sz w:val="20"/>
                <w:szCs w:val="20"/>
              </w:rPr>
            </w:pPr>
          </w:p>
        </w:tc>
      </w:tr>
      <w:tr>
        <w:tblPrEx>
          <w:tblCellMar>
            <w:top w:w="0" w:type="dxa"/>
            <w:left w:w="108" w:type="dxa"/>
            <w:bottom w:w="0" w:type="dxa"/>
            <w:right w:w="108" w:type="dxa"/>
          </w:tblCellMar>
        </w:tblPrEx>
        <w:trPr>
          <w:trHeight w:val="640" w:hRule="atLeast"/>
          <w:jc w:val="center"/>
        </w:trPr>
        <w:tc>
          <w:tcPr>
            <w:tcW w:w="167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合计：</w:t>
            </w:r>
          </w:p>
        </w:tc>
        <w:tc>
          <w:tcPr>
            <w:tcW w:w="4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仿宋" w:hAnsi="仿宋" w:eastAsia="仿宋" w:cs="仿宋"/>
                <w:color w:val="000000"/>
                <w:sz w:val="24"/>
              </w:rPr>
            </w:pP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仿宋" w:hAnsi="仿宋" w:eastAsia="仿宋" w:cs="仿宋"/>
                <w:color w:val="000000"/>
                <w:sz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仿宋" w:hAnsi="仿宋" w:eastAsia="仿宋" w:cs="仿宋"/>
                <w:color w:val="000000"/>
                <w:sz w:val="24"/>
              </w:rPr>
            </w:pPr>
          </w:p>
        </w:tc>
        <w:tc>
          <w:tcPr>
            <w:tcW w:w="11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仿宋" w:hAnsi="仿宋" w:eastAsia="仿宋" w:cs="仿宋"/>
                <w:color w:val="000000"/>
                <w:sz w:val="24"/>
              </w:rPr>
            </w:pP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rFonts w:hint="eastAsia" w:ascii="仿宋" w:hAnsi="仿宋" w:eastAsia="仿宋" w:cs="仿宋"/>
                <w:color w:val="000000"/>
                <w:sz w:val="24"/>
              </w:rPr>
            </w:pPr>
          </w:p>
        </w:tc>
      </w:tr>
    </w:tbl>
    <w:p/>
    <w:p>
      <w:pPr>
        <w:pStyle w:val="2"/>
      </w:pPr>
    </w:p>
    <w:p>
      <w:pPr>
        <w:pStyle w:val="2"/>
      </w:pPr>
    </w:p>
    <w:p>
      <w:pPr>
        <w:pStyle w:val="2"/>
      </w:pPr>
    </w:p>
    <w:p>
      <w:pPr>
        <w:pStyle w:val="2"/>
      </w:pPr>
    </w:p>
    <w:p>
      <w:pPr>
        <w:pStyle w:val="2"/>
        <w:sectPr>
          <w:pgSz w:w="16838" w:h="11906" w:orient="landscape"/>
          <w:pgMar w:top="1134" w:right="1134" w:bottom="567" w:left="1134" w:header="851" w:footer="992" w:gutter="0"/>
          <w:cols w:space="425" w:num="1"/>
          <w:docGrid w:type="lines" w:linePitch="312" w:charSpace="0"/>
        </w:sectPr>
      </w:pPr>
    </w:p>
    <w:p>
      <w:pPr>
        <w:pStyle w:val="2"/>
      </w:pPr>
    </w:p>
    <w:p>
      <w:pPr>
        <w:pStyle w:val="3"/>
        <w:numPr>
          <w:ilvl w:val="0"/>
          <w:numId w:val="4"/>
        </w:numPr>
        <w:spacing w:before="100" w:after="100"/>
        <w:jc w:val="both"/>
      </w:pPr>
      <w:bookmarkStart w:id="25" w:name="_Toc32193"/>
      <w:r>
        <w:rPr>
          <w:rFonts w:hint="eastAsia"/>
        </w:rPr>
        <w:t>调研项目配置清单及分项报价明细</w:t>
      </w:r>
      <w:bookmarkEnd w:id="25"/>
    </w:p>
    <w:p>
      <w:r>
        <w:rPr>
          <w:rFonts w:hint="eastAsia"/>
        </w:rPr>
        <w:t>（格式可自拟）</w:t>
      </w:r>
    </w:p>
    <w:p>
      <w:pPr>
        <w:pStyle w:val="3"/>
        <w:spacing w:before="100" w:after="100"/>
        <w:jc w:val="both"/>
      </w:pPr>
      <w:bookmarkStart w:id="26" w:name="_Toc29804"/>
      <w:r>
        <w:rPr>
          <w:rFonts w:hint="eastAsia"/>
        </w:rPr>
        <w:t>五、三甲综合医院同类项目案例</w:t>
      </w:r>
      <w:bookmarkEnd w:id="26"/>
    </w:p>
    <w:p>
      <w:pPr>
        <w:pStyle w:val="4"/>
        <w:ind w:firstLine="482" w:firstLineChars="200"/>
      </w:pPr>
      <w:bookmarkStart w:id="27" w:name="_Toc5033"/>
      <w:r>
        <w:rPr>
          <w:rFonts w:hint="eastAsia"/>
        </w:rPr>
        <w:t>5.1 四川省内（  ）家</w:t>
      </w:r>
      <w:bookmarkEnd w:id="27"/>
    </w:p>
    <w:tbl>
      <w:tblPr>
        <w:tblStyle w:val="11"/>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2421"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医院名称</w:t>
            </w:r>
          </w:p>
        </w:tc>
        <w:tc>
          <w:tcPr>
            <w:tcW w:w="1710"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合同标的</w:t>
            </w:r>
          </w:p>
        </w:tc>
        <w:tc>
          <w:tcPr>
            <w:tcW w:w="1350"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合同金额</w:t>
            </w:r>
          </w:p>
        </w:tc>
        <w:tc>
          <w:tcPr>
            <w:tcW w:w="1425"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实施年份</w:t>
            </w:r>
          </w:p>
        </w:tc>
        <w:tc>
          <w:tcPr>
            <w:tcW w:w="1410" w:type="dxa"/>
            <w:tcBorders>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3</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p>
        </w:tc>
      </w:tr>
    </w:tbl>
    <w:p>
      <w:pPr>
        <w:pStyle w:val="22"/>
        <w:ind w:firstLine="0" w:firstLineChars="0"/>
        <w:rPr>
          <w:rFonts w:hint="eastAsia" w:ascii="仿宋" w:hAnsi="仿宋" w:eastAsia="仿宋" w:cs="仿宋"/>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4"/>
        <w:ind w:firstLine="482" w:firstLineChars="200"/>
      </w:pPr>
      <w:bookmarkStart w:id="28" w:name="_Toc27307"/>
      <w:r>
        <w:rPr>
          <w:rFonts w:hint="eastAsia"/>
        </w:rPr>
        <w:t>5.1 四川省外（  ）家</w:t>
      </w:r>
      <w:bookmarkEnd w:id="28"/>
    </w:p>
    <w:tbl>
      <w:tblPr>
        <w:tblStyle w:val="11"/>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2421"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医院名称</w:t>
            </w:r>
          </w:p>
        </w:tc>
        <w:tc>
          <w:tcPr>
            <w:tcW w:w="1710"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合同标的</w:t>
            </w:r>
          </w:p>
        </w:tc>
        <w:tc>
          <w:tcPr>
            <w:tcW w:w="1350"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合同金额</w:t>
            </w:r>
          </w:p>
        </w:tc>
        <w:tc>
          <w:tcPr>
            <w:tcW w:w="1425" w:type="dxa"/>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实施年份</w:t>
            </w:r>
          </w:p>
        </w:tc>
        <w:tc>
          <w:tcPr>
            <w:tcW w:w="1410" w:type="dxa"/>
            <w:tcBorders>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3</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w:t>
            </w:r>
          </w:p>
        </w:tc>
        <w:tc>
          <w:tcPr>
            <w:tcW w:w="242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 w:hAnsi="仿宋" w:eastAsia="仿宋" w:cs="仿宋"/>
                <w:color w:val="000000"/>
                <w:sz w:val="24"/>
              </w:rPr>
            </w:pPr>
          </w:p>
        </w:tc>
      </w:tr>
    </w:tbl>
    <w:p/>
    <w:p>
      <w:pPr>
        <w:pStyle w:val="3"/>
        <w:spacing w:before="100" w:after="100"/>
        <w:jc w:val="both"/>
      </w:pPr>
    </w:p>
    <w:p>
      <w:pPr>
        <w:pStyle w:val="3"/>
        <w:spacing w:before="100" w:after="100"/>
        <w:jc w:val="both"/>
      </w:pPr>
    </w:p>
    <w:p>
      <w:pPr>
        <w:pStyle w:val="3"/>
        <w:spacing w:before="100" w:after="100"/>
        <w:jc w:val="both"/>
      </w:pPr>
    </w:p>
    <w:p>
      <w:pPr>
        <w:pStyle w:val="3"/>
        <w:spacing w:before="100" w:after="100"/>
        <w:jc w:val="both"/>
      </w:pPr>
    </w:p>
    <w:p>
      <w:pPr>
        <w:pStyle w:val="4"/>
        <w:ind w:firstLine="482" w:firstLineChars="200"/>
      </w:pPr>
    </w:p>
    <w:p>
      <w:pPr>
        <w:pStyle w:val="4"/>
        <w:ind w:firstLine="482" w:firstLineChars="200"/>
      </w:pPr>
      <w:bookmarkStart w:id="29" w:name="_Toc138151651"/>
      <w:bookmarkStart w:id="30" w:name="_Toc19497"/>
      <w:r>
        <w:rPr>
          <w:rFonts w:hint="eastAsia"/>
        </w:rPr>
        <w:t>5.3三甲综合医院同类项目案例合同及验收佐证</w:t>
      </w:r>
      <w:bookmarkEnd w:id="29"/>
      <w:bookmarkEnd w:id="30"/>
    </w:p>
    <w:p>
      <w:pPr>
        <w:pStyle w:val="3"/>
        <w:spacing w:before="100" w:after="100"/>
        <w:jc w:val="both"/>
      </w:pPr>
      <w:bookmarkStart w:id="31" w:name="_Toc138151652"/>
      <w:bookmarkStart w:id="32" w:name="_Toc9748"/>
      <w:r>
        <w:rPr>
          <w:rFonts w:hint="eastAsia"/>
        </w:rPr>
        <w:t>六、报价表</w:t>
      </w:r>
      <w:bookmarkEnd w:id="31"/>
      <w:r>
        <w:rPr>
          <w:rFonts w:hint="eastAsia"/>
        </w:rPr>
        <w:t>包含内容</w:t>
      </w:r>
      <w:bookmarkEnd w:id="32"/>
    </w:p>
    <w:p>
      <w:pPr>
        <w:pStyle w:val="2"/>
        <w:ind w:firstLine="560"/>
        <w:rPr>
          <w:rFonts w:hint="eastAsia" w:ascii="仿宋" w:hAnsi="仿宋" w:eastAsia="仿宋" w:cs="仿宋"/>
          <w:color w:val="auto"/>
          <w:kern w:val="2"/>
        </w:rPr>
      </w:pPr>
      <w:r>
        <w:rPr>
          <w:rFonts w:hint="eastAsia" w:ascii="仿宋" w:hAnsi="仿宋" w:eastAsia="仿宋" w:cs="仿宋"/>
          <w:color w:val="auto"/>
          <w:kern w:val="2"/>
        </w:rPr>
        <w:t>1.报价包含项目实施所涉及的软件及配套硬件、成本、费用和税金，其包括但不限于软件开发、安装、调试、验收、培训、税金、第三方系统的接口开发等费用。</w:t>
      </w:r>
    </w:p>
    <w:p>
      <w:pPr>
        <w:pStyle w:val="2"/>
        <w:ind w:firstLine="560"/>
        <w:rPr>
          <w:rFonts w:hint="eastAsia" w:ascii="仿宋" w:hAnsi="仿宋" w:eastAsia="仿宋" w:cs="仿宋"/>
          <w:color w:val="auto"/>
          <w:kern w:val="2"/>
        </w:rPr>
      </w:pPr>
      <w:r>
        <w:rPr>
          <w:rFonts w:hint="eastAsia" w:ascii="仿宋" w:hAnsi="仿宋" w:eastAsia="仿宋" w:cs="仿宋"/>
          <w:color w:val="auto"/>
          <w:kern w:val="2"/>
        </w:rPr>
        <w:t>2.系统建设实施直至整体验收提供不少于1名具有实施经验的技术人员常驻医院现场。</w:t>
      </w:r>
    </w:p>
    <w:p>
      <w:pPr>
        <w:pStyle w:val="2"/>
        <w:ind w:firstLine="560"/>
        <w:rPr>
          <w:rFonts w:hint="eastAsia" w:ascii="仿宋" w:hAnsi="仿宋" w:eastAsia="仿宋" w:cs="仿宋"/>
          <w:color w:val="auto"/>
          <w:kern w:val="2"/>
        </w:rPr>
      </w:pPr>
      <w:r>
        <w:rPr>
          <w:rFonts w:hint="eastAsia" w:ascii="仿宋" w:hAnsi="仿宋" w:eastAsia="仿宋" w:cs="仿宋"/>
          <w:color w:val="auto"/>
          <w:kern w:val="2"/>
        </w:rPr>
        <w:t>3.须同时支持Windows平台和国产化平台，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pPr>
        <w:pStyle w:val="2"/>
        <w:ind w:firstLine="560"/>
        <w:rPr>
          <w:rFonts w:hint="eastAsia" w:ascii="仿宋" w:hAnsi="仿宋" w:eastAsia="仿宋" w:cs="仿宋"/>
          <w:color w:val="auto"/>
          <w:kern w:val="2"/>
        </w:rPr>
      </w:pPr>
      <w:r>
        <w:rPr>
          <w:rFonts w:hint="eastAsia" w:ascii="仿宋" w:hAnsi="仿宋" w:eastAsia="仿宋" w:cs="仿宋"/>
          <w:color w:val="auto"/>
          <w:kern w:val="2"/>
        </w:rPr>
        <w:t>4.须支持密评防护,并免费做好该项目涉及的密码应用对接及密评相关工作，须满足医院自行或聘请的第三方网络安全等级保护测评和商用密码应用安全性评估，对测评中出现的软硬件安全漏洞须及时修复、改造。</w:t>
      </w:r>
    </w:p>
    <w:p>
      <w:pPr>
        <w:pStyle w:val="2"/>
        <w:ind w:firstLine="560"/>
        <w:rPr>
          <w:rFonts w:hint="eastAsia" w:ascii="仿宋" w:hAnsi="仿宋" w:eastAsia="仿宋" w:cs="仿宋"/>
          <w:color w:val="auto"/>
          <w:kern w:val="2"/>
        </w:rPr>
      </w:pPr>
      <w:r>
        <w:rPr>
          <w:rFonts w:hint="eastAsia" w:ascii="仿宋" w:hAnsi="仿宋" w:eastAsia="仿宋" w:cs="仿宋"/>
          <w:color w:val="auto"/>
          <w:kern w:val="2"/>
        </w:rPr>
        <w:t>5.待资阳市政务服务和大数据管理局完成政务信创云项目建设后，本系统将迁移至政务信创云，需对本项目进行服务及数据迁移，业务中断≤14小时。</w:t>
      </w:r>
    </w:p>
    <w:p>
      <w:pPr>
        <w:pStyle w:val="2"/>
        <w:rPr>
          <w:rFonts w:hint="eastAsia" w:ascii="仿宋" w:hAnsi="仿宋" w:eastAsia="仿宋" w:cs="仿宋"/>
          <w:color w:val="auto"/>
          <w:kern w:val="2"/>
        </w:rPr>
      </w:pPr>
    </w:p>
    <w:p>
      <w:pPr>
        <w:pStyle w:val="3"/>
        <w:spacing w:before="100" w:after="100"/>
        <w:jc w:val="both"/>
        <w:rPr>
          <w:rFonts w:hint="eastAsia" w:ascii="仿宋" w:hAnsi="仿宋" w:eastAsia="仿宋" w:cs="仿宋"/>
          <w:b w:val="0"/>
          <w:color w:val="000000"/>
          <w:kern w:val="2"/>
          <w:sz w:val="24"/>
        </w:rPr>
      </w:pPr>
      <w:bookmarkStart w:id="33" w:name="_Toc18260"/>
      <w:r>
        <w:rPr>
          <w:rFonts w:hint="eastAsia"/>
        </w:rPr>
        <w:t>七、建设方案</w:t>
      </w:r>
      <w:bookmarkEnd w:id="33"/>
    </w:p>
    <w:p>
      <w:bookmarkStart w:id="34" w:name="_Toc138151653"/>
      <w:r>
        <w:rPr>
          <w:rFonts w:hint="eastAsia"/>
        </w:rPr>
        <w:t>（包含以内容，其他内容自拟）</w:t>
      </w:r>
    </w:p>
    <w:p>
      <w:pPr>
        <w:pStyle w:val="4"/>
        <w:ind w:firstLine="482" w:firstLineChars="200"/>
      </w:pPr>
      <w:bookmarkStart w:id="35" w:name="_Toc6143"/>
      <w:r>
        <w:rPr>
          <w:rFonts w:hint="eastAsia"/>
        </w:rPr>
        <w:t>7.1 实施条件（实施所需的支持条件）</w:t>
      </w:r>
      <w:bookmarkEnd w:id="34"/>
      <w:bookmarkEnd w:id="35"/>
    </w:p>
    <w:p>
      <w:pPr>
        <w:pStyle w:val="4"/>
        <w:ind w:firstLine="482" w:firstLineChars="200"/>
      </w:pPr>
      <w:bookmarkStart w:id="36" w:name="_Toc1131"/>
      <w:bookmarkStart w:id="37" w:name="_Toc138151654"/>
      <w:r>
        <w:rPr>
          <w:rFonts w:hint="eastAsia"/>
        </w:rPr>
        <w:t>7.1 实施周期</w:t>
      </w:r>
      <w:bookmarkEnd w:id="36"/>
      <w:bookmarkEnd w:id="37"/>
    </w:p>
    <w:p>
      <w:pPr>
        <w:pStyle w:val="4"/>
        <w:ind w:firstLine="482" w:firstLineChars="200"/>
      </w:pPr>
      <w:bookmarkStart w:id="38" w:name="_Toc138151655"/>
      <w:bookmarkStart w:id="39" w:name="_Toc28875"/>
      <w:r>
        <w:rPr>
          <w:rFonts w:hint="eastAsia"/>
        </w:rPr>
        <w:t>7.3 系统运行环境</w:t>
      </w:r>
      <w:bookmarkEnd w:id="38"/>
      <w:bookmarkEnd w:id="39"/>
    </w:p>
    <w:p>
      <w:pPr>
        <w:pStyle w:val="4"/>
        <w:ind w:firstLine="482" w:firstLineChars="200"/>
      </w:pPr>
      <w:bookmarkStart w:id="40" w:name="_Toc28653"/>
      <w:bookmarkStart w:id="41" w:name="_Toc138151656"/>
      <w:r>
        <w:rPr>
          <w:rFonts w:hint="eastAsia"/>
        </w:rPr>
        <w:t>7.4 系统总体架构</w:t>
      </w:r>
      <w:bookmarkEnd w:id="40"/>
      <w:bookmarkEnd w:id="41"/>
    </w:p>
    <w:p/>
    <w:p/>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7AD7FFF-1654-4829-99F3-D5E9970EAE2B}"/>
  </w:font>
  <w:font w:name="仿宋">
    <w:panose1 w:val="02010609060101010101"/>
    <w:charset w:val="86"/>
    <w:family w:val="modern"/>
    <w:pitch w:val="default"/>
    <w:sig w:usb0="800002BF" w:usb1="38CF7CFA" w:usb2="00000016" w:usb3="00000000" w:csb0="00040001" w:csb1="00000000"/>
    <w:embedRegular r:id="rId2" w:fontKey="{60437FCC-F560-4EF0-B1D4-C8EEACC0EDB3}"/>
  </w:font>
  <w:font w:name="方正小标宋简体">
    <w:panose1 w:val="03000509000000000000"/>
    <w:charset w:val="86"/>
    <w:family w:val="auto"/>
    <w:pitch w:val="default"/>
    <w:sig w:usb0="00000001" w:usb1="080E0000" w:usb2="00000000" w:usb3="00000000" w:csb0="00040000" w:csb1="00000000"/>
    <w:embedRegular r:id="rId3" w:fontKey="{DC7689D8-F5D2-46E0-9BBA-EF53FCA6BFC3}"/>
  </w:font>
  <w:font w:name="方正黑体简体">
    <w:panose1 w:val="03000509000000000000"/>
    <w:charset w:val="86"/>
    <w:family w:val="auto"/>
    <w:pitch w:val="default"/>
    <w:sig w:usb0="00000001" w:usb1="080E0000" w:usb2="00000000" w:usb3="00000000" w:csb0="00040000" w:csb1="00000000"/>
    <w:embedRegular r:id="rId4" w:fontKey="{F23DEB61-FDD5-40C7-A114-BDCAA079792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DC3CE"/>
    <w:multiLevelType w:val="singleLevel"/>
    <w:tmpl w:val="E64DC3CE"/>
    <w:lvl w:ilvl="0" w:tentative="0">
      <w:start w:val="1"/>
      <w:numFmt w:val="chineseCounting"/>
      <w:suff w:val="nothing"/>
      <w:lvlText w:val="（%1）"/>
      <w:lvlJc w:val="left"/>
      <w:rPr>
        <w:rFonts w:hint="eastAsia"/>
      </w:rPr>
    </w:lvl>
  </w:abstractNum>
  <w:abstractNum w:abstractNumId="1">
    <w:nsid w:val="168C2C5C"/>
    <w:multiLevelType w:val="singleLevel"/>
    <w:tmpl w:val="168C2C5C"/>
    <w:lvl w:ilvl="0" w:tentative="0">
      <w:start w:val="4"/>
      <w:numFmt w:val="chineseCounting"/>
      <w:suff w:val="nothing"/>
      <w:lvlText w:val="%1、"/>
      <w:lvlJc w:val="left"/>
      <w:rPr>
        <w:rFonts w:hint="eastAsia"/>
      </w:rPr>
    </w:lvl>
  </w:abstractNum>
  <w:abstractNum w:abstractNumId="2">
    <w:nsid w:val="23DEF404"/>
    <w:multiLevelType w:val="singleLevel"/>
    <w:tmpl w:val="23DEF404"/>
    <w:lvl w:ilvl="0" w:tentative="0">
      <w:start w:val="1"/>
      <w:numFmt w:val="chineseCounting"/>
      <w:suff w:val="nothing"/>
      <w:lvlText w:val="%1、"/>
      <w:lvlJc w:val="left"/>
      <w:rPr>
        <w:rFonts w:hint="eastAsia"/>
      </w:rPr>
    </w:lvl>
  </w:abstractNum>
  <w:abstractNum w:abstractNumId="3">
    <w:nsid w:val="2A66902F"/>
    <w:multiLevelType w:val="singleLevel"/>
    <w:tmpl w:val="2A66902F"/>
    <w:lvl w:ilvl="0" w:tentative="0">
      <w:start w:val="2"/>
      <w:numFmt w:val="chineseCounting"/>
      <w:suff w:val="nothing"/>
      <w:lvlText w:val="%1、"/>
      <w:lvlJc w:val="left"/>
      <w:pPr>
        <w:ind w:left="-560"/>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F269EE"/>
    <w:rsid w:val="000021B3"/>
    <w:rsid w:val="0007109F"/>
    <w:rsid w:val="000A7E8B"/>
    <w:rsid w:val="00161060"/>
    <w:rsid w:val="001772FC"/>
    <w:rsid w:val="001F0DE9"/>
    <w:rsid w:val="00285893"/>
    <w:rsid w:val="00351085"/>
    <w:rsid w:val="003675E8"/>
    <w:rsid w:val="0040392A"/>
    <w:rsid w:val="0042222C"/>
    <w:rsid w:val="00474758"/>
    <w:rsid w:val="004E3CF2"/>
    <w:rsid w:val="0051077C"/>
    <w:rsid w:val="00542E10"/>
    <w:rsid w:val="00574A3F"/>
    <w:rsid w:val="006C3E27"/>
    <w:rsid w:val="0073053B"/>
    <w:rsid w:val="008C4D9A"/>
    <w:rsid w:val="008D7668"/>
    <w:rsid w:val="008D7A2B"/>
    <w:rsid w:val="008F2B9A"/>
    <w:rsid w:val="00901060"/>
    <w:rsid w:val="00936AC5"/>
    <w:rsid w:val="00A02DB1"/>
    <w:rsid w:val="00A61F78"/>
    <w:rsid w:val="00AA26DA"/>
    <w:rsid w:val="00AB290B"/>
    <w:rsid w:val="00AE73D4"/>
    <w:rsid w:val="00B47292"/>
    <w:rsid w:val="00BB3660"/>
    <w:rsid w:val="00CE3CBB"/>
    <w:rsid w:val="00D00197"/>
    <w:rsid w:val="00D20512"/>
    <w:rsid w:val="00E65855"/>
    <w:rsid w:val="00E863DE"/>
    <w:rsid w:val="00E954F2"/>
    <w:rsid w:val="00F269EE"/>
    <w:rsid w:val="00F42993"/>
    <w:rsid w:val="01B709DD"/>
    <w:rsid w:val="01D52A58"/>
    <w:rsid w:val="021A2C80"/>
    <w:rsid w:val="0224038E"/>
    <w:rsid w:val="027E0487"/>
    <w:rsid w:val="02CE7139"/>
    <w:rsid w:val="03163E1D"/>
    <w:rsid w:val="03552A08"/>
    <w:rsid w:val="03D3104E"/>
    <w:rsid w:val="04593878"/>
    <w:rsid w:val="052B1309"/>
    <w:rsid w:val="06C8202F"/>
    <w:rsid w:val="074573FA"/>
    <w:rsid w:val="07C537D5"/>
    <w:rsid w:val="07E9598A"/>
    <w:rsid w:val="08360008"/>
    <w:rsid w:val="08E9552D"/>
    <w:rsid w:val="09EF4DDA"/>
    <w:rsid w:val="0A5A448A"/>
    <w:rsid w:val="0AED6E12"/>
    <w:rsid w:val="0B4B2B44"/>
    <w:rsid w:val="0C811C7B"/>
    <w:rsid w:val="0C824D94"/>
    <w:rsid w:val="0C9C1458"/>
    <w:rsid w:val="0CCA1EEB"/>
    <w:rsid w:val="0CDC4161"/>
    <w:rsid w:val="0D5422FE"/>
    <w:rsid w:val="0DD4413B"/>
    <w:rsid w:val="0E266744"/>
    <w:rsid w:val="0E7664C8"/>
    <w:rsid w:val="0EA93CA3"/>
    <w:rsid w:val="10AE73EC"/>
    <w:rsid w:val="1118101A"/>
    <w:rsid w:val="114378E0"/>
    <w:rsid w:val="11DA6532"/>
    <w:rsid w:val="121A3D4C"/>
    <w:rsid w:val="134306AA"/>
    <w:rsid w:val="135A02D0"/>
    <w:rsid w:val="13712447"/>
    <w:rsid w:val="13855EF2"/>
    <w:rsid w:val="14E013D0"/>
    <w:rsid w:val="15CF1F26"/>
    <w:rsid w:val="16207B77"/>
    <w:rsid w:val="164E15A7"/>
    <w:rsid w:val="16B36D4D"/>
    <w:rsid w:val="16B52250"/>
    <w:rsid w:val="18D92EBD"/>
    <w:rsid w:val="1AAF2DD5"/>
    <w:rsid w:val="1AE31E7C"/>
    <w:rsid w:val="1B46204F"/>
    <w:rsid w:val="1BBC5511"/>
    <w:rsid w:val="1BBD3A81"/>
    <w:rsid w:val="1DBE13B8"/>
    <w:rsid w:val="1E77318B"/>
    <w:rsid w:val="1E804E7E"/>
    <w:rsid w:val="1ED65F1E"/>
    <w:rsid w:val="20390524"/>
    <w:rsid w:val="20695B39"/>
    <w:rsid w:val="20D1599C"/>
    <w:rsid w:val="20E172DD"/>
    <w:rsid w:val="20E3342D"/>
    <w:rsid w:val="217E5682"/>
    <w:rsid w:val="21C877B1"/>
    <w:rsid w:val="22A273FF"/>
    <w:rsid w:val="22BD0DE4"/>
    <w:rsid w:val="22D96F4E"/>
    <w:rsid w:val="22DA2031"/>
    <w:rsid w:val="23372454"/>
    <w:rsid w:val="23E3036F"/>
    <w:rsid w:val="25380CA0"/>
    <w:rsid w:val="257D0110"/>
    <w:rsid w:val="25C63BAB"/>
    <w:rsid w:val="25C67C05"/>
    <w:rsid w:val="260512EE"/>
    <w:rsid w:val="263578BE"/>
    <w:rsid w:val="270869DA"/>
    <w:rsid w:val="270C409F"/>
    <w:rsid w:val="275B3E1E"/>
    <w:rsid w:val="2777374E"/>
    <w:rsid w:val="283860D8"/>
    <w:rsid w:val="29FF496C"/>
    <w:rsid w:val="2A1F28C7"/>
    <w:rsid w:val="2A251269"/>
    <w:rsid w:val="2B8925CC"/>
    <w:rsid w:val="2C6F6170"/>
    <w:rsid w:val="2C9F6F43"/>
    <w:rsid w:val="2D755A60"/>
    <w:rsid w:val="2DBF701B"/>
    <w:rsid w:val="2E8E10D4"/>
    <w:rsid w:val="2F9704DF"/>
    <w:rsid w:val="305F1B4D"/>
    <w:rsid w:val="30C93B1B"/>
    <w:rsid w:val="31971BEA"/>
    <w:rsid w:val="31FA3E8C"/>
    <w:rsid w:val="32024D28"/>
    <w:rsid w:val="325767A5"/>
    <w:rsid w:val="32A468A4"/>
    <w:rsid w:val="333B229A"/>
    <w:rsid w:val="34B66051"/>
    <w:rsid w:val="36C21BE7"/>
    <w:rsid w:val="36C450EA"/>
    <w:rsid w:val="36FE0747"/>
    <w:rsid w:val="372B5D93"/>
    <w:rsid w:val="375B0AE1"/>
    <w:rsid w:val="386C41A1"/>
    <w:rsid w:val="38761053"/>
    <w:rsid w:val="38A804E3"/>
    <w:rsid w:val="38EF5674"/>
    <w:rsid w:val="39106763"/>
    <w:rsid w:val="3A89517A"/>
    <w:rsid w:val="3A985554"/>
    <w:rsid w:val="3AAB598F"/>
    <w:rsid w:val="3AC16B02"/>
    <w:rsid w:val="3B9C785C"/>
    <w:rsid w:val="3D8E5A8D"/>
    <w:rsid w:val="3E35171E"/>
    <w:rsid w:val="3E924036"/>
    <w:rsid w:val="3EBE4976"/>
    <w:rsid w:val="3EDC080D"/>
    <w:rsid w:val="3EF73899"/>
    <w:rsid w:val="3F204B9F"/>
    <w:rsid w:val="428970E4"/>
    <w:rsid w:val="42BD668F"/>
    <w:rsid w:val="42D32DB1"/>
    <w:rsid w:val="4389125B"/>
    <w:rsid w:val="44BE1658"/>
    <w:rsid w:val="46C53FAB"/>
    <w:rsid w:val="473D70ED"/>
    <w:rsid w:val="47823284"/>
    <w:rsid w:val="47E67906"/>
    <w:rsid w:val="485E35F8"/>
    <w:rsid w:val="49550899"/>
    <w:rsid w:val="49BA2D04"/>
    <w:rsid w:val="49BB0786"/>
    <w:rsid w:val="4B643ABC"/>
    <w:rsid w:val="4B9F639D"/>
    <w:rsid w:val="4BC230D9"/>
    <w:rsid w:val="4DE465D7"/>
    <w:rsid w:val="4DF2336E"/>
    <w:rsid w:val="4EB359AB"/>
    <w:rsid w:val="4F4F10AC"/>
    <w:rsid w:val="4F5F64BA"/>
    <w:rsid w:val="4FB545D4"/>
    <w:rsid w:val="4FC000E6"/>
    <w:rsid w:val="502E58AD"/>
    <w:rsid w:val="531A6747"/>
    <w:rsid w:val="5339476F"/>
    <w:rsid w:val="536B2A7D"/>
    <w:rsid w:val="53DE59A8"/>
    <w:rsid w:val="53E51F5E"/>
    <w:rsid w:val="541505F1"/>
    <w:rsid w:val="54400E09"/>
    <w:rsid w:val="55B6522E"/>
    <w:rsid w:val="5715646F"/>
    <w:rsid w:val="59410223"/>
    <w:rsid w:val="59723D50"/>
    <w:rsid w:val="5A864B12"/>
    <w:rsid w:val="5A920D49"/>
    <w:rsid w:val="5B4B35D6"/>
    <w:rsid w:val="5BB10EFE"/>
    <w:rsid w:val="5D187049"/>
    <w:rsid w:val="5D762C66"/>
    <w:rsid w:val="5D930F11"/>
    <w:rsid w:val="5DEA79AF"/>
    <w:rsid w:val="5E2F3B42"/>
    <w:rsid w:val="5F4131D6"/>
    <w:rsid w:val="5F6F0822"/>
    <w:rsid w:val="5F744CAA"/>
    <w:rsid w:val="5F957CDE"/>
    <w:rsid w:val="5FD8114B"/>
    <w:rsid w:val="5FDD7E71"/>
    <w:rsid w:val="619239A0"/>
    <w:rsid w:val="62561308"/>
    <w:rsid w:val="62927E29"/>
    <w:rsid w:val="62DC652B"/>
    <w:rsid w:val="63F35708"/>
    <w:rsid w:val="63F4318A"/>
    <w:rsid w:val="640D6CAC"/>
    <w:rsid w:val="64105038"/>
    <w:rsid w:val="6416682D"/>
    <w:rsid w:val="644B199A"/>
    <w:rsid w:val="64D6157E"/>
    <w:rsid w:val="65B14764"/>
    <w:rsid w:val="65C91E0B"/>
    <w:rsid w:val="67CB7B5D"/>
    <w:rsid w:val="684D49E2"/>
    <w:rsid w:val="687142E8"/>
    <w:rsid w:val="687304EE"/>
    <w:rsid w:val="68783C73"/>
    <w:rsid w:val="693862AF"/>
    <w:rsid w:val="6A961A6F"/>
    <w:rsid w:val="6A987C6E"/>
    <w:rsid w:val="6B5B4CB0"/>
    <w:rsid w:val="6D4B29EE"/>
    <w:rsid w:val="6D6D71FE"/>
    <w:rsid w:val="6E5C3CB4"/>
    <w:rsid w:val="6EC06CA8"/>
    <w:rsid w:val="6EED01BE"/>
    <w:rsid w:val="6FCD7A7D"/>
    <w:rsid w:val="709E1F5D"/>
    <w:rsid w:val="71B2000E"/>
    <w:rsid w:val="72307267"/>
    <w:rsid w:val="725577F4"/>
    <w:rsid w:val="72B84BC2"/>
    <w:rsid w:val="73A103C3"/>
    <w:rsid w:val="740C7A72"/>
    <w:rsid w:val="74BE1DD0"/>
    <w:rsid w:val="75AA5052"/>
    <w:rsid w:val="75BE2C2C"/>
    <w:rsid w:val="76120F8B"/>
    <w:rsid w:val="765F4A43"/>
    <w:rsid w:val="76CB5C0A"/>
    <w:rsid w:val="76EB7264"/>
    <w:rsid w:val="77F5610B"/>
    <w:rsid w:val="79175759"/>
    <w:rsid w:val="7CEF5984"/>
    <w:rsid w:val="7F2C38B2"/>
    <w:rsid w:val="7F2D0FB6"/>
    <w:rsid w:val="7F8C5AF1"/>
    <w:rsid w:val="7F962F62"/>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b/>
      <w:kern w:val="44"/>
      <w:sz w:val="30"/>
    </w:rPr>
  </w:style>
  <w:style w:type="paragraph" w:styleId="4">
    <w:name w:val="heading 2"/>
    <w:basedOn w:val="1"/>
    <w:next w:val="1"/>
    <w:unhideWhenUsed/>
    <w:qFormat/>
    <w:uiPriority w:val="0"/>
    <w:pPr>
      <w:keepNext/>
      <w:keepLines/>
      <w:spacing w:line="360" w:lineRule="auto"/>
      <w:outlineLvl w:val="1"/>
    </w:pPr>
    <w:rPr>
      <w:rFonts w:ascii="Arial" w:hAnsi="Arial" w:eastAsia="黑体"/>
      <w:b/>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w:basedOn w:val="1"/>
    <w:next w:val="1"/>
    <w:qFormat/>
    <w:uiPriority w:val="0"/>
    <w:pPr>
      <w:spacing w:before="1" w:line="360" w:lineRule="auto"/>
    </w:pPr>
    <w:rPr>
      <w:rFonts w:ascii="宋体" w:hAnsi="宋体" w:eastAsia="仿宋" w:cs="宋体"/>
      <w:sz w:val="24"/>
      <w:lang w:val="zh-CN" w:bidi="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25"/>
    <w:qFormat/>
    <w:uiPriority w:val="0"/>
    <w:pP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toc 2"/>
    <w:basedOn w:val="1"/>
    <w:next w:val="1"/>
    <w:qFormat/>
    <w:uiPriority w:val="0"/>
    <w:pPr>
      <w:ind w:left="420" w:leftChars="200"/>
    </w:pPr>
  </w:style>
  <w:style w:type="paragraph" w:styleId="10">
    <w:name w:val="Normal (Web)"/>
    <w:basedOn w:val="1"/>
    <w:unhideWhenUsed/>
    <w:qFormat/>
    <w:uiPriority w:val="99"/>
    <w:pPr>
      <w:spacing w:before="100" w:beforeAutospacing="1" w:after="100" w:afterAutospacing="1"/>
    </w:pPr>
    <w:rPr>
      <w:rFonts w:ascii="宋体" w:hAnsi="宋体" w:eastAsia="宋体" w:cs="宋体"/>
      <w:sz w:val="24"/>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customStyle="1" w:styleId="15">
    <w:name w:val="font81"/>
    <w:basedOn w:val="13"/>
    <w:qFormat/>
    <w:uiPriority w:val="0"/>
    <w:rPr>
      <w:rFonts w:hint="eastAsia" w:ascii="仿宋" w:hAnsi="仿宋" w:eastAsia="仿宋" w:cs="仿宋"/>
      <w:color w:val="FF0000"/>
      <w:sz w:val="24"/>
      <w:szCs w:val="24"/>
      <w:u w:val="none"/>
    </w:rPr>
  </w:style>
  <w:style w:type="character" w:customStyle="1" w:styleId="16">
    <w:name w:val="font61"/>
    <w:basedOn w:val="13"/>
    <w:qFormat/>
    <w:uiPriority w:val="0"/>
    <w:rPr>
      <w:rFonts w:hint="eastAsia" w:ascii="仿宋" w:hAnsi="仿宋" w:eastAsia="仿宋" w:cs="仿宋"/>
      <w:color w:val="000000"/>
      <w:sz w:val="24"/>
      <w:szCs w:val="24"/>
      <w:u w:val="none"/>
    </w:rPr>
  </w:style>
  <w:style w:type="character" w:customStyle="1" w:styleId="17">
    <w:name w:val="font41"/>
    <w:basedOn w:val="13"/>
    <w:qFormat/>
    <w:uiPriority w:val="0"/>
    <w:rPr>
      <w:rFonts w:hint="eastAsia" w:ascii="仿宋" w:hAnsi="仿宋" w:eastAsia="仿宋" w:cs="仿宋"/>
      <w:color w:val="000000"/>
      <w:sz w:val="24"/>
      <w:szCs w:val="24"/>
      <w:u w:val="none"/>
    </w:rPr>
  </w:style>
  <w:style w:type="character" w:customStyle="1" w:styleId="18">
    <w:name w:val="font71"/>
    <w:basedOn w:val="13"/>
    <w:qFormat/>
    <w:uiPriority w:val="0"/>
    <w:rPr>
      <w:rFonts w:hint="eastAsia" w:ascii="仿宋" w:hAnsi="仿宋" w:eastAsia="仿宋" w:cs="仿宋"/>
      <w:color w:val="0070C0"/>
      <w:sz w:val="24"/>
      <w:szCs w:val="24"/>
      <w:u w:val="none"/>
    </w:rPr>
  </w:style>
  <w:style w:type="character" w:customStyle="1" w:styleId="19">
    <w:name w:val="font51"/>
    <w:basedOn w:val="13"/>
    <w:qFormat/>
    <w:uiPriority w:val="0"/>
    <w:rPr>
      <w:rFonts w:hint="eastAsia" w:ascii="宋体" w:hAnsi="宋体" w:eastAsia="宋体" w:cs="宋体"/>
      <w:color w:val="000000"/>
      <w:sz w:val="24"/>
      <w:szCs w:val="24"/>
      <w:u w:val="none"/>
    </w:rPr>
  </w:style>
  <w:style w:type="character" w:customStyle="1" w:styleId="20">
    <w:name w:val="font21"/>
    <w:basedOn w:val="13"/>
    <w:qFormat/>
    <w:uiPriority w:val="0"/>
    <w:rPr>
      <w:rFonts w:hint="eastAsia" w:ascii="宋体" w:hAnsi="宋体" w:eastAsia="宋体" w:cs="宋体"/>
      <w:color w:val="000000"/>
      <w:sz w:val="22"/>
      <w:szCs w:val="22"/>
      <w:u w:val="none"/>
    </w:rPr>
  </w:style>
  <w:style w:type="character" w:customStyle="1" w:styleId="21">
    <w:name w:val="font11"/>
    <w:basedOn w:val="13"/>
    <w:qFormat/>
    <w:uiPriority w:val="0"/>
    <w:rPr>
      <w:rFonts w:hint="eastAsia" w:ascii="宋体" w:hAnsi="宋体" w:eastAsia="宋体" w:cs="宋体"/>
      <w:b/>
      <w:bCs/>
      <w:color w:val="000000"/>
      <w:sz w:val="24"/>
      <w:szCs w:val="24"/>
      <w:u w:val="none"/>
    </w:rPr>
  </w:style>
  <w:style w:type="paragraph" w:customStyle="1" w:styleId="2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3">
    <w:name w:val="font31"/>
    <w:basedOn w:val="13"/>
    <w:qFormat/>
    <w:uiPriority w:val="0"/>
    <w:rPr>
      <w:rFonts w:hint="eastAsia" w:ascii="宋体" w:hAnsi="宋体" w:eastAsia="宋体" w:cs="宋体"/>
      <w:color w:val="000000"/>
      <w:sz w:val="24"/>
      <w:szCs w:val="24"/>
      <w:u w:val="none"/>
    </w:rPr>
  </w:style>
  <w:style w:type="character" w:customStyle="1" w:styleId="24">
    <w:name w:val="font01"/>
    <w:basedOn w:val="13"/>
    <w:qFormat/>
    <w:uiPriority w:val="0"/>
    <w:rPr>
      <w:rFonts w:hint="eastAsia" w:ascii="宋体" w:hAnsi="宋体" w:eastAsia="宋体" w:cs="宋体"/>
      <w:color w:val="000000"/>
      <w:sz w:val="22"/>
      <w:szCs w:val="22"/>
      <w:u w:val="none"/>
    </w:rPr>
  </w:style>
  <w:style w:type="character" w:customStyle="1" w:styleId="25">
    <w:name w:val="页眉 字符"/>
    <w:basedOn w:val="13"/>
    <w:link w:val="7"/>
    <w:qFormat/>
    <w:uiPriority w:val="0"/>
    <w:rPr>
      <w:rFonts w:asciiTheme="minorHAnsi" w:hAnsiTheme="minorHAnsi" w:eastAsiaTheme="minorEastAsia" w:cstheme="minorBidi"/>
      <w:kern w:val="2"/>
      <w:sz w:val="18"/>
      <w:szCs w:val="18"/>
    </w:rPr>
  </w:style>
  <w:style w:type="paragraph" w:customStyle="1" w:styleId="26">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7">
    <w:name w:val="正文首行缩进两字符"/>
    <w:basedOn w:val="1"/>
    <w:qFormat/>
    <w:uiPriority w:val="0"/>
    <w:pPr>
      <w:spacing w:line="360" w:lineRule="auto"/>
      <w:ind w:firstLine="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994</Words>
  <Characters>5669</Characters>
  <Lines>47</Lines>
  <Paragraphs>13</Paragraphs>
  <TotalTime>20</TotalTime>
  <ScaleCrop>false</ScaleCrop>
  <LinksUpToDate>false</LinksUpToDate>
  <CharactersWithSpaces>6650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丨</cp:lastModifiedBy>
  <cp:lastPrinted>2024-01-10T00:56:00Z</cp:lastPrinted>
  <dcterms:modified xsi:type="dcterms:W3CDTF">2024-09-03T02:41:32Z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58AE6F71E88C454680034F970F85D177</vt:lpwstr>
  </property>
</Properties>
</file>