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43A1">
      <w:pPr>
        <w:jc w:val="center"/>
        <w:rPr>
          <w:rFonts w:hint="eastAsia"/>
          <w:lang w:val="en-US" w:eastAsia="zh-CN"/>
        </w:rPr>
      </w:pPr>
      <w:r>
        <w:rPr>
          <w:rFonts w:hint="eastAsia" w:ascii="宋体" w:hAnsi="宋体" w:eastAsia="宋体" w:cs="宋体"/>
          <w:sz w:val="52"/>
          <w:szCs w:val="52"/>
          <w:lang w:val="en-US" w:eastAsia="zh-CN"/>
        </w:rPr>
        <w:t>资阳市中心医院热熔消防通道及边实黄线项目市场调研</w:t>
      </w:r>
    </w:p>
    <w:p w14:paraId="12023853">
      <w:pPr>
        <w:numPr>
          <w:ilvl w:val="0"/>
          <w:numId w:val="1"/>
        </w:numPr>
        <w:spacing w:line="480" w:lineRule="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项目名称</w:t>
      </w:r>
    </w:p>
    <w:p w14:paraId="5AE14CDB">
      <w:pPr>
        <w:spacing w:line="48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资阳市中心医院热熔消防通道及边实黄线画线项目市场调研</w:t>
      </w:r>
    </w:p>
    <w:p w14:paraId="0F5649B7">
      <w:pPr>
        <w:numPr>
          <w:ilvl w:val="0"/>
          <w:numId w:val="1"/>
        </w:numPr>
        <w:spacing w:line="480" w:lineRule="auto"/>
        <w:ind w:left="0" w:leftChars="0" w:firstLine="0" w:firstLineChars="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项目概况</w:t>
      </w:r>
      <w:bookmarkStart w:id="0" w:name="_GoBack"/>
      <w:bookmarkEnd w:id="0"/>
    </w:p>
    <w:p w14:paraId="2A1D8016">
      <w:pPr>
        <w:numPr>
          <w:ilvl w:val="0"/>
          <w:numId w:val="0"/>
        </w:numPr>
        <w:spacing w:line="48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积极响应《建筑消防设施安装使用及消防安全评价管理规范》及其有关消防法规的要求，公共场所必须设置消防安全通道地面标识，现对我院消防通道及热熔边黄实线画线项目进行市场调研，诚邀符合要求的供应商进行报名。</w:t>
      </w:r>
    </w:p>
    <w:p w14:paraId="6793546F">
      <w:pPr>
        <w:numPr>
          <w:ilvl w:val="0"/>
          <w:numId w:val="1"/>
        </w:numPr>
        <w:spacing w:line="480" w:lineRule="auto"/>
        <w:ind w:left="0" w:leftChars="0" w:firstLine="0" w:firstLineChars="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本次市场调研要求</w:t>
      </w:r>
    </w:p>
    <w:p w14:paraId="1DB03CF0">
      <w:pPr>
        <w:numPr>
          <w:ilvl w:val="0"/>
          <w:numId w:val="2"/>
        </w:numPr>
        <w:spacing w:line="48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具有独立承担民事责任的能力。</w:t>
      </w:r>
    </w:p>
    <w:p w14:paraId="3DCF484E">
      <w:pPr>
        <w:numPr>
          <w:ilvl w:val="0"/>
          <w:numId w:val="2"/>
        </w:numPr>
        <w:spacing w:line="48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具有良好的商业信誉和健全的财务会计制度。</w:t>
      </w:r>
    </w:p>
    <w:p w14:paraId="21789698">
      <w:pPr>
        <w:numPr>
          <w:ilvl w:val="0"/>
          <w:numId w:val="2"/>
        </w:numPr>
        <w:spacing w:line="48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具有履行合同所必需的设备和专业技术能力。</w:t>
      </w:r>
    </w:p>
    <w:p w14:paraId="6E3F284E">
      <w:pPr>
        <w:numPr>
          <w:ilvl w:val="0"/>
          <w:numId w:val="2"/>
        </w:numPr>
        <w:spacing w:line="48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符合法律、行政法规规定的其他条件。</w:t>
      </w:r>
    </w:p>
    <w:p w14:paraId="4994389D">
      <w:pPr>
        <w:numPr>
          <w:ilvl w:val="0"/>
          <w:numId w:val="1"/>
        </w:numPr>
        <w:spacing w:line="480" w:lineRule="auto"/>
        <w:ind w:left="0" w:leftChars="0" w:firstLine="0" w:firstLineChars="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项目报名文件要求</w:t>
      </w:r>
    </w:p>
    <w:p w14:paraId="1973BF3D">
      <w:pPr>
        <w:numPr>
          <w:ilvl w:val="0"/>
          <w:numId w:val="0"/>
        </w:numPr>
        <w:spacing w:line="48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包括但不限于以下内容：</w:t>
      </w:r>
    </w:p>
    <w:p w14:paraId="54881BD4">
      <w:pPr>
        <w:numPr>
          <w:ilvl w:val="0"/>
          <w:numId w:val="3"/>
        </w:numPr>
        <w:spacing w:line="48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资质性资料</w:t>
      </w:r>
    </w:p>
    <w:p w14:paraId="66230E48">
      <w:pPr>
        <w:numPr>
          <w:ilvl w:val="0"/>
          <w:numId w:val="4"/>
        </w:numPr>
        <w:spacing w:line="48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供应商的营业执照副本复印件（营业执照中经营范围须包含本次调研相关行业）</w:t>
      </w:r>
    </w:p>
    <w:p w14:paraId="439B40C2">
      <w:pPr>
        <w:numPr>
          <w:ilvl w:val="0"/>
          <w:numId w:val="4"/>
        </w:numPr>
        <w:spacing w:line="48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法人身份证复印件或法人授权代表身份证复印件及法人委托搜全书。</w:t>
      </w:r>
    </w:p>
    <w:p w14:paraId="71A39AEB">
      <w:pPr>
        <w:numPr>
          <w:ilvl w:val="0"/>
          <w:numId w:val="3"/>
        </w:numPr>
        <w:spacing w:line="480" w:lineRule="auto"/>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3453"/>
        <w:gridCol w:w="1701"/>
        <w:gridCol w:w="1180"/>
      </w:tblGrid>
      <w:tr w14:paraId="0E8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 w:type="dxa"/>
            <w:vAlign w:val="top"/>
          </w:tcPr>
          <w:p w14:paraId="29C0D9D3">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3453" w:type="dxa"/>
            <w:vAlign w:val="top"/>
          </w:tcPr>
          <w:p w14:paraId="1359B8DE">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项目</w:t>
            </w:r>
          </w:p>
        </w:tc>
        <w:tc>
          <w:tcPr>
            <w:tcW w:w="1701" w:type="dxa"/>
            <w:vAlign w:val="top"/>
          </w:tcPr>
          <w:p w14:paraId="0FEB5E50">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数量</w:t>
            </w:r>
          </w:p>
        </w:tc>
        <w:tc>
          <w:tcPr>
            <w:tcW w:w="1180" w:type="dxa"/>
            <w:vAlign w:val="top"/>
          </w:tcPr>
          <w:p w14:paraId="0EEB9581">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344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866C757">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w:t>
            </w:r>
          </w:p>
        </w:tc>
        <w:tc>
          <w:tcPr>
            <w:tcW w:w="3453" w:type="dxa"/>
          </w:tcPr>
          <w:p w14:paraId="4868C1A9">
            <w:pPr>
              <w:numPr>
                <w:ilvl w:val="0"/>
                <w:numId w:val="0"/>
              </w:numPr>
              <w:spacing w:line="480" w:lineRule="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热熔边实黄线</w:t>
            </w:r>
          </w:p>
        </w:tc>
        <w:tc>
          <w:tcPr>
            <w:tcW w:w="1701" w:type="dxa"/>
          </w:tcPr>
          <w:p w14:paraId="6ADC05E6">
            <w:pPr>
              <w:numPr>
                <w:ilvl w:val="0"/>
                <w:numId w:val="0"/>
              </w:numPr>
              <w:spacing w:line="480" w:lineRule="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约1300米</w:t>
            </w:r>
          </w:p>
        </w:tc>
        <w:tc>
          <w:tcPr>
            <w:tcW w:w="1180" w:type="dxa"/>
          </w:tcPr>
          <w:p w14:paraId="03A8B1A8">
            <w:pPr>
              <w:numPr>
                <w:ilvl w:val="0"/>
                <w:numId w:val="0"/>
              </w:numPr>
              <w:spacing w:line="480" w:lineRule="auto"/>
              <w:rPr>
                <w:rFonts w:hint="eastAsia" w:ascii="黑体" w:hAnsi="黑体" w:eastAsia="黑体" w:cs="黑体"/>
                <w:sz w:val="24"/>
                <w:szCs w:val="24"/>
                <w:vertAlign w:val="baseline"/>
                <w:lang w:val="en-US" w:eastAsia="zh-CN"/>
              </w:rPr>
            </w:pPr>
          </w:p>
        </w:tc>
      </w:tr>
      <w:tr w14:paraId="0B4E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E0954E0">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tc>
        <w:tc>
          <w:tcPr>
            <w:tcW w:w="3453" w:type="dxa"/>
          </w:tcPr>
          <w:p w14:paraId="77A0658E">
            <w:pPr>
              <w:numPr>
                <w:ilvl w:val="0"/>
                <w:numId w:val="0"/>
              </w:numPr>
              <w:spacing w:line="480" w:lineRule="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标准的消防通道</w:t>
            </w:r>
          </w:p>
        </w:tc>
        <w:tc>
          <w:tcPr>
            <w:tcW w:w="1701" w:type="dxa"/>
          </w:tcPr>
          <w:p w14:paraId="4C6D325C">
            <w:pPr>
              <w:numPr>
                <w:ilvl w:val="0"/>
                <w:numId w:val="0"/>
              </w:numPr>
              <w:spacing w:line="480" w:lineRule="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15套</w:t>
            </w:r>
          </w:p>
        </w:tc>
        <w:tc>
          <w:tcPr>
            <w:tcW w:w="1180" w:type="dxa"/>
          </w:tcPr>
          <w:p w14:paraId="2FA20466">
            <w:pPr>
              <w:numPr>
                <w:ilvl w:val="0"/>
                <w:numId w:val="0"/>
              </w:numPr>
              <w:spacing w:line="480" w:lineRule="auto"/>
              <w:rPr>
                <w:rFonts w:hint="eastAsia" w:ascii="黑体" w:hAnsi="黑体" w:eastAsia="黑体" w:cs="黑体"/>
                <w:sz w:val="24"/>
                <w:szCs w:val="24"/>
                <w:vertAlign w:val="baseline"/>
                <w:lang w:val="en-US" w:eastAsia="zh-CN"/>
              </w:rPr>
            </w:pPr>
          </w:p>
        </w:tc>
      </w:tr>
      <w:tr w14:paraId="1F45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restart"/>
            <w:vAlign w:val="center"/>
          </w:tcPr>
          <w:p w14:paraId="5015B653">
            <w:pPr>
              <w:numPr>
                <w:ilvl w:val="0"/>
                <w:numId w:val="0"/>
              </w:numPr>
              <w:spacing w:line="48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3</w:t>
            </w:r>
          </w:p>
        </w:tc>
        <w:tc>
          <w:tcPr>
            <w:tcW w:w="3453" w:type="dxa"/>
          </w:tcPr>
          <w:p w14:paraId="57827D13">
            <w:pPr>
              <w:numPr>
                <w:ilvl w:val="0"/>
                <w:numId w:val="0"/>
              </w:numPr>
              <w:spacing w:line="480" w:lineRule="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修补消防通道</w:t>
            </w:r>
          </w:p>
        </w:tc>
        <w:tc>
          <w:tcPr>
            <w:tcW w:w="1701" w:type="dxa"/>
            <w:vMerge w:val="restart"/>
            <w:vAlign w:val="center"/>
          </w:tcPr>
          <w:p w14:paraId="73B978A9">
            <w:pPr>
              <w:numPr>
                <w:ilvl w:val="0"/>
                <w:numId w:val="0"/>
              </w:numPr>
              <w:spacing w:line="480" w:lineRule="auto"/>
              <w:jc w:val="both"/>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6套</w:t>
            </w:r>
          </w:p>
        </w:tc>
        <w:tc>
          <w:tcPr>
            <w:tcW w:w="1180" w:type="dxa"/>
            <w:vMerge w:val="restart"/>
          </w:tcPr>
          <w:p w14:paraId="66B9EC85">
            <w:pPr>
              <w:numPr>
                <w:ilvl w:val="0"/>
                <w:numId w:val="0"/>
              </w:numPr>
              <w:spacing w:line="480" w:lineRule="auto"/>
              <w:rPr>
                <w:rFonts w:hint="eastAsia" w:ascii="黑体" w:hAnsi="黑体" w:eastAsia="黑体" w:cs="黑体"/>
                <w:sz w:val="24"/>
                <w:szCs w:val="24"/>
                <w:vertAlign w:val="baseline"/>
                <w:lang w:val="en-US" w:eastAsia="zh-CN"/>
              </w:rPr>
            </w:pPr>
          </w:p>
        </w:tc>
      </w:tr>
      <w:tr w14:paraId="5B0E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14:paraId="3D3EC9B3">
            <w:pPr>
              <w:numPr>
                <w:ilvl w:val="0"/>
                <w:numId w:val="0"/>
              </w:numPr>
              <w:spacing w:line="480" w:lineRule="auto"/>
              <w:jc w:val="center"/>
              <w:rPr>
                <w:rFonts w:hint="eastAsia" w:ascii="黑体" w:hAnsi="黑体" w:eastAsia="黑体" w:cs="黑体"/>
                <w:sz w:val="24"/>
                <w:szCs w:val="24"/>
                <w:vertAlign w:val="baseline"/>
                <w:lang w:val="en-US" w:eastAsia="zh-CN"/>
              </w:rPr>
            </w:pPr>
          </w:p>
        </w:tc>
        <w:tc>
          <w:tcPr>
            <w:tcW w:w="3453" w:type="dxa"/>
          </w:tcPr>
          <w:p w14:paraId="304B22A3">
            <w:pPr>
              <w:numPr>
                <w:ilvl w:val="0"/>
                <w:numId w:val="0"/>
              </w:numPr>
              <w:spacing w:line="480" w:lineRule="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补消防通道（字）</w:t>
            </w:r>
          </w:p>
        </w:tc>
        <w:tc>
          <w:tcPr>
            <w:tcW w:w="1701" w:type="dxa"/>
            <w:vMerge w:val="continue"/>
          </w:tcPr>
          <w:p w14:paraId="6BC0C854">
            <w:pPr>
              <w:numPr>
                <w:ilvl w:val="0"/>
                <w:numId w:val="0"/>
              </w:numPr>
              <w:spacing w:line="480" w:lineRule="auto"/>
              <w:rPr>
                <w:rFonts w:hint="eastAsia" w:ascii="黑体" w:hAnsi="黑体" w:eastAsia="黑体" w:cs="黑体"/>
                <w:sz w:val="24"/>
                <w:szCs w:val="24"/>
                <w:vertAlign w:val="baseline"/>
                <w:lang w:val="en-US" w:eastAsia="zh-CN"/>
              </w:rPr>
            </w:pPr>
          </w:p>
        </w:tc>
        <w:tc>
          <w:tcPr>
            <w:tcW w:w="1180" w:type="dxa"/>
            <w:vMerge w:val="continue"/>
          </w:tcPr>
          <w:p w14:paraId="7025DAA1">
            <w:pPr>
              <w:numPr>
                <w:ilvl w:val="0"/>
                <w:numId w:val="0"/>
              </w:numPr>
              <w:spacing w:line="480" w:lineRule="auto"/>
              <w:rPr>
                <w:rFonts w:hint="eastAsia" w:ascii="黑体" w:hAnsi="黑体" w:eastAsia="黑体" w:cs="黑体"/>
                <w:sz w:val="24"/>
                <w:szCs w:val="24"/>
                <w:vertAlign w:val="baseline"/>
                <w:lang w:val="en-US" w:eastAsia="zh-CN"/>
              </w:rPr>
            </w:pPr>
          </w:p>
        </w:tc>
      </w:tr>
      <w:tr w14:paraId="2330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14:paraId="6B258CE9">
            <w:pPr>
              <w:numPr>
                <w:ilvl w:val="0"/>
                <w:numId w:val="0"/>
              </w:numPr>
              <w:spacing w:line="480" w:lineRule="auto"/>
              <w:jc w:val="center"/>
              <w:rPr>
                <w:rFonts w:hint="eastAsia" w:ascii="黑体" w:hAnsi="黑体" w:eastAsia="黑体" w:cs="黑体"/>
                <w:sz w:val="24"/>
                <w:szCs w:val="24"/>
                <w:vertAlign w:val="baseline"/>
                <w:lang w:val="en-US" w:eastAsia="zh-CN"/>
              </w:rPr>
            </w:pPr>
          </w:p>
        </w:tc>
        <w:tc>
          <w:tcPr>
            <w:tcW w:w="3453" w:type="dxa"/>
          </w:tcPr>
          <w:p w14:paraId="2A2C2735">
            <w:pPr>
              <w:numPr>
                <w:ilvl w:val="0"/>
                <w:numId w:val="0"/>
              </w:numPr>
              <w:spacing w:line="480" w:lineRule="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补脱落的网格线</w:t>
            </w:r>
          </w:p>
        </w:tc>
        <w:tc>
          <w:tcPr>
            <w:tcW w:w="1701" w:type="dxa"/>
            <w:vMerge w:val="continue"/>
          </w:tcPr>
          <w:p w14:paraId="6F6487B0">
            <w:pPr>
              <w:numPr>
                <w:ilvl w:val="0"/>
                <w:numId w:val="0"/>
              </w:numPr>
              <w:spacing w:line="480" w:lineRule="auto"/>
              <w:rPr>
                <w:rFonts w:hint="eastAsia" w:ascii="黑体" w:hAnsi="黑体" w:eastAsia="黑体" w:cs="黑体"/>
                <w:sz w:val="24"/>
                <w:szCs w:val="24"/>
                <w:vertAlign w:val="baseline"/>
                <w:lang w:val="en-US" w:eastAsia="zh-CN"/>
              </w:rPr>
            </w:pPr>
          </w:p>
        </w:tc>
        <w:tc>
          <w:tcPr>
            <w:tcW w:w="1180" w:type="dxa"/>
            <w:vMerge w:val="continue"/>
          </w:tcPr>
          <w:p w14:paraId="23800428">
            <w:pPr>
              <w:numPr>
                <w:ilvl w:val="0"/>
                <w:numId w:val="0"/>
              </w:numPr>
              <w:spacing w:line="480" w:lineRule="auto"/>
              <w:rPr>
                <w:rFonts w:hint="eastAsia" w:ascii="黑体" w:hAnsi="黑体" w:eastAsia="黑体" w:cs="黑体"/>
                <w:sz w:val="24"/>
                <w:szCs w:val="24"/>
                <w:vertAlign w:val="baseline"/>
                <w:lang w:val="en-US" w:eastAsia="zh-CN"/>
              </w:rPr>
            </w:pPr>
          </w:p>
        </w:tc>
      </w:tr>
    </w:tbl>
    <w:p w14:paraId="75C3151C">
      <w:pPr>
        <w:numPr>
          <w:ilvl w:val="0"/>
          <w:numId w:val="1"/>
        </w:numPr>
        <w:spacing w:line="480" w:lineRule="auto"/>
        <w:ind w:left="0" w:leftChars="0" w:firstLine="0" w:firstLineChars="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资料递交方式</w:t>
      </w:r>
    </w:p>
    <w:p w14:paraId="5904DA89">
      <w:pPr>
        <w:numPr>
          <w:ilvl w:val="0"/>
          <w:numId w:val="0"/>
        </w:numPr>
        <w:spacing w:line="48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营业执照、法人身份证复印件或法人授权代表身份证复印件及法人委托授权书和本次市场调研项目的参考价格和清单，范围包括但不限于本公告所提供的需求内容；将电子文档（盖章扫描件和项目参考价格）发送至1730366626@qq.com，邮件名称：公司名称+联系方式；支持现场查看，咨询联系人：赵万云波，电话：18982980980。</w:t>
      </w:r>
    </w:p>
    <w:p w14:paraId="37D2602E">
      <w:pPr>
        <w:numPr>
          <w:ilvl w:val="0"/>
          <w:numId w:val="0"/>
        </w:numPr>
        <w:spacing w:line="480" w:lineRule="auto"/>
        <w:ind w:leftChars="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六、本次市场询价不做任何采购承诺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5B4B6"/>
    <w:multiLevelType w:val="singleLevel"/>
    <w:tmpl w:val="E255B4B6"/>
    <w:lvl w:ilvl="0" w:tentative="0">
      <w:start w:val="1"/>
      <w:numFmt w:val="decimal"/>
      <w:suff w:val="nothing"/>
      <w:lvlText w:val="%1、"/>
      <w:lvlJc w:val="left"/>
    </w:lvl>
  </w:abstractNum>
  <w:abstractNum w:abstractNumId="1">
    <w:nsid w:val="30A53C63"/>
    <w:multiLevelType w:val="singleLevel"/>
    <w:tmpl w:val="30A53C63"/>
    <w:lvl w:ilvl="0" w:tentative="0">
      <w:start w:val="1"/>
      <w:numFmt w:val="decimal"/>
      <w:suff w:val="nothing"/>
      <w:lvlText w:val="%1、"/>
      <w:lvlJc w:val="left"/>
    </w:lvl>
  </w:abstractNum>
  <w:abstractNum w:abstractNumId="2">
    <w:nsid w:val="6358EF10"/>
    <w:multiLevelType w:val="singleLevel"/>
    <w:tmpl w:val="6358EF10"/>
    <w:lvl w:ilvl="0" w:tentative="0">
      <w:start w:val="1"/>
      <w:numFmt w:val="chineseCounting"/>
      <w:suff w:val="nothing"/>
      <w:lvlText w:val="%1、"/>
      <w:lvlJc w:val="left"/>
      <w:rPr>
        <w:rFonts w:hint="eastAsia"/>
      </w:rPr>
    </w:lvl>
  </w:abstractNum>
  <w:abstractNum w:abstractNumId="3">
    <w:nsid w:val="68C58527"/>
    <w:multiLevelType w:val="singleLevel"/>
    <w:tmpl w:val="68C58527"/>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MzMzODZmM2Q5YjNiMmJiNjA3NjMzMjFjMDMxOGEifQ=="/>
  </w:docVars>
  <w:rsids>
    <w:rsidRoot w:val="379F2544"/>
    <w:rsid w:val="248B5E11"/>
    <w:rsid w:val="27936015"/>
    <w:rsid w:val="379F2544"/>
    <w:rsid w:val="40995248"/>
    <w:rsid w:val="47573528"/>
    <w:rsid w:val="4C760FD5"/>
    <w:rsid w:val="5AC874E9"/>
    <w:rsid w:val="5D7B3644"/>
    <w:rsid w:val="70D82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571</Characters>
  <Lines>0</Lines>
  <Paragraphs>0</Paragraphs>
  <TotalTime>39</TotalTime>
  <ScaleCrop>false</ScaleCrop>
  <LinksUpToDate>false</LinksUpToDate>
  <CharactersWithSpaces>571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2024-08-16T01:31:00Z</dcterms:created>
  <dc:creator>WPS_1670482980</dc:creator>
  <cp:lastModifiedBy>WPS_1670482980</cp:lastModifiedBy>
  <dcterms:modified xsi:type="dcterms:W3CDTF">2024-08-16T02:26:23Z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08D6C525653F42D6B937111491FEF3BE_11</vt:lpwstr>
  </property>
</Properties>
</file>