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textAlignment w:val="center"/>
        <w:rPr>
          <w:rFonts w:hint="eastAsia" w:ascii="方正小标宋简体" w:hAnsi="方正小标宋简体" w:eastAsia="方正小标宋简体" w:cs="方正小标宋简体"/>
          <w:color w:val="auto"/>
          <w:kern w:val="0"/>
          <w:sz w:val="36"/>
          <w:szCs w:val="36"/>
          <w:lang w:bidi="ar"/>
        </w:rPr>
      </w:pPr>
      <w:r>
        <w:rPr>
          <w:rFonts w:hint="eastAsia" w:ascii="方正小标宋简体" w:hAnsi="方正小标宋简体" w:eastAsia="方正小标宋简体" w:cs="方正小标宋简体"/>
          <w:color w:val="000000"/>
          <w:kern w:val="0"/>
          <w:sz w:val="36"/>
          <w:szCs w:val="36"/>
          <w:lang w:bidi="ar"/>
        </w:rPr>
        <w:t>资阳市中心医院</w:t>
      </w:r>
      <w:r>
        <w:rPr>
          <w:rFonts w:hint="eastAsia" w:ascii="方正小标宋简体" w:hAnsi="方正小标宋简体" w:eastAsia="方正小标宋简体" w:cs="方正小标宋简体"/>
          <w:color w:val="000000"/>
          <w:kern w:val="0"/>
          <w:sz w:val="36"/>
          <w:szCs w:val="36"/>
          <w:lang w:bidi="ar"/>
        </w:rPr>
        <w:br w:type="textWrapping"/>
      </w:r>
      <w:r>
        <w:rPr>
          <w:rFonts w:hint="eastAsia" w:ascii="方正小标宋简体" w:hAnsi="方正小标宋简体" w:eastAsia="方正小标宋简体" w:cs="方正小标宋简体"/>
          <w:color w:val="auto"/>
          <w:kern w:val="0"/>
          <w:sz w:val="36"/>
          <w:szCs w:val="36"/>
          <w:lang w:bidi="ar"/>
        </w:rPr>
        <w:t>医保物价收费智能审核系统运维服务项目调研公告</w:t>
      </w:r>
    </w:p>
    <w:p>
      <w:pPr>
        <w:pStyle w:val="5"/>
        <w:spacing w:line="400" w:lineRule="exact"/>
        <w:ind w:firstLine="560" w:firstLineChars="200"/>
        <w:rPr>
          <w:rFonts w:hint="eastAsia" w:ascii="仿宋" w:hAnsi="仿宋" w:cs="仿宋"/>
          <w:color w:val="auto"/>
          <w:sz w:val="28"/>
          <w:szCs w:val="28"/>
          <w:lang w:val="en-US"/>
        </w:rPr>
      </w:pPr>
    </w:p>
    <w:p>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因医院业务发展需要，对医院医保物价收费智能审核系统运维服务项目进行市场调研,现公开征集相关资料,欢迎各潜在供应商进行报名，现将有关事宜公告如下：</w:t>
      </w:r>
    </w:p>
    <w:p>
      <w:pPr>
        <w:rPr>
          <w:rFonts w:hint="eastAsia"/>
          <w:color w:val="auto"/>
          <w:lang w:val="en-US"/>
        </w:rPr>
      </w:pPr>
    </w:p>
    <w:p>
      <w:pPr>
        <w:spacing w:line="360" w:lineRule="exact"/>
        <w:ind w:firstLine="560" w:firstLineChars="200"/>
        <w:rPr>
          <w:rFonts w:hint="eastAsia" w:ascii="方正黑体简体" w:hAnsi="方正黑体简体" w:eastAsia="方正黑体简体" w:cs="方正黑体简体"/>
          <w:color w:val="auto"/>
          <w:kern w:val="0"/>
          <w:sz w:val="28"/>
          <w:szCs w:val="28"/>
          <w:lang w:bidi="ar"/>
        </w:rPr>
      </w:pPr>
      <w:r>
        <w:rPr>
          <w:rFonts w:hint="eastAsia" w:ascii="方正黑体简体" w:hAnsi="方正黑体简体" w:eastAsia="方正黑体简体" w:cs="方正黑体简体"/>
          <w:color w:val="auto"/>
          <w:kern w:val="0"/>
          <w:sz w:val="28"/>
          <w:szCs w:val="28"/>
          <w:lang w:bidi="ar"/>
        </w:rPr>
        <w:t>一、项目概述</w:t>
      </w:r>
    </w:p>
    <w:tbl>
      <w:tblPr>
        <w:tblStyle w:val="11"/>
        <w:tblpPr w:leftFromText="180" w:rightFromText="180" w:vertAnchor="page" w:horzAnchor="page" w:tblpXSpec="center" w:tblpY="4101"/>
        <w:tblOverlap w:val="never"/>
        <w:tblW w:w="8558" w:type="dxa"/>
        <w:jc w:val="center"/>
        <w:tblLayout w:type="autofit"/>
        <w:tblCellMar>
          <w:top w:w="0" w:type="dxa"/>
          <w:left w:w="108" w:type="dxa"/>
          <w:bottom w:w="0" w:type="dxa"/>
          <w:right w:w="108" w:type="dxa"/>
        </w:tblCellMar>
      </w:tblPr>
      <w:tblGrid>
        <w:gridCol w:w="1723"/>
        <w:gridCol w:w="4810"/>
        <w:gridCol w:w="2025"/>
      </w:tblGrid>
      <w:tr>
        <w:tblPrEx>
          <w:tblCellMar>
            <w:top w:w="0" w:type="dxa"/>
            <w:left w:w="108" w:type="dxa"/>
            <w:bottom w:w="0" w:type="dxa"/>
            <w:right w:w="108" w:type="dxa"/>
          </w:tblCellMar>
        </w:tblPrEx>
        <w:trPr>
          <w:trHeight w:val="358" w:hRule="atLeast"/>
          <w:jc w:val="center"/>
        </w:trPr>
        <w:tc>
          <w:tcPr>
            <w:tcW w:w="1723" w:type="dxa"/>
            <w:tcBorders>
              <w:top w:val="single" w:color="auto" w:sz="8" w:space="0"/>
              <w:left w:val="single" w:color="auto" w:sz="8" w:space="0"/>
              <w:bottom w:val="nil"/>
              <w:right w:val="single" w:color="auto" w:sz="8" w:space="0"/>
            </w:tcBorders>
            <w:shd w:val="clear" w:color="auto" w:fill="auto"/>
            <w:vAlign w:val="center"/>
          </w:tcPr>
          <w:p>
            <w:pPr>
              <w:pStyle w:val="27"/>
              <w:wordWrap w:val="0"/>
              <w:spacing w:line="440" w:lineRule="exact"/>
              <w:ind w:left="661" w:leftChars="200" w:hanging="241" w:hangingChars="100"/>
              <w:jc w:val="left"/>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4810" w:type="dxa"/>
            <w:tcBorders>
              <w:top w:val="single" w:color="auto" w:sz="8" w:space="0"/>
              <w:left w:val="nil"/>
              <w:bottom w:val="nil"/>
              <w:right w:val="single" w:color="auto" w:sz="8" w:space="0"/>
            </w:tcBorders>
            <w:shd w:val="clear" w:color="auto" w:fill="auto"/>
            <w:vAlign w:val="center"/>
          </w:tcPr>
          <w:p>
            <w:pPr>
              <w:pStyle w:val="27"/>
              <w:wordWrap w:val="0"/>
              <w:spacing w:line="440" w:lineRule="exact"/>
              <w:ind w:firstLine="1446" w:firstLineChars="600"/>
              <w:jc w:val="left"/>
              <w:rPr>
                <w:rFonts w:hint="eastAsia" w:ascii="宋体" w:hAnsi="宋体" w:eastAsia="宋体" w:cs="宋体"/>
                <w:b/>
                <w:bCs/>
                <w:color w:val="auto"/>
                <w:sz w:val="24"/>
              </w:rPr>
            </w:pPr>
            <w:r>
              <w:rPr>
                <w:rFonts w:hint="eastAsia" w:ascii="宋体" w:hAnsi="宋体" w:eastAsia="宋体" w:cs="宋体"/>
                <w:b/>
                <w:bCs/>
                <w:color w:val="auto"/>
                <w:sz w:val="24"/>
              </w:rPr>
              <w:t>产品名称</w:t>
            </w:r>
          </w:p>
        </w:tc>
        <w:tc>
          <w:tcPr>
            <w:tcW w:w="2025" w:type="dxa"/>
            <w:tcBorders>
              <w:top w:val="single" w:color="auto" w:sz="8" w:space="0"/>
              <w:left w:val="nil"/>
              <w:bottom w:val="nil"/>
              <w:right w:val="single" w:color="auto" w:sz="8" w:space="0"/>
            </w:tcBorders>
            <w:shd w:val="clear" w:color="auto" w:fill="auto"/>
            <w:vAlign w:val="center"/>
          </w:tcPr>
          <w:p>
            <w:pPr>
              <w:pStyle w:val="27"/>
              <w:wordWrap w:val="0"/>
              <w:spacing w:line="440" w:lineRule="exact"/>
              <w:ind w:left="661" w:leftChars="200" w:hanging="241" w:hangingChars="100"/>
              <w:jc w:val="left"/>
              <w:rPr>
                <w:rFonts w:hint="eastAsia" w:ascii="宋体" w:hAnsi="宋体" w:eastAsia="宋体" w:cs="宋体"/>
                <w:b/>
                <w:bCs/>
                <w:color w:val="auto"/>
                <w:sz w:val="24"/>
              </w:rPr>
            </w:pPr>
            <w:r>
              <w:rPr>
                <w:rFonts w:hint="eastAsia" w:ascii="宋体" w:hAnsi="宋体" w:eastAsia="宋体" w:cs="宋体"/>
                <w:b/>
                <w:bCs/>
                <w:color w:val="auto"/>
                <w:sz w:val="24"/>
              </w:rPr>
              <w:t>数量</w:t>
            </w:r>
          </w:p>
        </w:tc>
      </w:tr>
      <w:tr>
        <w:tblPrEx>
          <w:tblCellMar>
            <w:top w:w="0" w:type="dxa"/>
            <w:left w:w="108" w:type="dxa"/>
            <w:bottom w:w="0" w:type="dxa"/>
            <w:right w:w="108" w:type="dxa"/>
          </w:tblCellMar>
        </w:tblPrEx>
        <w:trPr>
          <w:trHeight w:val="90" w:hRule="atLeast"/>
          <w:jc w:val="center"/>
        </w:trPr>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ordWrap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rPr>
              <w:t>1</w:t>
            </w:r>
          </w:p>
        </w:tc>
        <w:tc>
          <w:tcPr>
            <w:tcW w:w="4810" w:type="dxa"/>
            <w:tcBorders>
              <w:top w:val="single" w:color="auto" w:sz="4" w:space="0"/>
              <w:left w:val="nil"/>
              <w:bottom w:val="single" w:color="auto" w:sz="4" w:space="0"/>
              <w:right w:val="single" w:color="auto" w:sz="4" w:space="0"/>
            </w:tcBorders>
            <w:shd w:val="clear" w:color="auto" w:fill="auto"/>
            <w:vAlign w:val="center"/>
          </w:tcPr>
          <w:p>
            <w:pPr>
              <w:pStyle w:val="27"/>
              <w:wordWrap w:val="0"/>
              <w:spacing w:line="440" w:lineRule="exact"/>
              <w:ind w:left="0" w:leftChars="0" w:firstLine="240" w:firstLineChars="1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医保物价收费智能审核系统</w:t>
            </w:r>
          </w:p>
        </w:tc>
        <w:tc>
          <w:tcPr>
            <w:tcW w:w="2025" w:type="dxa"/>
            <w:tcBorders>
              <w:top w:val="single" w:color="auto" w:sz="4" w:space="0"/>
              <w:left w:val="nil"/>
              <w:bottom w:val="single" w:color="auto" w:sz="4" w:space="0"/>
              <w:right w:val="single" w:color="auto" w:sz="4" w:space="0"/>
            </w:tcBorders>
            <w:shd w:val="clear" w:color="auto" w:fill="auto"/>
            <w:vAlign w:val="center"/>
          </w:tcPr>
          <w:p>
            <w:pPr>
              <w:pStyle w:val="27"/>
              <w:wordWrap w:val="0"/>
              <w:spacing w:line="440" w:lineRule="exact"/>
              <w:ind w:firstLine="48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r>
    </w:tbl>
    <w:p>
      <w:pPr>
        <w:pStyle w:val="2"/>
        <w:spacing w:line="440" w:lineRule="exact"/>
        <w:rPr>
          <w:rFonts w:hint="eastAsia" w:ascii="方正黑体简体" w:hAnsi="方正黑体简体" w:eastAsia="方正黑体简体" w:cs="方正黑体简体"/>
          <w:color w:val="auto"/>
          <w:kern w:val="0"/>
          <w:sz w:val="28"/>
          <w:szCs w:val="28"/>
          <w:lang w:bidi="ar"/>
        </w:rPr>
      </w:pPr>
      <w:r>
        <w:rPr>
          <w:rFonts w:hint="eastAsia"/>
          <w:color w:val="auto"/>
        </w:rPr>
        <w:t xml:space="preserve">    </w:t>
      </w:r>
      <w:r>
        <w:rPr>
          <w:rFonts w:hint="eastAsia" w:ascii="仿宋" w:hAnsi="仿宋" w:eastAsia="仿宋" w:cs="仿宋"/>
          <w:color w:val="auto"/>
          <w:kern w:val="2"/>
          <w:sz w:val="28"/>
          <w:szCs w:val="28"/>
          <w:lang w:bidi="zh-CN"/>
        </w:rPr>
        <w:t xml:space="preserve"> </w:t>
      </w:r>
    </w:p>
    <w:p>
      <w:pPr>
        <w:numPr>
          <w:ilvl w:val="0"/>
          <w:numId w:val="1"/>
        </w:numPr>
        <w:spacing w:line="360" w:lineRule="exact"/>
        <w:ind w:firstLine="560" w:firstLineChars="200"/>
        <w:rPr>
          <w:rFonts w:hint="eastAsia" w:ascii="方正黑体简体" w:hAnsi="方正黑体简体" w:eastAsia="方正黑体简体" w:cs="方正黑体简体"/>
          <w:color w:val="auto"/>
          <w:kern w:val="0"/>
          <w:sz w:val="28"/>
          <w:szCs w:val="28"/>
          <w:lang w:bidi="ar"/>
        </w:rPr>
      </w:pPr>
      <w:r>
        <w:rPr>
          <w:rFonts w:hint="eastAsia" w:ascii="方正黑体简体" w:hAnsi="方正黑体简体" w:eastAsia="方正黑体简体" w:cs="方正黑体简体"/>
          <w:color w:val="auto"/>
          <w:kern w:val="0"/>
          <w:sz w:val="28"/>
          <w:szCs w:val="28"/>
          <w:lang w:bidi="ar"/>
        </w:rPr>
        <w:t>项目要求</w:t>
      </w:r>
    </w:p>
    <w:tbl>
      <w:tblPr>
        <w:tblStyle w:val="11"/>
        <w:tblW w:w="5000" w:type="pct"/>
        <w:tblInd w:w="0" w:type="dxa"/>
        <w:tblLayout w:type="fixed"/>
        <w:tblCellMar>
          <w:top w:w="0" w:type="dxa"/>
          <w:left w:w="108" w:type="dxa"/>
          <w:bottom w:w="0" w:type="dxa"/>
          <w:right w:w="108" w:type="dxa"/>
        </w:tblCellMar>
      </w:tblPr>
      <w:tblGrid>
        <w:gridCol w:w="967"/>
        <w:gridCol w:w="6682"/>
        <w:gridCol w:w="873"/>
      </w:tblGrid>
      <w:tr>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序号</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项目要求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备注</w:t>
            </w: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服务要求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03"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3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改正性维护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在软件使用过程中识别和纠正软件错误，改正软件性能缺陷</w:t>
            </w:r>
            <w:r>
              <w:rPr>
                <w:rFonts w:hint="eastAsia" w:ascii="宋体" w:hAnsi="宋体" w:eastAsia="宋体" w:cs="宋体"/>
                <w:color w:val="auto"/>
                <w:sz w:val="24"/>
                <w:szCs w:val="24"/>
                <w:lang w:eastAsia="zh-CN"/>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升级服务。提供在正常条件下保证系统正常稳定运行的系统版本更新升级服务并满足临床使用需求</w:t>
            </w:r>
            <w:r>
              <w:rPr>
                <w:rFonts w:hint="eastAsia" w:eastAsia="宋体" w:cs="宋体"/>
                <w:color w:val="auto"/>
                <w:kern w:val="2"/>
                <w:sz w:val="24"/>
                <w:szCs w:val="24"/>
                <w:lang w:val="en-US" w:eastAsia="zh-CN" w:bidi="ar-SA"/>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优化服务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提出在正常条件下改进系统性能的各项建议，包括系统资源分配与效率改进建议、软件配置规划和性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患者转科时，参照出院管理对限制药品、限制项目弹窗提醒；根据医院需求，动态或分别设置门诊和住院医生端强制勾选管控。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432"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检查与医院HIS、LIS系统对接的接口运行情况</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系统日常维护</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264"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（1）系统维护</w:t>
            </w:r>
          </w:p>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对医院智能审核系统功进行日常维护、系统bug的处理，能快速排查和解决系统出现的问题、业务流程问题，保障系统的稳定运行。</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（2）数据库维护</w:t>
            </w:r>
          </w:p>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对医院智能审核系统及时更新数据库的安全补丁，维护好数据库的正常运维、数据备份等。</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（3）业务数据维护与统计</w:t>
            </w:r>
          </w:p>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维护医院智能审核系统业务数据进行维护和统计，能根据医保规则对his医嘱、计费、医保办出院数据进行分析和审核疑似违规项目，展示疑点问题及医生操作结果，对系统已实现的场景数据进行分析和统计。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审核规则维护升级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2"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（1）医保控费政策分析</w:t>
            </w:r>
          </w:p>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及时了解国家医保报销政策，对国家医保报销政策变动后，根据变动内容对审核规则进行调整和更新；当地医保报销政策变动后，根据用户提供的资料对审核规则进行调整和更新。并及时与医保科进行沟通确认。</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（3）规则调整与升级</w:t>
            </w:r>
          </w:p>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根据国家医保报销政策变动后，及时分析的医保政策，并分解、编辑审核规则，并对规则知识库进行升级更新。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437"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技术咨询服务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96"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技术咨询服务的内容包括审核规则答疑、系统使用答疑。</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定期巡检</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每半年进行一次远程巡检，巡检内容包括：cpu、内存、磁盘、数据库数据大小、系统运行状态，接口调用状态，并将巡检记录提交给用户。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1.4.5</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收集用户使用意见和建议</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定期通过主动回访、巡访、用户意见调查等方式收集最终用户对系统的使用意见和建议，并对用户意见做跟踪处理，采纳用户好的建议，对系统进行优化，提高用户的满意度。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1.4.6</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对用户操作指导</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在巡检过程中可对用户进行操作指导，也可根据用户需求定期组织小范围的远程操作培训，保障所有最终用户均可熟练使用系统。</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维保要求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可根据医院系统使用情况指派专人与院方对接，做到事事落实到人，建立双方维保工作台帐，对不能及时完成事项要说明原因。</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积极配合完成因院方接受检查、巡察、评审、复审而提出的信息化相关要求。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任何情况下，不得采用任何技术手段或措施限制院方对系统的使用权。拥有可靠的技术措施和制度，保障项目实施中所获得的院方业务数据及患者、医务人员个人信息和诊疗信息等均永久保密，若有泄露应承担相应的法律责任。</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提供7*24小时服务（一周七天，一天24小时），包括通过采用运维方维保运维平台、电话、远程维护、现场服务等方式。保证有足够的人员负责本系统运维工作，并保证0.5小时内对用户的维护请求予以响应。</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评级要求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参照《电子病历系统功能应用水平分级评价方法及标准（试行）》六级要求建设；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参照《国家医疗健康信息区域卫生(医院)信息互联互通标准化成熟度测评方案（1010年版）》五级乙等求建设；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参照《医院智慧服务分级评估标准体系（试行）》四级要求建设；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参照《医院智慧管理分级评估标准体系（试行）》三级要求建设；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3.5</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必须达到《信息安全技术信息系统安全等级保护基本要求》(GB/T11139-1019)三级要求；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bl>
    <w:p>
      <w:pPr>
        <w:pStyle w:val="5"/>
        <w:spacing w:before="0" w:line="360" w:lineRule="exact"/>
        <w:ind w:firstLine="560" w:firstLineChars="200"/>
        <w:rPr>
          <w:rFonts w:hint="eastAsia" w:ascii="仿宋" w:hAnsi="仿宋" w:cs="仿宋"/>
          <w:color w:val="000000"/>
          <w:sz w:val="28"/>
          <w:szCs w:val="28"/>
          <w:lang w:val="en-US"/>
        </w:rPr>
      </w:pPr>
    </w:p>
    <w:p>
      <w:pPr>
        <w:spacing w:line="360" w:lineRule="exact"/>
        <w:ind w:firstLine="560" w:firstLineChars="200"/>
        <w:rPr>
          <w:rFonts w:hint="eastAsia" w:ascii="方正黑体简体" w:hAnsi="方正黑体简体" w:eastAsia="方正黑体简体" w:cs="方正黑体简体"/>
          <w:color w:val="000000"/>
          <w:kern w:val="0"/>
          <w:sz w:val="28"/>
          <w:szCs w:val="28"/>
          <w:lang w:bidi="ar"/>
        </w:rPr>
      </w:pPr>
      <w:r>
        <w:rPr>
          <w:rFonts w:hint="eastAsia" w:ascii="方正黑体简体" w:hAnsi="方正黑体简体" w:eastAsia="方正黑体简体" w:cs="方正黑体简体"/>
          <w:color w:val="000000"/>
          <w:kern w:val="0"/>
          <w:sz w:val="28"/>
          <w:szCs w:val="28"/>
          <w:lang w:bidi="ar"/>
        </w:rPr>
        <w:t>三、报名时间、方式</w:t>
      </w:r>
      <w:bookmarkStart w:id="42" w:name="_GoBack"/>
      <w:bookmarkEnd w:id="42"/>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000000"/>
          <w:sz w:val="28"/>
          <w:szCs w:val="28"/>
        </w:rPr>
        <w:t>报名时间：本公告自</w:t>
      </w:r>
      <w:r>
        <w:rPr>
          <w:rFonts w:hint="eastAsia" w:ascii="仿宋" w:hAnsi="仿宋" w:eastAsia="仿宋" w:cs="仿宋"/>
          <w:color w:val="auto"/>
          <w:sz w:val="28"/>
          <w:szCs w:val="28"/>
        </w:rPr>
        <w:t>挂网公告日起，截止时间为2024年</w:t>
      </w:r>
      <w:r>
        <w:rPr>
          <w:rFonts w:hint="eastAsia" w:ascii="仿宋" w:hAnsi="仿宋" w:eastAsia="仿宋" w:cs="仿宋"/>
          <w:color w:val="auto"/>
          <w:sz w:val="28"/>
          <w:szCs w:val="28"/>
          <w:lang w:val="en-US" w:eastAsia="zh-CN"/>
        </w:rPr>
        <w:t xml:space="preserve">   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27 </w:t>
      </w:r>
      <w:r>
        <w:rPr>
          <w:rFonts w:hint="eastAsia" w:ascii="仿宋" w:hAnsi="仿宋" w:eastAsia="仿宋" w:cs="仿宋"/>
          <w:color w:val="auto"/>
          <w:sz w:val="28"/>
          <w:szCs w:val="28"/>
        </w:rPr>
        <w:t>日，公告截止日期后递交的报名资料无效。</w:t>
      </w:r>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报名方式:本次市场调研活动采用邮箱报名，不接受现场报名。</w:t>
      </w:r>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1.报名资料按附件《报名须知》要求，将电子文档（盖章扫描件和可编辑版本）发送至</w:t>
      </w:r>
      <w:r>
        <w:rPr>
          <w:rFonts w:hint="eastAsia" w:ascii="仿宋" w:hAnsi="仿宋" w:eastAsia="仿宋" w:cs="仿宋"/>
          <w:color w:val="auto"/>
          <w:sz w:val="28"/>
          <w:szCs w:val="28"/>
          <w:lang w:val="en-US" w:eastAsia="zh-CN"/>
        </w:rPr>
        <w:t>1130020890</w:t>
      </w:r>
      <w:r>
        <w:rPr>
          <w:rFonts w:hint="eastAsia" w:ascii="仿宋" w:hAnsi="仿宋" w:eastAsia="仿宋" w:cs="仿宋"/>
          <w:color w:val="auto"/>
          <w:sz w:val="28"/>
          <w:szCs w:val="28"/>
        </w:rPr>
        <w:t>@qq.com，并抄送至</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539</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31388@qq.com。邮件名称：“XXXX项目名称+公司名称+联系人+联系电话）”报名资料目录见附件。</w:t>
      </w:r>
    </w:p>
    <w:p>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eastAsia="zh-CN"/>
        </w:rPr>
        <w:t>2</w:t>
      </w:r>
      <w:r>
        <w:rPr>
          <w:rFonts w:hint="eastAsia" w:ascii="仿宋" w:hAnsi="仿宋" w:cs="仿宋"/>
          <w:color w:val="auto"/>
          <w:sz w:val="28"/>
          <w:szCs w:val="28"/>
          <w:lang w:val="en-US"/>
        </w:rPr>
        <w:t>.联系人：报名资询：</w:t>
      </w:r>
      <w:r>
        <w:rPr>
          <w:rFonts w:hint="eastAsia" w:ascii="仿宋" w:hAnsi="仿宋" w:cs="仿宋"/>
          <w:color w:val="auto"/>
          <w:sz w:val="28"/>
          <w:szCs w:val="28"/>
          <w:lang w:val="en-US" w:eastAsia="zh-CN"/>
        </w:rPr>
        <w:t>李</w:t>
      </w:r>
      <w:r>
        <w:rPr>
          <w:rFonts w:hint="eastAsia" w:ascii="仿宋" w:hAnsi="仿宋" w:cs="仿宋"/>
          <w:color w:val="auto"/>
          <w:sz w:val="28"/>
          <w:szCs w:val="28"/>
          <w:lang w:val="en-US"/>
        </w:rPr>
        <w:t>老师 0</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8-</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6</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195</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6</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auto"/>
          <w:sz w:val="28"/>
          <w:szCs w:val="28"/>
          <w:lang w:val="en-US"/>
        </w:rPr>
        <w:t>3.线上或线下集中调研需求论证时间及地点，另行通知，请参加调研会的供应商准备相应的纸质版报价表及汇报PPT</w:t>
      </w:r>
      <w:r>
        <w:rPr>
          <w:rFonts w:hint="eastAsia" w:ascii="仿宋" w:hAnsi="仿宋" w:cs="仿宋"/>
          <w:color w:val="000000"/>
          <w:sz w:val="28"/>
          <w:szCs w:val="28"/>
          <w:lang w:val="en-US"/>
        </w:rPr>
        <w:t>等。</w:t>
      </w:r>
    </w:p>
    <w:p>
      <w:pPr>
        <w:widowControl/>
        <w:spacing w:line="360" w:lineRule="exact"/>
        <w:ind w:firstLine="560" w:firstLineChars="200"/>
        <w:textAlignment w:val="center"/>
      </w:pPr>
      <w:r>
        <w:rPr>
          <w:rFonts w:hint="eastAsia" w:ascii="方正黑体简体" w:hAnsi="方正黑体简体" w:eastAsia="方正黑体简体" w:cs="方正黑体简体"/>
          <w:color w:val="000000"/>
          <w:kern w:val="0"/>
          <w:sz w:val="28"/>
          <w:szCs w:val="28"/>
          <w:lang w:bidi="ar"/>
        </w:rPr>
        <w:t>四、其他说明</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jc w:val="both"/>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jc w:val="both"/>
        <w:rPr>
          <w:rFonts w:hint="eastAsia" w:ascii="仿宋" w:hAnsi="仿宋" w:eastAsia="仿宋" w:cs="仿宋"/>
          <w:b/>
          <w:bCs/>
          <w:color w:val="auto"/>
          <w:sz w:val="30"/>
          <w:szCs w:val="30"/>
        </w:rPr>
      </w:pPr>
    </w:p>
    <w:p>
      <w:pPr>
        <w:pStyle w:val="2"/>
        <w:spacing w:line="360" w:lineRule="auto"/>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报名注意事项</w:t>
      </w:r>
    </w:p>
    <w:p>
      <w:pPr>
        <w:spacing w:line="500" w:lineRule="exact"/>
        <w:textAlignment w:val="baseline"/>
        <w:outlineLvl w:val="1"/>
        <w:rPr>
          <w:rFonts w:hint="eastAsia" w:ascii="仿宋" w:hAnsi="仿宋" w:eastAsia="仿宋" w:cs="仿宋"/>
          <w:sz w:val="30"/>
          <w:szCs w:val="30"/>
        </w:rPr>
      </w:pPr>
    </w:p>
    <w:p>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pPr>
        <w:pStyle w:val="2"/>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1.可根据项目方案内容通过PPT重点介绍产品功能、亮点及落地案例，15分钟。</w:t>
      </w:r>
    </w:p>
    <w:p>
      <w:pPr>
        <w:pStyle w:val="2"/>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color w:val="auto"/>
          <w:sz w:val="28"/>
          <w:szCs w:val="28"/>
          <w:lang w:val="en-US" w:eastAsia="zh-CN"/>
        </w:rPr>
        <w:t>1130020890</w:t>
      </w:r>
      <w:r>
        <w:rPr>
          <w:rFonts w:hint="eastAsia" w:ascii="仿宋" w:hAnsi="仿宋" w:eastAsia="仿宋" w:cs="仿宋"/>
          <w:color w:val="auto"/>
          <w:sz w:val="28"/>
          <w:szCs w:val="28"/>
        </w:rPr>
        <w:t>@qq.com</w:t>
      </w:r>
      <w:r>
        <w:rPr>
          <w:rFonts w:hint="eastAsia" w:ascii="仿宋" w:hAnsi="仿宋" w:eastAsia="仿宋" w:cs="仿宋"/>
          <w:color w:val="auto"/>
          <w:sz w:val="30"/>
          <w:szCs w:val="30"/>
        </w:rPr>
        <w:t>，并抄送至2539231388@qq.com。邮件名称：“XXXX项目名称（公司名称+联系人+联系电话）”</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pPr>
        <w:pStyle w:val="2"/>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sz w:val="28"/>
          <w:szCs w:val="36"/>
        </w:rPr>
        <w:id w:val="147450881"/>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pPr>
            <w:jc w:val="center"/>
          </w:pPr>
        </w:p>
        <w:p>
          <w:pPr>
            <w:pStyle w:val="8"/>
            <w:tabs>
              <w:tab w:val="right" w:leader="dot" w:pos="8306"/>
            </w:tabs>
          </w:pPr>
          <w:r>
            <w:fldChar w:fldCharType="begin"/>
          </w:r>
          <w:r>
            <w:instrText xml:space="preserve">TOC \o "1-3" \h \u </w:instrText>
          </w:r>
          <w:r>
            <w:fldChar w:fldCharType="separate"/>
          </w:r>
          <w:r>
            <w:fldChar w:fldCharType="begin"/>
          </w:r>
          <w:r>
            <w:instrText xml:space="preserve"> HYPERLINK \l "_Toc31680" </w:instrText>
          </w:r>
          <w:r>
            <w:fldChar w:fldCharType="separate"/>
          </w:r>
          <w:r>
            <w:rPr>
              <w:rFonts w:hint="eastAsia"/>
            </w:rPr>
            <w:t>一、 报名登记表</w:t>
          </w:r>
          <w:r>
            <w:tab/>
          </w:r>
          <w:r>
            <w:fldChar w:fldCharType="begin"/>
          </w:r>
          <w:r>
            <w:instrText xml:space="preserve"> PAGEREF _Toc31680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"_Toc21711" </w:instrText>
          </w:r>
          <w:r>
            <w:fldChar w:fldCharType="separate"/>
          </w:r>
          <w:r>
            <w:rPr>
              <w:rFonts w:hint="eastAsia"/>
            </w:rPr>
            <w:t>二、资质：</w:t>
          </w:r>
          <w:r>
            <w:tab/>
          </w:r>
          <w:r>
            <w:fldChar w:fldCharType="begin"/>
          </w:r>
          <w:r>
            <w:instrText xml:space="preserve"> PAGEREF _Toc21711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"_Toc29454" </w:instrText>
          </w:r>
          <w:r>
            <w:fldChar w:fldCharType="separate"/>
          </w:r>
          <w:r>
            <w:rPr>
              <w:rFonts w:hint="eastAsia"/>
            </w:rPr>
            <w:t>2.1营业执照</w:t>
          </w:r>
          <w:r>
            <w:tab/>
          </w:r>
          <w:r>
            <w:fldChar w:fldCharType="begin"/>
          </w:r>
          <w:r>
            <w:instrText xml:space="preserve"> PAGEREF _Toc29454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"_Toc23485" </w:instrText>
          </w:r>
          <w:r>
            <w:fldChar w:fldCharType="separate"/>
          </w:r>
          <w:r>
            <w:rPr>
              <w:rFonts w:hint="eastAsia"/>
            </w:rPr>
            <w:t>2.2法定代表人授权书</w:t>
          </w:r>
          <w:r>
            <w:tab/>
          </w:r>
          <w:r>
            <w:fldChar w:fldCharType="begin"/>
          </w:r>
          <w:r>
            <w:instrText xml:space="preserve"> PAGEREF _Toc23485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"_Toc22620" </w:instrText>
          </w:r>
          <w:r>
            <w:fldChar w:fldCharType="separate"/>
          </w:r>
          <w:r>
            <w:rPr>
              <w:rFonts w:hint="eastAsia"/>
            </w:rPr>
            <w:t>2.3法人及被授权人身份证</w:t>
          </w:r>
          <w:r>
            <w:tab/>
          </w:r>
          <w:r>
            <w:fldChar w:fldCharType="begin"/>
          </w:r>
          <w:r>
            <w:instrText xml:space="preserve"> PAGEREF _Toc22620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"_Toc31657" </w:instrText>
          </w:r>
          <w:r>
            <w:fldChar w:fldCharType="separate"/>
          </w:r>
          <w:r>
            <w:rPr>
              <w:rFonts w:hint="eastAsia"/>
            </w:rPr>
            <w:t>2.4公司资质</w:t>
          </w:r>
          <w:r>
            <w:tab/>
          </w:r>
          <w:r>
            <w:fldChar w:fldCharType="begin"/>
          </w:r>
          <w:r>
            <w:instrText xml:space="preserve"> PAGEREF _Toc31657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"_Toc20155" </w:instrText>
          </w:r>
          <w:r>
            <w:fldChar w:fldCharType="separate"/>
          </w:r>
          <w:r>
            <w:rPr>
              <w:rFonts w:hint="eastAsia"/>
            </w:rPr>
            <w:t>2.5软件资质</w:t>
          </w:r>
          <w:r>
            <w:tab/>
          </w:r>
          <w:r>
            <w:fldChar w:fldCharType="begin"/>
          </w:r>
          <w:r>
            <w:instrText xml:space="preserve"> PAGEREF _Toc20155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"_Toc17735" </w:instrText>
          </w:r>
          <w:r>
            <w:fldChar w:fldCharType="separate"/>
          </w:r>
          <w:r>
            <w:rPr>
              <w:rFonts w:hint="eastAsia"/>
            </w:rPr>
            <w:t>2.6本项目涉及资质</w:t>
          </w:r>
          <w:r>
            <w:tab/>
          </w:r>
          <w:r>
            <w:fldChar w:fldCharType="begin"/>
          </w:r>
          <w:r>
            <w:instrText xml:space="preserve"> PAGEREF _Toc17735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"_Toc24141" </w:instrText>
          </w:r>
          <w:r>
            <w:fldChar w:fldCharType="separate"/>
          </w:r>
          <w:r>
            <w:rPr>
              <w:rFonts w:hint="eastAsia"/>
            </w:rPr>
            <w:t>2.7开发商委托销售授权函</w:t>
          </w:r>
          <w:r>
            <w:tab/>
          </w:r>
          <w:r>
            <w:fldChar w:fldCharType="begin"/>
          </w:r>
          <w:r>
            <w:instrText xml:space="preserve"> PAGEREF _Toc24141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"_Toc31086" </w:instrText>
          </w:r>
          <w:r>
            <w:fldChar w:fldCharType="separate"/>
          </w:r>
          <w:r>
            <w:rPr>
              <w:rFonts w:hint="eastAsia"/>
            </w:rPr>
            <w:t>2.8提供单一来源采购证明</w:t>
          </w:r>
          <w:r>
            <w:tab/>
          </w:r>
          <w:r>
            <w:fldChar w:fldCharType="begin"/>
          </w:r>
          <w:r>
            <w:instrText xml:space="preserve"> PAGEREF _Toc31086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"_Toc8415" </w:instrText>
          </w:r>
          <w:r>
            <w:fldChar w:fldCharType="separate"/>
          </w:r>
          <w:r>
            <w:rPr>
              <w:rFonts w:hint="eastAsia"/>
            </w:rPr>
            <w:t>三、项目调研情况一览汇总表</w:t>
          </w:r>
          <w:r>
            <w:tab/>
          </w:r>
          <w:r>
            <w:fldChar w:fldCharType="begin"/>
          </w:r>
          <w:r>
            <w:instrText xml:space="preserve"> PAGEREF _Toc8415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"_Toc32193" </w:instrText>
          </w:r>
          <w:r>
            <w:fldChar w:fldCharType="separate"/>
          </w:r>
          <w:r>
            <w:rPr>
              <w:rFonts w:hint="eastAsia"/>
            </w:rPr>
            <w:t>四、 调研项目配置清单及分项报价明细</w:t>
          </w:r>
          <w:r>
            <w:tab/>
          </w:r>
          <w:r>
            <w:fldChar w:fldCharType="begin"/>
          </w:r>
          <w:r>
            <w:instrText xml:space="preserve"> PAGEREF _Toc32193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"_Toc29804" </w:instrText>
          </w:r>
          <w:r>
            <w:fldChar w:fldCharType="separate"/>
          </w:r>
          <w:r>
            <w:rPr>
              <w:rFonts w:hint="eastAsia"/>
            </w:rPr>
            <w:t>五、三甲综合医院同类项目案例</w:t>
          </w:r>
          <w:r>
            <w:tab/>
          </w:r>
          <w:r>
            <w:fldChar w:fldCharType="begin"/>
          </w:r>
          <w:r>
            <w:instrText xml:space="preserve"> PAGEREF _Toc29804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"_Toc5033" </w:instrText>
          </w:r>
          <w:r>
            <w:fldChar w:fldCharType="separate"/>
          </w:r>
          <w:r>
            <w:rPr>
              <w:rFonts w:hint="eastAsia"/>
            </w:rPr>
            <w:t>5.1 四川省内（  ）家</w:t>
          </w:r>
          <w:r>
            <w:tab/>
          </w:r>
          <w:r>
            <w:fldChar w:fldCharType="begin"/>
          </w:r>
          <w:r>
            <w:instrText xml:space="preserve"> PAGEREF _Toc5033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"_Toc27307" </w:instrText>
          </w:r>
          <w:r>
            <w:fldChar w:fldCharType="separate"/>
          </w:r>
          <w:r>
            <w:rPr>
              <w:rFonts w:hint="eastAsia"/>
            </w:rPr>
            <w:t>5.1 四川省外（  ）家</w:t>
          </w:r>
          <w:r>
            <w:tab/>
          </w:r>
          <w:r>
            <w:fldChar w:fldCharType="begin"/>
          </w:r>
          <w:r>
            <w:instrText xml:space="preserve"> PAGEREF _Toc27307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"_Toc19497" </w:instrText>
          </w:r>
          <w:r>
            <w:fldChar w:fldCharType="separate"/>
          </w:r>
          <w:r>
            <w:rPr>
              <w:rFonts w:hint="eastAsia"/>
            </w:rPr>
            <w:t>5.3三甲综合医院同类项目案例合同及验收佐证</w:t>
          </w:r>
          <w:r>
            <w:tab/>
          </w:r>
          <w:r>
            <w:fldChar w:fldCharType="begin"/>
          </w:r>
          <w:r>
            <w:instrText xml:space="preserve"> PAGEREF _Toc19497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"_Toc9748" </w:instrText>
          </w:r>
          <w:r>
            <w:fldChar w:fldCharType="separate"/>
          </w:r>
          <w:r>
            <w:rPr>
              <w:rFonts w:hint="eastAsia"/>
            </w:rPr>
            <w:t>六、报价表包含内容</w:t>
          </w:r>
          <w:r>
            <w:tab/>
          </w:r>
          <w:r>
            <w:fldChar w:fldCharType="begin"/>
          </w:r>
          <w:r>
            <w:instrText xml:space="preserve"> PAGEREF _Toc9748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"_Toc18260" </w:instrText>
          </w:r>
          <w:r>
            <w:fldChar w:fldCharType="separate"/>
          </w:r>
          <w:r>
            <w:rPr>
              <w:rFonts w:hint="eastAsia"/>
            </w:rPr>
            <w:t>七、建设方案</w:t>
          </w:r>
          <w:r>
            <w:tab/>
          </w:r>
          <w:r>
            <w:fldChar w:fldCharType="begin"/>
          </w:r>
          <w:r>
            <w:instrText xml:space="preserve"> PAGEREF _Toc18260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"_Toc6143" </w:instrText>
          </w:r>
          <w:r>
            <w:fldChar w:fldCharType="separate"/>
          </w:r>
          <w:r>
            <w:rPr>
              <w:rFonts w:hint="eastAsia"/>
            </w:rPr>
            <w:t>7.1 实施条件（实施所需的支持条件）</w:t>
          </w:r>
          <w:r>
            <w:tab/>
          </w:r>
          <w:r>
            <w:fldChar w:fldCharType="begin"/>
          </w:r>
          <w:r>
            <w:instrText xml:space="preserve"> PAGEREF _Toc6143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"_Toc1131" </w:instrText>
          </w:r>
          <w:r>
            <w:fldChar w:fldCharType="separate"/>
          </w:r>
          <w:r>
            <w:rPr>
              <w:rFonts w:hint="eastAsia"/>
            </w:rPr>
            <w:t>7.1 实施周期</w:t>
          </w:r>
          <w:r>
            <w:tab/>
          </w:r>
          <w:r>
            <w:fldChar w:fldCharType="begin"/>
          </w:r>
          <w:r>
            <w:instrText xml:space="preserve"> PAGEREF _Toc1131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"_Toc28875" </w:instrText>
          </w:r>
          <w:r>
            <w:fldChar w:fldCharType="separate"/>
          </w:r>
          <w:r>
            <w:rPr>
              <w:rFonts w:hint="eastAsia"/>
            </w:rPr>
            <w:t>7.3 系统运行环境</w:t>
          </w:r>
          <w:r>
            <w:tab/>
          </w:r>
          <w:r>
            <w:fldChar w:fldCharType="begin"/>
          </w:r>
          <w:r>
            <w:instrText xml:space="preserve"> PAGEREF _Toc28875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"_Toc28653" </w:instrText>
          </w:r>
          <w:r>
            <w:fldChar w:fldCharType="separate"/>
          </w:r>
          <w:r>
            <w:rPr>
              <w:rFonts w:hint="eastAsia"/>
            </w:rPr>
            <w:t>7.4 系统总体架构</w:t>
          </w:r>
          <w:r>
            <w:tab/>
          </w:r>
          <w:r>
            <w:fldChar w:fldCharType="begin"/>
          </w:r>
          <w:r>
            <w:instrText xml:space="preserve"> PAGEREF _Toc28653 \h </w:instrText>
          </w:r>
          <w:r>
            <w:fldChar w:fldCharType="separate"/>
          </w:r>
          <w:r>
            <w:t>9</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numPr>
          <w:ilvl w:val="0"/>
          <w:numId w:val="3"/>
        </w:numPr>
        <w:spacing w:before="100" w:after="100"/>
        <w:jc w:val="both"/>
      </w:pPr>
      <w:bookmarkStart w:id="0" w:name="_Toc427002393"/>
      <w:bookmarkStart w:id="1" w:name="_Toc10065"/>
      <w:bookmarkStart w:id="2" w:name="_Toc7415"/>
      <w:bookmarkStart w:id="3" w:name="_Toc247527848"/>
      <w:bookmarkStart w:id="4" w:name="_Toc247514300"/>
      <w:bookmarkStart w:id="5" w:name="_Toc144974876"/>
      <w:bookmarkStart w:id="6" w:name="_Toc31680"/>
      <w:bookmarkStart w:id="7" w:name="_Toc152045808"/>
      <w:bookmarkStart w:id="8" w:name="_Toc152042597"/>
      <w:r>
        <w:rPr>
          <w:rFonts w:hint="eastAsia"/>
        </w:rPr>
        <w:t>报名登记表</w:t>
      </w:r>
      <w:bookmarkEnd w:id="0"/>
      <w:bookmarkEnd w:id="1"/>
      <w:bookmarkEnd w:id="2"/>
      <w:bookmarkEnd w:id="3"/>
      <w:bookmarkEnd w:id="4"/>
      <w:bookmarkEnd w:id="5"/>
      <w:bookmarkEnd w:id="6"/>
      <w:bookmarkEnd w:id="7"/>
      <w:bookmarkEnd w:id="8"/>
    </w:p>
    <w:tbl>
      <w:tblPr>
        <w:tblStyle w:val="11"/>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r>
    </w:tbl>
    <w:p/>
    <w:p>
      <w:pPr>
        <w:pStyle w:val="3"/>
        <w:spacing w:before="100" w:after="100"/>
        <w:jc w:val="both"/>
      </w:pPr>
      <w:bookmarkStart w:id="9" w:name="_Toc21711"/>
      <w:bookmarkStart w:id="10" w:name="_Toc2669"/>
      <w:r>
        <w:rPr>
          <w:rFonts w:hint="eastAsia"/>
        </w:rPr>
        <w:t>二、资质：</w:t>
      </w:r>
      <w:bookmarkEnd w:id="9"/>
    </w:p>
    <w:p>
      <w:pPr>
        <w:pStyle w:val="4"/>
      </w:pPr>
      <w:bookmarkStart w:id="11" w:name="_Toc29454"/>
      <w:r>
        <w:rPr>
          <w:rFonts w:hint="eastAsia"/>
        </w:rPr>
        <w:t>2.1营业执照</w:t>
      </w:r>
      <w:bookmarkEnd w:id="10"/>
      <w:bookmarkEnd w:id="11"/>
      <w:bookmarkStart w:id="12" w:name="_Toc3036"/>
    </w:p>
    <w:p>
      <w:pPr>
        <w:pStyle w:val="4"/>
      </w:pPr>
      <w:bookmarkStart w:id="13" w:name="_Toc23485"/>
      <w:r>
        <w:rPr>
          <w:rFonts w:hint="eastAsia"/>
        </w:rPr>
        <w:t>2.2法定代表人授权书</w:t>
      </w:r>
      <w:bookmarkEnd w:id="12"/>
      <w:bookmarkEnd w:id="13"/>
    </w:p>
    <w:p>
      <w:pPr>
        <w:pStyle w:val="4"/>
      </w:pPr>
      <w:bookmarkStart w:id="14" w:name="_Toc5131"/>
      <w:bookmarkStart w:id="15" w:name="_Toc22620"/>
      <w:r>
        <w:rPr>
          <w:rFonts w:hint="eastAsia"/>
        </w:rPr>
        <w:t>2.3法人及被授权人身份证</w:t>
      </w:r>
      <w:bookmarkEnd w:id="14"/>
      <w:bookmarkEnd w:id="15"/>
    </w:p>
    <w:p>
      <w:pPr>
        <w:pStyle w:val="4"/>
      </w:pPr>
      <w:bookmarkStart w:id="16" w:name="_Toc31657"/>
      <w:bookmarkStart w:id="17" w:name="_Toc22588"/>
      <w:r>
        <w:rPr>
          <w:rFonts w:hint="eastAsia"/>
        </w:rPr>
        <w:t>2.4公司资质</w:t>
      </w:r>
      <w:bookmarkEnd w:id="16"/>
      <w:bookmarkEnd w:id="17"/>
    </w:p>
    <w:p>
      <w:pPr>
        <w:pStyle w:val="4"/>
      </w:pPr>
      <w:bookmarkStart w:id="18" w:name="_Toc20155"/>
      <w:r>
        <w:rPr>
          <w:rFonts w:hint="eastAsia"/>
        </w:rPr>
        <w:t>2.5软件资质</w:t>
      </w:r>
      <w:bookmarkEnd w:id="18"/>
    </w:p>
    <w:p>
      <w:pPr>
        <w:pStyle w:val="4"/>
      </w:pPr>
      <w:bookmarkStart w:id="19" w:name="_Toc17735"/>
      <w:bookmarkStart w:id="20" w:name="_Toc11995"/>
      <w:r>
        <w:rPr>
          <w:rFonts w:hint="eastAsia"/>
        </w:rPr>
        <w:t>2.6本项目涉及资质</w:t>
      </w:r>
      <w:bookmarkEnd w:id="19"/>
      <w:bookmarkEnd w:id="20"/>
    </w:p>
    <w:p>
      <w:pPr>
        <w:pStyle w:val="4"/>
      </w:pPr>
      <w:bookmarkStart w:id="21" w:name="_Toc21787"/>
      <w:bookmarkStart w:id="22" w:name="_Toc24141"/>
      <w:r>
        <w:rPr>
          <w:rFonts w:hint="eastAsia"/>
        </w:rPr>
        <w:t>2.7开发商委托销售授权函</w:t>
      </w:r>
      <w:bookmarkEnd w:id="21"/>
      <w:bookmarkEnd w:id="22"/>
    </w:p>
    <w:p>
      <w:pPr>
        <w:pStyle w:val="4"/>
      </w:pPr>
      <w:bookmarkStart w:id="23" w:name="_Toc31086"/>
      <w:r>
        <w:rPr>
          <w:rFonts w:hint="eastAsia"/>
        </w:rPr>
        <w:t>2.8提供单一来源采购证明</w:t>
      </w:r>
      <w:bookmarkEnd w:id="23"/>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sectPr>
          <w:pgSz w:w="11906" w:h="16838"/>
          <w:pgMar w:top="1440" w:right="1800" w:bottom="1440" w:left="1800" w:header="851" w:footer="992" w:gutter="0"/>
          <w:cols w:space="425" w:num="1"/>
          <w:docGrid w:type="lines" w:linePitch="312" w:charSpace="0"/>
        </w:sectPr>
      </w:pPr>
    </w:p>
    <w:p>
      <w:pPr>
        <w:pStyle w:val="3"/>
        <w:spacing w:before="100" w:after="100"/>
        <w:jc w:val="both"/>
      </w:pPr>
      <w:bookmarkStart w:id="24" w:name="_Toc8415"/>
      <w:r>
        <w:rPr>
          <w:rFonts w:hint="eastAsia"/>
        </w:rPr>
        <w:t>三、项目调研情况一览汇总表</w:t>
      </w:r>
      <w:bookmarkEnd w:id="24"/>
    </w:p>
    <w:p>
      <w:pPr>
        <w:pStyle w:val="5"/>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p>
    <w:p>
      <w:pPr>
        <w:pStyle w:val="5"/>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11"/>
        <w:tblW w:w="4464" w:type="pct"/>
        <w:jc w:val="center"/>
        <w:tblLayout w:type="fixed"/>
        <w:tblCellMar>
          <w:top w:w="0" w:type="dxa"/>
          <w:left w:w="108" w:type="dxa"/>
          <w:bottom w:w="0" w:type="dxa"/>
          <w:right w:w="108" w:type="dxa"/>
        </w:tblCellMar>
      </w:tblPr>
      <w:tblGrid>
        <w:gridCol w:w="566"/>
        <w:gridCol w:w="1780"/>
        <w:gridCol w:w="2076"/>
        <w:gridCol w:w="1271"/>
        <w:gridCol w:w="1371"/>
        <w:gridCol w:w="1429"/>
        <w:gridCol w:w="3145"/>
        <w:gridCol w:w="1563"/>
      </w:tblGrid>
      <w:tr>
        <w:tblPrEx>
          <w:tblCellMar>
            <w:top w:w="0" w:type="dxa"/>
            <w:left w:w="108" w:type="dxa"/>
            <w:bottom w:w="0" w:type="dxa"/>
            <w:right w:w="108" w:type="dxa"/>
          </w:tblCellMar>
        </w:tblPrEx>
        <w:trPr>
          <w:trHeight w:val="1399"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序号</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供应商名称</w:t>
            </w:r>
          </w:p>
          <w:p>
            <w:pPr>
              <w:pStyle w:val="2"/>
              <w:spacing w:line="240" w:lineRule="exact"/>
              <w:jc w:val="center"/>
              <w:rPr>
                <w:rFonts w:hint="eastAsia" w:ascii="仿宋" w:hAnsi="仿宋" w:eastAsia="仿宋" w:cs="仿宋"/>
                <w:color w:val="auto"/>
                <w:kern w:val="2"/>
              </w:rPr>
            </w:pPr>
            <w:r>
              <w:rPr>
                <w:rFonts w:hint="eastAsia" w:ascii="仿宋" w:hAnsi="仿宋" w:eastAsia="仿宋" w:cs="仿宋"/>
                <w:color w:val="auto"/>
                <w:sz w:val="20"/>
                <w:szCs w:val="20"/>
              </w:rPr>
              <w:t>（必填）</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产品公司名称</w:t>
            </w:r>
          </w:p>
          <w:p>
            <w:pPr>
              <w:pStyle w:val="2"/>
              <w:spacing w:line="240" w:lineRule="exact"/>
              <w:jc w:val="center"/>
              <w:rPr>
                <w:rFonts w:hint="eastAsia" w:ascii="仿宋" w:hAnsi="仿宋" w:eastAsia="仿宋" w:cs="仿宋"/>
                <w:color w:val="auto"/>
                <w:kern w:val="2"/>
              </w:rPr>
            </w:pPr>
            <w:r>
              <w:rPr>
                <w:rFonts w:hint="eastAsia" w:ascii="仿宋" w:hAnsi="仿宋" w:eastAsia="仿宋" w:cs="仿宋"/>
                <w:color w:val="auto"/>
                <w:sz w:val="20"/>
                <w:szCs w:val="20"/>
              </w:rPr>
              <w:t>（必填）</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0"/>
                <w:szCs w:val="20"/>
                <w:lang w:val="en-US" w:eastAsia="zh-CN"/>
              </w:rPr>
              <w:t>服务期</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总包干</w:t>
            </w:r>
          </w:p>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报价</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（万元）</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该产品在国内三甲医院用户案例</w:t>
            </w: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优势特色</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评级情况</w:t>
            </w:r>
          </w:p>
        </w:tc>
      </w:tr>
      <w:tr>
        <w:tblPrEx>
          <w:tblCellMar>
            <w:top w:w="0" w:type="dxa"/>
            <w:left w:w="108" w:type="dxa"/>
            <w:bottom w:w="0" w:type="dxa"/>
            <w:right w:w="108" w:type="dxa"/>
          </w:tblCellMar>
        </w:tblPrEx>
        <w:trPr>
          <w:trHeight w:val="1436"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1</w:t>
            </w:r>
          </w:p>
        </w:tc>
        <w:tc>
          <w:tcPr>
            <w:tcW w:w="674"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786"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541" w:type="pct"/>
            <w:vMerge w:val="restart"/>
            <w:tcBorders>
              <w:top w:val="single" w:color="auto" w:sz="4" w:space="0"/>
              <w:left w:val="single" w:color="auto" w:sz="4" w:space="0"/>
              <w:right w:val="single" w:color="auto" w:sz="4" w:space="0"/>
            </w:tcBorders>
            <w:shd w:val="clear" w:color="auto" w:fill="auto"/>
            <w:vAlign w:val="center"/>
          </w:tcPr>
          <w:p>
            <w:pPr>
              <w:pStyle w:val="2"/>
              <w:spacing w:line="240" w:lineRule="exact"/>
              <w:rPr>
                <w:rFonts w:hint="eastAsia" w:ascii="仿宋" w:hAnsi="仿宋" w:eastAsia="仿宋" w:cs="仿宋"/>
                <w:color w:val="auto"/>
                <w:sz w:val="20"/>
                <w:szCs w:val="20"/>
              </w:rPr>
            </w:pPr>
            <w:r>
              <w:rPr>
                <w:rFonts w:hint="eastAsia" w:ascii="仿宋" w:hAnsi="仿宋" w:eastAsia="仿宋" w:cs="仿宋"/>
                <w:color w:val="auto"/>
                <w:sz w:val="20"/>
                <w:szCs w:val="20"/>
              </w:rPr>
              <w:t>填写样例:</w:t>
            </w:r>
          </w:p>
          <w:p>
            <w:pPr>
              <w:pStyle w:val="2"/>
              <w:spacing w:line="240" w:lineRule="exact"/>
              <w:rPr>
                <w:rFonts w:hint="eastAsia" w:ascii="仿宋" w:hAnsi="仿宋" w:eastAsia="仿宋" w:cs="仿宋"/>
                <w:color w:val="auto"/>
                <w:sz w:val="20"/>
                <w:szCs w:val="20"/>
              </w:rPr>
            </w:pPr>
            <w:r>
              <w:rPr>
                <w:rFonts w:hint="eastAsia" w:ascii="仿宋" w:hAnsi="仿宋" w:eastAsia="仿宋" w:cs="仿宋"/>
                <w:color w:val="auto"/>
                <w:sz w:val="20"/>
                <w:szCs w:val="20"/>
              </w:rPr>
              <w:t>省内X家，省外X家</w:t>
            </w:r>
          </w:p>
          <w:p>
            <w:pPr>
              <w:widowControl/>
              <w:spacing w:line="240" w:lineRule="exact"/>
              <w:jc w:val="center"/>
              <w:rPr>
                <w:rFonts w:hint="eastAsia" w:ascii="仿宋" w:hAnsi="仿宋" w:eastAsia="仿宋" w:cs="仿宋"/>
                <w:color w:val="auto"/>
                <w:sz w:val="24"/>
              </w:rPr>
            </w:pPr>
            <w:r>
              <w:rPr>
                <w:rFonts w:hint="eastAsia" w:ascii="仿宋" w:hAnsi="仿宋" w:eastAsia="仿宋" w:cs="仿宋"/>
                <w:color w:val="auto"/>
                <w:sz w:val="20"/>
                <w:szCs w:val="20"/>
              </w:rPr>
              <w:t>代表案例具体医院名称：</w:t>
            </w:r>
          </w:p>
        </w:tc>
        <w:tc>
          <w:tcPr>
            <w:tcW w:w="1191"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592" w:type="pct"/>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填写样例:</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1.电子病历：</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1.智慧管理：</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3.智慧服务：</w:t>
            </w:r>
          </w:p>
          <w:p>
            <w:pPr>
              <w:widowControl/>
              <w:spacing w:line="240" w:lineRule="exact"/>
              <w:rPr>
                <w:rFonts w:hint="eastAsia" w:ascii="仿宋" w:hAnsi="仿宋" w:eastAsia="仿宋" w:cs="仿宋"/>
                <w:color w:val="auto"/>
                <w:sz w:val="24"/>
              </w:rPr>
            </w:pPr>
            <w:r>
              <w:rPr>
                <w:rFonts w:hint="eastAsia" w:ascii="仿宋" w:hAnsi="仿宋" w:eastAsia="仿宋" w:cs="仿宋"/>
                <w:color w:val="auto"/>
                <w:sz w:val="20"/>
                <w:szCs w:val="20"/>
              </w:rPr>
              <w:t>4.四川省智慧医院得分：</w:t>
            </w:r>
          </w:p>
        </w:tc>
      </w:tr>
      <w:tr>
        <w:tblPrEx>
          <w:tblCellMar>
            <w:top w:w="0" w:type="dxa"/>
            <w:left w:w="108" w:type="dxa"/>
            <w:bottom w:w="0" w:type="dxa"/>
            <w:right w:w="108" w:type="dxa"/>
          </w:tblCellMar>
        </w:tblPrEx>
        <w:trPr>
          <w:trHeight w:val="1313"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674"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7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FF0000"/>
                <w:sz w:val="20"/>
                <w:szCs w:val="20"/>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仿宋" w:hAnsi="仿宋" w:eastAsia="仿宋" w:cs="仿宋"/>
                <w:color w:val="FF0000"/>
                <w:kern w:val="0"/>
                <w:sz w:val="20"/>
                <w:szCs w:val="20"/>
              </w:rPr>
            </w:pPr>
          </w:p>
        </w:tc>
        <w:tc>
          <w:tcPr>
            <w:tcW w:w="119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92" w:type="pct"/>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rPr>
                <w:rFonts w:hint="eastAsia" w:ascii="仿宋" w:hAnsi="仿宋" w:eastAsia="仿宋" w:cs="仿宋"/>
                <w:color w:val="FF0000"/>
                <w:sz w:val="20"/>
                <w:szCs w:val="20"/>
              </w:rPr>
            </w:pPr>
          </w:p>
        </w:tc>
      </w:tr>
      <w:tr>
        <w:tblPrEx>
          <w:tblCellMar>
            <w:top w:w="0" w:type="dxa"/>
            <w:left w:w="108" w:type="dxa"/>
            <w:bottom w:w="0" w:type="dxa"/>
            <w:right w:w="108" w:type="dxa"/>
          </w:tblCellMar>
        </w:tblPrEx>
        <w:trPr>
          <w:trHeight w:val="640" w:hRule="atLeast"/>
          <w:jc w:val="center"/>
        </w:trPr>
        <w:tc>
          <w:tcPr>
            <w:tcW w:w="16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仿宋" w:hAnsi="仿宋" w:eastAsia="仿宋" w:cs="仿宋"/>
                <w:color w:val="000000"/>
                <w:sz w:val="24"/>
              </w:rPr>
            </w:pPr>
          </w:p>
        </w:tc>
      </w:tr>
    </w:tbl>
    <w:p/>
    <w:p>
      <w:pPr>
        <w:pStyle w:val="2"/>
      </w:pPr>
    </w:p>
    <w:p>
      <w:pPr>
        <w:pStyle w:val="2"/>
      </w:pPr>
    </w:p>
    <w:p>
      <w:pPr>
        <w:pStyle w:val="2"/>
      </w:pPr>
    </w:p>
    <w:p>
      <w:pPr>
        <w:pStyle w:val="2"/>
      </w:pPr>
    </w:p>
    <w:p>
      <w:pPr>
        <w:pStyle w:val="2"/>
        <w:sectPr>
          <w:pgSz w:w="16838" w:h="11906" w:orient="landscape"/>
          <w:pgMar w:top="1134" w:right="1134" w:bottom="567" w:left="1134" w:header="851" w:footer="992" w:gutter="0"/>
          <w:cols w:space="425" w:num="1"/>
          <w:docGrid w:type="lines" w:linePitch="312" w:charSpace="0"/>
        </w:sectPr>
      </w:pPr>
    </w:p>
    <w:p>
      <w:pPr>
        <w:pStyle w:val="2"/>
      </w:pPr>
    </w:p>
    <w:p>
      <w:pPr>
        <w:pStyle w:val="3"/>
        <w:numPr>
          <w:ilvl w:val="0"/>
          <w:numId w:val="4"/>
        </w:numPr>
        <w:spacing w:before="100" w:after="100"/>
        <w:jc w:val="both"/>
      </w:pPr>
      <w:bookmarkStart w:id="25" w:name="_Toc32193"/>
      <w:r>
        <w:rPr>
          <w:rFonts w:hint="eastAsia"/>
        </w:rPr>
        <w:t>调研项目配置清单及分项报价明细</w:t>
      </w:r>
      <w:bookmarkEnd w:id="25"/>
    </w:p>
    <w:p>
      <w:r>
        <w:rPr>
          <w:rFonts w:hint="eastAsia"/>
        </w:rPr>
        <w:t>（格式可自拟）</w:t>
      </w:r>
    </w:p>
    <w:p>
      <w:pPr>
        <w:pStyle w:val="3"/>
        <w:spacing w:before="100" w:after="100"/>
        <w:jc w:val="both"/>
      </w:pPr>
      <w:bookmarkStart w:id="26" w:name="_Toc29804"/>
      <w:r>
        <w:rPr>
          <w:rFonts w:hint="eastAsia"/>
        </w:rPr>
        <w:t>五、三甲综合医院同类项目案例</w:t>
      </w:r>
      <w:bookmarkEnd w:id="26"/>
    </w:p>
    <w:p>
      <w:pPr>
        <w:pStyle w:val="4"/>
        <w:ind w:firstLine="482" w:firstLineChars="200"/>
      </w:pPr>
      <w:bookmarkStart w:id="27" w:name="_Toc5033"/>
      <w:r>
        <w:rPr>
          <w:rFonts w:hint="eastAsia"/>
        </w:rPr>
        <w:t>5.1 四川省内（  ）家</w:t>
      </w:r>
      <w:bookmarkEnd w:id="27"/>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Pr>
        <w:pStyle w:val="22"/>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ind w:firstLine="482" w:firstLineChars="200"/>
      </w:pPr>
      <w:bookmarkStart w:id="28" w:name="_Toc27307"/>
      <w:r>
        <w:rPr>
          <w:rFonts w:hint="eastAsia"/>
        </w:rPr>
        <w:t>5.1 四川省外（  ）家</w:t>
      </w:r>
      <w:bookmarkEnd w:id="28"/>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
      <w:pPr>
        <w:pStyle w:val="3"/>
        <w:spacing w:before="100" w:after="100"/>
        <w:jc w:val="both"/>
      </w:pPr>
    </w:p>
    <w:p>
      <w:pPr>
        <w:pStyle w:val="3"/>
        <w:spacing w:before="100" w:after="100"/>
        <w:jc w:val="both"/>
      </w:pPr>
    </w:p>
    <w:p>
      <w:pPr>
        <w:pStyle w:val="3"/>
        <w:spacing w:before="100" w:after="100"/>
        <w:jc w:val="both"/>
      </w:pPr>
    </w:p>
    <w:p>
      <w:pPr>
        <w:pStyle w:val="3"/>
        <w:spacing w:before="100" w:after="100"/>
        <w:jc w:val="both"/>
      </w:pPr>
    </w:p>
    <w:p>
      <w:pPr>
        <w:pStyle w:val="4"/>
        <w:ind w:firstLine="482" w:firstLineChars="200"/>
      </w:pPr>
    </w:p>
    <w:p>
      <w:pPr>
        <w:pStyle w:val="4"/>
        <w:ind w:firstLine="482" w:firstLineChars="200"/>
      </w:pPr>
      <w:bookmarkStart w:id="29" w:name="_Toc138151651"/>
      <w:bookmarkStart w:id="30" w:name="_Toc19497"/>
      <w:r>
        <w:rPr>
          <w:rFonts w:hint="eastAsia"/>
        </w:rPr>
        <w:t>5.3三甲综合医院同类项目案例合同及验收佐证</w:t>
      </w:r>
      <w:bookmarkEnd w:id="29"/>
      <w:bookmarkEnd w:id="30"/>
    </w:p>
    <w:p>
      <w:pPr>
        <w:pStyle w:val="3"/>
        <w:spacing w:before="100" w:after="100"/>
        <w:jc w:val="both"/>
      </w:pPr>
      <w:bookmarkStart w:id="31" w:name="_Toc138151652"/>
      <w:bookmarkStart w:id="32" w:name="_Toc9748"/>
      <w:r>
        <w:rPr>
          <w:rFonts w:hint="eastAsia"/>
        </w:rPr>
        <w:t>六、报价表</w:t>
      </w:r>
      <w:bookmarkEnd w:id="31"/>
      <w:r>
        <w:rPr>
          <w:rFonts w:hint="eastAsia"/>
        </w:rPr>
        <w:t>包含内容</w:t>
      </w:r>
      <w:bookmarkEnd w:id="32"/>
    </w:p>
    <w:p>
      <w:pPr>
        <w:pStyle w:val="2"/>
        <w:ind w:firstLine="560"/>
        <w:rPr>
          <w:rFonts w:hint="eastAsia" w:ascii="仿宋" w:hAnsi="仿宋" w:eastAsia="仿宋" w:cs="仿宋"/>
          <w:color w:val="auto"/>
          <w:kern w:val="2"/>
        </w:rPr>
      </w:pPr>
      <w:r>
        <w:rPr>
          <w:rFonts w:hint="eastAsia" w:ascii="仿宋" w:hAnsi="仿宋" w:eastAsia="仿宋" w:cs="仿宋"/>
          <w:color w:val="auto"/>
          <w:kern w:val="2"/>
        </w:rPr>
        <w:t>1.报价包含项目实施所涉及的软件及配套硬件、成本、费用和税金，其包括但不限于软件开发、安装、调试、验收、培训、税金、第三方系统的接口开发等费用。</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2.系统建设实施直至整体验收提供不少于1名具有实施经验的技术人员常驻医院现场。</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5.待资阳市政务服务和大数据管理局完成政务信创云项目建设后，本系统将迁移至政务信创云，需对本项目进行服务及数据迁移，业务中断≤14小时。</w:t>
      </w:r>
    </w:p>
    <w:p>
      <w:pPr>
        <w:pStyle w:val="2"/>
        <w:rPr>
          <w:rFonts w:hint="eastAsia" w:ascii="仿宋" w:hAnsi="仿宋" w:eastAsia="仿宋" w:cs="仿宋"/>
          <w:color w:val="auto"/>
          <w:kern w:val="2"/>
        </w:rPr>
      </w:pPr>
    </w:p>
    <w:p>
      <w:pPr>
        <w:pStyle w:val="3"/>
        <w:spacing w:before="100" w:after="100"/>
        <w:jc w:val="both"/>
        <w:rPr>
          <w:rFonts w:hint="eastAsia" w:ascii="仿宋" w:hAnsi="仿宋" w:eastAsia="仿宋" w:cs="仿宋"/>
          <w:b w:val="0"/>
          <w:color w:val="000000"/>
          <w:kern w:val="2"/>
          <w:sz w:val="24"/>
        </w:rPr>
      </w:pPr>
      <w:bookmarkStart w:id="33" w:name="_Toc18260"/>
      <w:r>
        <w:rPr>
          <w:rFonts w:hint="eastAsia"/>
        </w:rPr>
        <w:t>七、建设方案</w:t>
      </w:r>
      <w:bookmarkEnd w:id="33"/>
    </w:p>
    <w:p>
      <w:bookmarkStart w:id="34" w:name="_Toc138151653"/>
      <w:r>
        <w:rPr>
          <w:rFonts w:hint="eastAsia"/>
        </w:rPr>
        <w:t>（包含以内容，其他内容自拟）</w:t>
      </w:r>
    </w:p>
    <w:p>
      <w:pPr>
        <w:pStyle w:val="4"/>
        <w:ind w:firstLine="482" w:firstLineChars="200"/>
      </w:pPr>
      <w:bookmarkStart w:id="35" w:name="_Toc6143"/>
      <w:r>
        <w:rPr>
          <w:rFonts w:hint="eastAsia"/>
        </w:rPr>
        <w:t>7.1 实施条件（实施所需的支持条件）</w:t>
      </w:r>
      <w:bookmarkEnd w:id="34"/>
      <w:bookmarkEnd w:id="35"/>
    </w:p>
    <w:p>
      <w:pPr>
        <w:pStyle w:val="4"/>
        <w:ind w:firstLine="482" w:firstLineChars="200"/>
      </w:pPr>
      <w:bookmarkStart w:id="36" w:name="_Toc1131"/>
      <w:bookmarkStart w:id="37" w:name="_Toc138151654"/>
      <w:r>
        <w:rPr>
          <w:rFonts w:hint="eastAsia"/>
        </w:rPr>
        <w:t>7.1 实施周期</w:t>
      </w:r>
      <w:bookmarkEnd w:id="36"/>
      <w:bookmarkEnd w:id="37"/>
    </w:p>
    <w:p>
      <w:pPr>
        <w:pStyle w:val="4"/>
        <w:ind w:firstLine="482" w:firstLineChars="200"/>
      </w:pPr>
      <w:bookmarkStart w:id="38" w:name="_Toc28875"/>
      <w:bookmarkStart w:id="39" w:name="_Toc138151655"/>
      <w:r>
        <w:rPr>
          <w:rFonts w:hint="eastAsia"/>
        </w:rPr>
        <w:t>7.3 系统运行环境</w:t>
      </w:r>
      <w:bookmarkEnd w:id="38"/>
      <w:bookmarkEnd w:id="39"/>
    </w:p>
    <w:p>
      <w:pPr>
        <w:pStyle w:val="4"/>
        <w:ind w:firstLine="482" w:firstLineChars="200"/>
      </w:pPr>
      <w:bookmarkStart w:id="40" w:name="_Toc138151656"/>
      <w:bookmarkStart w:id="41" w:name="_Toc28653"/>
      <w:r>
        <w:rPr>
          <w:rFonts w:hint="eastAsia"/>
        </w:rPr>
        <w:t>7.4 系统总体架构</w:t>
      </w:r>
      <w:bookmarkEnd w:id="40"/>
      <w:bookmarkEnd w:id="41"/>
    </w:p>
    <w:p/>
    <w:p/>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8DBE2B-4069-4C52-9BED-BC3C4E551309}"/>
  </w:font>
  <w:font w:name="仿宋">
    <w:panose1 w:val="02010609060101010101"/>
    <w:charset w:val="86"/>
    <w:family w:val="modern"/>
    <w:pitch w:val="default"/>
    <w:sig w:usb0="800002BF" w:usb1="38CF7CFA" w:usb2="00000016" w:usb3="00000000" w:csb0="00040001" w:csb1="00000000"/>
    <w:embedRegular r:id="rId2" w:fontKey="{54B0B73F-4355-4DA4-B74C-A0C9A77A1B1B}"/>
  </w:font>
  <w:font w:name="方正小标宋简体">
    <w:panose1 w:val="03000509000000000000"/>
    <w:charset w:val="86"/>
    <w:family w:val="auto"/>
    <w:pitch w:val="default"/>
    <w:sig w:usb0="00000001" w:usb1="080E0000" w:usb2="00000000" w:usb3="00000000" w:csb0="00040000" w:csb1="00000000"/>
    <w:embedRegular r:id="rId3" w:fontKey="{39E0370D-C96D-422F-A0FD-756E340F8BB3}"/>
  </w:font>
  <w:font w:name="方正黑体简体">
    <w:panose1 w:val="03000509000000000000"/>
    <w:charset w:val="86"/>
    <w:family w:val="auto"/>
    <w:pitch w:val="default"/>
    <w:sig w:usb0="00000001" w:usb1="080E0000" w:usb2="00000000" w:usb3="00000000" w:csb0="00040000" w:csb1="00000000"/>
    <w:embedRegular r:id="rId4" w:fontKey="{43546F4D-A6EE-468D-9810-ED79F88B78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A66902F"/>
    <w:multiLevelType w:val="singleLevel"/>
    <w:tmpl w:val="2A66902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F269EE"/>
    <w:rsid w:val="000021B3"/>
    <w:rsid w:val="0007109F"/>
    <w:rsid w:val="000A7E8B"/>
    <w:rsid w:val="00161060"/>
    <w:rsid w:val="001772FC"/>
    <w:rsid w:val="001F0DE9"/>
    <w:rsid w:val="00285893"/>
    <w:rsid w:val="00351085"/>
    <w:rsid w:val="003675E8"/>
    <w:rsid w:val="0040392A"/>
    <w:rsid w:val="0042222C"/>
    <w:rsid w:val="00474758"/>
    <w:rsid w:val="004E3CF2"/>
    <w:rsid w:val="0051077C"/>
    <w:rsid w:val="00542E10"/>
    <w:rsid w:val="00574A3F"/>
    <w:rsid w:val="006C3E27"/>
    <w:rsid w:val="0073053B"/>
    <w:rsid w:val="008C4D9A"/>
    <w:rsid w:val="008D7668"/>
    <w:rsid w:val="008D7A2B"/>
    <w:rsid w:val="008F2B9A"/>
    <w:rsid w:val="00901060"/>
    <w:rsid w:val="00936AC5"/>
    <w:rsid w:val="00A02DB1"/>
    <w:rsid w:val="00A61F78"/>
    <w:rsid w:val="00AA26DA"/>
    <w:rsid w:val="00AB290B"/>
    <w:rsid w:val="00AE73D4"/>
    <w:rsid w:val="00B47292"/>
    <w:rsid w:val="00BB3660"/>
    <w:rsid w:val="00CE3CBB"/>
    <w:rsid w:val="00D00197"/>
    <w:rsid w:val="00D20512"/>
    <w:rsid w:val="00E65855"/>
    <w:rsid w:val="00E863DE"/>
    <w:rsid w:val="00E954F2"/>
    <w:rsid w:val="00F269EE"/>
    <w:rsid w:val="00F42993"/>
    <w:rsid w:val="01B709DD"/>
    <w:rsid w:val="01D52A58"/>
    <w:rsid w:val="021A2C80"/>
    <w:rsid w:val="0224038E"/>
    <w:rsid w:val="027E0487"/>
    <w:rsid w:val="02CE7139"/>
    <w:rsid w:val="03163E1D"/>
    <w:rsid w:val="03552A08"/>
    <w:rsid w:val="03D3104E"/>
    <w:rsid w:val="04593878"/>
    <w:rsid w:val="052B1309"/>
    <w:rsid w:val="06C8202F"/>
    <w:rsid w:val="074573FA"/>
    <w:rsid w:val="07C537D5"/>
    <w:rsid w:val="07E9598A"/>
    <w:rsid w:val="08360008"/>
    <w:rsid w:val="08E9552D"/>
    <w:rsid w:val="09EF4DDA"/>
    <w:rsid w:val="0A5A448A"/>
    <w:rsid w:val="0AED6E12"/>
    <w:rsid w:val="0B4B2B44"/>
    <w:rsid w:val="0C811C7B"/>
    <w:rsid w:val="0C824D94"/>
    <w:rsid w:val="0C9C1458"/>
    <w:rsid w:val="0CCA1EEB"/>
    <w:rsid w:val="0CDC4161"/>
    <w:rsid w:val="0D5422FE"/>
    <w:rsid w:val="0DD4413B"/>
    <w:rsid w:val="0E266744"/>
    <w:rsid w:val="0E7664C8"/>
    <w:rsid w:val="0EA93CA3"/>
    <w:rsid w:val="10AE73EC"/>
    <w:rsid w:val="1118101A"/>
    <w:rsid w:val="114378E0"/>
    <w:rsid w:val="11DA6532"/>
    <w:rsid w:val="121A3D4C"/>
    <w:rsid w:val="134306AA"/>
    <w:rsid w:val="135A02D0"/>
    <w:rsid w:val="13712447"/>
    <w:rsid w:val="13855EF2"/>
    <w:rsid w:val="14E013D0"/>
    <w:rsid w:val="15CF1F26"/>
    <w:rsid w:val="16207B77"/>
    <w:rsid w:val="164E15A7"/>
    <w:rsid w:val="16B36D4D"/>
    <w:rsid w:val="16B52250"/>
    <w:rsid w:val="18D92EBD"/>
    <w:rsid w:val="1AAF2DD5"/>
    <w:rsid w:val="1AE31E7C"/>
    <w:rsid w:val="1B46204F"/>
    <w:rsid w:val="1BBC5511"/>
    <w:rsid w:val="1BBD3A81"/>
    <w:rsid w:val="1DBE13B8"/>
    <w:rsid w:val="1E77318B"/>
    <w:rsid w:val="1E804E7E"/>
    <w:rsid w:val="1ED65F1E"/>
    <w:rsid w:val="20390524"/>
    <w:rsid w:val="20695B39"/>
    <w:rsid w:val="20D1599C"/>
    <w:rsid w:val="20E172DD"/>
    <w:rsid w:val="20E3342D"/>
    <w:rsid w:val="217E5682"/>
    <w:rsid w:val="21C877B1"/>
    <w:rsid w:val="22A273FF"/>
    <w:rsid w:val="22BD0DE4"/>
    <w:rsid w:val="22D96F4E"/>
    <w:rsid w:val="22DA2031"/>
    <w:rsid w:val="23372454"/>
    <w:rsid w:val="23E3036F"/>
    <w:rsid w:val="25380CA0"/>
    <w:rsid w:val="257D0110"/>
    <w:rsid w:val="25C63BAB"/>
    <w:rsid w:val="25C67C05"/>
    <w:rsid w:val="260512EE"/>
    <w:rsid w:val="263578BE"/>
    <w:rsid w:val="270869DA"/>
    <w:rsid w:val="270C409F"/>
    <w:rsid w:val="275B3E1E"/>
    <w:rsid w:val="2777374E"/>
    <w:rsid w:val="283860D8"/>
    <w:rsid w:val="29FF496C"/>
    <w:rsid w:val="2A1F28C7"/>
    <w:rsid w:val="2B8925CC"/>
    <w:rsid w:val="2C6F6170"/>
    <w:rsid w:val="2C9F6F43"/>
    <w:rsid w:val="2D755A60"/>
    <w:rsid w:val="2DBF701B"/>
    <w:rsid w:val="2E8E10D4"/>
    <w:rsid w:val="2F9704DF"/>
    <w:rsid w:val="305F1B4D"/>
    <w:rsid w:val="30C93B1B"/>
    <w:rsid w:val="31971BEA"/>
    <w:rsid w:val="31FA3E8C"/>
    <w:rsid w:val="32024D28"/>
    <w:rsid w:val="325767A5"/>
    <w:rsid w:val="32A468A4"/>
    <w:rsid w:val="34B66051"/>
    <w:rsid w:val="36C21BE7"/>
    <w:rsid w:val="36C450EA"/>
    <w:rsid w:val="36FE0747"/>
    <w:rsid w:val="372B5D93"/>
    <w:rsid w:val="375B0AE1"/>
    <w:rsid w:val="386C41A1"/>
    <w:rsid w:val="38761053"/>
    <w:rsid w:val="38A804E3"/>
    <w:rsid w:val="38EF5674"/>
    <w:rsid w:val="39106763"/>
    <w:rsid w:val="3A985554"/>
    <w:rsid w:val="3AAB598F"/>
    <w:rsid w:val="3AC16B02"/>
    <w:rsid w:val="3B9C785C"/>
    <w:rsid w:val="3D8E5A8D"/>
    <w:rsid w:val="3E35171E"/>
    <w:rsid w:val="3E924036"/>
    <w:rsid w:val="3EBE4976"/>
    <w:rsid w:val="3EDC080D"/>
    <w:rsid w:val="3EF73899"/>
    <w:rsid w:val="3F204B9F"/>
    <w:rsid w:val="428970E4"/>
    <w:rsid w:val="42BD668F"/>
    <w:rsid w:val="42D32DB1"/>
    <w:rsid w:val="4389125B"/>
    <w:rsid w:val="44BE1658"/>
    <w:rsid w:val="46C53FAB"/>
    <w:rsid w:val="473D70ED"/>
    <w:rsid w:val="47823284"/>
    <w:rsid w:val="47E67906"/>
    <w:rsid w:val="485E35F8"/>
    <w:rsid w:val="49550899"/>
    <w:rsid w:val="49BA2D04"/>
    <w:rsid w:val="49BB0786"/>
    <w:rsid w:val="4B643ABC"/>
    <w:rsid w:val="4B9F639D"/>
    <w:rsid w:val="4BC230D9"/>
    <w:rsid w:val="4DE465D7"/>
    <w:rsid w:val="4EB359AB"/>
    <w:rsid w:val="4F4F10AC"/>
    <w:rsid w:val="4F5F64BA"/>
    <w:rsid w:val="4FB545D4"/>
    <w:rsid w:val="4FC000E6"/>
    <w:rsid w:val="502E58AD"/>
    <w:rsid w:val="531A6747"/>
    <w:rsid w:val="5339476F"/>
    <w:rsid w:val="536B2A7D"/>
    <w:rsid w:val="53DE59A8"/>
    <w:rsid w:val="53E51F5E"/>
    <w:rsid w:val="541505F1"/>
    <w:rsid w:val="54400E09"/>
    <w:rsid w:val="55B6522E"/>
    <w:rsid w:val="5715646F"/>
    <w:rsid w:val="59410223"/>
    <w:rsid w:val="59723D50"/>
    <w:rsid w:val="5A864B12"/>
    <w:rsid w:val="5A920D49"/>
    <w:rsid w:val="5B4B35D6"/>
    <w:rsid w:val="5BB10EFE"/>
    <w:rsid w:val="5D762C66"/>
    <w:rsid w:val="5D930F11"/>
    <w:rsid w:val="5DEA79AF"/>
    <w:rsid w:val="5E2F3B42"/>
    <w:rsid w:val="5F4131D6"/>
    <w:rsid w:val="5F6F0822"/>
    <w:rsid w:val="5F744CAA"/>
    <w:rsid w:val="5F957CDE"/>
    <w:rsid w:val="5FD8114B"/>
    <w:rsid w:val="5FDD7E71"/>
    <w:rsid w:val="619239A0"/>
    <w:rsid w:val="62561308"/>
    <w:rsid w:val="62927E29"/>
    <w:rsid w:val="62DC652B"/>
    <w:rsid w:val="63F35708"/>
    <w:rsid w:val="63F4318A"/>
    <w:rsid w:val="640D6CAC"/>
    <w:rsid w:val="64105038"/>
    <w:rsid w:val="6416682D"/>
    <w:rsid w:val="644B199A"/>
    <w:rsid w:val="64D6157E"/>
    <w:rsid w:val="65B14764"/>
    <w:rsid w:val="65C91E0B"/>
    <w:rsid w:val="67CB7B5D"/>
    <w:rsid w:val="684D49E2"/>
    <w:rsid w:val="687142E8"/>
    <w:rsid w:val="687304EE"/>
    <w:rsid w:val="68783C73"/>
    <w:rsid w:val="693862AF"/>
    <w:rsid w:val="6A961A6F"/>
    <w:rsid w:val="6A987C6E"/>
    <w:rsid w:val="6B5B4CB0"/>
    <w:rsid w:val="6D4B29EE"/>
    <w:rsid w:val="6D6D71FE"/>
    <w:rsid w:val="6E5C3CB4"/>
    <w:rsid w:val="6EC06CA8"/>
    <w:rsid w:val="6EED01BE"/>
    <w:rsid w:val="6FCD7A7D"/>
    <w:rsid w:val="709E1F5D"/>
    <w:rsid w:val="71B2000E"/>
    <w:rsid w:val="72307267"/>
    <w:rsid w:val="725577F4"/>
    <w:rsid w:val="72B84BC2"/>
    <w:rsid w:val="73A103C3"/>
    <w:rsid w:val="740C7A72"/>
    <w:rsid w:val="74BE1DD0"/>
    <w:rsid w:val="75AA5052"/>
    <w:rsid w:val="75BE2C2C"/>
    <w:rsid w:val="76120F8B"/>
    <w:rsid w:val="765F4A43"/>
    <w:rsid w:val="76EB7264"/>
    <w:rsid w:val="77F5610B"/>
    <w:rsid w:val="79175759"/>
    <w:rsid w:val="7CEF5984"/>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spacing w:before="100" w:beforeAutospacing="1" w:after="100" w:afterAutospacing="1"/>
    </w:pPr>
    <w:rPr>
      <w:rFonts w:ascii="宋体" w:hAnsi="宋体" w:eastAsia="宋体" w:cs="宋体"/>
      <w:sz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font81"/>
    <w:basedOn w:val="13"/>
    <w:qFormat/>
    <w:uiPriority w:val="0"/>
    <w:rPr>
      <w:rFonts w:hint="eastAsia" w:ascii="仿宋" w:hAnsi="仿宋" w:eastAsia="仿宋" w:cs="仿宋"/>
      <w:color w:val="FF0000"/>
      <w:sz w:val="24"/>
      <w:szCs w:val="24"/>
      <w:u w:val="none"/>
    </w:rPr>
  </w:style>
  <w:style w:type="character" w:customStyle="1" w:styleId="16">
    <w:name w:val="font61"/>
    <w:basedOn w:val="13"/>
    <w:qFormat/>
    <w:uiPriority w:val="0"/>
    <w:rPr>
      <w:rFonts w:hint="eastAsia" w:ascii="仿宋" w:hAnsi="仿宋" w:eastAsia="仿宋" w:cs="仿宋"/>
      <w:color w:val="000000"/>
      <w:sz w:val="24"/>
      <w:szCs w:val="24"/>
      <w:u w:val="none"/>
    </w:rPr>
  </w:style>
  <w:style w:type="character" w:customStyle="1" w:styleId="17">
    <w:name w:val="font41"/>
    <w:basedOn w:val="13"/>
    <w:qFormat/>
    <w:uiPriority w:val="0"/>
    <w:rPr>
      <w:rFonts w:hint="eastAsia" w:ascii="仿宋" w:hAnsi="仿宋" w:eastAsia="仿宋" w:cs="仿宋"/>
      <w:color w:val="000000"/>
      <w:sz w:val="24"/>
      <w:szCs w:val="24"/>
      <w:u w:val="none"/>
    </w:rPr>
  </w:style>
  <w:style w:type="character" w:customStyle="1" w:styleId="18">
    <w:name w:val="font71"/>
    <w:basedOn w:val="13"/>
    <w:qFormat/>
    <w:uiPriority w:val="0"/>
    <w:rPr>
      <w:rFonts w:hint="eastAsia" w:ascii="仿宋" w:hAnsi="仿宋" w:eastAsia="仿宋" w:cs="仿宋"/>
      <w:color w:val="0070C0"/>
      <w:sz w:val="24"/>
      <w:szCs w:val="24"/>
      <w:u w:val="none"/>
    </w:rPr>
  </w:style>
  <w:style w:type="character" w:customStyle="1" w:styleId="19">
    <w:name w:val="font51"/>
    <w:basedOn w:val="13"/>
    <w:qFormat/>
    <w:uiPriority w:val="0"/>
    <w:rPr>
      <w:rFonts w:hint="eastAsia" w:ascii="宋体" w:hAnsi="宋体" w:eastAsia="宋体" w:cs="宋体"/>
      <w:color w:val="000000"/>
      <w:sz w:val="24"/>
      <w:szCs w:val="24"/>
      <w:u w:val="none"/>
    </w:rPr>
  </w:style>
  <w:style w:type="character" w:customStyle="1" w:styleId="20">
    <w:name w:val="font21"/>
    <w:basedOn w:val="13"/>
    <w:qFormat/>
    <w:uiPriority w:val="0"/>
    <w:rPr>
      <w:rFonts w:hint="eastAsia" w:ascii="宋体" w:hAnsi="宋体" w:eastAsia="宋体" w:cs="宋体"/>
      <w:color w:val="000000"/>
      <w:sz w:val="22"/>
      <w:szCs w:val="22"/>
      <w:u w:val="none"/>
    </w:rPr>
  </w:style>
  <w:style w:type="character" w:customStyle="1" w:styleId="21">
    <w:name w:val="font11"/>
    <w:basedOn w:val="13"/>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3"/>
    <w:qFormat/>
    <w:uiPriority w:val="0"/>
    <w:rPr>
      <w:rFonts w:hint="eastAsia" w:ascii="宋体" w:hAnsi="宋体" w:eastAsia="宋体" w:cs="宋体"/>
      <w:color w:val="000000"/>
      <w:sz w:val="24"/>
      <w:szCs w:val="24"/>
      <w:u w:val="none"/>
    </w:rPr>
  </w:style>
  <w:style w:type="character" w:customStyle="1" w:styleId="24">
    <w:name w:val="font01"/>
    <w:basedOn w:val="13"/>
    <w:qFormat/>
    <w:uiPriority w:val="0"/>
    <w:rPr>
      <w:rFonts w:hint="eastAsia" w:ascii="宋体" w:hAnsi="宋体" w:eastAsia="宋体" w:cs="宋体"/>
      <w:color w:val="000000"/>
      <w:sz w:val="22"/>
      <w:szCs w:val="22"/>
      <w:u w:val="none"/>
    </w:rPr>
  </w:style>
  <w:style w:type="character" w:customStyle="1" w:styleId="25">
    <w:name w:val="页眉 字符"/>
    <w:basedOn w:val="13"/>
    <w:link w:val="7"/>
    <w:qFormat/>
    <w:uiPriority w:val="0"/>
    <w:rPr>
      <w:rFonts w:asciiTheme="minorHAnsi" w:hAnsiTheme="minorHAnsi" w:eastAsiaTheme="minorEastAsia" w:cstheme="minorBidi"/>
      <w:kern w:val="2"/>
      <w:sz w:val="18"/>
      <w:szCs w:val="18"/>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正文首行缩进两字符"/>
    <w:basedOn w:val="1"/>
    <w:qFormat/>
    <w:uiPriority w:val="0"/>
    <w:pPr>
      <w:spacing w:line="360" w:lineRule="auto"/>
      <w:ind w:firstLine="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994</Words>
  <Characters>5669</Characters>
  <Lines>47</Lines>
  <Paragraphs>13</Paragraphs>
  <TotalTime>44</TotalTime>
  <ScaleCrop>false</ScaleCrop>
  <LinksUpToDate>false</LinksUpToDate>
  <CharactersWithSpaces>6650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2024-08-21T02:43:27Z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58AE6F71E88C454680034F970F85D177</vt:lpwstr>
  </property>
</Properties>
</file>