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0"/>
          <w:szCs w:val="30"/>
          <w:lang w:val="en-US" w:eastAsia="zh-CN" w:bidi="ar-SA"/>
        </w:rPr>
        <w:t>信息化项目调研报名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目录</w:t>
      </w: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</w:pPr>
    </w:p>
    <w:p>
      <w:pPr>
        <w:pStyle w:val="5"/>
        <w:tabs>
          <w:tab w:val="right" w:leader="dot" w:pos="8306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r>
        <w:fldChar w:fldCharType="begin"/>
      </w:r>
      <w:r>
        <w:instrText xml:space="preserve"> HYPERLINK \l _Toc8580 </w:instrText>
      </w:r>
      <w:r>
        <w:fldChar w:fldCharType="separate"/>
      </w:r>
      <w:r>
        <w:rPr>
          <w:rFonts w:hint="eastAsia"/>
        </w:rPr>
        <w:t>1. 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_Toc8580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306"/>
        </w:tabs>
      </w:pPr>
      <w:r>
        <w:fldChar w:fldCharType="begin"/>
      </w:r>
      <w:r>
        <w:instrText xml:space="preserve"> HYPERLINK \l _Toc18312 </w:instrText>
      </w:r>
      <w:r>
        <w:fldChar w:fldCharType="separate"/>
      </w:r>
      <w:r>
        <w:rPr>
          <w:rFonts w:hint="eastAsia"/>
          <w:lang w:val="en-US" w:eastAsia="zh-CN"/>
        </w:rPr>
        <w:t>2.资质：</w:t>
      </w:r>
      <w:r>
        <w:tab/>
      </w:r>
      <w:r>
        <w:fldChar w:fldCharType="begin"/>
      </w:r>
      <w:r>
        <w:instrText xml:space="preserve"> PAGEREF _Toc18312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_Toc24480 </w:instrText>
      </w:r>
      <w:r>
        <w:fldChar w:fldCharType="separate"/>
      </w:r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r>
        <w:tab/>
      </w:r>
      <w:r>
        <w:fldChar w:fldCharType="begin"/>
      </w:r>
      <w:r>
        <w:instrText xml:space="preserve"> PAGEREF _Toc24480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_Toc13659 </w:instrText>
      </w:r>
      <w:r>
        <w:fldChar w:fldCharType="separate"/>
      </w:r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r>
        <w:tab/>
      </w:r>
      <w:r>
        <w:fldChar w:fldCharType="begin"/>
      </w:r>
      <w:r>
        <w:instrText xml:space="preserve"> PAGEREF _Toc13659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_Toc25809 </w:instrText>
      </w:r>
      <w:r>
        <w:fldChar w:fldCharType="separate"/>
      </w:r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r>
        <w:tab/>
      </w:r>
      <w:r>
        <w:fldChar w:fldCharType="begin"/>
      </w:r>
      <w:r>
        <w:instrText xml:space="preserve"> PAGEREF _Toc25809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_Toc25706 </w:instrText>
      </w:r>
      <w:r>
        <w:fldChar w:fldCharType="separate"/>
      </w:r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r>
        <w:tab/>
      </w:r>
      <w:r>
        <w:fldChar w:fldCharType="begin"/>
      </w:r>
      <w:r>
        <w:instrText xml:space="preserve"> PAGEREF _Toc25706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_Toc7136 </w:instrText>
      </w:r>
      <w:r>
        <w:fldChar w:fldCharType="separate"/>
      </w:r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r>
        <w:tab/>
      </w:r>
      <w:r>
        <w:fldChar w:fldCharType="begin"/>
      </w:r>
      <w:r>
        <w:instrText xml:space="preserve"> PAGEREF _Toc7136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_Toc29227 </w:instrText>
      </w:r>
      <w:r>
        <w:fldChar w:fldCharType="separate"/>
      </w:r>
      <w:r>
        <w:rPr>
          <w:rFonts w:hint="eastAsia"/>
          <w:lang w:val="en-US" w:eastAsia="zh-CN"/>
        </w:rPr>
        <w:t>2.6开发商委托销售授权函</w:t>
      </w:r>
      <w:r>
        <w:tab/>
      </w:r>
      <w:r>
        <w:fldChar w:fldCharType="begin"/>
      </w:r>
      <w:r>
        <w:instrText xml:space="preserve"> PAGEREF _Toc29227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306"/>
        </w:tabs>
      </w:pPr>
      <w:r>
        <w:fldChar w:fldCharType="begin"/>
      </w:r>
      <w:r>
        <w:instrText xml:space="preserve"> HYPERLINK \l _Toc23285 </w:instrText>
      </w:r>
      <w:r>
        <w:fldChar w:fldCharType="separate"/>
      </w:r>
      <w:r>
        <w:rPr>
          <w:rFonts w:hint="eastAsia"/>
          <w:lang w:val="en-US" w:eastAsia="zh-CN"/>
        </w:rPr>
        <w:t>3.项目调研分项报价清单</w:t>
      </w:r>
      <w:r>
        <w:tab/>
      </w:r>
      <w:r>
        <w:fldChar w:fldCharType="begin"/>
      </w:r>
      <w:r>
        <w:instrText xml:space="preserve"> PAGEREF _Toc23285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306"/>
        </w:tabs>
      </w:pPr>
      <w:r>
        <w:fldChar w:fldCharType="begin"/>
      </w:r>
      <w:r>
        <w:instrText xml:space="preserve"> HYPERLINK \l _Toc30856 </w:instrText>
      </w:r>
      <w:r>
        <w:fldChar w:fldCharType="separate"/>
      </w:r>
      <w:r>
        <w:rPr>
          <w:rFonts w:hint="eastAsia"/>
          <w:lang w:val="en-US" w:eastAsia="zh-CN"/>
        </w:rPr>
        <w:t>4.技术及服务方案</w:t>
      </w:r>
      <w:r>
        <w:tab/>
      </w:r>
      <w:r>
        <w:fldChar w:fldCharType="begin"/>
      </w:r>
      <w:r>
        <w:instrText xml:space="preserve"> PAGEREF _Toc30856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r>
        <w:fldChar w:fldCharType="end"/>
      </w:r>
    </w:p>
    <w:p/>
    <w:p/>
    <w:p/>
    <w:p/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247514300"/>
      <w:bookmarkStart w:id="1" w:name="_Toc152045808"/>
      <w:bookmarkStart w:id="2" w:name="_Toc247527848"/>
      <w:bookmarkStart w:id="3" w:name="_Toc10065"/>
      <w:bookmarkStart w:id="4" w:name="_Toc8580"/>
      <w:bookmarkStart w:id="5" w:name="_Toc427002393"/>
      <w:bookmarkStart w:id="6" w:name="_Toc7415"/>
      <w:bookmarkStart w:id="7" w:name="_Toc152042597"/>
      <w:bookmarkStart w:id="8" w:name="_Toc144974876"/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7"/>
        <w:tblW w:w="554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510"/>
        <w:gridCol w:w="1026"/>
        <w:gridCol w:w="1281"/>
        <w:gridCol w:w="2413"/>
        <w:gridCol w:w="1234"/>
        <w:gridCol w:w="1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74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54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7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7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65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是否为中小企业</w:t>
            </w:r>
          </w:p>
        </w:tc>
        <w:tc>
          <w:tcPr>
            <w:tcW w:w="67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bidi w:val="0"/>
        <w:jc w:val="both"/>
        <w:rPr>
          <w:rFonts w:hint="eastAsia"/>
          <w:lang w:val="en-US" w:eastAsia="zh-CN"/>
        </w:rPr>
      </w:pPr>
      <w:bookmarkStart w:id="9" w:name="_Toc18312"/>
      <w:bookmarkStart w:id="10" w:name="_Toc2669"/>
      <w:r>
        <w:rPr>
          <w:rFonts w:hint="eastAsia"/>
          <w:lang w:val="en-US" w:eastAsia="zh-CN"/>
        </w:rPr>
        <w:t>2.资质：</w:t>
      </w:r>
      <w:bookmarkEnd w:id="9"/>
    </w:p>
    <w:p>
      <w:pPr>
        <w:pStyle w:val="3"/>
        <w:bidi w:val="0"/>
        <w:rPr>
          <w:rFonts w:hint="eastAsia"/>
        </w:rPr>
      </w:pPr>
      <w:bookmarkStart w:id="11" w:name="_Toc24480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0"/>
      <w:bookmarkEnd w:id="11"/>
      <w:bookmarkStart w:id="12" w:name="_Toc3036"/>
    </w:p>
    <w:p>
      <w:pPr>
        <w:pStyle w:val="3"/>
        <w:bidi w:val="0"/>
        <w:rPr>
          <w:rFonts w:hint="eastAsia"/>
          <w:lang w:val="en-US" w:eastAsia="zh-CN"/>
        </w:rPr>
      </w:pPr>
      <w:bookmarkStart w:id="13" w:name="_Toc13659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2"/>
      <w:bookmarkEnd w:id="13"/>
    </w:p>
    <w:p>
      <w:pPr>
        <w:pStyle w:val="3"/>
        <w:bidi w:val="0"/>
        <w:rPr>
          <w:rFonts w:hint="eastAsia"/>
          <w:lang w:eastAsia="zh-CN"/>
        </w:rPr>
      </w:pPr>
      <w:bookmarkStart w:id="14" w:name="_Toc25809"/>
      <w:bookmarkStart w:id="15" w:name="_Toc5131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4"/>
      <w:bookmarkEnd w:id="15"/>
    </w:p>
    <w:p>
      <w:pPr>
        <w:pStyle w:val="3"/>
        <w:bidi w:val="0"/>
        <w:rPr>
          <w:rFonts w:hint="eastAsia"/>
          <w:lang w:eastAsia="zh-CN"/>
        </w:rPr>
      </w:pPr>
      <w:bookmarkStart w:id="16" w:name="_Toc22588"/>
      <w:bookmarkStart w:id="17" w:name="_Toc25706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16"/>
      <w:bookmarkEnd w:id="17"/>
    </w:p>
    <w:p>
      <w:pPr>
        <w:pStyle w:val="3"/>
        <w:bidi w:val="0"/>
        <w:rPr>
          <w:rFonts w:hint="eastAsia"/>
          <w:lang w:eastAsia="zh-CN"/>
        </w:rPr>
      </w:pPr>
      <w:bookmarkStart w:id="18" w:name="_Toc7136"/>
      <w:bookmarkStart w:id="19" w:name="_Toc11995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18"/>
      <w:bookmarkEnd w:id="19"/>
    </w:p>
    <w:p>
      <w:pPr>
        <w:pStyle w:val="3"/>
        <w:bidi w:val="0"/>
        <w:rPr>
          <w:rFonts w:hint="eastAsia" w:ascii="宋体" w:hAnsi="宋体" w:eastAsia="宋体" w:cs="宋体"/>
          <w:sz w:val="24"/>
          <w:szCs w:val="24"/>
        </w:rPr>
      </w:pPr>
      <w:bookmarkStart w:id="20" w:name="_Toc29227"/>
      <w:bookmarkStart w:id="21" w:name="_Toc21787"/>
      <w:r>
        <w:rPr>
          <w:rFonts w:hint="eastAsia"/>
          <w:b/>
          <w:lang w:val="en-US" w:eastAsia="zh-CN"/>
        </w:rPr>
        <w:t>2.6开发商委托销售授权函</w:t>
      </w:r>
      <w:bookmarkEnd w:id="20"/>
      <w:bookmarkEnd w:id="21"/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rPr>
          <w:rFonts w:hint="eastAsia" w:ascii="宋体" w:hAnsi="宋体" w:eastAsia="宋体" w:cs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0"/>
          <w:szCs w:val="30"/>
          <w:lang w:val="en-US" w:eastAsia="zh-CN" w:bidi="ar-SA"/>
        </w:rPr>
        <w:t>信息化项目调研报名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目录</w:t>
      </w: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</w:pPr>
    </w:p>
    <w:p>
      <w:pPr>
        <w:pStyle w:val="5"/>
        <w:tabs>
          <w:tab w:val="right" w:leader="dot" w:pos="8306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r>
        <w:fldChar w:fldCharType="begin"/>
      </w:r>
      <w:r>
        <w:instrText xml:space="preserve"> HYPERLINK \l _Toc8580 </w:instrText>
      </w:r>
      <w:r>
        <w:fldChar w:fldCharType="separate"/>
      </w:r>
      <w:r>
        <w:rPr>
          <w:rFonts w:hint="eastAsia"/>
        </w:rPr>
        <w:t>1. 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_Toc8580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306"/>
        </w:tabs>
      </w:pPr>
      <w:r>
        <w:fldChar w:fldCharType="begin"/>
      </w:r>
      <w:r>
        <w:instrText xml:space="preserve"> HYPERLINK \l _Toc18312 </w:instrText>
      </w:r>
      <w:r>
        <w:fldChar w:fldCharType="separate"/>
      </w:r>
      <w:r>
        <w:rPr>
          <w:rFonts w:hint="eastAsia"/>
          <w:lang w:val="en-US" w:eastAsia="zh-CN"/>
        </w:rPr>
        <w:t>2.资质：</w:t>
      </w:r>
      <w:r>
        <w:tab/>
      </w:r>
      <w:r>
        <w:fldChar w:fldCharType="begin"/>
      </w:r>
      <w:r>
        <w:instrText xml:space="preserve"> PAGEREF _Toc18312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_Toc24480 </w:instrText>
      </w:r>
      <w:r>
        <w:fldChar w:fldCharType="separate"/>
      </w:r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r>
        <w:tab/>
      </w:r>
      <w:r>
        <w:fldChar w:fldCharType="begin"/>
      </w:r>
      <w:r>
        <w:instrText xml:space="preserve"> PAGEREF _Toc24480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_Toc13659 </w:instrText>
      </w:r>
      <w:r>
        <w:fldChar w:fldCharType="separate"/>
      </w:r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r>
        <w:tab/>
      </w:r>
      <w:r>
        <w:fldChar w:fldCharType="begin"/>
      </w:r>
      <w:r>
        <w:instrText xml:space="preserve"> PAGEREF _Toc13659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_Toc25809 </w:instrText>
      </w:r>
      <w:r>
        <w:fldChar w:fldCharType="separate"/>
      </w:r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r>
        <w:tab/>
      </w:r>
      <w:r>
        <w:fldChar w:fldCharType="begin"/>
      </w:r>
      <w:r>
        <w:instrText xml:space="preserve"> PAGEREF _Toc25809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_Toc25706 </w:instrText>
      </w:r>
      <w:r>
        <w:fldChar w:fldCharType="separate"/>
      </w:r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r>
        <w:tab/>
      </w:r>
      <w:r>
        <w:fldChar w:fldCharType="begin"/>
      </w:r>
      <w:r>
        <w:instrText xml:space="preserve"> PAGEREF _Toc25706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_Toc7136 </w:instrText>
      </w:r>
      <w:r>
        <w:fldChar w:fldCharType="separate"/>
      </w:r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r>
        <w:tab/>
      </w:r>
      <w:r>
        <w:fldChar w:fldCharType="begin"/>
      </w:r>
      <w:r>
        <w:instrText xml:space="preserve"> PAGEREF _Toc7136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_Toc29227 </w:instrText>
      </w:r>
      <w:r>
        <w:fldChar w:fldCharType="separate"/>
      </w:r>
      <w:r>
        <w:rPr>
          <w:rFonts w:hint="eastAsia"/>
          <w:lang w:val="en-US" w:eastAsia="zh-CN"/>
        </w:rPr>
        <w:t>2.6开发商委托销售授权函</w:t>
      </w:r>
      <w:r>
        <w:tab/>
      </w:r>
      <w:r>
        <w:fldChar w:fldCharType="begin"/>
      </w:r>
      <w:r>
        <w:instrText xml:space="preserve"> PAGEREF _Toc29227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306"/>
        </w:tabs>
      </w:pPr>
      <w:r>
        <w:fldChar w:fldCharType="begin"/>
      </w:r>
      <w:r>
        <w:instrText xml:space="preserve"> HYPERLINK \l _Toc23285 </w:instrText>
      </w:r>
      <w:r>
        <w:fldChar w:fldCharType="separate"/>
      </w:r>
      <w:r>
        <w:rPr>
          <w:rFonts w:hint="eastAsia"/>
          <w:lang w:val="en-US" w:eastAsia="zh-CN"/>
        </w:rPr>
        <w:t>3.项目调研分项报价清单</w:t>
      </w:r>
      <w:r>
        <w:tab/>
      </w:r>
      <w:r>
        <w:fldChar w:fldCharType="begin"/>
      </w:r>
      <w:r>
        <w:instrText xml:space="preserve"> PAGEREF _Toc23285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306"/>
        </w:tabs>
      </w:pPr>
      <w:r>
        <w:fldChar w:fldCharType="begin"/>
      </w:r>
      <w:r>
        <w:instrText xml:space="preserve"> HYPERLINK \l _Toc30856 </w:instrText>
      </w:r>
      <w:r>
        <w:fldChar w:fldCharType="separate"/>
      </w:r>
      <w:r>
        <w:rPr>
          <w:rFonts w:hint="eastAsia"/>
          <w:lang w:val="en-US" w:eastAsia="zh-CN"/>
        </w:rPr>
        <w:t>4.技术及服务方案</w:t>
      </w:r>
      <w:r>
        <w:tab/>
      </w:r>
      <w:r>
        <w:fldChar w:fldCharType="begin"/>
      </w:r>
      <w:r>
        <w:instrText xml:space="preserve"> PAGEREF _Toc30856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r>
        <w:fldChar w:fldCharType="end"/>
      </w:r>
    </w:p>
    <w:p/>
    <w:p/>
    <w:p/>
    <w:p/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</w:p>
    <w:tbl>
      <w:tblPr>
        <w:tblStyle w:val="7"/>
        <w:tblW w:w="554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510"/>
        <w:gridCol w:w="1026"/>
        <w:gridCol w:w="1281"/>
        <w:gridCol w:w="2413"/>
        <w:gridCol w:w="1234"/>
        <w:gridCol w:w="1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74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54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7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7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65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是否为中小企业</w:t>
            </w:r>
          </w:p>
        </w:tc>
        <w:tc>
          <w:tcPr>
            <w:tcW w:w="67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2.资质：</w:t>
      </w:r>
    </w:p>
    <w:p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</w:p>
    <w:p>
      <w:pPr>
        <w:pStyle w:val="3"/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b/>
          <w:lang w:val="en-US" w:eastAsia="zh-CN"/>
        </w:rPr>
        <w:t>2.6开发商委托销售授权函</w:t>
      </w:r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9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3.项目调研分项报价清单</w:t>
      </w:r>
    </w:p>
    <w:p>
      <w:pPr>
        <w:pStyle w:val="4"/>
        <w:spacing w:line="360" w:lineRule="auto"/>
        <w:ind w:firstLine="720" w:firstLineChars="300"/>
        <w:rPr>
          <w:rFonts w:hint="default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项目名称：电脑等设备采购项目            采购品目分类名称：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</w:t>
      </w:r>
    </w:p>
    <w:p>
      <w:pPr>
        <w:pStyle w:val="4"/>
        <w:spacing w:line="360" w:lineRule="auto"/>
        <w:ind w:firstLine="720" w:firstLineChars="3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供应商名称：                            联系人及联系电话：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备注：黄色部分单品未有品牌入围框架协议</w:t>
      </w:r>
    </w:p>
    <w:tbl>
      <w:tblPr>
        <w:tblStyle w:val="7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07"/>
        <w:gridCol w:w="669"/>
        <w:gridCol w:w="658"/>
        <w:gridCol w:w="4569"/>
        <w:gridCol w:w="1892"/>
        <w:gridCol w:w="2034"/>
        <w:gridCol w:w="908"/>
        <w:gridCol w:w="1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产品配置参数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是否入围四川省政府采购框架协议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请列举至少三种满足产品需求的品牌型号及单价（元）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分别列出总价（元）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八核2.8GHz/16G/512G+1T机械/磐镭GTX3060 独显/300W/27寸2K显示器/预装统信UOS正版操作系统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对入围框架协议的产品，列举的品牌及型号需存在于框架协议采购平台中，若不存在，将视为无效报价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八核2.3GHz/8G/256G+1T机械/2G独显/200W/8L机箱/DVD-RW/23.8寸显示器/预装统信UOS正版操作系统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显示器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1、≥23.8寸宽屏16:9LED背光液晶显示器；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2、显示屏屏占比：≥80%；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3、显示屏分辨率：≥1920x1080；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4、显示屏响应时间：≤6.5ms；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5、显示屏刷新率：≥100Hz；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6、显示屏亮度：≥250尼特；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7、具备TUV低蓝光护眼和优化显示器寿命技术。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移动工作台(医用护理车)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推车系统：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1、台面设计，台面使用部分为长方形，显示器支架后移不占据台面空间；保证台面空间使用率；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2、台面尺寸：最大尺寸范围：长度500mm*宽度475mm；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3、前把手：台面把手方向朝下，停车操作时前把手位于键盘下方；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4、键盘托设计：台面内隐藏键盘托盘，完全隐藏到台面内部，使用时按压键盘托从台面弹出，键盘托需丝印按压LOGO；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5、台面把手一体化：为规避触电风险，台面及把手为抗菌绝缘塑料无缝一体注塑成型，把手与台面之间无螺丝固定，颜色及材质一致，把手两端直接与台面相连为封闭式设计；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6、把手设计：环形设计，方便推拉，同时推车把手上方配备推车升降硅胶按键，方便推车过程中，随时调整推车整体高度；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7、显示器固定支架：显示器可单独升降，行程≥15cm; 水平左旋转90°，水平右旋转270°，仰角30°，俯角5°；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8、台面承重：为确保后期升级功能模块，台面承重≥110KG，升降结构可承载重量≥110KG，此负重可以自由升降；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9、模块化设计：推车升降立柱四周一共预留六个扩展槽（前后各两个，左右各一个），便于后期扩展升级；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10、升降方式：电动升降，行程≥350mm;电推杆负重≥110kg；升降寿命≥10000次；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11、升降立柱：底座相连的立柱需为窄立柱固定不动，与台面相连立柱需为宽立柱进行上下升降；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12、静音设计：为保证医疗环境的舒适性，推车升降采用超静音医用电推杆，升降时噪声测试≤25Db；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13、键盘托：键盘托隐藏于台面内，同时内可容纳专用鼠标键盘，具备专用鼠标、键盘放置凹槽；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14、抽屉：车体标配两层及以上抽屉，抽屉内配分隔板；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15、其它配件：车体配有双垃圾桶，锐器盒架等等，并可根据医院需求进行个性化定制；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16、底座材质：底座采用改性工程塑胶一体成型，不易变形；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17、底座：采用抗菌绝缘塑料一体注塑成型，可抗紫外老化；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18、脚轮：配备医用静音轮，底座轮芯距为长度485mm*宽度405mm±5mm；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19、防护等级：推车系统防护等级不低于IP43。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一体机系统：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1、一体机：尺寸≥21.5”，最佳分辨率≥1920x1080;整机无风扇设计，可避免交叉感染，满足院感要求；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2、CPU：酷睿 i5-7400T及以上；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3、内存：≥8GB DDR4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4、硬盘：固态硬盘：容量≥256GB；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5、操作系统：支持操作系统：Windows 10 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6、护眼灯：具备一键照明按键，照明灯内置于一体机下方，方便医护人员夜间操作；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7、接口：USB3.0≥2;USB2.0≥4;COM≥2;HDM口≥1；VGA≥1;网口≥2；音频接口≥1；接口须为一体机原配接口，不可其他接口转换，确保接口数据传输的稳定性；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8、网络模块：Intel系列网卡：支持2.4G/5G Hz Wifi网络，支持802.11 b/g/n/ac以上标准；可选配4G/5G模块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蓝牙：Bluetooth 4.0 LE；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9、认证：一体机具有单独的3C，节能报告，CE，FCC，ROHS认证；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10、认证：EN55032认证；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11、认证：IEC 62321认证；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12、认证：EN61000认证；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13、防护等级：一体机前面框防护等级可达IP65，整机可达IPX2；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14、电池扩展功能：铝合金后壳预留有电池仓，可供选配电池用，增加续航能力，一体机前面框左下方预留5个电量指示灯，用于显示电池仓电量情况；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15、安全：一体机经过整机振动测试。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电源系统：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1、一键开关：具备一键开关功能；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2、电池性能：磷酸铁锂材质，安全稳定，有效循环寿命≥2000次，续航时间≥8小时；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3、电源开关：位于车体右侧台面下方，防止误触；机械结构，方便按压；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4、电量显示：底座配备电量显示灯，用于实时显示电池电量；配备5颗电量显示灯，每颗灯代表20%电量，方便临床解读；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5、电池管理：具有电池管理系统；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6、为确保市电输入安全性，经过权威结构检测具有双电源保险功能，并带有安全开关，电源线螺旋可伸缩结构，可插拔式设计，防止缠绕；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7、电池认证：电池通过MSDS认证和UN38.3测试；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8、保修：保修年限，整车保修三年及以上。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网络液晶一体机（小号）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1、壁挂安装于诊室门口，实现排队叫号、语音广播、二维码展示、健康宣教、屏幕控制等功能，支持根据医院需求进行定制，满足医院个性化服务要求；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2、显示屏尺寸≥19英寸，屏显比例≥16：9，分辨率≥1366*768，视角：U/D/R/L(CR＞10) ≥89/89/89/89；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3、内置嵌入式主板，CPU≥四核，主频≥1.5GHz，内存≥1GB，外存储≥8GB，系统：Android；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4、数据接口：USB≥1个，通信接口：RJ45≥1个，10/100Mbps自适应；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5、工作电压：AC220V 50HZ,声音输出：8Ω/2W；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6、排队叫号：展示当前诊室排队信息，包括但不限于：诊室名称、医生姓名、医生照片、医生职称、正在呼叫人员姓名、序号及状态、等候人员姓名、序号及状态；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7、二维码展示：支持分区域展示二维码，展示医院公众号、健康宣教平台等信息；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8、健康宣教：支持系统发送的健康宣教视频、文本和图片等信息；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9、屏幕控制：支持多时间段开关屏、支持多时间段开机关机；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统一管理：支持实时信息更新并支持与医院现有信息系统，包含：HIS、银医自助机、排队叫号、微信公众号等系统无缝对接，支持纳入医院现有排队叫号系统集中统一管理，包括统一编号、归类、远程控制定时开关机等，所需接口对接或开发费用由供应商自行承担。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网络液晶一体机（大号）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1、安装方式：壁挂/吊挂安装于候诊区。支持综合候诊信息展示、语音播报、健康宣教、紧急通知，个性化信息、诊区控制；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2、液晶尺寸≥55英寸，屏显比例：16:9，分辨率≥3840*2160；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3、硬件配置：CPU≥四核1.7GHz，内存≥2GB，外存储≥8GB，操作系统：Android；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4、工作电压：AC 220V 50Hz，通信接口：10/100Mbps以太网接口；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5、视频接口≥1个，音频接口≥1个，数据接口：USB≥2个；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6、候诊信息展示：支持展示所属诊区各诊室的候诊队列信息，包括当前正在叫号的患者、等待中的患者列表以及过号信息等；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7、远程控制：支持远程控制终端进行重启、开机、关机、音量调节、开关机时间设置等操作。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统一管理：支持实时信息更新并支持与医院现有信息系统，包含：HIS、银医自助机、排队叫号、微信公众号等系统无缝对接，支持纳入医院现有排队叫号系统集中统一管理，包括统一编号、归类、远程控制定时开关机等，所需接口对接或开发费用由供应商自行承担。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自助报到机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1、专业工控主机：I3-4100M 主频2.5GHz 双核四线程，内存4G内存，硬盘128G固态硬盘，RS232串口6个，USB接口8个，集成显卡1 个，声卡1 个，网卡100M/1000M 自适应网卡 1 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2、触显屏：触摸屏+显示器，43寸曲面一体屏，分辨率 3840*2160，10ms响应时间，亮度350cd/㎡，显示区域941.184 (H) x 529.416 (V) mm，可视角度R/L 178 (Min.), U/D 178 (Min.) (Typ.)(CR≥10)，G+G,USB接口，10点触摸，触摸寿命单点大于10万次；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3、金属加密键盘：EPP硬件加密键盘，标准COM通讯，通过银联认证和国密认证，支持DES，3DES算法，支持国密、ATM协议，使用3DES加密算法加密2048字节的运算时间小于2秒，软件支持最新Triple DES算法,可以支持ANSI 、ECB等标准，密钥管理可存储16组64位的密钥，只能写入不能读出，加密后如拆离键盘，必须自动启动密钥自毁功能，键数16键金属键盘，10个数字键，6个功能键，IP65静态/IP54动态（据客户需求），整体设计可实现防尘，防水，防暴，加装密码键盘防护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4、电动读卡器：卡片类型，磁卡 ISO7810 ID-1、7811，IC卡 ISO7816-2  支持 T=0、T=1 CPU卡 支持 T=0、T=1 SIM卡，RF卡 ISO14443 TYPE A＆B，支持 Mifare S50、S70、UL卡，磁头寿命500,000 passes，IC卡触点300,000 passes，传动装置500,000 passes，卡位置检测，光电检测，掉电吐卡功能 有，自动识别异物 有，电动保护闸门，磁感应电动，认证符合PBOC3.0、EMV标准；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5、条码、二维码扫描模块：图像传感器 CMOS，分辨率 640 * 480 (全局曝光)，通讯接口 TTL232, RS232,USB(HID,CDC)，识读精度 5mil ， 照明White LED，旋转灵敏度旋转 360°倾斜 ±50°偏转 ±50°，符号反差 符号反差* ≥ 30%，视场角水平 68°垂直 51°，指示蜂鸣器，典型功耗0.9W ，输入电压 DC 5.5~3.3V；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6、身份证阅读模块：射频技术符合ISO14443 Type B标准，保密模块身份证核验系统专用模块，读卡距离0-50mm；读卡时间1.0s，通讯接口COM通讯接口，通过公安部认证；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7、凭条打印机：打印方式热敏行式打印，接口方式串口、USB2.0，打印密度 8 点/mm，打印方向 进纸方向，打印速度150mm/s（Max），有效打印宽度72mm，纸处理方式自动切纸（全切或半切），行宽 3.75mm ，打印宽度79.5 ±0.5毫米，纸张类型热敏纸，纸宽79.5±0.5mm，纸卷直径150mm（Max），热敏头寿命100KM，切刀寿命100 万次，缺纸检测预缺纸（少纸）检测、缺纸检测、缺纸报警；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8、社保卡读写模块：符合人力资源社会保障部《社会保障（个人）卡规范》标准支持非接触卡、接触卡读写，内置蜂鸣器、指示灯，提升用户的使用体验，符合标准:PBOC3.0 L1、qPBOC3.0 L1、人社部、住建部、卫健委，通讯接口:RS232、USB接触式卡: 支持1个ISO7816标准的IC卡，非接触卡:支持ISO14443 TypeA/B标准感应IC卡，SAM卡座:2个，电源:DC 5V，工作环境: 温度-10°C~50°C;相对湿度:5%~93%(非冷凝)；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9、微信人脸支付摄像头：功能3D散斑结构光摄像头模组，识别3D人脸细节特征，精度更高。满足金融级支付安全等级，产品性能稳定。功耗与发热更低，尺寸小便于集成使用 搭载华捷艾米最新 ASIC 芯片，能快速准确获取目标的深度信息，支持近距离（0.28~1m）内的人脸识别、深度数据采集、立体与平面判断等应用；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10、支付宝人脸支付摄像头：外形嵌入式模块，专用3D计算芯片MX6000，彩色图像处理支持UVC，彩色图分辨率5MP，深度图分辨率1280*800@7fps  640*400@30fps，精度3.3mm@1m，彩色FOV H71.5° V56.7°，深度FOV：H67.9°V45.3°，检测距离（深度范围）米 0.25-1.0米，数据传输USB2.0/20PIN，供电方式Micro USB/I-PEX 连接器，安全性Class1 激光；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11、黑白激光打印机：端口USB，单面支持纸张尺寸A4、A5，打印速度A4 40页/分，月负荷80000页，首页输出时间小于6.4秒，分辨率1200*1200dpi，耗电功率打印591W，就绪6.1W，睡眠2.8W，进纸方式自动进纸，进纸盒容量标配纸盒250页，（可选最大支持500页容量，随机250页纸仓+250页纸仓）；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12、条码/腕带打印机：打印方式热敏/热转印，打印宽度25.4~118mm，打印密度203dpi × 203dpi，打印速度200 mm/s，接口USB、RS-232、10/100M以太网，中央处理器32-bit RISU；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13、时控开关：对自助终端进行定时开关机统一管理，工作电压85%-110%额定电压 Ac50Hz Ac220V ，内部电源可充电电池，无需更换 ，工作方式 手动开、手动关、自动开关，纬度自动调整开、纬度自动调整关，可编程数8开8关 ，时控范围1分-168小时， 计时误差≤2秒/天；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、大堂式机柜：维护方式前、后开门维护，产品外形美观，整机采用优质钢材制作，坚固厚实，在高温高寒的环境下不会变形，机壳表层采用高端金属烤漆工艺，防锈、防水、耐久抗腐蚀，可以抵抗恶劣的环境干扰，防溅水，防尘、防油污防静电等，模块化设计，维护方便，内部布线整齐规范，配备有独立的通风系统，可根据客户需求更改颜色。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医用显示屏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1、尺寸：≧30英寸，符合dicom3.14标准，具有亮度及曲线自动校准功能技术；3300x2200≧分辨率≧3100×2000，点距≤0.197×0.197mm,对比度≥2000:1,亮度≥1300cd/m²；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2、质控基本信息查看:软件首页可查看连接专业显示器的基本信息，配置QA计划任务，选择QC策略，锁定菜单，设置环境照度，阅片环境，工程码等；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3、显示器内置多个亮度条件下的dicom校正曲线700/600/500/400/350/300/250cd/㎡，另外内置GAMMA，DSA，DSI，CT/MRI以及彩色灰阶综合校正曲线；DICOM曲线亮度误差在±5%；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4、检测和校准报告:报告模块主要用于展示检测和校准的历史记录，可通过机型、SN、操作类型、结果、QC策略、操作人、日期范围、显示器类型等进行精确定位；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5、具备全屏幕亮度均衡系统，保证亮度均匀度≥85%；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6、支持硬件方式医学彩色和灰阶图像自动识别及校准；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7、达到报告审核标准，提供报告审核专用软件；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8、两路信号可分别输入，在一个屏上实现双竖屏显示，具备多种显示模式的一体化双屏显示器及其调节方法；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9、为满足图像细节显示，发现早期细小病灶，显示器色彩度≧4.398Trillion(42bit)；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10、具备医用显示屏超高位宽图像增强显示装置技术；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11、响应时间≤30ms，Ton≤15ms，Toff≤15ms，可视角度≥170°；外置医疗级电源模块；端口：DVI-D×1、DP×1；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12、前置校准系统，实时监测显示器输出亮度，通过前置感光探头控制软件技术对DICOM进行精确校正；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13、人体感应功能，自动待机或唤醒显示器，节能，显示器寿命长，具备消除显示器残影并自行保养功能；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14、具备环境光侦测功能，自动检测环境光数据，根据环境光对显示效果的影响，对DICOM进行校正，更符合人眼观察能力展现图像；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15、提供双头PCIe接口专业显卡，显卡内存≥1G；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16、质保时间：原厂3年免费保修，3年上门服务；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17、QC策略标准库：软件设置模块提供≥12个不可变更的标准QC策略库，此类策略只可查看，不支持修改；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18、软件证书：报告以不可变更的PDF的格式保存，可在软件设置内修改报告保存路径，支持批量导出报告；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19、传感器标定：传感器标定模块主要用于对显示器的前置传感器定期标定，保证前置传感器精准；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20、显示器性能检测：性能检测模块可对显示器进行专业的性能检测，以判别当前显示器是否符合医用DICOM诊断标准，性能检测完成后，会显示本次检测的结果。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LED显示屏-高刷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29.184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1、LED像素点间距≤1.839mm；显示尺寸：≥宽12.16m*高2.4m；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2、平整度：≤0.02；相对错位值：≤0.1；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3、对比度：≥12000:1；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4、亮度：≥1200cd/㎡，0-100%任意可调；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5、色温：1000K-20000K 连续可调，可设冷色、暖色标准等多档白场调节；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6、亮度均匀性：≥99.6%  换帧频率：支持50/60/120/240Hz，支持3D显示；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7、节能措施:带有智能(黑屏)节电功能，开启智能节电功能比没有开启节能80%以上；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8、爬电距离：符合GB49431-2022标准对设备进行爬电距离试验的要求；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9、刷新率：3840Hz-7680HZ，提供具有CNAS标识的权威第三方检测报告复印件加盖投标人公章；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10、模组智能存储:模组含智能存储电路，可以存储模组生产信息参数、运行参数等等，存储容量≥16kB，提供具有CNAS标识的权威第三方检测报告复印件加盖投标人公章；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11、语音控制：屏体可以支持语音指令识别，可通过语音实现屏幕亮度调节、色温切换、场景切换、系统信息查看；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12、跌落：符合GB4943.1-2022音视频、信息技术和通信技术设备安全标准对设备进行跌落试验的要求，跌落高度750mm士10mm，试验三次；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13、驱动与控制方式：一体化驱动设计，恒流驱动，动态扫描，同步控制，点点对应；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14、支持通过配套软件0-100%多级调节，设置亮度定时调节，及通过亮度传感器自动调节(手动/自动/软件任意调节）；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15、支持自定义多种预设场景，可通过遥控器进行快速切换；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16、屏体可以支持显示实际信号物理连线顺序，无需反复查看实际连线；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17、为防止蓝光危害，减轻眼部疲劳，LED显示屏具有蓝光护眼多重过滤保护及智能调控软件；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18、为提升显示图像的亮度表现，LED显示屏需具备显示装置的亮度补偿方法与亮度补偿系统软件。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1、输出功率：200W Max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2、泄漏电流：&lt;1mA(Vin:230)；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3、工作温度：-30℃~60℃ /；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4、散热方式：自冷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5、储存温度：-40~80℃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6、输入电压：200-240Vac,47-63Hz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7、绝缘电压：I/P-/P:3.0KVac;I/P-FG:1.5KVac;/P-FG:0.5KVac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8、安全标准：GB4943,EN60950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9、保护功能：输入欠压，过载保护。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二合一视频控制器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1、拥有完备的视频输入接口1 路 HDMI 2.0，4 路 DVI，1 路 3G-SDI；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2、支持 16 路网口和 4 路光纤输出，带载高达 1040万像素。最大宽度 16384像素，最大高度8192 像素；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3、支持 HDR 输出能够极大地增强显示屏的画质，使画面色彩更加真实生动，细节更加清晰；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4、支持个性化的画质缩放，支持三种画面缩放模式，包括点对点模式、全屏缩放、自定义缩放；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5、多窗口显示，支持 5 窗口任意布局；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6、支持预监输出画面将预监内容通过有线网络发送到显示器显示；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7、支持智能控制软件进行操作控制；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8、支持场景预设最多可创建 10 个用户场景作为模板保存，可直接调用，方便使用；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9、支持 EDID 管理支持用户自定义 EDID 和预设 EDID。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接收卡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1、单卡最大带载 512×384像素，最多支持 24 组RGB 并行数据；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2、支持色彩管理，将显示色域在多个色域之间自由切换，使显示屏色彩更精准；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3、支持18Bit+,使LED显示屏灰阶提升4倍，有效处理低亮时灰度丢失问题，使图像显示更细腻；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4、采用 12 个标准HUB75E接口，具有高稳定性和高可靠性，适用于多种环境的搭建；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5、支持逐点亮色度校正，可以对每个灯点的亮度和色度进行校正，有效消除色差，使整屏的亮度和色度达到高度均匀一致，提高显示屏的画质；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6、快速亮暗线调节在调试软件上进行快速亮暗线调节，快速解决因箱体及模组拼接造成的显示屏亮暗线，调节过程中即时生效，简单易用；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7、配合支持 3D 功能的独立主控，在软件或独立主控的操作面板上开启 3D 功能，并设置 3D 参数，使画面显示 3D 效果；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Mapping功能开启，每个箱体上会显示数字，清楚告诉您当前箱体是哪个网口下的哪张接收卡，直观的看到显示屏连接状况，从此让箱体排查变得轻松简单，快速定位问题箱体，再也无需再爬上爬下，根据走线更改连屏文件即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9、支持预存画面设置，可以将指定图片设置为显示屏的开机、网线断开或无视频源信号时的画面或者最后一帧画面；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10、可以监测自身的温度和电压，无需其他外设，在软件上可以查看接收卡的温度和电压，检测发送设备与接收卡间或接收卡与接收卡间的网络通讯质量，记录错误包数，协助排除网络通讯隐患；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11、支持误码率监测接收卡间通讯时传输链路上的数据丢包情况；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12、支持可以回读接收卡的固件程序并保存到本地，软件可以回读接收卡配置参数并保存到本地。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钢结构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29.184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1、配置显示屏支撑钢架结构。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屏体四周外装饰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29.184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1、配置不锈钢包边，上下左右各5公分。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影像诊断用电脑（含显示器）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1、CPU型号Intel 酷睿i5 13500；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2、CPU频率2.5GHz；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3、最高睿频4.8GHz；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4、缓存L3 24MB；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5、核心/线程数十四核心/二十线程；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6、制程工艺Intel 7（10纳米）；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7、内存容量8GB；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8、内存类型DDR4 3200MHz；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9、内存插槽2个DiMM插槽；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10、最大内存容量64GB；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11、固态硬盘容量512GB，固态硬盘描述SSD固态硬盘（PCIe4.0）；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12、机械硬盘容量1TB，机械硬盘描述HDD机械硬盘；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13、无线网卡支持802.11a/c无线协议，有线网卡1000Mbps以太网卡，蓝牙支持蓝牙功能；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14、数据接口前置面板：2×UUSB-A 5Gbps，2×UUSB-A 10Gbps，1×USB2.0，1×USB-C 5Gbps，后置面板：2×USB2.0；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15、音频接口前置面板：1×耳机/麦克风两用接口；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16、后置面板：1×耳机输出接口，1×麦克风输入接口；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17、视频接口1×HDMI，1×DisplayPort；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18、网络接口1×RJ45（网络接口）；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19、其它接口1×电源接口，1×COM串口。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兆芯 ZX-EKX-U6780A 八核2.7GHz/8G/256G/200W/13L机箱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微型电脑主机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兆芯 ZX-EKX-U6780A 八核2.7GHz/8G/256G/200W/13L机箱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显示器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5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1、≥23.8寸宽屏16:9LED背光液晶显示器；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2、显示屏屏占比：≥80%；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3、显示屏分辨率：≥1920x1080；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4、显示屏响应时间：≤6.5ms；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5、显示屏刷新率：≥100Hz；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6、显示屏亮度：≥250尼特；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7、具备TUV低蓝光护眼和优化显示器寿命技术。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9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一体机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5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1、CPU型号：i5-12500T；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2、核心数：六核心 ，内存类型：DDR4；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3、最大支持内存：16GB，插槽数量：2个；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4、显卡类型：集成显卡；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5、显存容量：共享系统内存，显卡型号：其他，硬盘容量：256GB；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6、硬盘类型：混合硬盘，硬盘接口类型：SATA接口，光驱类型：无光驱；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7、屏幕类型：IPS，屏幕比例：16:9，屏幕尺寸：23.8英寸；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8、屏幕分辨率：1920×1080，触摸功能：不支持，内置扬声器：支持；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9、内置麦克风：不支持，声卡类型：集成式，摄像头：有；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10、蓝牙功能：不支持，无线局域网：802.11b ，局域网：10/100/1000Mbps；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11、音频端口：耳机/麦克风二合一接口 ，视频端口：HDMI,DisplayPort，USB2.0端口：4个；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12、USB3.0端口：无，读卡器类型：多合一读卡器，RJ45网络接口：1个。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版式软件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永中OFD版式软件V3.0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办公软件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Office2019 for linux专业版办公软件（一年授权）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杀毒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360终端安全防护系统V10（一年）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9"/>
        <w:rPr>
          <w:rFonts w:hint="eastAsia"/>
          <w:lang w:val="en-US" w:eastAsia="zh-CN"/>
        </w:rPr>
      </w:pPr>
    </w:p>
    <w:p>
      <w:pPr>
        <w:pStyle w:val="2"/>
        <w:bidi w:val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4.技术及服务方案</w:t>
      </w:r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bookmarkStart w:id="22" w:name="_GoBack"/>
      <w:bookmarkEnd w:id="2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42AE7B"/>
    <w:multiLevelType w:val="singleLevel"/>
    <w:tmpl w:val="2242AE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B6EFA"/>
    <w:rsid w:val="423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5">
    <w:name w:val="toc 1"/>
    <w:basedOn w:val="1"/>
    <w:next w:val="1"/>
    <w:qFormat/>
    <w:uiPriority w:val="39"/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2024-09-14T03:01:00Z</dcterms:created>
  <dc:creator>zora</dc:creator>
  <cp:lastModifiedBy>zora</cp:lastModifiedBy>
  <dcterms:modified xsi:type="dcterms:W3CDTF">2024-09-14T03:04:57Z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DED22154A84046BAAA9E3304B975C90F</vt:lpwstr>
  </property>
</Properties>
</file>