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36"/>
          <w:szCs w:val="36"/>
          <w:u w:val="none"/>
          <w:lang w:val="en-US" w:eastAsia="zh-CN" w:bidi="ar"/>
        </w:rPr>
        <w:t>内镜追溯系统项目调研公告</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w:t>
      </w:r>
      <w:r>
        <w:rPr>
          <w:rFonts w:hint="eastAsia" w:ascii="仿宋" w:hAnsi="仿宋" w:eastAsia="仿宋" w:cs="仿宋"/>
          <w:i w:val="0"/>
          <w:iCs w:val="0"/>
          <w:color w:val="000000"/>
          <w:sz w:val="28"/>
          <w:szCs w:val="28"/>
          <w:u w:val="none"/>
          <w:lang w:val="en-US" w:eastAsia="zh-CN"/>
        </w:rPr>
        <w:t>内镜追溯系统项</w:t>
      </w:r>
      <w:r>
        <w:rPr>
          <w:rFonts w:hint="eastAsia" w:ascii="仿宋" w:hAnsi="仿宋" w:cs="仿宋"/>
          <w:i w:val="0"/>
          <w:iCs w:val="0"/>
          <w:color w:val="000000"/>
          <w:sz w:val="28"/>
          <w:szCs w:val="28"/>
          <w:u w:val="none"/>
          <w:lang w:val="en-US" w:eastAsia="zh-CN"/>
        </w:rPr>
        <w:t>目</w:t>
      </w:r>
      <w:r>
        <w:rPr>
          <w:rFonts w:hint="eastAsia" w:ascii="仿宋" w:hAnsi="仿宋" w:eastAsia="仿宋" w:cs="仿宋"/>
          <w:i w:val="0"/>
          <w:iCs w:val="0"/>
          <w:color w:val="000000"/>
          <w:sz w:val="28"/>
          <w:szCs w:val="28"/>
          <w:u w:val="none"/>
          <w:lang w:val="en-US" w:eastAsia="zh-CN"/>
        </w:rPr>
        <w:t>进行市场调研,现公开征集相关资料,欢迎各潜在供应商进行报名，现将有关事宜公告如下：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仿宋" w:hAnsi="仿宋" w:eastAsia="仿宋" w:cs="仿宋"/>
          <w:i w:val="0"/>
          <w:iCs w:val="0"/>
          <w:color w:val="0000FF"/>
          <w:kern w:val="2"/>
          <w:sz w:val="28"/>
          <w:szCs w:val="28"/>
          <w:u w:val="none"/>
          <w:lang w:val="en-US" w:eastAsia="zh-CN" w:bidi="zh-CN"/>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tbl>
      <w:tblPr>
        <w:tblStyle w:val="10"/>
        <w:tblW w:w="82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6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6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项目概述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8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处理管理、测漏管理、溶液监测管理、染菌量监测管理、生物监测管理、设备运行参数管理、内镜追溯、病人追溯、初洗、酶洗、次洗、消毒、末洗、干燥、存储、发放、内镜使用管理、高危感染病人管理、溶液监测、内镜出入库与使用管理、内镜与设备维修管理、统计和分析报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（二）实施效果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患者登记信息与清洗消毒系统共享；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基础功能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内镜消洗机自消毒能准确记录打印存档；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内镜洗消记录与跟踪：记录内镜洗消全过程：清洗、消毒、灭菌环节，记录每条内镜的使用时间、患者ID与内镜ID（唯一性）、清晰消毒步骤的起止时间及操作人员姓名等；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内镜洗消参数设置：支持设置内镜洗消参数，消洗剂浓度、温度、时间等，确保消洗质量符合标准要求；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管理洗消过程钟的设备、人员、耗材等信息，实现对整个洗消过程的管理和监控；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内镜洗消结果记录:记录每台内镜洗消的结果，如胸度灭菌记录、清洁度检测结果等，以备后续追溯合审查</w:t>
            </w: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内镜洗消数据分析：对内径洗消数据进行分析和统计，提供数据报告、趋势分析等，帮助机构管理者优化洗消流程</w:t>
            </w: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安全权限管控：不同用户权限设置，保障数据安全，操作规范，可追溯到消洗人员及当日上级监管人员等。确保洗消过程符合相关法律法规</w:t>
            </w: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6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报警与预警功能：设定洗消过程钟的报警与预警机制，及时发现问题</w:t>
            </w: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客观管理内镜中心人财物、快速实现物品精准召回，有效控制院感范围</w:t>
            </w:r>
            <w:r>
              <w:rPr>
                <w:rFonts w:hint="eastAsia" w:asciiTheme="minorEastAsia" w:hAnsiTheme="minorEastAsia" w:cstheme="minorEastAsia"/>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未来通过功能免费升级，将专业培训纳入其中，完善科教体系；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一旦出现相关院感事件，标准化的追溯系统可极大限度规避院方风险。</w:t>
            </w:r>
          </w:p>
        </w:tc>
      </w:tr>
    </w:tbl>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二、项目要求</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1．参照《电子病历系统功能应用水平分级评价方法及标准（试行）》六级要求建设；</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．参照《国家医疗健康信息区域卫生</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医院</w:t>
      </w:r>
      <w:r>
        <w:rPr>
          <w:rFonts w:hint="default" w:ascii="仿宋" w:hAnsi="仿宋" w:eastAsia="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信息互联互通标准化成熟度测评方案（</w:t>
      </w:r>
      <w:r>
        <w:rPr>
          <w:rFonts w:hint="default" w:ascii="仿宋" w:hAnsi="仿宋" w:eastAsia="仿宋" w:cs="仿宋"/>
          <w:i w:val="0"/>
          <w:iCs w:val="0"/>
          <w:color w:val="000000"/>
          <w:sz w:val="28"/>
          <w:szCs w:val="28"/>
          <w:u w:val="none"/>
          <w:lang w:val="en-US" w:eastAsia="zh-CN"/>
        </w:rPr>
        <w:t>2020</w:t>
      </w:r>
      <w:r>
        <w:rPr>
          <w:rFonts w:hint="eastAsia" w:ascii="仿宋" w:hAnsi="仿宋" w:eastAsia="仿宋" w:cs="仿宋"/>
          <w:i w:val="0"/>
          <w:iCs w:val="0"/>
          <w:color w:val="000000"/>
          <w:sz w:val="28"/>
          <w:szCs w:val="28"/>
          <w:u w:val="none"/>
          <w:lang w:val="en-US" w:eastAsia="zh-CN"/>
        </w:rPr>
        <w:t>年版）》五级乙等求建设；</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．参照《医院智慧服务分级评估标准体系（试行）》四级要求建设；</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4</w:t>
      </w:r>
      <w:r>
        <w:rPr>
          <w:rFonts w:hint="eastAsia" w:ascii="仿宋" w:hAnsi="仿宋" w:eastAsia="仿宋" w:cs="仿宋"/>
          <w:i w:val="0"/>
          <w:iCs w:val="0"/>
          <w:color w:val="000000"/>
          <w:sz w:val="28"/>
          <w:szCs w:val="28"/>
          <w:u w:val="none"/>
          <w:lang w:val="en-US" w:eastAsia="zh-CN"/>
        </w:rPr>
        <w:t>．需参照《医院智慧管理分级评估标准体系（试行）》三级要求建设；</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r>
        <w:rPr>
          <w:rFonts w:hint="default" w:ascii="仿宋" w:hAnsi="仿宋" w:eastAsia="仿宋" w:cs="仿宋"/>
          <w:i w:val="0"/>
          <w:iCs w:val="0"/>
          <w:color w:val="000000"/>
          <w:sz w:val="28"/>
          <w:szCs w:val="28"/>
          <w:u w:val="none"/>
          <w:lang w:val="en-US" w:eastAsia="zh-CN"/>
        </w:rPr>
        <w:t>5</w:t>
      </w:r>
      <w:r>
        <w:rPr>
          <w:rFonts w:hint="eastAsia" w:ascii="仿宋" w:hAnsi="仿宋" w:eastAsia="仿宋" w:cs="仿宋"/>
          <w:i w:val="0"/>
          <w:iCs w:val="0"/>
          <w:color w:val="000000"/>
          <w:sz w:val="28"/>
          <w:szCs w:val="28"/>
          <w:u w:val="none"/>
          <w:lang w:val="en-US" w:eastAsia="zh-CN"/>
        </w:rPr>
        <w:t>．必须达到《信息安全技术信息系统安全等级保护基本要求》</w:t>
      </w:r>
      <w:r>
        <w:rPr>
          <w:rFonts w:hint="default" w:ascii="仿宋" w:hAnsi="仿宋" w:eastAsia="仿宋" w:cs="仿宋"/>
          <w:i w:val="0"/>
          <w:iCs w:val="0"/>
          <w:color w:val="000000"/>
          <w:sz w:val="28"/>
          <w:szCs w:val="28"/>
          <w:u w:val="none"/>
          <w:lang w:val="en-US" w:eastAsia="zh-CN"/>
        </w:rPr>
        <w:t>(GB/T22239-2019)</w:t>
      </w:r>
      <w:r>
        <w:rPr>
          <w:rFonts w:hint="eastAsia" w:ascii="仿宋" w:hAnsi="仿宋" w:eastAsia="仿宋" w:cs="仿宋"/>
          <w:i w:val="0"/>
          <w:iCs w:val="0"/>
          <w:color w:val="000000"/>
          <w:sz w:val="28"/>
          <w:szCs w:val="28"/>
          <w:u w:val="none"/>
          <w:lang w:val="en-US" w:eastAsia="zh-CN"/>
        </w:rPr>
        <w:t>三级要求；</w:t>
      </w:r>
    </w:p>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default"/>
          <w:lang w:val="en-US" w:eastAsia="zh-CN"/>
        </w:rPr>
      </w:pPr>
      <w:r>
        <w:rPr>
          <w:rFonts w:hint="default" w:ascii="仿宋" w:hAnsi="仿宋" w:eastAsia="仿宋" w:cs="仿宋"/>
          <w:i w:val="0"/>
          <w:iCs w:val="0"/>
          <w:color w:val="000000"/>
          <w:sz w:val="28"/>
          <w:szCs w:val="28"/>
          <w:u w:val="none"/>
          <w:lang w:val="en-US" w:eastAsia="zh-CN"/>
        </w:rPr>
        <w:t>6</w:t>
      </w:r>
      <w:r>
        <w:rPr>
          <w:rFonts w:hint="eastAsia" w:ascii="仿宋" w:hAnsi="仿宋" w:eastAsia="仿宋" w:cs="仿宋"/>
          <w:i w:val="0"/>
          <w:iCs w:val="0"/>
          <w:color w:val="000000"/>
          <w:sz w:val="28"/>
          <w:szCs w:val="28"/>
          <w:u w:val="none"/>
          <w:lang w:val="en-US" w:eastAsia="zh-CN"/>
        </w:rPr>
        <w:t>．要求提供定制化开发服务，满足医院个性化需求。</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w:t>
      </w:r>
      <w:r>
        <w:rPr>
          <w:rFonts w:hint="eastAsia" w:ascii="仿宋" w:hAnsi="仿宋" w:eastAsia="仿宋" w:cs="仿宋"/>
          <w:i w:val="0"/>
          <w:iCs w:val="0"/>
          <w:color w:val="0000FF"/>
          <w:sz w:val="28"/>
          <w:szCs w:val="28"/>
          <w:u w:val="none"/>
          <w:lang w:val="en-US" w:eastAsia="zh-CN"/>
        </w:rPr>
        <w:t>2024</w:t>
      </w:r>
      <w:r>
        <w:rPr>
          <w:rFonts w:hint="eastAsia" w:ascii="仿宋" w:hAnsi="仿宋" w:eastAsia="仿宋" w:cs="仿宋"/>
          <w:i w:val="0"/>
          <w:iCs w:val="0"/>
          <w:color w:val="000000"/>
          <w:sz w:val="28"/>
          <w:szCs w:val="28"/>
          <w:u w:val="none"/>
          <w:lang w:val="en-US" w:eastAsia="zh-CN"/>
        </w:rPr>
        <w:t>年  月  日，公告截止日期后递交的报名资料无效。</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i w:val="0"/>
          <w:iCs w:val="0"/>
          <w:color w:val="000000"/>
          <w:sz w:val="28"/>
          <w:szCs w:val="28"/>
          <w:u w:val="none"/>
          <w:lang w:val="en-US" w:eastAsia="zh-CN"/>
        </w:rPr>
        <w:t>，并抄送至2539231388@qq.com。邮件名称：“XXXX项目名称+公司名称+联系人+联系电话）”报名资料目录见附件。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028-26219526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FF"/>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w:t>
      </w:r>
      <w:bookmarkStart w:id="41" w:name="_GoBack"/>
      <w:bookmarkEnd w:id="41"/>
      <w:r>
        <w:rPr>
          <w:rFonts w:hint="eastAsia" w:ascii="仿宋" w:hAnsi="仿宋" w:eastAsia="仿宋" w:cs="仿宋"/>
          <w:b w:val="0"/>
          <w:bCs w:val="0"/>
          <w:color w:val="auto"/>
          <w:sz w:val="30"/>
          <w:szCs w:val="30"/>
          <w:lang w:val="en-US" w:eastAsia="zh-CN"/>
        </w:rPr>
        <w:t>539231388@qq.com。邮件名称：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5"/>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_Toc24591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_Toc24591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_Toc25951 </w:instrText>
          </w:r>
          <w:r>
            <w:fldChar w:fldCharType="separate"/>
          </w:r>
          <w:r>
            <w:rPr>
              <w:rFonts w:hint="eastAsia"/>
              <w:lang w:val="en-US" w:eastAsia="zh-CN"/>
            </w:rPr>
            <w:t>二、资质：</w:t>
          </w:r>
          <w:r>
            <w:tab/>
          </w:r>
          <w:r>
            <w:fldChar w:fldCharType="begin"/>
          </w:r>
          <w:r>
            <w:instrText xml:space="preserve"> PAGEREF _Toc25951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_Toc13617 </w:instrText>
          </w:r>
          <w:r>
            <w:fldChar w:fldCharType="separate"/>
          </w:r>
          <w:r>
            <w:rPr>
              <w:rFonts w:hint="eastAsia"/>
              <w:lang w:val="en-US" w:eastAsia="zh-CN"/>
            </w:rPr>
            <w:t>2.1</w:t>
          </w:r>
          <w:r>
            <w:rPr>
              <w:rFonts w:hint="eastAsia"/>
            </w:rPr>
            <w:t>营业执照</w:t>
          </w:r>
          <w:r>
            <w:tab/>
          </w:r>
          <w:r>
            <w:fldChar w:fldCharType="begin"/>
          </w:r>
          <w:r>
            <w:instrText xml:space="preserve"> PAGEREF _Toc13617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_Toc29930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_Toc29930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_Toc31973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_Toc31973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_Toc20847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_Toc20847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_Toc2199 </w:instrText>
          </w:r>
          <w:r>
            <w:fldChar w:fldCharType="separate"/>
          </w:r>
          <w:r>
            <w:rPr>
              <w:rFonts w:hint="eastAsia"/>
              <w:lang w:val="en-US" w:eastAsia="zh-CN"/>
            </w:rPr>
            <w:t>2.5软件资质</w:t>
          </w:r>
          <w:r>
            <w:tab/>
          </w:r>
          <w:r>
            <w:fldChar w:fldCharType="begin"/>
          </w:r>
          <w:r>
            <w:instrText xml:space="preserve"> PAGEREF _Toc2199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_Toc5694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_Toc5694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_Toc8091 </w:instrText>
          </w:r>
          <w:r>
            <w:fldChar w:fldCharType="separate"/>
          </w:r>
          <w:r>
            <w:rPr>
              <w:rFonts w:hint="eastAsia"/>
              <w:lang w:val="en-US" w:eastAsia="zh-CN"/>
            </w:rPr>
            <w:t>2.7开发商委托销售授权函</w:t>
          </w:r>
          <w:r>
            <w:tab/>
          </w:r>
          <w:r>
            <w:fldChar w:fldCharType="begin"/>
          </w:r>
          <w:r>
            <w:instrText xml:space="preserve"> PAGEREF _Toc8091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_Toc18812 </w:instrText>
          </w:r>
          <w:r>
            <w:fldChar w:fldCharType="separate"/>
          </w:r>
          <w:r>
            <w:rPr>
              <w:rFonts w:hint="eastAsia"/>
              <w:lang w:val="en-US" w:eastAsia="zh-CN"/>
            </w:rPr>
            <w:t>三、项目调研情况一览汇总表</w:t>
          </w:r>
          <w:r>
            <w:tab/>
          </w:r>
          <w:r>
            <w:fldChar w:fldCharType="begin"/>
          </w:r>
          <w:r>
            <w:instrText xml:space="preserve"> PAGEREF _Toc18812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_Toc8991 </w:instrText>
          </w:r>
          <w:r>
            <w:fldChar w:fldCharType="separate"/>
          </w:r>
          <w:r>
            <w:rPr>
              <w:rFonts w:hint="eastAsia"/>
              <w:lang w:val="en-US" w:eastAsia="zh-CN"/>
            </w:rPr>
            <w:t>四、 调研项目配置清单及分项报价明细</w:t>
          </w:r>
          <w:r>
            <w:tab/>
          </w:r>
          <w:r>
            <w:fldChar w:fldCharType="begin"/>
          </w:r>
          <w:r>
            <w:instrText xml:space="preserve"> PAGEREF _Toc8991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_Toc21714 </w:instrText>
          </w:r>
          <w:r>
            <w:fldChar w:fldCharType="separate"/>
          </w:r>
          <w:r>
            <w:rPr>
              <w:rFonts w:hint="eastAsia"/>
              <w:lang w:val="en-US" w:eastAsia="zh-CN"/>
            </w:rPr>
            <w:t>五、三甲综合医院同类项目案例</w:t>
          </w:r>
          <w:r>
            <w:tab/>
          </w:r>
          <w:r>
            <w:fldChar w:fldCharType="begin"/>
          </w:r>
          <w:r>
            <w:instrText xml:space="preserve"> PAGEREF _Toc21714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_Toc30354 </w:instrText>
          </w:r>
          <w:r>
            <w:fldChar w:fldCharType="separate"/>
          </w:r>
          <w:r>
            <w:rPr>
              <w:rFonts w:hint="eastAsia"/>
              <w:lang w:val="en-US" w:eastAsia="zh-CN"/>
            </w:rPr>
            <w:t>5.1 四川省内（  ）家</w:t>
          </w:r>
          <w:r>
            <w:tab/>
          </w:r>
          <w:r>
            <w:fldChar w:fldCharType="begin"/>
          </w:r>
          <w:r>
            <w:instrText xml:space="preserve"> PAGEREF _Toc30354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_Toc21686 </w:instrText>
          </w:r>
          <w:r>
            <w:fldChar w:fldCharType="separate"/>
          </w:r>
          <w:r>
            <w:rPr>
              <w:rFonts w:hint="eastAsia"/>
              <w:lang w:val="en-US" w:eastAsia="zh-CN"/>
            </w:rPr>
            <w:t>5.2 四川省外（  ）家</w:t>
          </w:r>
          <w:r>
            <w:tab/>
          </w:r>
          <w:r>
            <w:fldChar w:fldCharType="begin"/>
          </w:r>
          <w:r>
            <w:instrText xml:space="preserve"> PAGEREF _Toc21686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_Toc30797 </w:instrText>
          </w:r>
          <w:r>
            <w:fldChar w:fldCharType="separate"/>
          </w:r>
          <w:r>
            <w:rPr>
              <w:rFonts w:hint="eastAsia"/>
              <w:lang w:val="en-US" w:eastAsia="zh-CN"/>
            </w:rPr>
            <w:t>5.3三甲综合医院同类项目案例合同及验收佐证</w:t>
          </w:r>
          <w:r>
            <w:tab/>
          </w:r>
          <w:r>
            <w:fldChar w:fldCharType="begin"/>
          </w:r>
          <w:r>
            <w:instrText xml:space="preserve"> PAGEREF _Toc30797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_Toc31471 </w:instrText>
          </w:r>
          <w:r>
            <w:fldChar w:fldCharType="separate"/>
          </w:r>
          <w:r>
            <w:rPr>
              <w:rFonts w:hint="eastAsia"/>
              <w:lang w:val="en-US" w:eastAsia="zh-CN"/>
            </w:rPr>
            <w:t>六、报价表包含内容</w:t>
          </w:r>
          <w:r>
            <w:tab/>
          </w:r>
          <w:r>
            <w:fldChar w:fldCharType="begin"/>
          </w:r>
          <w:r>
            <w:instrText xml:space="preserve"> PAGEREF _Toc31471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_Toc29830 </w:instrText>
          </w:r>
          <w:r>
            <w:fldChar w:fldCharType="separate"/>
          </w:r>
          <w:r>
            <w:rPr>
              <w:rFonts w:hint="eastAsia"/>
              <w:lang w:val="en-US" w:eastAsia="zh-CN"/>
            </w:rPr>
            <w:t>七、建设方案</w:t>
          </w:r>
          <w:r>
            <w:tab/>
          </w:r>
          <w:r>
            <w:fldChar w:fldCharType="begin"/>
          </w:r>
          <w:r>
            <w:instrText xml:space="preserve"> PAGEREF _Toc29830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_Toc26174 </w:instrText>
          </w:r>
          <w:r>
            <w:fldChar w:fldCharType="separate"/>
          </w:r>
          <w:r>
            <w:rPr>
              <w:rFonts w:hint="eastAsia"/>
              <w:lang w:val="en-US" w:eastAsia="zh-CN"/>
            </w:rPr>
            <w:t>7.1 实施条件（实施所需的支持条件）</w:t>
          </w:r>
          <w:r>
            <w:tab/>
          </w:r>
          <w:r>
            <w:fldChar w:fldCharType="begin"/>
          </w:r>
          <w:r>
            <w:instrText xml:space="preserve"> PAGEREF _Toc26174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_Toc3280 </w:instrText>
          </w:r>
          <w:r>
            <w:fldChar w:fldCharType="separate"/>
          </w:r>
          <w:r>
            <w:rPr>
              <w:rFonts w:hint="eastAsia"/>
              <w:lang w:val="en-US" w:eastAsia="zh-CN"/>
            </w:rPr>
            <w:t>7.2 实施周期</w:t>
          </w:r>
          <w:r>
            <w:tab/>
          </w:r>
          <w:r>
            <w:fldChar w:fldCharType="begin"/>
          </w:r>
          <w:r>
            <w:instrText xml:space="preserve"> PAGEREF _Toc3280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_Toc8279 </w:instrText>
          </w:r>
          <w:r>
            <w:fldChar w:fldCharType="separate"/>
          </w:r>
          <w:r>
            <w:rPr>
              <w:rFonts w:hint="eastAsia"/>
              <w:lang w:val="en-US" w:eastAsia="zh-CN"/>
            </w:rPr>
            <w:t>7.3 系统运行环境</w:t>
          </w:r>
          <w:r>
            <w:tab/>
          </w:r>
          <w:r>
            <w:fldChar w:fldCharType="begin"/>
          </w:r>
          <w:r>
            <w:instrText xml:space="preserve"> PAGEREF _Toc8279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_Toc8382 </w:instrText>
          </w:r>
          <w:r>
            <w:fldChar w:fldCharType="separate"/>
          </w:r>
          <w:r>
            <w:rPr>
              <w:rFonts w:hint="eastAsia"/>
              <w:lang w:val="en-US" w:eastAsia="zh-CN"/>
            </w:rPr>
            <w:t>7.4 系统总体架构</w:t>
          </w:r>
          <w:r>
            <w:tab/>
          </w:r>
          <w:r>
            <w:fldChar w:fldCharType="begin"/>
          </w:r>
          <w:r>
            <w:instrText xml:space="preserve"> PAGEREF _Toc8382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152042597"/>
      <w:bookmarkStart w:id="2" w:name="_Toc24591"/>
      <w:bookmarkStart w:id="3" w:name="_Toc144974876"/>
      <w:bookmarkStart w:id="4" w:name="_Toc7415"/>
      <w:bookmarkStart w:id="5" w:name="_Toc10065"/>
      <w:bookmarkStart w:id="6" w:name="_Toc247527848"/>
      <w:bookmarkStart w:id="7" w:name="_Toc427002393"/>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5951"/>
      <w:bookmarkStart w:id="10" w:name="_Toc2669"/>
      <w:r>
        <w:rPr>
          <w:rFonts w:hint="eastAsia"/>
          <w:lang w:val="en-US" w:eastAsia="zh-CN"/>
        </w:rPr>
        <w:t>二、资质：</w:t>
      </w:r>
      <w:bookmarkEnd w:id="9"/>
    </w:p>
    <w:p>
      <w:pPr>
        <w:pStyle w:val="4"/>
        <w:bidi w:val="0"/>
        <w:rPr>
          <w:rFonts w:hint="eastAsia"/>
        </w:rPr>
      </w:pPr>
      <w:bookmarkStart w:id="11" w:name="_Toc13617"/>
      <w:r>
        <w:rPr>
          <w:rFonts w:hint="eastAsia"/>
          <w:lang w:val="en-US" w:eastAsia="zh-CN"/>
        </w:rPr>
        <w:t>2.1</w:t>
      </w:r>
      <w:r>
        <w:rPr>
          <w:rFonts w:hint="eastAsia"/>
        </w:rPr>
        <w:t>营业执照</w:t>
      </w:r>
      <w:bookmarkEnd w:id="10"/>
      <w:bookmarkEnd w:id="11"/>
      <w:bookmarkStart w:id="12" w:name="_Toc3036"/>
    </w:p>
    <w:p>
      <w:pPr>
        <w:pStyle w:val="4"/>
        <w:bidi w:val="0"/>
        <w:rPr>
          <w:rFonts w:hint="eastAsia"/>
          <w:lang w:val="en-US" w:eastAsia="zh-CN"/>
        </w:rPr>
      </w:pPr>
      <w:bookmarkStart w:id="13" w:name="_Toc29930"/>
      <w:r>
        <w:rPr>
          <w:rFonts w:hint="eastAsia"/>
          <w:lang w:val="en-US" w:eastAsia="zh-CN"/>
        </w:rPr>
        <w:t>2.2</w:t>
      </w:r>
      <w:r>
        <w:rPr>
          <w:rFonts w:hint="eastAsia"/>
          <w:lang w:eastAsia="zh-CN"/>
        </w:rPr>
        <w:t>法定代表人授权书</w:t>
      </w:r>
      <w:bookmarkEnd w:id="12"/>
      <w:bookmarkEnd w:id="13"/>
    </w:p>
    <w:p>
      <w:pPr>
        <w:pStyle w:val="4"/>
        <w:bidi w:val="0"/>
        <w:rPr>
          <w:rFonts w:hint="eastAsia"/>
          <w:lang w:eastAsia="zh-CN"/>
        </w:rPr>
      </w:pPr>
      <w:bookmarkStart w:id="14" w:name="_Toc5131"/>
      <w:bookmarkStart w:id="15" w:name="_Toc31973"/>
      <w:r>
        <w:rPr>
          <w:rFonts w:hint="eastAsia"/>
          <w:lang w:val="en-US" w:eastAsia="zh-CN"/>
        </w:rPr>
        <w:t>2.3</w:t>
      </w:r>
      <w:r>
        <w:rPr>
          <w:rFonts w:hint="eastAsia"/>
          <w:lang w:eastAsia="zh-CN"/>
        </w:rPr>
        <w:t>法人及被授权人身份证</w:t>
      </w:r>
      <w:bookmarkEnd w:id="14"/>
      <w:bookmarkEnd w:id="15"/>
    </w:p>
    <w:p>
      <w:pPr>
        <w:pStyle w:val="4"/>
        <w:bidi w:val="0"/>
        <w:rPr>
          <w:rFonts w:hint="eastAsia"/>
          <w:lang w:eastAsia="zh-CN"/>
        </w:rPr>
      </w:pPr>
      <w:bookmarkStart w:id="16" w:name="_Toc22588"/>
      <w:bookmarkStart w:id="17" w:name="_Toc20847"/>
      <w:r>
        <w:rPr>
          <w:rFonts w:hint="eastAsia"/>
          <w:lang w:val="en-US" w:eastAsia="zh-CN"/>
        </w:rPr>
        <w:t>2.4</w:t>
      </w:r>
      <w:r>
        <w:rPr>
          <w:rFonts w:hint="eastAsia"/>
          <w:lang w:eastAsia="zh-CN"/>
        </w:rPr>
        <w:t>公司资质</w:t>
      </w:r>
      <w:bookmarkEnd w:id="16"/>
      <w:bookmarkEnd w:id="17"/>
    </w:p>
    <w:p>
      <w:pPr>
        <w:pStyle w:val="4"/>
        <w:bidi w:val="0"/>
        <w:rPr>
          <w:rFonts w:hint="default"/>
          <w:lang w:val="en-US" w:eastAsia="zh-CN"/>
        </w:rPr>
      </w:pPr>
      <w:bookmarkStart w:id="18" w:name="_Toc2199"/>
      <w:r>
        <w:rPr>
          <w:rFonts w:hint="eastAsia"/>
          <w:lang w:val="en-US" w:eastAsia="zh-CN"/>
        </w:rPr>
        <w:t>2.5软件资质</w:t>
      </w:r>
      <w:bookmarkEnd w:id="18"/>
    </w:p>
    <w:p>
      <w:pPr>
        <w:pStyle w:val="4"/>
        <w:bidi w:val="0"/>
        <w:rPr>
          <w:rFonts w:hint="eastAsia"/>
          <w:lang w:eastAsia="zh-CN"/>
        </w:rPr>
      </w:pPr>
      <w:bookmarkStart w:id="19" w:name="_Toc11995"/>
      <w:bookmarkStart w:id="20" w:name="_Toc5694"/>
      <w:r>
        <w:rPr>
          <w:rFonts w:hint="eastAsia"/>
          <w:lang w:val="en-US" w:eastAsia="zh-CN"/>
        </w:rPr>
        <w:t>2.6本项目涉及</w:t>
      </w:r>
      <w:r>
        <w:rPr>
          <w:rFonts w:hint="eastAsia"/>
          <w:lang w:eastAsia="zh-CN"/>
        </w:rPr>
        <w:t>资质</w:t>
      </w:r>
      <w:bookmarkEnd w:id="19"/>
      <w:bookmarkEnd w:id="20"/>
    </w:p>
    <w:p>
      <w:pPr>
        <w:pStyle w:val="4"/>
        <w:bidi w:val="0"/>
        <w:rPr>
          <w:rFonts w:hint="eastAsia" w:ascii="宋体" w:hAnsi="宋体" w:eastAsia="宋体" w:cs="宋体"/>
          <w:sz w:val="24"/>
          <w:szCs w:val="24"/>
        </w:rPr>
      </w:pPr>
      <w:bookmarkStart w:id="21" w:name="_Toc21787"/>
      <w:bookmarkStart w:id="22" w:name="_Toc8091"/>
      <w:r>
        <w:rPr>
          <w:rFonts w:hint="eastAsia"/>
          <w:b/>
          <w:lang w:val="en-US" w:eastAsia="zh-CN"/>
        </w:rPr>
        <w:t>2.7开发商委托销售授权函</w:t>
      </w:r>
      <w:bookmarkEnd w:id="21"/>
      <w:bookmarkEnd w:id="22"/>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18812"/>
      <w:r>
        <w:rPr>
          <w:rFonts w:hint="eastAsia"/>
          <w:lang w:val="en-US" w:eastAsia="zh-CN"/>
        </w:rPr>
        <w:t>三、项目调研情况一览汇总表</w:t>
      </w:r>
      <w:bookmarkEnd w:id="23"/>
    </w:p>
    <w:p>
      <w:pPr>
        <w:pStyle w:val="5"/>
        <w:spacing w:line="360" w:lineRule="auto"/>
        <w:ind w:firstLine="720" w:firstLineChars="300"/>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r>
        <w:rPr>
          <w:rFonts w:hint="eastAsia" w:ascii="仿宋" w:hAnsi="仿宋" w:cs="仿宋"/>
          <w:i w:val="0"/>
          <w:iCs w:val="0"/>
          <w:color w:val="000000"/>
          <w:kern w:val="0"/>
          <w:sz w:val="24"/>
          <w:szCs w:val="24"/>
          <w:u w:val="none"/>
          <w:lang w:val="en-US" w:eastAsia="zh-CN" w:bidi="ar"/>
        </w:rPr>
        <w:t xml:space="preserve">      </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371"/>
        <w:gridCol w:w="1429"/>
        <w:gridCol w:w="1098"/>
        <w:gridCol w:w="121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实施周期及驻场实施人员</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val="0"/>
                <w:color w:val="000000"/>
                <w:kern w:val="2"/>
                <w:sz w:val="24"/>
                <w:szCs w:val="24"/>
                <w:lang w:val="en-US" w:eastAsia="zh-CN" w:bidi="ar-SA"/>
              </w:rPr>
            </w:pP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免费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质保期</w:t>
            </w:r>
            <w:r>
              <w:rPr>
                <w:rFonts w:hint="eastAsia" w:ascii="仿宋" w:hAnsi="仿宋" w:eastAsia="仿宋" w:cs="仿宋"/>
                <w:b w:val="0"/>
                <w:color w:val="FF0000"/>
                <w:kern w:val="2"/>
                <w:sz w:val="20"/>
                <w:szCs w:val="20"/>
                <w:lang w:val="en-US" w:eastAsia="zh-CN" w:bidi="ar-SA"/>
              </w:rPr>
              <w:t>（3年及以上）</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后期</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维护费</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FF0000"/>
                <w:kern w:val="2"/>
                <w:sz w:val="20"/>
                <w:szCs w:val="20"/>
                <w:lang w:val="en-US" w:eastAsia="zh-CN" w:bidi="ar-SA"/>
              </w:rPr>
              <w:t>（不得高于合同金额5%）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15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1</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3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实施周期：X天</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驻场实施人数：X人</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X年</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合同金额的5%</w:t>
            </w:r>
          </w:p>
        </w:tc>
        <w:tc>
          <w:tcPr>
            <w:tcW w:w="3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2.智慧管理：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0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8991"/>
      <w:r>
        <w:rPr>
          <w:rFonts w:hint="eastAsia"/>
          <w:lang w:val="en-US" w:eastAsia="zh-CN"/>
        </w:rPr>
        <w:t>调研项目配置清单及分项报价明细</w:t>
      </w:r>
      <w:bookmarkEnd w:id="24"/>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1714"/>
      <w:r>
        <w:rPr>
          <w:rFonts w:hint="eastAsia"/>
          <w:lang w:val="en-US" w:eastAsia="zh-CN"/>
        </w:rPr>
        <w:t>五、三甲综合医院同类项目案例</w:t>
      </w:r>
      <w:bookmarkEnd w:id="25"/>
    </w:p>
    <w:p>
      <w:pPr>
        <w:pStyle w:val="4"/>
        <w:bidi w:val="0"/>
        <w:ind w:firstLine="482" w:firstLineChars="200"/>
        <w:rPr>
          <w:rFonts w:hint="eastAsia"/>
          <w:lang w:val="en-US" w:eastAsia="zh-CN"/>
        </w:rPr>
      </w:pPr>
      <w:bookmarkStart w:id="26" w:name="_Toc30354"/>
      <w:r>
        <w:rPr>
          <w:rFonts w:hint="eastAsia"/>
          <w:lang w:val="en-US" w:eastAsia="zh-CN"/>
        </w:rPr>
        <w:t>5.1 四川省内（  ）家</w:t>
      </w:r>
      <w:bookmarkEnd w:id="26"/>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1"/>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7" w:name="_Toc21686"/>
      <w:r>
        <w:rPr>
          <w:rFonts w:hint="eastAsia"/>
          <w:lang w:val="en-US" w:eastAsia="zh-CN"/>
        </w:rPr>
        <w:t>5.2 四川省外（  ）家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28" w:name="_Toc30797"/>
      <w:bookmarkStart w:id="29" w:name="_Toc138151651"/>
      <w:r>
        <w:rPr>
          <w:rFonts w:hint="eastAsia"/>
          <w:lang w:val="en-US" w:eastAsia="zh-CN"/>
        </w:rPr>
        <w:t>5.3三甲综合医院同类项目案例合同及验收佐证</w:t>
      </w:r>
      <w:bookmarkEnd w:id="28"/>
      <w:bookmarkEnd w:id="29"/>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0" w:name="_Toc138151652"/>
      <w:bookmarkStart w:id="31" w:name="_Toc31471"/>
      <w:r>
        <w:rPr>
          <w:rFonts w:hint="eastAsia"/>
          <w:lang w:val="en-US" w:eastAsia="zh-CN"/>
        </w:rPr>
        <w:t>六、报价表</w:t>
      </w:r>
      <w:bookmarkEnd w:id="30"/>
      <w:r>
        <w:rPr>
          <w:rFonts w:hint="eastAsia"/>
          <w:lang w:val="en-US" w:eastAsia="zh-CN"/>
        </w:rPr>
        <w:t>包含内容</w:t>
      </w:r>
      <w:bookmarkEnd w:id="31"/>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2.系统建设实施直至整体验收提供不少于</w:t>
      </w:r>
      <w:r>
        <w:rPr>
          <w:rFonts w:hint="eastAsia" w:ascii="仿宋" w:hAnsi="仿宋" w:eastAsia="仿宋" w:cs="仿宋"/>
          <w:b w:val="0"/>
          <w:color w:val="ED7D31" w:themeColor="accent2"/>
          <w:kern w:val="2"/>
          <w:sz w:val="24"/>
          <w:szCs w:val="24"/>
          <w:lang w:val="en-US" w:eastAsia="zh-CN" w:bidi="ar-SA"/>
          <w14:textFill>
            <w14:solidFill>
              <w14:schemeClr w14:val="accent2"/>
            </w14:solidFill>
          </w14:textFill>
        </w:rPr>
        <w:t>1名</w:t>
      </w:r>
      <w:r>
        <w:rPr>
          <w:rFonts w:hint="eastAsia" w:ascii="仿宋" w:hAnsi="仿宋" w:eastAsia="仿宋" w:cs="仿宋"/>
          <w:b w:val="0"/>
          <w:color w:val="0000FF"/>
          <w:kern w:val="2"/>
          <w:sz w:val="24"/>
          <w:szCs w:val="24"/>
          <w:lang w:val="en-US" w:eastAsia="zh-CN" w:bidi="ar-SA"/>
        </w:rPr>
        <w:t>具有实施经验的技术人员常驻医院现场。</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4.质保期之后，系统维保费率不高于招投标总价的5%。</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default" w:ascii="仿宋" w:hAnsi="仿宋" w:eastAsia="仿宋" w:cs="仿宋"/>
          <w:b w:val="0"/>
          <w:color w:val="0000FF"/>
          <w:kern w:val="2"/>
          <w:sz w:val="24"/>
          <w:szCs w:val="24"/>
          <w:lang w:val="en-US" w:eastAsia="zh-CN" w:bidi="ar-SA"/>
        </w:rPr>
      </w:pPr>
      <w:r>
        <w:rPr>
          <w:rFonts w:hint="eastAsia" w:ascii="仿宋" w:hAnsi="仿宋" w:eastAsia="仿宋" w:cs="仿宋"/>
          <w:b w:val="0"/>
          <w:color w:val="0000FF"/>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rPr>
          <w:rFonts w:hint="eastAsia" w:ascii="仿宋" w:hAnsi="仿宋" w:eastAsia="仿宋" w:cs="仿宋"/>
          <w:b w:val="0"/>
          <w:color w:val="0000FF"/>
          <w:kern w:val="2"/>
          <w:sz w:val="24"/>
          <w:szCs w:val="24"/>
          <w:lang w:val="en-US" w:eastAsia="zh-CN" w:bidi="ar-S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2" w:name="_Toc29830"/>
      <w:r>
        <w:rPr>
          <w:rFonts w:hint="eastAsia"/>
          <w:lang w:val="en-US" w:eastAsia="zh-CN"/>
        </w:rPr>
        <w:t>七、建设方案</w:t>
      </w:r>
      <w:bookmarkEnd w:id="32"/>
      <w:r>
        <w:rPr>
          <w:rFonts w:hint="eastAsia"/>
          <w:lang w:val="en-US" w:eastAsia="zh-CN"/>
        </w:rPr>
        <w:t>（报价方案需详述每个功能模块）</w:t>
      </w:r>
    </w:p>
    <w:p>
      <w:pPr>
        <w:bidi w:val="0"/>
        <w:rPr>
          <w:rFonts w:hint="eastAsia"/>
          <w:lang w:val="en-US" w:eastAsia="zh-CN"/>
        </w:rPr>
      </w:pPr>
      <w:bookmarkStart w:id="33" w:name="_Toc138151653"/>
      <w:r>
        <w:rPr>
          <w:rFonts w:hint="eastAsia"/>
          <w:lang w:val="en-US" w:eastAsia="zh-CN"/>
        </w:rPr>
        <w:t>（包含以上内容，其他内容自拟）</w:t>
      </w:r>
    </w:p>
    <w:p>
      <w:pPr>
        <w:pStyle w:val="4"/>
        <w:bidi w:val="0"/>
        <w:ind w:firstLine="482" w:firstLineChars="200"/>
        <w:rPr>
          <w:rFonts w:hint="eastAsia"/>
          <w:lang w:val="en-US" w:eastAsia="zh-CN"/>
        </w:rPr>
      </w:pPr>
      <w:bookmarkStart w:id="34" w:name="_Toc26174"/>
      <w:r>
        <w:rPr>
          <w:rFonts w:hint="eastAsia"/>
          <w:lang w:val="en-US" w:eastAsia="zh-CN"/>
        </w:rPr>
        <w:t>7.1 实施条件（实施所需的支持条件）</w:t>
      </w:r>
      <w:bookmarkEnd w:id="33"/>
      <w:bookmarkEnd w:id="34"/>
    </w:p>
    <w:p>
      <w:pPr>
        <w:pStyle w:val="4"/>
        <w:bidi w:val="0"/>
        <w:ind w:firstLine="482" w:firstLineChars="200"/>
        <w:rPr>
          <w:rFonts w:hint="eastAsia"/>
          <w:lang w:val="en-US" w:eastAsia="zh-CN"/>
        </w:rPr>
      </w:pPr>
      <w:bookmarkStart w:id="35" w:name="_Toc138151654"/>
      <w:bookmarkStart w:id="36" w:name="_Toc3280"/>
      <w:r>
        <w:rPr>
          <w:rFonts w:hint="eastAsia"/>
          <w:lang w:val="en-US" w:eastAsia="zh-CN"/>
        </w:rPr>
        <w:t>7.2 实施周期</w:t>
      </w:r>
      <w:bookmarkEnd w:id="35"/>
      <w:bookmarkEnd w:id="36"/>
    </w:p>
    <w:p>
      <w:pPr>
        <w:pStyle w:val="4"/>
        <w:bidi w:val="0"/>
        <w:ind w:firstLine="482" w:firstLineChars="200"/>
        <w:rPr>
          <w:rFonts w:hint="eastAsia"/>
          <w:lang w:val="en-US" w:eastAsia="zh-CN"/>
        </w:rPr>
      </w:pPr>
      <w:bookmarkStart w:id="37" w:name="_Toc8279"/>
      <w:bookmarkStart w:id="38" w:name="_Toc138151655"/>
      <w:r>
        <w:rPr>
          <w:rFonts w:hint="eastAsia"/>
          <w:lang w:val="en-US" w:eastAsia="zh-CN"/>
        </w:rPr>
        <w:t>7.3 系统运行环境</w:t>
      </w:r>
      <w:bookmarkEnd w:id="37"/>
      <w:bookmarkEnd w:id="38"/>
    </w:p>
    <w:p>
      <w:pPr>
        <w:pStyle w:val="4"/>
        <w:bidi w:val="0"/>
        <w:ind w:firstLine="482" w:firstLineChars="200"/>
        <w:rPr>
          <w:rFonts w:hint="eastAsia"/>
          <w:lang w:val="en-US" w:eastAsia="zh-CN"/>
        </w:rPr>
      </w:pPr>
      <w:bookmarkStart w:id="39" w:name="_Toc8382"/>
      <w:bookmarkStart w:id="40" w:name="_Toc138151656"/>
      <w:r>
        <w:rPr>
          <w:rFonts w:hint="eastAsia"/>
          <w:lang w:val="en-US" w:eastAsia="zh-CN"/>
        </w:rPr>
        <w:t>7.4 系统总体架构</w:t>
      </w:r>
      <w:bookmarkEnd w:id="39"/>
      <w:bookmarkEnd w:id="40"/>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D0F1667-5322-4D77-9425-CF743C7C831E}"/>
  </w:font>
  <w:font w:name="仿宋">
    <w:panose1 w:val="02010609060101010101"/>
    <w:charset w:val="86"/>
    <w:family w:val="auto"/>
    <w:pitch w:val="default"/>
    <w:sig w:usb0="800002BF" w:usb1="38CF7CFA" w:usb2="00000016" w:usb3="00000000" w:csb0="00040001" w:csb1="00000000"/>
    <w:embedRegular r:id="rId2" w:fontKey="{D6F6ACF1-8A40-489F-8542-D4EF69703420}"/>
  </w:font>
  <w:font w:name="方正小标宋简体">
    <w:panose1 w:val="03000509000000000000"/>
    <w:charset w:val="86"/>
    <w:family w:val="auto"/>
    <w:pitch w:val="default"/>
    <w:sig w:usb0="00000001" w:usb1="080E0000" w:usb2="00000000" w:usb3="00000000" w:csb0="00040000" w:csb1="00000000"/>
    <w:embedRegular r:id="rId3" w:fontKey="{F9323D8D-F31F-4409-B406-1DCD843DA6E6}"/>
  </w:font>
  <w:font w:name="方正黑体简体">
    <w:panose1 w:val="03000509000000000000"/>
    <w:charset w:val="86"/>
    <w:family w:val="auto"/>
    <w:pitch w:val="default"/>
    <w:sig w:usb0="00000001" w:usb1="080E0000" w:usb2="00000000" w:usb3="00000000" w:csb0="00040000" w:csb1="00000000"/>
    <w:embedRegular r:id="rId4" w:fontKey="{EECCE65D-5073-4777-8DD9-28F548F4655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CE7139"/>
    <w:rsid w:val="03D3104E"/>
    <w:rsid w:val="04593878"/>
    <w:rsid w:val="077D4FD6"/>
    <w:rsid w:val="07C537D5"/>
    <w:rsid w:val="0A49096C"/>
    <w:rsid w:val="0BDF1D07"/>
    <w:rsid w:val="0C426528"/>
    <w:rsid w:val="0C811C7B"/>
    <w:rsid w:val="0CDC4161"/>
    <w:rsid w:val="0D5422FE"/>
    <w:rsid w:val="0DD4413B"/>
    <w:rsid w:val="0EA93CA3"/>
    <w:rsid w:val="121A3D4C"/>
    <w:rsid w:val="13712447"/>
    <w:rsid w:val="14386639"/>
    <w:rsid w:val="15CF1F26"/>
    <w:rsid w:val="16207B77"/>
    <w:rsid w:val="18D92EBD"/>
    <w:rsid w:val="1AAF2DD5"/>
    <w:rsid w:val="1AE31E7C"/>
    <w:rsid w:val="1CC43576"/>
    <w:rsid w:val="1DBE13B8"/>
    <w:rsid w:val="1ED65F1E"/>
    <w:rsid w:val="20E172DD"/>
    <w:rsid w:val="20E3342D"/>
    <w:rsid w:val="22A273FF"/>
    <w:rsid w:val="25C63BAB"/>
    <w:rsid w:val="25C67C05"/>
    <w:rsid w:val="283860D8"/>
    <w:rsid w:val="29FF496C"/>
    <w:rsid w:val="2A1F28C7"/>
    <w:rsid w:val="2B8925CC"/>
    <w:rsid w:val="2C6F6170"/>
    <w:rsid w:val="2D755A60"/>
    <w:rsid w:val="2E8E10D4"/>
    <w:rsid w:val="30234286"/>
    <w:rsid w:val="305F1B4D"/>
    <w:rsid w:val="32024D28"/>
    <w:rsid w:val="34B66051"/>
    <w:rsid w:val="38761053"/>
    <w:rsid w:val="38A804E3"/>
    <w:rsid w:val="3A985554"/>
    <w:rsid w:val="3AAB598F"/>
    <w:rsid w:val="3DE4391A"/>
    <w:rsid w:val="3EBE4976"/>
    <w:rsid w:val="3EF73899"/>
    <w:rsid w:val="401E123E"/>
    <w:rsid w:val="428970E4"/>
    <w:rsid w:val="47823284"/>
    <w:rsid w:val="485E35F8"/>
    <w:rsid w:val="49550899"/>
    <w:rsid w:val="4D3F0047"/>
    <w:rsid w:val="4F5F64BA"/>
    <w:rsid w:val="4FB545D4"/>
    <w:rsid w:val="502E58AD"/>
    <w:rsid w:val="536B2A7D"/>
    <w:rsid w:val="53E51F5E"/>
    <w:rsid w:val="541505F1"/>
    <w:rsid w:val="588F5C2B"/>
    <w:rsid w:val="59410223"/>
    <w:rsid w:val="5A920D49"/>
    <w:rsid w:val="5AFE24EA"/>
    <w:rsid w:val="5BB10EFE"/>
    <w:rsid w:val="5D0B01DF"/>
    <w:rsid w:val="5DEA79AF"/>
    <w:rsid w:val="5E2F3B42"/>
    <w:rsid w:val="5FDD7E71"/>
    <w:rsid w:val="62561308"/>
    <w:rsid w:val="62927E29"/>
    <w:rsid w:val="640D6CAC"/>
    <w:rsid w:val="67CB7B5D"/>
    <w:rsid w:val="687304EE"/>
    <w:rsid w:val="6A987C6E"/>
    <w:rsid w:val="6D4B29EE"/>
    <w:rsid w:val="6D6D71FE"/>
    <w:rsid w:val="6EC06CA8"/>
    <w:rsid w:val="6EED01BE"/>
    <w:rsid w:val="6FE31860"/>
    <w:rsid w:val="709E1F5D"/>
    <w:rsid w:val="71B2000E"/>
    <w:rsid w:val="725577F4"/>
    <w:rsid w:val="74BE1DD0"/>
    <w:rsid w:val="75AA5052"/>
    <w:rsid w:val="75BE2C2C"/>
    <w:rsid w:val="76EB7264"/>
    <w:rsid w:val="77F5610B"/>
    <w:rsid w:val="79175759"/>
    <w:rsid w:val="7CB244A3"/>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2024-07-10T07:39:48Z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FD4D918562F44808B3C280D6AA0000B2</vt:lpwstr>
  </property>
</Properties>
</file>