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hint="eastAsia" w:ascii="宋体" w:hAnsi="宋体" w:eastAsia="宋体" w:cstheme="minorBidi"/>
              <w:b/>
              <w:bCs/>
              <w:kern w:val="2"/>
              <w:sz w:val="28"/>
              <w:szCs w:val="28"/>
              <w:lang w:val="en-US" w:eastAsia="zh-CN" w:bidi="ar-SA"/>
            </w:rPr>
            <w:t>信息化项目调研报名</w:t>
          </w:r>
          <w:r>
            <w:rPr>
              <w:rFonts w:ascii="宋体" w:hAnsi="宋体" w:eastAsia="宋体"/>
              <w:b/>
              <w:bCs/>
              <w:sz w:val="28"/>
              <w:szCs w:val="28"/>
            </w:rPr>
            <w:t>目录</w:t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_Toc23984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_Toc23984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_Toc3371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2.资质：</w:t>
          </w:r>
          <w:r>
            <w:tab/>
          </w:r>
          <w:r>
            <w:fldChar w:fldCharType="begin"/>
          </w:r>
          <w:r>
            <w:instrText xml:space="preserve"> PAGEREF _Toc3371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_Toc7717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营业执照副本</w:t>
          </w:r>
          <w:r>
            <w:tab/>
          </w:r>
          <w:r>
            <w:fldChar w:fldCharType="begin"/>
          </w:r>
          <w:r>
            <w:instrText xml:space="preserve"> PAGEREF _Toc7717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_Toc20963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_Toc20963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_Toc29658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_Toc29658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_Toc17106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_Toc17106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_Toc12800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_Toc12800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_Toc8236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_Toc8236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_Toc29364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3.项目调研报价表</w:t>
          </w:r>
          <w:r>
            <w:tab/>
          </w:r>
          <w:r>
            <w:fldChar w:fldCharType="begin"/>
          </w:r>
          <w:r>
            <w:instrText xml:space="preserve"> PAGEREF _Toc29364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_Toc29540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4.三甲综合医院同类项目案例</w:t>
          </w:r>
          <w:r>
            <w:tab/>
          </w:r>
          <w:r>
            <w:fldChar w:fldCharType="begin"/>
          </w:r>
          <w:r>
            <w:instrText xml:space="preserve"> PAGEREF _Toc29540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_Toc23082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4.1 四川省内（  ）家</w:t>
          </w:r>
          <w:r>
            <w:tab/>
          </w:r>
          <w:r>
            <w:fldChar w:fldCharType="begin"/>
          </w:r>
          <w:r>
            <w:instrText xml:space="preserve"> PAGEREF _Toc23082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_Toc13893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4.2 四川省外（  ）家</w:t>
          </w:r>
          <w:r>
            <w:tab/>
          </w:r>
          <w:r>
            <w:fldChar w:fldCharType="begin"/>
          </w:r>
          <w:r>
            <w:instrText xml:space="preserve"> PAGEREF _Toc13893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_Toc20442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4.3三甲综合医院同类项目案例合同及验收佐证</w:t>
          </w:r>
          <w:r>
            <w:tab/>
          </w:r>
          <w:r>
            <w:fldChar w:fldCharType="begin"/>
          </w:r>
          <w:r>
            <w:instrText xml:space="preserve"> PAGEREF _Toc20442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_Toc7131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5.建设方案</w:t>
          </w:r>
          <w:r>
            <w:tab/>
          </w:r>
          <w:r>
            <w:fldChar w:fldCharType="begin"/>
          </w:r>
          <w:r>
            <w:instrText xml:space="preserve"> PAGEREF _Toc7131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_Toc17996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5.1 实施条件（实施所需的支持条件）</w:t>
          </w:r>
          <w:r>
            <w:tab/>
          </w:r>
          <w:r>
            <w:fldChar w:fldCharType="begin"/>
          </w:r>
          <w:r>
            <w:instrText xml:space="preserve"> PAGEREF _Toc17996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_Toc20875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5.2 实施周期</w:t>
          </w:r>
          <w:r>
            <w:tab/>
          </w:r>
          <w:r>
            <w:fldChar w:fldCharType="begin"/>
          </w:r>
          <w:r>
            <w:instrText xml:space="preserve"> PAGEREF _Toc20875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_Toc11849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5.3 系统运行环境</w:t>
          </w:r>
          <w:r>
            <w:tab/>
          </w:r>
          <w:r>
            <w:fldChar w:fldCharType="begin"/>
          </w:r>
          <w:r>
            <w:instrText xml:space="preserve"> PAGEREF _Toc11849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_Toc526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5.4 系统总体架构</w:t>
          </w:r>
          <w:r>
            <w:tab/>
          </w:r>
          <w:r>
            <w:fldChar w:fldCharType="begin"/>
          </w:r>
          <w:r>
            <w:instrText xml:space="preserve"> PAGEREF _Toc526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bidi w:val="0"/>
        <w:jc w:val="both"/>
        <w:rPr>
          <w:rFonts w:hint="eastAsia"/>
        </w:rPr>
      </w:pPr>
      <w:bookmarkStart w:id="0" w:name="_Toc247514300"/>
      <w:bookmarkStart w:id="1" w:name="_Toc7415"/>
      <w:bookmarkStart w:id="2" w:name="_Toc247527848"/>
      <w:bookmarkStart w:id="3" w:name="_Toc10065"/>
      <w:bookmarkStart w:id="4" w:name="_Toc23984"/>
      <w:bookmarkStart w:id="5" w:name="_Toc152042597"/>
      <w:bookmarkStart w:id="6" w:name="_Toc144974876"/>
      <w:bookmarkStart w:id="7" w:name="_Toc427002393"/>
      <w:bookmarkStart w:id="8" w:name="_Toc152045808"/>
      <w:r>
        <w:rPr>
          <w:rFonts w:hint="eastAsia"/>
          <w:lang w:val="en-US" w:eastAsia="zh-CN"/>
        </w:rPr>
        <w:t>1.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7"/>
        <w:tblW w:w="5512" w:type="pct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530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9" w:name="_Toc321933045"/>
            <w:bookmarkStart w:id="10" w:name="_Toc322080001"/>
            <w:bookmarkStart w:id="11" w:name="_Toc3175"/>
            <w:bookmarkStart w:id="12" w:name="_Toc1669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0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56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9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4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02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0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9"/>
      <w:bookmarkEnd w:id="10"/>
      <w:bookmarkEnd w:id="11"/>
      <w:bookmarkEnd w:id="12"/>
    </w:tbl>
    <w:p>
      <w:pPr>
        <w:pStyle w:val="2"/>
        <w:bidi w:val="0"/>
        <w:jc w:val="both"/>
        <w:rPr>
          <w:rFonts w:hint="eastAsia"/>
          <w:lang w:val="en-US" w:eastAsia="zh-CN"/>
        </w:rPr>
      </w:pPr>
      <w:bookmarkStart w:id="13" w:name="_Toc3371"/>
      <w:bookmarkStart w:id="14" w:name="_Toc2669"/>
      <w:r>
        <w:rPr>
          <w:rFonts w:hint="eastAsia"/>
          <w:lang w:val="en-US" w:eastAsia="zh-CN"/>
        </w:rPr>
        <w:t>2.资质：</w:t>
      </w:r>
      <w:bookmarkEnd w:id="13"/>
    </w:p>
    <w:p>
      <w:pPr>
        <w:pStyle w:val="3"/>
        <w:bidi w:val="0"/>
        <w:rPr>
          <w:rFonts w:hint="eastAsia"/>
        </w:rPr>
      </w:pPr>
      <w:bookmarkStart w:id="15" w:name="_Toc7717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营业执照副本</w:t>
      </w:r>
      <w:bookmarkEnd w:id="14"/>
      <w:bookmarkEnd w:id="15"/>
      <w:bookmarkStart w:id="16" w:name="_Toc3036"/>
    </w:p>
    <w:p>
      <w:pPr>
        <w:pStyle w:val="3"/>
        <w:bidi w:val="0"/>
        <w:rPr>
          <w:rFonts w:hint="eastAsia"/>
          <w:lang w:val="en-US" w:eastAsia="zh-CN"/>
        </w:rPr>
      </w:pPr>
      <w:bookmarkStart w:id="17" w:name="_Toc20963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6"/>
      <w:bookmarkEnd w:id="17"/>
    </w:p>
    <w:p>
      <w:pPr>
        <w:pStyle w:val="3"/>
        <w:bidi w:val="0"/>
        <w:rPr>
          <w:rFonts w:hint="eastAsia"/>
          <w:lang w:eastAsia="zh-CN"/>
        </w:rPr>
      </w:pPr>
      <w:bookmarkStart w:id="18" w:name="_Toc29658"/>
      <w:bookmarkStart w:id="19" w:name="_Toc5131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8"/>
      <w:bookmarkEnd w:id="19"/>
    </w:p>
    <w:p>
      <w:pPr>
        <w:pStyle w:val="3"/>
        <w:bidi w:val="0"/>
        <w:rPr>
          <w:rFonts w:hint="eastAsia"/>
          <w:lang w:eastAsia="zh-CN"/>
        </w:rPr>
      </w:pPr>
      <w:bookmarkStart w:id="20" w:name="_Toc22588"/>
      <w:bookmarkStart w:id="21" w:name="_Toc17106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0"/>
      <w:bookmarkEnd w:id="21"/>
    </w:p>
    <w:p>
      <w:pPr>
        <w:pStyle w:val="3"/>
        <w:bidi w:val="0"/>
        <w:rPr>
          <w:rFonts w:hint="eastAsia"/>
          <w:lang w:eastAsia="zh-CN"/>
        </w:rPr>
      </w:pPr>
      <w:bookmarkStart w:id="22" w:name="_Toc11995"/>
      <w:bookmarkStart w:id="23" w:name="_Toc12800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2"/>
      <w:bookmarkEnd w:id="23"/>
    </w:p>
    <w:p>
      <w:pPr>
        <w:pStyle w:val="3"/>
        <w:bidi w:val="0"/>
        <w:rPr>
          <w:rFonts w:hint="eastAsia" w:ascii="宋体" w:hAnsi="宋体" w:eastAsia="宋体" w:cs="宋体"/>
          <w:sz w:val="24"/>
          <w:szCs w:val="24"/>
        </w:rPr>
      </w:pPr>
      <w:bookmarkStart w:id="24" w:name="_Toc8236"/>
      <w:bookmarkStart w:id="25" w:name="_Toc21787"/>
      <w:r>
        <w:rPr>
          <w:rFonts w:hint="eastAsia"/>
          <w:b/>
          <w:lang w:val="en-US" w:eastAsia="zh-CN"/>
        </w:rPr>
        <w:t>2.6开发商委托销售授权函</w:t>
      </w:r>
      <w:bookmarkEnd w:id="24"/>
      <w:bookmarkEnd w:id="25"/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440" w:lineRule="exact"/>
        <w:textAlignment w:val="baseline"/>
        <w:outlineLvl w:val="9"/>
        <w:rPr>
          <w:rFonts w:hint="eastAsia" w:ascii="宋体" w:hAnsi="宋体" w:eastAsia="宋体" w:cs="宋体"/>
          <w:sz w:val="24"/>
        </w:rPr>
      </w:pP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pStyle w:val="9"/>
        <w:rPr>
          <w:rFonts w:hint="eastAsia"/>
          <w:sz w:val="28"/>
          <w:szCs w:val="36"/>
          <w:lang w:val="en-US" w:eastAsia="zh-CN"/>
        </w:rPr>
      </w:pPr>
    </w:p>
    <w:p>
      <w:pPr>
        <w:pStyle w:val="9"/>
        <w:rPr>
          <w:rFonts w:hint="eastAsia"/>
          <w:sz w:val="28"/>
          <w:szCs w:val="36"/>
          <w:lang w:val="en-US" w:eastAsia="zh-CN"/>
        </w:rPr>
      </w:pPr>
    </w:p>
    <w:p>
      <w:pPr>
        <w:pStyle w:val="2"/>
        <w:bidi w:val="0"/>
        <w:jc w:val="both"/>
        <w:rPr>
          <w:rFonts w:hint="eastAsia"/>
          <w:lang w:val="en-US" w:eastAsia="zh-CN"/>
        </w:rPr>
      </w:pPr>
      <w:bookmarkStart w:id="26" w:name="_Toc29364"/>
      <w:r>
        <w:rPr>
          <w:rFonts w:hint="eastAsia"/>
          <w:lang w:val="en-US" w:eastAsia="zh-CN"/>
        </w:rPr>
        <w:t>3.项目调研报价表</w:t>
      </w:r>
      <w:bookmarkEnd w:id="26"/>
    </w:p>
    <w:p>
      <w:pPr>
        <w:pStyle w:val="4"/>
        <w:spacing w:line="36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项目名称：市级人口健康信息平台专线</w:t>
      </w:r>
    </w:p>
    <w:p>
      <w:pPr>
        <w:spacing w:line="36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供应商名称：</w:t>
      </w:r>
    </w:p>
    <w:p>
      <w:pPr>
        <w:pStyle w:val="9"/>
        <w:spacing w:line="36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联系人及联系电话：</w:t>
      </w:r>
    </w:p>
    <w:tbl>
      <w:tblPr>
        <w:tblStyle w:val="7"/>
        <w:tblW w:w="522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419"/>
        <w:gridCol w:w="1962"/>
        <w:gridCol w:w="1973"/>
        <w:gridCol w:w="1373"/>
        <w:gridCol w:w="12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专线需求</w:t>
            </w:r>
          </w:p>
        </w:tc>
        <w:tc>
          <w:tcPr>
            <w:tcW w:w="110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计划服务期限</w:t>
            </w:r>
          </w:p>
        </w:tc>
        <w:tc>
          <w:tcPr>
            <w:tcW w:w="11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报价(元/月/条）</w:t>
            </w:r>
          </w:p>
        </w:tc>
        <w:tc>
          <w:tcPr>
            <w:tcW w:w="77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72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9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带宽10M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9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9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带宽20M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9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9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带宽30M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9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bidi w:val="0"/>
        <w:jc w:val="both"/>
        <w:rPr>
          <w:rFonts w:hint="eastAsia"/>
          <w:lang w:val="en-US" w:eastAsia="zh-CN"/>
        </w:rPr>
      </w:pPr>
      <w:bookmarkStart w:id="27" w:name="_Toc29540"/>
      <w:r>
        <w:rPr>
          <w:rFonts w:hint="eastAsia"/>
          <w:lang w:val="en-US" w:eastAsia="zh-CN"/>
        </w:rPr>
        <w:t>4.三甲综合医院同类项目案例</w:t>
      </w:r>
      <w:bookmarkEnd w:id="27"/>
    </w:p>
    <w:p>
      <w:pPr>
        <w:pStyle w:val="3"/>
        <w:bidi w:val="0"/>
        <w:rPr>
          <w:rFonts w:hint="eastAsia"/>
          <w:lang w:val="en-US" w:eastAsia="zh-CN"/>
        </w:rPr>
      </w:pPr>
      <w:bookmarkStart w:id="28" w:name="_Toc30354"/>
      <w:bookmarkStart w:id="29" w:name="_Toc23082"/>
      <w:r>
        <w:rPr>
          <w:rFonts w:hint="eastAsia"/>
          <w:lang w:val="en-US" w:eastAsia="zh-CN"/>
        </w:rPr>
        <w:t>4.1 四川省内（  ）家</w:t>
      </w:r>
      <w:bookmarkEnd w:id="28"/>
      <w:bookmarkEnd w:id="29"/>
    </w:p>
    <w:tbl>
      <w:tblPr>
        <w:tblStyle w:val="7"/>
        <w:tblpPr w:leftFromText="180" w:rightFromText="180" w:vertAnchor="text" w:horzAnchor="page" w:tblpXSpec="center" w:tblpY="285"/>
        <w:tblOverlap w:val="never"/>
        <w:tblW w:w="0" w:type="auto"/>
        <w:jc w:val="center"/>
        <w:tbl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421"/>
        <w:gridCol w:w="1710"/>
        <w:gridCol w:w="1350"/>
        <w:gridCol w:w="1425"/>
        <w:gridCol w:w="1410"/>
      </w:tblGrid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医院名称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合同标的</w:t>
            </w:r>
          </w:p>
        </w:tc>
        <w:tc>
          <w:tcPr>
            <w:tcW w:w="1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合同金额</w:t>
            </w:r>
          </w:p>
        </w:tc>
        <w:tc>
          <w:tcPr>
            <w:tcW w:w="14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实施年份</w:t>
            </w:r>
          </w:p>
        </w:tc>
        <w:tc>
          <w:tcPr>
            <w:tcW w:w="141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验收时间</w:t>
            </w: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9"/>
        <w:rPr>
          <w:rFonts w:hint="eastAsia" w:ascii="仿宋" w:hAnsi="仿宋" w:eastAsia="仿宋" w:cs="仿宋"/>
          <w:kern w:val="2"/>
          <w:sz w:val="30"/>
          <w:szCs w:val="30"/>
        </w:rPr>
      </w:pPr>
    </w:p>
    <w:p>
      <w:pPr>
        <w:pStyle w:val="3"/>
        <w:bidi w:val="0"/>
        <w:rPr>
          <w:rFonts w:hint="eastAsia"/>
          <w:lang w:val="en-US" w:eastAsia="zh-CN"/>
        </w:rPr>
      </w:pPr>
      <w:bookmarkStart w:id="30" w:name="_Toc21686"/>
      <w:bookmarkStart w:id="31" w:name="_Toc13893"/>
      <w:r>
        <w:rPr>
          <w:rFonts w:hint="eastAsia"/>
          <w:lang w:val="en-US" w:eastAsia="zh-CN"/>
        </w:rPr>
        <w:t>4.2 四川省外（  ）家</w:t>
      </w:r>
      <w:bookmarkEnd w:id="30"/>
      <w:bookmarkEnd w:id="31"/>
    </w:p>
    <w:tbl>
      <w:tblPr>
        <w:tblStyle w:val="7"/>
        <w:tblpPr w:leftFromText="180" w:rightFromText="180" w:vertAnchor="text" w:horzAnchor="page" w:tblpXSpec="center" w:tblpY="285"/>
        <w:tblOverlap w:val="never"/>
        <w:tblW w:w="0" w:type="auto"/>
        <w:jc w:val="center"/>
        <w:tbl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421"/>
        <w:gridCol w:w="1710"/>
        <w:gridCol w:w="1350"/>
        <w:gridCol w:w="1425"/>
        <w:gridCol w:w="1410"/>
      </w:tblGrid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医院名称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合同标的</w:t>
            </w:r>
          </w:p>
        </w:tc>
        <w:tc>
          <w:tcPr>
            <w:tcW w:w="1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合同金额</w:t>
            </w:r>
          </w:p>
        </w:tc>
        <w:tc>
          <w:tcPr>
            <w:tcW w:w="14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实施年份</w:t>
            </w:r>
          </w:p>
        </w:tc>
        <w:tc>
          <w:tcPr>
            <w:tcW w:w="141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验收时间</w:t>
            </w: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bookmarkStart w:id="32" w:name="_Toc30797"/>
      <w:bookmarkStart w:id="33" w:name="_Toc20442"/>
      <w:bookmarkStart w:id="34" w:name="_Toc138151651"/>
      <w:r>
        <w:rPr>
          <w:rFonts w:hint="eastAsia"/>
          <w:lang w:val="en-US" w:eastAsia="zh-CN"/>
        </w:rPr>
        <w:t>4.3三甲综合医院同类项目案例合同及验收佐证</w:t>
      </w:r>
      <w:bookmarkEnd w:id="32"/>
      <w:bookmarkEnd w:id="33"/>
      <w:bookmarkEnd w:id="34"/>
    </w:p>
    <w:p>
      <w:pPr>
        <w:pStyle w:val="2"/>
        <w:bidi w:val="0"/>
        <w:jc w:val="both"/>
        <w:rPr>
          <w:rFonts w:hint="default"/>
          <w:lang w:val="en-US" w:eastAsia="zh-CN"/>
        </w:rPr>
      </w:pPr>
      <w:bookmarkStart w:id="35" w:name="_Toc7131"/>
      <w:r>
        <w:rPr>
          <w:rFonts w:hint="eastAsia"/>
          <w:lang w:val="en-US" w:eastAsia="zh-CN"/>
        </w:rPr>
        <w:t>5.建设方案</w:t>
      </w:r>
      <w:bookmarkEnd w:id="35"/>
    </w:p>
    <w:p>
      <w:pPr>
        <w:bidi w:val="0"/>
        <w:rPr>
          <w:rFonts w:hint="eastAsia"/>
          <w:lang w:val="en-US" w:eastAsia="zh-CN"/>
        </w:rPr>
      </w:pPr>
      <w:bookmarkStart w:id="36" w:name="_Toc138151653"/>
      <w:r>
        <w:rPr>
          <w:rFonts w:hint="eastAsia"/>
          <w:lang w:val="en-US" w:eastAsia="zh-CN"/>
        </w:rPr>
        <w:t>（包含以内容，其他内容自拟）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37" w:name="_Toc26174"/>
      <w:bookmarkStart w:id="38" w:name="_Toc17996"/>
      <w:r>
        <w:rPr>
          <w:rFonts w:hint="eastAsia"/>
          <w:lang w:val="en-US" w:eastAsia="zh-CN"/>
        </w:rPr>
        <w:t>5.1 实施条件（实施所需的支持条件）</w:t>
      </w:r>
      <w:bookmarkEnd w:id="36"/>
      <w:bookmarkEnd w:id="37"/>
      <w:bookmarkEnd w:id="38"/>
    </w:p>
    <w:p>
      <w:pPr>
        <w:pStyle w:val="3"/>
        <w:bidi w:val="0"/>
        <w:rPr>
          <w:rFonts w:hint="eastAsia"/>
          <w:lang w:val="en-US" w:eastAsia="zh-CN"/>
        </w:rPr>
      </w:pPr>
      <w:bookmarkStart w:id="39" w:name="_Toc3280"/>
      <w:bookmarkStart w:id="40" w:name="_Toc138151654"/>
      <w:bookmarkStart w:id="41" w:name="_Toc20875"/>
      <w:r>
        <w:rPr>
          <w:rFonts w:hint="eastAsia"/>
          <w:lang w:val="en-US" w:eastAsia="zh-CN"/>
        </w:rPr>
        <w:t>5.2 实施周期</w:t>
      </w:r>
      <w:bookmarkEnd w:id="39"/>
      <w:bookmarkEnd w:id="40"/>
      <w:bookmarkEnd w:id="41"/>
    </w:p>
    <w:p>
      <w:pPr>
        <w:pStyle w:val="3"/>
        <w:bidi w:val="0"/>
        <w:rPr>
          <w:rFonts w:hint="eastAsia"/>
          <w:lang w:val="en-US" w:eastAsia="zh-CN"/>
        </w:rPr>
      </w:pPr>
      <w:bookmarkStart w:id="42" w:name="_Toc8279"/>
      <w:bookmarkStart w:id="43" w:name="_Toc138151655"/>
      <w:bookmarkStart w:id="44" w:name="_Toc11849"/>
      <w:r>
        <w:rPr>
          <w:rFonts w:hint="eastAsia"/>
          <w:lang w:val="en-US" w:eastAsia="zh-CN"/>
        </w:rPr>
        <w:t>5.3 系统运行环境</w:t>
      </w:r>
      <w:bookmarkEnd w:id="42"/>
      <w:bookmarkEnd w:id="43"/>
      <w:bookmarkEnd w:id="44"/>
    </w:p>
    <w:p>
      <w:pPr>
        <w:pStyle w:val="3"/>
        <w:bidi w:val="0"/>
        <w:rPr>
          <w:rFonts w:hint="eastAsia"/>
          <w:lang w:val="en-US" w:eastAsia="zh-CN"/>
        </w:rPr>
      </w:pPr>
      <w:bookmarkStart w:id="45" w:name="_Toc8382"/>
      <w:bookmarkStart w:id="46" w:name="_Toc526"/>
      <w:bookmarkStart w:id="47" w:name="_Toc138151656"/>
      <w:r>
        <w:rPr>
          <w:rFonts w:hint="eastAsia"/>
          <w:lang w:val="en-US" w:eastAsia="zh-CN"/>
        </w:rPr>
        <w:t>5.4 系统总体架构</w:t>
      </w:r>
      <w:bookmarkEnd w:id="45"/>
      <w:bookmarkEnd w:id="46"/>
      <w:bookmarkEnd w:id="47"/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sz w:val="28"/>
          <w:szCs w:val="36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bookmarkStart w:id="48" w:name="_GoBack"/>
      <w:bookmarkEnd w:id="4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33118"/>
    <w:rsid w:val="2533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5">
    <w:name w:val="toc 1"/>
    <w:basedOn w:val="1"/>
    <w:next w:val="1"/>
    <w:qFormat/>
    <w:uiPriority w:val="39"/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2024-07-24T07:10:00Z</dcterms:created>
  <dc:creator>zora</dc:creator>
  <cp:lastModifiedBy>zora</cp:lastModifiedBy>
  <dcterms:modified xsi:type="dcterms:W3CDTF">2024-07-24T07:11:11Z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E814F9BC74E14976ABE1CA53FDCCD0A0</vt:lpwstr>
  </property>
</Properties>
</file>