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6"/>
        <w:rPr>
          <w:rFonts w:hint="default"/>
          <w:lang w:val="en-US" w:eastAsia="zh-CN"/>
        </w:rPr>
      </w:pPr>
    </w:p>
    <w:p>
      <w:pPr>
        <w:pStyle w:val="6"/>
        <w:rPr>
          <w:rFonts w:hint="eastAsia"/>
          <w:lang w:eastAsia="zh-CN"/>
        </w:rPr>
      </w:pPr>
    </w:p>
    <w:p>
      <w:pPr>
        <w:pStyle w:val="6"/>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_Toc7871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_Toc7871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_Toc638 </w:instrText>
          </w:r>
          <w:r>
            <w:fldChar w:fldCharType="separate"/>
          </w:r>
          <w:r>
            <w:rPr>
              <w:rFonts w:hint="eastAsia"/>
              <w:lang w:val="en-US" w:eastAsia="zh-CN"/>
            </w:rPr>
            <w:t>二、资质：</w:t>
          </w:r>
          <w:r>
            <w:tab/>
          </w:r>
          <w:r>
            <w:fldChar w:fldCharType="begin"/>
          </w:r>
          <w:r>
            <w:instrText xml:space="preserve"> PAGEREF _Toc638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_Toc10667 </w:instrText>
          </w:r>
          <w:r>
            <w:fldChar w:fldCharType="separate"/>
          </w:r>
          <w:r>
            <w:rPr>
              <w:rFonts w:hint="eastAsia"/>
              <w:lang w:val="en-US" w:eastAsia="zh-CN"/>
            </w:rPr>
            <w:t>2.1</w:t>
          </w:r>
          <w:r>
            <w:rPr>
              <w:rFonts w:hint="eastAsia"/>
            </w:rPr>
            <w:t>营业执照</w:t>
          </w:r>
          <w:r>
            <w:tab/>
          </w:r>
          <w:r>
            <w:fldChar w:fldCharType="begin"/>
          </w:r>
          <w:r>
            <w:instrText xml:space="preserve"> PAGEREF _Toc10667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_Toc11741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_Toc11741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_Toc8522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_Toc8522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_Toc16232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_Toc16232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_Toc21131 </w:instrText>
          </w:r>
          <w:r>
            <w:fldChar w:fldCharType="separate"/>
          </w:r>
          <w:r>
            <w:rPr>
              <w:rFonts w:hint="eastAsia"/>
              <w:lang w:val="en-US" w:eastAsia="zh-CN"/>
            </w:rPr>
            <w:t>2.5软件资质</w:t>
          </w:r>
          <w:r>
            <w:tab/>
          </w:r>
          <w:r>
            <w:fldChar w:fldCharType="begin"/>
          </w:r>
          <w:r>
            <w:instrText xml:space="preserve"> PAGEREF _Toc21131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_Toc3224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_Toc3224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_Toc4162 </w:instrText>
          </w:r>
          <w:r>
            <w:fldChar w:fldCharType="separate"/>
          </w:r>
          <w:r>
            <w:rPr>
              <w:rFonts w:hint="eastAsia"/>
              <w:lang w:val="en-US" w:eastAsia="zh-CN"/>
            </w:rPr>
            <w:t>2.7开发商委托销售授权函</w:t>
          </w:r>
          <w:r>
            <w:tab/>
          </w:r>
          <w:r>
            <w:fldChar w:fldCharType="begin"/>
          </w:r>
          <w:r>
            <w:instrText xml:space="preserve"> PAGEREF _Toc4162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_Toc2883 </w:instrText>
          </w:r>
          <w:r>
            <w:fldChar w:fldCharType="separate"/>
          </w:r>
          <w:r>
            <w:rPr>
              <w:rFonts w:hint="eastAsia"/>
              <w:lang w:val="en-US" w:eastAsia="zh-CN"/>
            </w:rPr>
            <w:t>2.8 承诺函</w:t>
          </w:r>
          <w:r>
            <w:tab/>
          </w:r>
          <w:r>
            <w:fldChar w:fldCharType="begin"/>
          </w:r>
          <w:r>
            <w:instrText xml:space="preserve"> PAGEREF _Toc2883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_Toc30193 </w:instrText>
          </w:r>
          <w:r>
            <w:fldChar w:fldCharType="separate"/>
          </w:r>
          <w:r>
            <w:rPr>
              <w:rFonts w:hint="eastAsia"/>
              <w:lang w:val="en-US" w:eastAsia="zh-CN"/>
            </w:rPr>
            <w:t>三、项目调研情况一览汇总表</w:t>
          </w:r>
          <w:r>
            <w:tab/>
          </w:r>
          <w:r>
            <w:fldChar w:fldCharType="begin"/>
          </w:r>
          <w:r>
            <w:instrText xml:space="preserve"> PAGEREF _Toc30193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_Toc6595 </w:instrText>
          </w:r>
          <w:r>
            <w:fldChar w:fldCharType="separate"/>
          </w:r>
          <w:r>
            <w:rPr>
              <w:rFonts w:hint="eastAsia"/>
              <w:lang w:val="en-US" w:eastAsia="zh-CN"/>
            </w:rPr>
            <w:t>四、 调研项目配置清单及分项报价明细</w:t>
          </w:r>
          <w:r>
            <w:tab/>
          </w:r>
          <w:r>
            <w:fldChar w:fldCharType="begin"/>
          </w:r>
          <w:r>
            <w:instrText xml:space="preserve"> PAGEREF _Toc6595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_Toc24038 </w:instrText>
          </w:r>
          <w:r>
            <w:fldChar w:fldCharType="separate"/>
          </w:r>
          <w:r>
            <w:rPr>
              <w:rFonts w:hint="eastAsia"/>
              <w:lang w:val="en-US" w:eastAsia="zh-CN"/>
            </w:rPr>
            <w:t>五、三甲综合医院同类项目案例</w:t>
          </w:r>
          <w:r>
            <w:tab/>
          </w:r>
          <w:r>
            <w:fldChar w:fldCharType="begin"/>
          </w:r>
          <w:r>
            <w:instrText xml:space="preserve"> PAGEREF _Toc24038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_Toc12579 </w:instrText>
          </w:r>
          <w:r>
            <w:fldChar w:fldCharType="separate"/>
          </w:r>
          <w:r>
            <w:rPr>
              <w:rFonts w:hint="eastAsia"/>
              <w:lang w:val="en-US" w:eastAsia="zh-CN"/>
            </w:rPr>
            <w:t>5.1 四川省内（  ）家</w:t>
          </w:r>
          <w:r>
            <w:tab/>
          </w:r>
          <w:r>
            <w:fldChar w:fldCharType="begin"/>
          </w:r>
          <w:r>
            <w:instrText xml:space="preserve"> PAGEREF _Toc12579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_Toc3373 </w:instrText>
          </w:r>
          <w:r>
            <w:fldChar w:fldCharType="separate"/>
          </w:r>
          <w:r>
            <w:rPr>
              <w:rFonts w:hint="eastAsia"/>
              <w:lang w:val="en-US" w:eastAsia="zh-CN"/>
            </w:rPr>
            <w:t>5.2 四川省外（  ）家</w:t>
          </w:r>
          <w:r>
            <w:tab/>
          </w:r>
          <w:r>
            <w:fldChar w:fldCharType="begin"/>
          </w:r>
          <w:r>
            <w:instrText xml:space="preserve"> PAGEREF _Toc3373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_Toc6592 </w:instrText>
          </w:r>
          <w:r>
            <w:fldChar w:fldCharType="separate"/>
          </w:r>
          <w:r>
            <w:rPr>
              <w:rFonts w:hint="eastAsia"/>
              <w:lang w:val="en-US" w:eastAsia="zh-CN"/>
            </w:rPr>
            <w:t>5.3三甲综合医院同类项目案例合同及验收佐证</w:t>
          </w:r>
          <w:r>
            <w:tab/>
          </w:r>
          <w:r>
            <w:fldChar w:fldCharType="begin"/>
          </w:r>
          <w:r>
            <w:instrText xml:space="preserve"> PAGEREF _Toc6592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_Toc27685 </w:instrText>
          </w:r>
          <w:r>
            <w:fldChar w:fldCharType="separate"/>
          </w:r>
          <w:r>
            <w:rPr>
              <w:rFonts w:hint="eastAsia"/>
              <w:lang w:val="en-US" w:eastAsia="zh-CN"/>
            </w:rPr>
            <w:t>六、报价表包含内容</w:t>
          </w:r>
          <w:r>
            <w:tab/>
          </w:r>
          <w:r>
            <w:fldChar w:fldCharType="begin"/>
          </w:r>
          <w:r>
            <w:instrText xml:space="preserve"> PAGEREF _Toc27685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_Toc15885 </w:instrText>
          </w:r>
          <w:r>
            <w:fldChar w:fldCharType="separate"/>
          </w:r>
          <w:r>
            <w:rPr>
              <w:rFonts w:hint="eastAsia"/>
              <w:lang w:val="en-US" w:eastAsia="zh-CN"/>
            </w:rPr>
            <w:t>七、建设方案</w:t>
          </w:r>
          <w:r>
            <w:tab/>
          </w:r>
          <w:r>
            <w:fldChar w:fldCharType="begin"/>
          </w:r>
          <w:r>
            <w:instrText xml:space="preserve"> PAGEREF _Toc15885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_Toc6336 </w:instrText>
          </w:r>
          <w:r>
            <w:fldChar w:fldCharType="separate"/>
          </w:r>
          <w:r>
            <w:rPr>
              <w:rFonts w:hint="eastAsia"/>
              <w:lang w:val="en-US" w:eastAsia="zh-CN"/>
            </w:rPr>
            <w:t>7.1 实施条件（实施所需的支持条件）</w:t>
          </w:r>
          <w:r>
            <w:tab/>
          </w:r>
          <w:r>
            <w:fldChar w:fldCharType="begin"/>
          </w:r>
          <w:r>
            <w:instrText xml:space="preserve"> PAGEREF _Toc6336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_Toc21591 </w:instrText>
          </w:r>
          <w:r>
            <w:fldChar w:fldCharType="separate"/>
          </w:r>
          <w:r>
            <w:rPr>
              <w:rFonts w:hint="eastAsia"/>
              <w:lang w:val="en-US" w:eastAsia="zh-CN"/>
            </w:rPr>
            <w:t>7.2 实施周期</w:t>
          </w:r>
          <w:r>
            <w:tab/>
          </w:r>
          <w:r>
            <w:fldChar w:fldCharType="begin"/>
          </w:r>
          <w:r>
            <w:instrText xml:space="preserve"> PAGEREF _Toc21591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_Toc18352 </w:instrText>
          </w:r>
          <w:r>
            <w:fldChar w:fldCharType="separate"/>
          </w:r>
          <w:r>
            <w:rPr>
              <w:rFonts w:hint="eastAsia"/>
              <w:lang w:val="en-US" w:eastAsia="zh-CN"/>
            </w:rPr>
            <w:t>7.3 系统运行环境</w:t>
          </w:r>
          <w:r>
            <w:tab/>
          </w:r>
          <w:r>
            <w:fldChar w:fldCharType="begin"/>
          </w:r>
          <w:r>
            <w:instrText xml:space="preserve"> PAGEREF _Toc18352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_Toc8120 </w:instrText>
          </w:r>
          <w:r>
            <w:fldChar w:fldCharType="separate"/>
          </w:r>
          <w:r>
            <w:rPr>
              <w:rFonts w:hint="eastAsia"/>
              <w:lang w:val="en-US" w:eastAsia="zh-CN"/>
            </w:rPr>
            <w:t>7.4 系统总体架构</w:t>
          </w:r>
          <w:r>
            <w:tab/>
          </w:r>
          <w:r>
            <w:fldChar w:fldCharType="begin"/>
          </w:r>
          <w:r>
            <w:instrText xml:space="preserve"> PAGEREF _Toc8120 \h </w:instrText>
          </w:r>
          <w:r>
            <w:fldChar w:fldCharType="separate"/>
          </w:r>
          <w:r>
            <w:t>9</w:t>
          </w:r>
          <w:r>
            <w:fldChar w:fldCharType="end"/>
          </w:r>
          <w:r>
            <w:fldChar w:fldCharType="end"/>
          </w:r>
        </w:p>
        <w:p>
          <w:r>
            <w:fldChar w:fldCharType="end"/>
          </w:r>
        </w:p>
      </w:sdtContent>
    </w:sdt>
    <w:p/>
    <w:p/>
    <w:p/>
    <w:p/>
    <w:p/>
    <w:p/>
    <w:p/>
    <w:p/>
    <w:p/>
    <w:p/>
    <w:p/>
    <w:p>
      <w:p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44974876"/>
      <w:bookmarkStart w:id="1" w:name="_Toc247527848"/>
      <w:bookmarkStart w:id="2" w:name="_Toc152042597"/>
      <w:bookmarkStart w:id="3" w:name="_Toc7871"/>
      <w:bookmarkStart w:id="4" w:name="_Toc152045808"/>
      <w:bookmarkStart w:id="5" w:name="_Toc10065"/>
      <w:bookmarkStart w:id="6" w:name="_Toc247514300"/>
      <w:bookmarkStart w:id="7" w:name="_Toc7415"/>
      <w:bookmarkStart w:id="8" w:name="_Toc427002393"/>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4"/>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16693"/>
            <w:bookmarkStart w:id="10" w:name="_Toc322080001"/>
            <w:bookmarkStart w:id="11" w:name="_Toc321933045"/>
            <w:bookmarkStart w:id="12" w:name="_Toc3175"/>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pPr>
        <w:pStyle w:val="4"/>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8522"/>
      <w:bookmarkStart w:id="19" w:name="_Toc5131"/>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22588"/>
      <w:bookmarkStart w:id="21" w:name="_Toc16232"/>
      <w:r>
        <w:rPr>
          <w:rFonts w:hint="eastAsia"/>
          <w:lang w:val="en-US" w:eastAsia="zh-CN"/>
        </w:rPr>
        <w:t>2.4</w:t>
      </w:r>
      <w:r>
        <w:rPr>
          <w:rFonts w:hint="eastAsia"/>
          <w:lang w:eastAsia="zh-CN"/>
        </w:rPr>
        <w:t>公司资质</w:t>
      </w:r>
      <w:bookmarkEnd w:id="20"/>
      <w:bookmarkEnd w:id="21"/>
    </w:p>
    <w:p>
      <w:pPr>
        <w:pStyle w:val="4"/>
        <w:bidi w:val="0"/>
        <w:rPr>
          <w:rFonts w:hint="default"/>
          <w:lang w:val="en-US" w:eastAsia="zh-CN"/>
        </w:rPr>
      </w:pPr>
      <w:bookmarkStart w:id="22" w:name="_Toc21131"/>
      <w:r>
        <w:rPr>
          <w:rFonts w:hint="eastAsia"/>
          <w:lang w:val="en-US" w:eastAsia="zh-CN"/>
        </w:rPr>
        <w:t>2.5软件资质</w:t>
      </w:r>
      <w:bookmarkEnd w:id="22"/>
    </w:p>
    <w:p>
      <w:pPr>
        <w:pStyle w:val="4"/>
        <w:bidi w:val="0"/>
        <w:rPr>
          <w:rFonts w:hint="eastAsia"/>
          <w:lang w:eastAsia="zh-CN"/>
        </w:rPr>
      </w:pPr>
      <w:bookmarkStart w:id="23" w:name="_Toc3224"/>
      <w:bookmarkStart w:id="24" w:name="_Toc11995"/>
      <w:r>
        <w:rPr>
          <w:rFonts w:hint="eastAsia"/>
          <w:lang w:val="en-US" w:eastAsia="zh-CN"/>
        </w:rPr>
        <w:t>2.6本项目涉及</w:t>
      </w:r>
      <w:r>
        <w:rPr>
          <w:rFonts w:hint="eastAsia"/>
          <w:lang w:eastAsia="zh-CN"/>
        </w:rPr>
        <w:t>资质</w:t>
      </w:r>
      <w:bookmarkEnd w:id="23"/>
      <w:bookmarkEnd w:id="24"/>
    </w:p>
    <w:p>
      <w:pPr>
        <w:pStyle w:val="4"/>
        <w:bidi w:val="0"/>
        <w:rPr>
          <w:rFonts w:hint="eastAsia"/>
          <w:b/>
          <w:lang w:val="en-US" w:eastAsia="zh-CN"/>
        </w:rPr>
      </w:pPr>
      <w:bookmarkStart w:id="25" w:name="_Toc21787"/>
      <w:bookmarkStart w:id="26" w:name="_Toc4162"/>
      <w:r>
        <w:rPr>
          <w:rFonts w:hint="eastAsia"/>
          <w:b/>
          <w:lang w:val="en-US" w:eastAsia="zh-CN"/>
        </w:rPr>
        <w:t>2.7开发商委托销售授权函</w:t>
      </w:r>
      <w:bookmarkEnd w:id="25"/>
      <w:bookmarkEnd w:id="26"/>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4"/>
        <w:bidi w:val="0"/>
        <w:rPr>
          <w:rFonts w:hint="default"/>
          <w:b/>
          <w:lang w:val="en-US" w:eastAsia="zh-CN"/>
        </w:rPr>
      </w:pPr>
      <w:bookmarkStart w:id="27" w:name="_Toc2883"/>
      <w:r>
        <w:rPr>
          <w:rFonts w:hint="eastAsia"/>
          <w:b/>
          <w:lang w:val="en-US" w:eastAsia="zh-CN"/>
        </w:rPr>
        <w:t>2.8 承诺函</w:t>
      </w:r>
      <w:bookmarkEnd w:id="27"/>
    </w:p>
    <w:p>
      <w:pPr>
        <w:pStyle w:val="7"/>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pPr>
        <w:pStyle w:val="7"/>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8"/>
        <w:spacing w:line="360" w:lineRule="auto"/>
        <w:ind w:firstLine="420" w:firstLineChars="200"/>
        <w:rPr>
          <w:rFonts w:hAnsi="宋体" w:cs="Times New Roman"/>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4"/>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778"/>
        <w:gridCol w:w="2078"/>
        <w:gridCol w:w="1272"/>
        <w:gridCol w:w="2023"/>
        <w:gridCol w:w="971"/>
        <w:gridCol w:w="909"/>
        <w:gridCol w:w="810"/>
        <w:gridCol w:w="3543"/>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产品公司名称</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实施周期及常驻实施人员</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（3年及以上）</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优势特色</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95"/>
      <w:r>
        <w:rPr>
          <w:rFonts w:hint="eastAsia"/>
          <w:lang w:val="en-US" w:eastAsia="zh-CN"/>
        </w:rPr>
        <w:t>调研项目配置清单及分项报价明细</w:t>
      </w:r>
      <w:bookmarkEnd w:id="29"/>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038"/>
      <w:r>
        <w:rPr>
          <w:rFonts w:hint="eastAsia"/>
          <w:lang w:val="en-US" w:eastAsia="zh-CN"/>
        </w:rPr>
        <w:t>五、三甲综合医院同类项目案例</w:t>
      </w:r>
      <w:bookmarkEnd w:id="30"/>
    </w:p>
    <w:p>
      <w:pPr>
        <w:pStyle w:val="4"/>
        <w:bidi w:val="0"/>
        <w:ind w:firstLine="482" w:firstLineChars="200"/>
        <w:rPr>
          <w:rFonts w:hint="eastAsia"/>
          <w:lang w:val="en-US" w:eastAsia="zh-CN"/>
        </w:rPr>
      </w:pPr>
      <w:bookmarkStart w:id="31" w:name="_Toc12579"/>
      <w:r>
        <w:rPr>
          <w:rFonts w:hint="eastAsia"/>
          <w:lang w:val="en-US" w:eastAsia="zh-CN"/>
        </w:rPr>
        <w:t>5.1 四川省内（  ）家</w:t>
      </w:r>
      <w:bookmarkEnd w:id="31"/>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5"/>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32" w:name="_Toc3373"/>
      <w:r>
        <w:rPr>
          <w:rFonts w:hint="eastAsia"/>
          <w:lang w:val="en-US" w:eastAsia="zh-CN"/>
        </w:rPr>
        <w:t>5.2 四川省外（  ）家</w:t>
      </w:r>
      <w:bookmarkEnd w:id="32"/>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33" w:name="_Toc6592"/>
      <w:bookmarkStart w:id="34" w:name="_Toc138151651"/>
      <w:r>
        <w:rPr>
          <w:rFonts w:hint="eastAsia"/>
          <w:lang w:val="en-US" w:eastAsia="zh-CN"/>
        </w:rPr>
        <w:t>5.3三甲综合医院同类项目案例合同及验收佐证</w:t>
      </w:r>
      <w:bookmarkEnd w:id="33"/>
      <w:bookmarkEnd w:id="34"/>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5" w:name="_Toc138151652"/>
      <w:bookmarkStart w:id="36" w:name="_Toc27685"/>
      <w:r>
        <w:rPr>
          <w:rFonts w:hint="eastAsia"/>
          <w:lang w:val="en-US" w:eastAsia="zh-CN"/>
        </w:rPr>
        <w:t>六、报价表</w:t>
      </w:r>
      <w:bookmarkEnd w:id="35"/>
      <w:r>
        <w:rPr>
          <w:rFonts w:hint="eastAsia"/>
          <w:lang w:val="en-US" w:eastAsia="zh-CN"/>
        </w:rPr>
        <w:t>包含内容</w:t>
      </w:r>
      <w:bookmarkEnd w:id="36"/>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2"/>
        <w:spacing w:line="240" w:lineRule="auto"/>
        <w:ind w:firstLine="560"/>
        <w:rPr>
          <w:rFonts w:hint="default" w:ascii="仿宋" w:hAnsi="仿宋" w:eastAsia="仿宋" w:cs="仿宋"/>
          <w:b w:val="0"/>
          <w:color w:val="auto"/>
          <w:kern w:val="2"/>
          <w:sz w:val="24"/>
          <w:szCs w:val="24"/>
          <w:lang w:val="en-US" w:eastAsia="zh-CN" w:bidi="ar-SA"/>
        </w:rPr>
      </w:pPr>
      <w:r>
        <w:rPr>
          <w:rFonts w:hint="default" w:ascii="仿宋" w:hAnsi="仿宋" w:eastAsia="仿宋" w:cs="仿宋"/>
          <w:b w:val="0"/>
          <w:color w:val="auto"/>
          <w:kern w:val="2"/>
          <w:sz w:val="24"/>
          <w:szCs w:val="24"/>
          <w:lang w:val="en-US" w:eastAsia="zh-CN" w:bidi="ar-SA"/>
        </w:rPr>
        <w:t>8.报价包含提供第三方测评公司出具的测评报告(包括功能、性能、安全等)。</w:t>
      </w:r>
      <w:bookmarkStart w:id="46" w:name="_GoBack"/>
      <w:bookmarkEnd w:id="46"/>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15885"/>
      <w:r>
        <w:rPr>
          <w:rFonts w:hint="eastAsia"/>
          <w:lang w:val="en-US" w:eastAsia="zh-CN"/>
        </w:rPr>
        <w:t>七、建设方案</w:t>
      </w:r>
      <w:bookmarkEnd w:id="37"/>
    </w:p>
    <w:p>
      <w:pPr>
        <w:bidi w:val="0"/>
        <w:rPr>
          <w:rFonts w:hint="eastAsia"/>
          <w:lang w:val="en-US" w:eastAsia="zh-CN"/>
        </w:rPr>
      </w:pPr>
      <w:bookmarkStart w:id="38"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39" w:name="_Toc6336"/>
      <w:r>
        <w:rPr>
          <w:rFonts w:hint="eastAsia"/>
          <w:lang w:val="en-US" w:eastAsia="zh-CN"/>
        </w:rPr>
        <w:t>7.1 实施条件（实施所需的支持条件）</w:t>
      </w:r>
      <w:bookmarkEnd w:id="38"/>
      <w:bookmarkEnd w:id="39"/>
    </w:p>
    <w:p>
      <w:pPr>
        <w:pStyle w:val="4"/>
        <w:bidi w:val="0"/>
        <w:ind w:firstLine="482" w:firstLineChars="200"/>
        <w:rPr>
          <w:rFonts w:hint="eastAsia"/>
          <w:lang w:val="en-US" w:eastAsia="zh-CN"/>
        </w:rPr>
      </w:pPr>
      <w:bookmarkStart w:id="40" w:name="_Toc138151654"/>
      <w:bookmarkStart w:id="41" w:name="_Toc21591"/>
      <w:r>
        <w:rPr>
          <w:rFonts w:hint="eastAsia"/>
          <w:lang w:val="en-US" w:eastAsia="zh-CN"/>
        </w:rPr>
        <w:t>7.2 实施周期</w:t>
      </w:r>
      <w:bookmarkEnd w:id="40"/>
      <w:bookmarkEnd w:id="41"/>
    </w:p>
    <w:p>
      <w:pPr>
        <w:pStyle w:val="4"/>
        <w:bidi w:val="0"/>
        <w:ind w:firstLine="482" w:firstLineChars="200"/>
        <w:rPr>
          <w:rFonts w:hint="eastAsia"/>
          <w:lang w:val="en-US" w:eastAsia="zh-CN"/>
        </w:rPr>
      </w:pPr>
      <w:bookmarkStart w:id="42" w:name="_Toc138151655"/>
      <w:bookmarkStart w:id="43" w:name="_Toc18352"/>
      <w:r>
        <w:rPr>
          <w:rFonts w:hint="eastAsia"/>
          <w:lang w:val="en-US" w:eastAsia="zh-CN"/>
        </w:rPr>
        <w:t>7.3 系统运行环境</w:t>
      </w:r>
      <w:bookmarkEnd w:id="42"/>
      <w:bookmarkEnd w:id="43"/>
    </w:p>
    <w:p>
      <w:pPr>
        <w:pStyle w:val="4"/>
        <w:bidi w:val="0"/>
        <w:ind w:firstLine="482" w:firstLineChars="200"/>
        <w:rPr>
          <w:rFonts w:hint="eastAsia"/>
          <w:lang w:val="en-US" w:eastAsia="zh-CN"/>
        </w:rPr>
      </w:pPr>
      <w:bookmarkStart w:id="44" w:name="_Toc8120"/>
      <w:bookmarkStart w:id="45" w:name="_Toc138151656"/>
      <w:r>
        <w:rPr>
          <w:rFonts w:hint="eastAsia"/>
          <w:lang w:val="en-US" w:eastAsia="zh-CN"/>
        </w:rPr>
        <w:t>7.4 系统总体架构</w:t>
      </w:r>
      <w:bookmarkEnd w:id="44"/>
      <w:bookmarkEnd w:id="45"/>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7053B55-9D33-41AD-8881-603B22F1B90B}"/>
  </w:font>
  <w:font w:name="仿宋">
    <w:panose1 w:val="02010609060101010101"/>
    <w:charset w:val="86"/>
    <w:family w:val="auto"/>
    <w:pitch w:val="default"/>
    <w:sig w:usb0="800002BF" w:usb1="38CF7CFA" w:usb2="00000016" w:usb3="00000000" w:csb0="00040001" w:csb1="00000000"/>
    <w:embedRegular r:id="rId2" w:fontKey="{A957DF21-9011-4051-B0F2-6F6041ED4740}"/>
  </w:font>
  <w:font w:name="方正小标宋简体">
    <w:panose1 w:val="03000509000000000000"/>
    <w:charset w:val="86"/>
    <w:family w:val="auto"/>
    <w:pitch w:val="default"/>
    <w:sig w:usb0="00000001" w:usb1="080E0000" w:usb2="00000000" w:usb3="00000000" w:csb0="00040000" w:csb1="00000000"/>
    <w:embedRegular r:id="rId3" w:fontKey="{D467FC76-B5D1-4B54-9481-AE3DE76357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2CE7139"/>
    <w:rsid w:val="030430D0"/>
    <w:rsid w:val="037F580B"/>
    <w:rsid w:val="03D3104E"/>
    <w:rsid w:val="04593878"/>
    <w:rsid w:val="0A3F0C92"/>
    <w:rsid w:val="0B915D31"/>
    <w:rsid w:val="0C811C7B"/>
    <w:rsid w:val="0CDC4161"/>
    <w:rsid w:val="0D5422FE"/>
    <w:rsid w:val="0DD4413B"/>
    <w:rsid w:val="0DDB42A4"/>
    <w:rsid w:val="0E6E4D2B"/>
    <w:rsid w:val="0EA93CA3"/>
    <w:rsid w:val="0F537E5E"/>
    <w:rsid w:val="121A3D4C"/>
    <w:rsid w:val="13712447"/>
    <w:rsid w:val="14582BB7"/>
    <w:rsid w:val="150F45F1"/>
    <w:rsid w:val="16207B77"/>
    <w:rsid w:val="175A145D"/>
    <w:rsid w:val="18D92EBD"/>
    <w:rsid w:val="18E35B95"/>
    <w:rsid w:val="18E667CA"/>
    <w:rsid w:val="1A4F72D2"/>
    <w:rsid w:val="1AAF2DD5"/>
    <w:rsid w:val="1AE31E7C"/>
    <w:rsid w:val="1ED65F1E"/>
    <w:rsid w:val="1FC870AB"/>
    <w:rsid w:val="20E172DD"/>
    <w:rsid w:val="20E3342D"/>
    <w:rsid w:val="22A273FF"/>
    <w:rsid w:val="23595A90"/>
    <w:rsid w:val="25C63BAB"/>
    <w:rsid w:val="25C67C05"/>
    <w:rsid w:val="283860D8"/>
    <w:rsid w:val="29FF496C"/>
    <w:rsid w:val="2B8925CC"/>
    <w:rsid w:val="2C6F6170"/>
    <w:rsid w:val="2D755A60"/>
    <w:rsid w:val="2E8E10D4"/>
    <w:rsid w:val="305F1B4D"/>
    <w:rsid w:val="34B66051"/>
    <w:rsid w:val="38761053"/>
    <w:rsid w:val="38A804E3"/>
    <w:rsid w:val="3A985554"/>
    <w:rsid w:val="3AAB598F"/>
    <w:rsid w:val="3EBE4976"/>
    <w:rsid w:val="3EF73899"/>
    <w:rsid w:val="3FF23327"/>
    <w:rsid w:val="41C31DB2"/>
    <w:rsid w:val="428970E4"/>
    <w:rsid w:val="49550899"/>
    <w:rsid w:val="4F5F64BA"/>
    <w:rsid w:val="4FB545D4"/>
    <w:rsid w:val="502E58AD"/>
    <w:rsid w:val="5229783A"/>
    <w:rsid w:val="536B2A7D"/>
    <w:rsid w:val="53E51F5E"/>
    <w:rsid w:val="541505F1"/>
    <w:rsid w:val="55AE0EF4"/>
    <w:rsid w:val="56BF65F2"/>
    <w:rsid w:val="59410223"/>
    <w:rsid w:val="5BB10EFE"/>
    <w:rsid w:val="5DEA79AF"/>
    <w:rsid w:val="5E2F3B42"/>
    <w:rsid w:val="62561308"/>
    <w:rsid w:val="62927E29"/>
    <w:rsid w:val="640D6CAC"/>
    <w:rsid w:val="67CB7B5D"/>
    <w:rsid w:val="68375408"/>
    <w:rsid w:val="687304EE"/>
    <w:rsid w:val="6A987C6E"/>
    <w:rsid w:val="6D4B29EE"/>
    <w:rsid w:val="6D6D71FE"/>
    <w:rsid w:val="6EC06CA8"/>
    <w:rsid w:val="6EED01BE"/>
    <w:rsid w:val="709E1F5D"/>
    <w:rsid w:val="71B2000E"/>
    <w:rsid w:val="725577F4"/>
    <w:rsid w:val="74BE1DD0"/>
    <w:rsid w:val="75BD6E1E"/>
    <w:rsid w:val="75BE2C2C"/>
    <w:rsid w:val="76EB7264"/>
    <w:rsid w:val="77F5610B"/>
    <w:rsid w:val="79175759"/>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customStyle="1" w:styleId="18">
    <w:name w:val="font81"/>
    <w:basedOn w:val="16"/>
    <w:qFormat/>
    <w:uiPriority w:val="0"/>
    <w:rPr>
      <w:rFonts w:hint="eastAsia" w:ascii="仿宋" w:hAnsi="仿宋" w:eastAsia="仿宋" w:cs="仿宋"/>
      <w:color w:val="FF0000"/>
      <w:sz w:val="24"/>
      <w:szCs w:val="24"/>
      <w:u w:val="none"/>
    </w:rPr>
  </w:style>
  <w:style w:type="character" w:customStyle="1" w:styleId="19">
    <w:name w:val="font61"/>
    <w:basedOn w:val="16"/>
    <w:qFormat/>
    <w:uiPriority w:val="0"/>
    <w:rPr>
      <w:rFonts w:hint="eastAsia" w:ascii="仿宋" w:hAnsi="仿宋" w:eastAsia="仿宋" w:cs="仿宋"/>
      <w:color w:val="000000"/>
      <w:sz w:val="24"/>
      <w:szCs w:val="24"/>
      <w:u w:val="none"/>
    </w:rPr>
  </w:style>
  <w:style w:type="character" w:customStyle="1" w:styleId="20">
    <w:name w:val="font41"/>
    <w:basedOn w:val="16"/>
    <w:qFormat/>
    <w:uiPriority w:val="0"/>
    <w:rPr>
      <w:rFonts w:hint="eastAsia" w:ascii="仿宋" w:hAnsi="仿宋" w:eastAsia="仿宋" w:cs="仿宋"/>
      <w:color w:val="000000"/>
      <w:sz w:val="24"/>
      <w:szCs w:val="24"/>
      <w:u w:val="none"/>
    </w:rPr>
  </w:style>
  <w:style w:type="character" w:customStyle="1" w:styleId="21">
    <w:name w:val="font71"/>
    <w:basedOn w:val="16"/>
    <w:qFormat/>
    <w:uiPriority w:val="0"/>
    <w:rPr>
      <w:rFonts w:hint="eastAsia" w:ascii="仿宋" w:hAnsi="仿宋" w:eastAsia="仿宋" w:cs="仿宋"/>
      <w:color w:val="0070C0"/>
      <w:sz w:val="24"/>
      <w:szCs w:val="24"/>
      <w:u w:val="none"/>
    </w:rPr>
  </w:style>
  <w:style w:type="character" w:customStyle="1" w:styleId="22">
    <w:name w:val="font51"/>
    <w:basedOn w:val="16"/>
    <w:qFormat/>
    <w:uiPriority w:val="0"/>
    <w:rPr>
      <w:rFonts w:hint="eastAsia" w:ascii="宋体" w:hAnsi="宋体" w:eastAsia="宋体" w:cs="宋体"/>
      <w:color w:val="000000"/>
      <w:sz w:val="24"/>
      <w:szCs w:val="24"/>
      <w:u w:val="none"/>
    </w:rPr>
  </w:style>
  <w:style w:type="character" w:customStyle="1" w:styleId="23">
    <w:name w:val="font21"/>
    <w:basedOn w:val="16"/>
    <w:qFormat/>
    <w:uiPriority w:val="0"/>
    <w:rPr>
      <w:rFonts w:hint="eastAsia" w:ascii="宋体" w:hAnsi="宋体" w:eastAsia="宋体" w:cs="宋体"/>
      <w:color w:val="000000"/>
      <w:sz w:val="22"/>
      <w:szCs w:val="22"/>
      <w:u w:val="none"/>
    </w:rPr>
  </w:style>
  <w:style w:type="character" w:customStyle="1" w:styleId="24">
    <w:name w:val="font11"/>
    <w:basedOn w:val="16"/>
    <w:qFormat/>
    <w:uiPriority w:val="0"/>
    <w:rPr>
      <w:rFonts w:hint="eastAsia" w:ascii="宋体" w:hAnsi="宋体" w:eastAsia="宋体" w:cs="宋体"/>
      <w:b/>
      <w:bCs/>
      <w:color w:val="000000"/>
      <w:sz w:val="24"/>
      <w:szCs w:val="24"/>
      <w:u w:val="none"/>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
    <w:name w:val="font31"/>
    <w:basedOn w:val="16"/>
    <w:qFormat/>
    <w:uiPriority w:val="0"/>
    <w:rPr>
      <w:rFonts w:hint="eastAsia" w:ascii="宋体" w:hAnsi="宋体" w:eastAsia="宋体" w:cs="宋体"/>
      <w:color w:val="000000"/>
      <w:sz w:val="24"/>
      <w:szCs w:val="24"/>
      <w:u w:val="none"/>
    </w:rPr>
  </w:style>
  <w:style w:type="character" w:customStyle="1" w:styleId="2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11</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李凤</cp:lastModifiedBy>
  <cp:lastPrinted>2024-01-10T00:56:00Z</cp:lastPrinted>
  <dcterms:modified xsi:type="dcterms:W3CDTF">2024-03-06T08:36:36Z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2BE5B3BE4C4646EAA0CBC1FE6BCE9D2B_13</vt:lpwstr>
  </property>
</Properties>
</file>