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w:t>
      </w:r>
      <w:r>
        <w:rPr>
          <w:rFonts w:hint="eastAsia" w:ascii="仿宋" w:hAnsi="仿宋" w:eastAsia="仿宋" w:cs="仿宋"/>
          <w:i w:val="0"/>
          <w:iCs w:val="0"/>
          <w:color w:val="auto"/>
          <w:sz w:val="28"/>
          <w:szCs w:val="28"/>
          <w:u w:val="none"/>
          <w:lang w:val="en-US" w:eastAsia="zh-CN"/>
        </w:rPr>
        <w:t>1130020890@qq.com</w:t>
      </w:r>
      <w:r>
        <w:rPr>
          <w:rFonts w:hint="eastAsia" w:ascii="仿宋" w:hAnsi="仿宋" w:eastAsia="仿宋" w:cs="仿宋"/>
          <w:b w:val="0"/>
          <w:bCs w:val="0"/>
          <w:color w:val="auto"/>
          <w:sz w:val="30"/>
          <w:szCs w:val="30"/>
          <w:lang w:val="en-US" w:eastAsia="zh-CN"/>
        </w:rPr>
        <w:t>，并抄送至2539231388@qq.com。邮件名称：“XXXX项目名称（公司名称+联系人+联系电话）”</w:t>
      </w:r>
      <w:r>
        <w:rPr>
          <w:rFonts w:hint="eastAsia" w:ascii="仿宋" w:hAnsi="仿宋" w:eastAsia="仿宋" w:cs="仿宋"/>
          <w:b w:val="0"/>
          <w:bCs w:val="0"/>
          <w:color w:val="auto"/>
          <w:kern w:val="0"/>
          <w:sz w:val="30"/>
          <w:szCs w:val="30"/>
          <w:lang w:val="en-US" w:eastAsia="zh-CN" w:bidi="ar-SA"/>
        </w:rPr>
        <w:br w:type="textWrapping"/>
      </w:r>
      <w:r>
        <w:rPr>
          <w:rFonts w:hint="eastAsia" w:ascii="仿宋" w:hAnsi="仿宋" w:eastAsia="仿宋" w:cs="仿宋"/>
          <w:b w:val="0"/>
          <w:bCs w:val="0"/>
          <w:color w:val="auto"/>
          <w:kern w:val="0"/>
          <w:sz w:val="30"/>
          <w:szCs w:val="30"/>
          <w:lang w:val="en-US" w:eastAsia="zh-CN" w:bidi="ar-SA"/>
        </w:rPr>
        <w:t xml:space="preserve">    </w:t>
      </w: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pPr>
        <w:pStyle w:val="2"/>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pPr>
        <w:rPr>
          <w:rFonts w:hint="eastAsia"/>
          <w:lang w:val="en-US" w:eastAsia="zh-CN"/>
        </w:rPr>
      </w:pPr>
    </w:p>
    <w:p>
      <w:pPr>
        <w:pStyle w:val="6"/>
        <w:rPr>
          <w:rFonts w:hint="default"/>
          <w:lang w:val="en-US" w:eastAsia="zh-CN"/>
        </w:rPr>
      </w:pPr>
    </w:p>
    <w:p>
      <w:pPr>
        <w:pStyle w:val="6"/>
        <w:rPr>
          <w:rFonts w:hint="eastAsia"/>
          <w:lang w:eastAsia="zh-CN"/>
        </w:rPr>
      </w:pPr>
    </w:p>
    <w:p>
      <w:pPr>
        <w:pStyle w:val="6"/>
        <w:numPr>
          <w:ilvl w:val="0"/>
          <w:numId w:val="0"/>
        </w:numPr>
        <w:rPr>
          <w:rFonts w:hint="eastAsia"/>
          <w:lang w:eastAsia="zh-CN"/>
        </w:rPr>
      </w:pP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11"/>
            <w:tabs>
              <w:tab w:val="right" w:leader="dot" w:pos="8306"/>
            </w:tabs>
          </w:pPr>
          <w:r>
            <w:fldChar w:fldCharType="begin"/>
          </w:r>
          <w:r>
            <w:instrText xml:space="preserve">TOC \o "1-3" \h \u </w:instrText>
          </w:r>
          <w:r>
            <w:fldChar w:fldCharType="separate"/>
          </w:r>
          <w:r>
            <w:fldChar w:fldCharType="begin"/>
          </w:r>
          <w:r>
            <w:instrText xml:space="preserve"> HYPERLINK \l _Toc7871 </w:instrText>
          </w:r>
          <w:r>
            <w:fldChar w:fldCharType="separate"/>
          </w:r>
          <w:r>
            <w:rPr>
              <w:rFonts w:hint="eastAsia"/>
              <w:lang w:val="en-US" w:eastAsia="zh-CN"/>
            </w:rPr>
            <w:t>一、</w:t>
          </w:r>
          <w:r>
            <w:rPr>
              <w:rFonts w:hint="eastAsia"/>
            </w:rPr>
            <w:t>报名</w:t>
          </w:r>
          <w:r>
            <w:rPr>
              <w:rFonts w:hint="eastAsia"/>
              <w:lang w:eastAsia="zh-CN"/>
            </w:rPr>
            <w:t>登记</w:t>
          </w:r>
          <w:r>
            <w:rPr>
              <w:rFonts w:hint="eastAsia"/>
            </w:rPr>
            <w:t>表</w:t>
          </w:r>
          <w:r>
            <w:tab/>
          </w:r>
          <w:r>
            <w:fldChar w:fldCharType="begin"/>
          </w:r>
          <w:r>
            <w:instrText xml:space="preserve"> PAGEREF _Toc7871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_Toc638 </w:instrText>
          </w:r>
          <w:r>
            <w:fldChar w:fldCharType="separate"/>
          </w:r>
          <w:r>
            <w:rPr>
              <w:rFonts w:hint="eastAsia"/>
              <w:lang w:val="en-US" w:eastAsia="zh-CN"/>
            </w:rPr>
            <w:t>二、资质：</w:t>
          </w:r>
          <w:r>
            <w:tab/>
          </w:r>
          <w:r>
            <w:fldChar w:fldCharType="begin"/>
          </w:r>
          <w:r>
            <w:instrText xml:space="preserve"> PAGEREF _Toc638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_Toc10667 </w:instrText>
          </w:r>
          <w:r>
            <w:fldChar w:fldCharType="separate"/>
          </w:r>
          <w:r>
            <w:rPr>
              <w:rFonts w:hint="eastAsia"/>
              <w:lang w:val="en-US" w:eastAsia="zh-CN"/>
            </w:rPr>
            <w:t>2.1</w:t>
          </w:r>
          <w:r>
            <w:rPr>
              <w:rFonts w:hint="eastAsia"/>
            </w:rPr>
            <w:t>营业执照</w:t>
          </w:r>
          <w:r>
            <w:tab/>
          </w:r>
          <w:r>
            <w:fldChar w:fldCharType="begin"/>
          </w:r>
          <w:r>
            <w:instrText xml:space="preserve"> PAGEREF _Toc10667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_Toc11741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_Toc11741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_Toc8522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_Toc8522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_Toc16232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_Toc16232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_Toc21131 </w:instrText>
          </w:r>
          <w:r>
            <w:fldChar w:fldCharType="separate"/>
          </w:r>
          <w:r>
            <w:rPr>
              <w:rFonts w:hint="eastAsia"/>
              <w:lang w:val="en-US" w:eastAsia="zh-CN"/>
            </w:rPr>
            <w:t>2.5软件资质</w:t>
          </w:r>
          <w:r>
            <w:tab/>
          </w:r>
          <w:r>
            <w:fldChar w:fldCharType="begin"/>
          </w:r>
          <w:r>
            <w:instrText xml:space="preserve"> PAGEREF _Toc21131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_Toc3224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_Toc3224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_Toc4162 </w:instrText>
          </w:r>
          <w:r>
            <w:fldChar w:fldCharType="separate"/>
          </w:r>
          <w:r>
            <w:rPr>
              <w:rFonts w:hint="eastAsia"/>
              <w:lang w:val="en-US" w:eastAsia="zh-CN"/>
            </w:rPr>
            <w:t>2.7开发商委托销售授权函</w:t>
          </w:r>
          <w:r>
            <w:tab/>
          </w:r>
          <w:r>
            <w:fldChar w:fldCharType="begin"/>
          </w:r>
          <w:r>
            <w:instrText xml:space="preserve"> PAGEREF _Toc4162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_Toc2883 </w:instrText>
          </w:r>
          <w:r>
            <w:fldChar w:fldCharType="separate"/>
          </w:r>
          <w:r>
            <w:rPr>
              <w:rFonts w:hint="eastAsia"/>
              <w:lang w:val="en-US" w:eastAsia="zh-CN"/>
            </w:rPr>
            <w:t>2.8 承诺函</w:t>
          </w:r>
          <w:r>
            <w:tab/>
          </w:r>
          <w:r>
            <w:fldChar w:fldCharType="begin"/>
          </w:r>
          <w:r>
            <w:instrText xml:space="preserve"> PAGEREF _Toc2883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_Toc30193 </w:instrText>
          </w:r>
          <w:r>
            <w:fldChar w:fldCharType="separate"/>
          </w:r>
          <w:r>
            <w:rPr>
              <w:rFonts w:hint="eastAsia"/>
              <w:lang w:val="en-US" w:eastAsia="zh-CN"/>
            </w:rPr>
            <w:t>三、项目调研情况一览汇总表</w:t>
          </w:r>
          <w:r>
            <w:tab/>
          </w:r>
          <w:r>
            <w:fldChar w:fldCharType="begin"/>
          </w:r>
          <w:r>
            <w:instrText xml:space="preserve"> PAGEREF _Toc30193 \h </w:instrText>
          </w:r>
          <w:r>
            <w:fldChar w:fldCharType="separate"/>
          </w:r>
          <w:r>
            <w:t>7</w:t>
          </w:r>
          <w:r>
            <w:fldChar w:fldCharType="end"/>
          </w:r>
          <w:r>
            <w:fldChar w:fldCharType="end"/>
          </w:r>
        </w:p>
        <w:p>
          <w:pPr>
            <w:pStyle w:val="11"/>
            <w:tabs>
              <w:tab w:val="right" w:leader="dot" w:pos="8306"/>
            </w:tabs>
          </w:pPr>
          <w:r>
            <w:fldChar w:fldCharType="begin"/>
          </w:r>
          <w:r>
            <w:instrText xml:space="preserve"> HYPERLINK \l _Toc6595 </w:instrText>
          </w:r>
          <w:r>
            <w:fldChar w:fldCharType="separate"/>
          </w:r>
          <w:r>
            <w:rPr>
              <w:rFonts w:hint="eastAsia"/>
              <w:lang w:val="en-US" w:eastAsia="zh-CN"/>
            </w:rPr>
            <w:t>四、 调研项目配置清单及分项报价明细</w:t>
          </w:r>
          <w:r>
            <w:tab/>
          </w:r>
          <w:r>
            <w:fldChar w:fldCharType="begin"/>
          </w:r>
          <w:r>
            <w:instrText xml:space="preserve"> PAGEREF _Toc6595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_Toc24038 </w:instrText>
          </w:r>
          <w:r>
            <w:fldChar w:fldCharType="separate"/>
          </w:r>
          <w:r>
            <w:rPr>
              <w:rFonts w:hint="eastAsia"/>
              <w:lang w:val="en-US" w:eastAsia="zh-CN"/>
            </w:rPr>
            <w:t>五、三甲综合医院同类项目案例</w:t>
          </w:r>
          <w:r>
            <w:tab/>
          </w:r>
          <w:r>
            <w:fldChar w:fldCharType="begin"/>
          </w:r>
          <w:r>
            <w:instrText xml:space="preserve"> PAGEREF _Toc24038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_Toc12579 </w:instrText>
          </w:r>
          <w:r>
            <w:fldChar w:fldCharType="separate"/>
          </w:r>
          <w:r>
            <w:rPr>
              <w:rFonts w:hint="eastAsia"/>
              <w:lang w:val="en-US" w:eastAsia="zh-CN"/>
            </w:rPr>
            <w:t>5.1 四川省内（  ）家</w:t>
          </w:r>
          <w:r>
            <w:tab/>
          </w:r>
          <w:r>
            <w:fldChar w:fldCharType="begin"/>
          </w:r>
          <w:r>
            <w:instrText xml:space="preserve"> PAGEREF _Toc12579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_Toc3373 </w:instrText>
          </w:r>
          <w:r>
            <w:fldChar w:fldCharType="separate"/>
          </w:r>
          <w:r>
            <w:rPr>
              <w:rFonts w:hint="eastAsia"/>
              <w:lang w:val="en-US" w:eastAsia="zh-CN"/>
            </w:rPr>
            <w:t>5.2 四川省外（  ）家</w:t>
          </w:r>
          <w:r>
            <w:tab/>
          </w:r>
          <w:r>
            <w:fldChar w:fldCharType="begin"/>
          </w:r>
          <w:r>
            <w:instrText xml:space="preserve"> PAGEREF _Toc3373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_Toc6592 </w:instrText>
          </w:r>
          <w:r>
            <w:fldChar w:fldCharType="separate"/>
          </w:r>
          <w:r>
            <w:rPr>
              <w:rFonts w:hint="eastAsia"/>
              <w:lang w:val="en-US" w:eastAsia="zh-CN"/>
            </w:rPr>
            <w:t>5.3三甲综合医院同类项目案例合同及验收佐证</w:t>
          </w:r>
          <w:r>
            <w:tab/>
          </w:r>
          <w:r>
            <w:fldChar w:fldCharType="begin"/>
          </w:r>
          <w:r>
            <w:instrText xml:space="preserve"> PAGEREF _Toc6592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_Toc27685 </w:instrText>
          </w:r>
          <w:r>
            <w:fldChar w:fldCharType="separate"/>
          </w:r>
          <w:r>
            <w:rPr>
              <w:rFonts w:hint="eastAsia"/>
              <w:lang w:val="en-US" w:eastAsia="zh-CN"/>
            </w:rPr>
            <w:t>六、报价表包含内容</w:t>
          </w:r>
          <w:r>
            <w:tab/>
          </w:r>
          <w:r>
            <w:fldChar w:fldCharType="begin"/>
          </w:r>
          <w:r>
            <w:instrText xml:space="preserve"> PAGEREF _Toc27685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_Toc15885 </w:instrText>
          </w:r>
          <w:r>
            <w:fldChar w:fldCharType="separate"/>
          </w:r>
          <w:r>
            <w:rPr>
              <w:rFonts w:hint="eastAsia"/>
              <w:lang w:val="en-US" w:eastAsia="zh-CN"/>
            </w:rPr>
            <w:t>七、建设方案</w:t>
          </w:r>
          <w:r>
            <w:tab/>
          </w:r>
          <w:r>
            <w:fldChar w:fldCharType="begin"/>
          </w:r>
          <w:r>
            <w:instrText xml:space="preserve"> PAGEREF _Toc15885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_Toc6336 </w:instrText>
          </w:r>
          <w:r>
            <w:fldChar w:fldCharType="separate"/>
          </w:r>
          <w:r>
            <w:rPr>
              <w:rFonts w:hint="eastAsia"/>
              <w:lang w:val="en-US" w:eastAsia="zh-CN"/>
            </w:rPr>
            <w:t>7.1 实施条件（实施所需的支持条件）</w:t>
          </w:r>
          <w:r>
            <w:tab/>
          </w:r>
          <w:r>
            <w:fldChar w:fldCharType="begin"/>
          </w:r>
          <w:r>
            <w:instrText xml:space="preserve"> PAGEREF _Toc6336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_Toc21591 </w:instrText>
          </w:r>
          <w:r>
            <w:fldChar w:fldCharType="separate"/>
          </w:r>
          <w:r>
            <w:rPr>
              <w:rFonts w:hint="eastAsia"/>
              <w:lang w:val="en-US" w:eastAsia="zh-CN"/>
            </w:rPr>
            <w:t>7.2 实施周期</w:t>
          </w:r>
          <w:r>
            <w:tab/>
          </w:r>
          <w:r>
            <w:fldChar w:fldCharType="begin"/>
          </w:r>
          <w:r>
            <w:instrText xml:space="preserve"> PAGEREF _Toc21591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_Toc18352 </w:instrText>
          </w:r>
          <w:r>
            <w:fldChar w:fldCharType="separate"/>
          </w:r>
          <w:r>
            <w:rPr>
              <w:rFonts w:hint="eastAsia"/>
              <w:lang w:val="en-US" w:eastAsia="zh-CN"/>
            </w:rPr>
            <w:t>7.3 系统运行环境</w:t>
          </w:r>
          <w:r>
            <w:tab/>
          </w:r>
          <w:r>
            <w:fldChar w:fldCharType="begin"/>
          </w:r>
          <w:r>
            <w:instrText xml:space="preserve"> PAGEREF _Toc18352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_Toc8120 </w:instrText>
          </w:r>
          <w:r>
            <w:fldChar w:fldCharType="separate"/>
          </w:r>
          <w:r>
            <w:rPr>
              <w:rFonts w:hint="eastAsia"/>
              <w:lang w:val="en-US" w:eastAsia="zh-CN"/>
            </w:rPr>
            <w:t>7.4 系统总体架构</w:t>
          </w:r>
          <w:r>
            <w:tab/>
          </w:r>
          <w:r>
            <w:fldChar w:fldCharType="begin"/>
          </w:r>
          <w:r>
            <w:instrText xml:space="preserve"> PAGEREF _Toc8120 \h </w:instrText>
          </w:r>
          <w:r>
            <w:fldChar w:fldCharType="separate"/>
          </w:r>
          <w:r>
            <w:t>9</w:t>
          </w:r>
          <w:r>
            <w:fldChar w:fldCharType="end"/>
          </w:r>
          <w:r>
            <w:fldChar w:fldCharType="end"/>
          </w:r>
        </w:p>
        <w:p>
          <w:r>
            <w:fldChar w:fldCharType="end"/>
          </w:r>
        </w:p>
      </w:sdtContent>
    </w:sdt>
    <w:p/>
    <w:p/>
    <w:p/>
    <w:p/>
    <w:p/>
    <w:p/>
    <w:p/>
    <w:p/>
    <w:p/>
    <w:p/>
    <w:p/>
    <w:p>
      <w:pPr>
        <w:sectPr>
          <w:headerReference r:id="rId3" w:type="default"/>
          <w:footerReference r:id="rId4" w:type="default"/>
          <w:pgSz w:w="11906" w:h="16838"/>
          <w:pgMar w:top="1134" w:right="1800" w:bottom="1134"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rPr>
      </w:pPr>
      <w:bookmarkStart w:id="0" w:name="_Toc10065"/>
      <w:bookmarkStart w:id="1" w:name="_Toc427002393"/>
      <w:bookmarkStart w:id="2" w:name="_Toc152042597"/>
      <w:bookmarkStart w:id="3" w:name="_Toc7415"/>
      <w:bookmarkStart w:id="4" w:name="_Toc247514300"/>
      <w:bookmarkStart w:id="5" w:name="_Toc144974876"/>
      <w:bookmarkStart w:id="6" w:name="_Toc152045808"/>
      <w:bookmarkStart w:id="7" w:name="_Toc7871"/>
      <w:bookmarkStart w:id="8" w:name="_Toc247527848"/>
      <w:r>
        <w:rPr>
          <w:rFonts w:hint="eastAsia"/>
          <w:lang w:val="en-US" w:eastAsia="zh-CN"/>
        </w:rPr>
        <w:t>一、</w:t>
      </w:r>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4"/>
        <w:tblW w:w="9395" w:type="dxa"/>
        <w:tblInd w:w="-4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511"/>
        <w:gridCol w:w="1065"/>
        <w:gridCol w:w="1489"/>
        <w:gridCol w:w="2530"/>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9" w:name="_Toc322080001"/>
            <w:bookmarkStart w:id="10" w:name="_Toc3175"/>
            <w:bookmarkStart w:id="11" w:name="_Toc16693"/>
            <w:bookmarkStart w:id="12" w:name="_Toc321933045"/>
            <w:r>
              <w:rPr>
                <w:rFonts w:hint="eastAsia" w:ascii="宋体" w:hAnsi="宋体" w:eastAsia="宋体" w:cs="宋体"/>
                <w:i w:val="0"/>
                <w:iCs w:val="0"/>
                <w:color w:val="000000"/>
                <w:kern w:val="0"/>
                <w:sz w:val="24"/>
                <w:szCs w:val="24"/>
                <w:u w:val="none"/>
                <w:lang w:val="en-US" w:eastAsia="zh-CN" w:bidi="ar"/>
              </w:rPr>
              <w:t>序号</w:t>
            </w:r>
          </w:p>
        </w:tc>
        <w:tc>
          <w:tcPr>
            <w:tcW w:w="151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48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53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193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6"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9"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3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bookmarkEnd w:id="9"/>
      <w:bookmarkEnd w:id="10"/>
      <w:bookmarkEnd w:id="11"/>
      <w:bookmarkEnd w:id="12"/>
    </w:tbl>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13" w:name="_Toc638"/>
      <w:bookmarkStart w:id="14" w:name="_Toc2669"/>
      <w:r>
        <w:rPr>
          <w:rFonts w:hint="eastAsia"/>
          <w:lang w:val="en-US" w:eastAsia="zh-CN"/>
        </w:rPr>
        <w:t>二、资质：</w:t>
      </w:r>
      <w:bookmarkEnd w:id="13"/>
    </w:p>
    <w:p>
      <w:pPr>
        <w:pStyle w:val="4"/>
        <w:bidi w:val="0"/>
        <w:rPr>
          <w:rFonts w:hint="eastAsia"/>
        </w:rPr>
      </w:pPr>
      <w:bookmarkStart w:id="15" w:name="_Toc10667"/>
      <w:r>
        <w:rPr>
          <w:rFonts w:hint="eastAsia"/>
          <w:lang w:val="en-US" w:eastAsia="zh-CN"/>
        </w:rPr>
        <w:t>2.1</w:t>
      </w:r>
      <w:r>
        <w:rPr>
          <w:rFonts w:hint="eastAsia"/>
        </w:rPr>
        <w:t>营业执照</w:t>
      </w:r>
      <w:bookmarkEnd w:id="14"/>
      <w:bookmarkEnd w:id="15"/>
      <w:bookmarkStart w:id="16" w:name="_Toc3036"/>
    </w:p>
    <w:p>
      <w:pPr>
        <w:pStyle w:val="4"/>
        <w:bidi w:val="0"/>
        <w:rPr>
          <w:rFonts w:hint="eastAsia"/>
          <w:lang w:val="en-US" w:eastAsia="zh-CN"/>
        </w:rPr>
      </w:pPr>
      <w:bookmarkStart w:id="17" w:name="_Toc11741"/>
      <w:r>
        <w:rPr>
          <w:rFonts w:hint="eastAsia"/>
          <w:lang w:val="en-US" w:eastAsia="zh-CN"/>
        </w:rPr>
        <w:t>2.2</w:t>
      </w:r>
      <w:r>
        <w:rPr>
          <w:rFonts w:hint="eastAsia"/>
          <w:lang w:eastAsia="zh-CN"/>
        </w:rPr>
        <w:t>法定代表人授权书</w:t>
      </w:r>
      <w:bookmarkEnd w:id="16"/>
      <w:bookmarkEnd w:id="17"/>
    </w:p>
    <w:p>
      <w:pPr>
        <w:pStyle w:val="4"/>
        <w:bidi w:val="0"/>
        <w:rPr>
          <w:rFonts w:hint="eastAsia"/>
          <w:lang w:eastAsia="zh-CN"/>
        </w:rPr>
      </w:pPr>
      <w:bookmarkStart w:id="18" w:name="_Toc8522"/>
      <w:bookmarkStart w:id="19" w:name="_Toc5131"/>
      <w:r>
        <w:rPr>
          <w:rFonts w:hint="eastAsia"/>
          <w:lang w:val="en-US" w:eastAsia="zh-CN"/>
        </w:rPr>
        <w:t>2.3</w:t>
      </w:r>
      <w:r>
        <w:rPr>
          <w:rFonts w:hint="eastAsia"/>
          <w:lang w:eastAsia="zh-CN"/>
        </w:rPr>
        <w:t>法人及被授权人身份证</w:t>
      </w:r>
      <w:bookmarkEnd w:id="18"/>
      <w:bookmarkEnd w:id="19"/>
    </w:p>
    <w:p>
      <w:pPr>
        <w:pStyle w:val="4"/>
        <w:bidi w:val="0"/>
        <w:rPr>
          <w:rFonts w:hint="eastAsia"/>
          <w:lang w:eastAsia="zh-CN"/>
        </w:rPr>
      </w:pPr>
      <w:bookmarkStart w:id="20" w:name="_Toc22588"/>
      <w:bookmarkStart w:id="21" w:name="_Toc16232"/>
      <w:r>
        <w:rPr>
          <w:rFonts w:hint="eastAsia"/>
          <w:lang w:val="en-US" w:eastAsia="zh-CN"/>
        </w:rPr>
        <w:t>2.4</w:t>
      </w:r>
      <w:r>
        <w:rPr>
          <w:rFonts w:hint="eastAsia"/>
          <w:lang w:eastAsia="zh-CN"/>
        </w:rPr>
        <w:t>公司资质</w:t>
      </w:r>
      <w:bookmarkEnd w:id="20"/>
      <w:bookmarkEnd w:id="21"/>
    </w:p>
    <w:p>
      <w:pPr>
        <w:pStyle w:val="4"/>
        <w:bidi w:val="0"/>
        <w:rPr>
          <w:rFonts w:hint="default"/>
          <w:lang w:val="en-US" w:eastAsia="zh-CN"/>
        </w:rPr>
      </w:pPr>
      <w:bookmarkStart w:id="22" w:name="_Toc21131"/>
      <w:r>
        <w:rPr>
          <w:rFonts w:hint="eastAsia"/>
          <w:lang w:val="en-US" w:eastAsia="zh-CN"/>
        </w:rPr>
        <w:t>2.5软件资质</w:t>
      </w:r>
      <w:bookmarkEnd w:id="22"/>
    </w:p>
    <w:p>
      <w:pPr>
        <w:pStyle w:val="4"/>
        <w:bidi w:val="0"/>
        <w:rPr>
          <w:rFonts w:hint="eastAsia"/>
          <w:lang w:eastAsia="zh-CN"/>
        </w:rPr>
      </w:pPr>
      <w:bookmarkStart w:id="23" w:name="_Toc11995"/>
      <w:bookmarkStart w:id="24" w:name="_Toc3224"/>
      <w:r>
        <w:rPr>
          <w:rFonts w:hint="eastAsia"/>
          <w:lang w:val="en-US" w:eastAsia="zh-CN"/>
        </w:rPr>
        <w:t>2.6本项目涉及</w:t>
      </w:r>
      <w:r>
        <w:rPr>
          <w:rFonts w:hint="eastAsia"/>
          <w:lang w:eastAsia="zh-CN"/>
        </w:rPr>
        <w:t>资质</w:t>
      </w:r>
      <w:bookmarkEnd w:id="23"/>
      <w:bookmarkEnd w:id="24"/>
    </w:p>
    <w:p>
      <w:pPr>
        <w:pStyle w:val="4"/>
        <w:bidi w:val="0"/>
        <w:rPr>
          <w:rFonts w:hint="eastAsia"/>
          <w:b/>
          <w:lang w:val="en-US" w:eastAsia="zh-CN"/>
        </w:rPr>
      </w:pPr>
      <w:bookmarkStart w:id="25" w:name="_Toc21787"/>
      <w:bookmarkStart w:id="26" w:name="_Toc4162"/>
      <w:r>
        <w:rPr>
          <w:rFonts w:hint="eastAsia"/>
          <w:b/>
          <w:lang w:val="en-US" w:eastAsia="zh-CN"/>
        </w:rPr>
        <w:t>2.7开发商委托销售授权函</w:t>
      </w:r>
      <w:bookmarkEnd w:id="25"/>
      <w:bookmarkEnd w:id="26"/>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4"/>
        <w:bidi w:val="0"/>
        <w:rPr>
          <w:rFonts w:hint="default"/>
          <w:b/>
          <w:lang w:val="en-US" w:eastAsia="zh-CN"/>
        </w:rPr>
      </w:pPr>
      <w:bookmarkStart w:id="27" w:name="_Toc2883"/>
      <w:r>
        <w:rPr>
          <w:rFonts w:hint="eastAsia"/>
          <w:b/>
          <w:lang w:val="en-US" w:eastAsia="zh-CN"/>
        </w:rPr>
        <w:t>2.8 承诺函</w:t>
      </w:r>
      <w:bookmarkEnd w:id="27"/>
    </w:p>
    <w:p>
      <w:pPr>
        <w:pStyle w:val="7"/>
        <w:spacing w:after="0" w:line="360" w:lineRule="auto"/>
        <w:ind w:left="0" w:leftChars="0"/>
        <w:jc w:val="center"/>
        <w:rPr>
          <w:rFonts w:hint="default" w:ascii="宋体" w:hAnsi="宋体" w:cs="宋体" w:eastAsiaTheme="minorEastAsia"/>
          <w:b/>
          <w:bCs/>
          <w:kern w:val="0"/>
          <w:sz w:val="28"/>
          <w:szCs w:val="36"/>
          <w:lang w:val="en-US" w:eastAsia="zh-CN"/>
        </w:rPr>
      </w:pPr>
      <w:r>
        <w:rPr>
          <w:rFonts w:hint="eastAsia" w:ascii="宋体" w:hAnsi="宋体" w:cs="宋体"/>
          <w:b/>
          <w:bCs/>
          <w:kern w:val="0"/>
          <w:sz w:val="28"/>
          <w:szCs w:val="36"/>
          <w:lang w:val="en-US" w:eastAsia="zh-CN"/>
        </w:rPr>
        <w:t>承诺函</w:t>
      </w:r>
    </w:p>
    <w:p>
      <w:pPr>
        <w:pStyle w:val="7"/>
        <w:spacing w:after="0" w:line="360" w:lineRule="auto"/>
        <w:ind w:left="0" w:leftChars="0"/>
        <w:rPr>
          <w:rFonts w:ascii="宋体"/>
          <w:b/>
          <w:bCs/>
        </w:rPr>
      </w:pPr>
      <w:r>
        <w:rPr>
          <w:rFonts w:hint="eastAsia" w:ascii="宋体" w:hAnsi="宋体" w:cs="宋体"/>
          <w:b/>
          <w:bCs/>
          <w:kern w:val="0"/>
        </w:rPr>
        <w:t>致资阳市</w:t>
      </w:r>
      <w:r>
        <w:rPr>
          <w:rFonts w:hint="eastAsia" w:ascii="宋体" w:hAnsi="宋体" w:cs="宋体"/>
          <w:b/>
          <w:bCs/>
          <w:kern w:val="0"/>
          <w:lang w:val="en-US" w:eastAsia="zh-CN"/>
        </w:rPr>
        <w:t>中心</w:t>
      </w:r>
      <w:r>
        <w:rPr>
          <w:rFonts w:ascii="宋体" w:hAnsi="宋体" w:cs="宋体"/>
          <w:b/>
          <w:bCs/>
          <w:kern w:val="0"/>
        </w:rPr>
        <w:t>医院</w:t>
      </w:r>
      <w:r>
        <w:rPr>
          <w:rFonts w:hint="eastAsia" w:ascii="宋体" w:hAnsi="宋体" w:cs="宋体"/>
          <w:b/>
          <w:bCs/>
        </w:rPr>
        <w:t>：</w:t>
      </w:r>
    </w:p>
    <w:p>
      <w:pPr>
        <w:pStyle w:val="5"/>
        <w:spacing w:line="400" w:lineRule="exact"/>
        <w:jc w:val="left"/>
        <w:rPr>
          <w:rFonts w:ascii="宋体"/>
        </w:rPr>
      </w:pPr>
      <w:r>
        <w:rPr>
          <w:rFonts w:hint="eastAsia" w:ascii="宋体" w:hAnsi="宋体" w:cs="宋体"/>
        </w:rPr>
        <w:t>我方</w:t>
      </w:r>
      <w:r>
        <w:rPr>
          <w:rFonts w:hint="eastAsia" w:ascii="宋体" w:hAnsi="宋体" w:cs="宋体"/>
          <w:u w:val="single"/>
        </w:rPr>
        <w:t xml:space="preserve">         </w:t>
      </w:r>
      <w:r>
        <w:rPr>
          <w:rFonts w:hint="eastAsia" w:ascii="宋体" w:hAnsi="宋体" w:cs="宋体"/>
        </w:rPr>
        <w:t>（公司名称）自愿参加贵单位对贵院</w:t>
      </w:r>
      <w:r>
        <w:rPr>
          <w:rFonts w:hint="eastAsia" w:ascii="宋体" w:hAnsi="宋体" w:cs="宋体"/>
          <w:u w:val="single"/>
        </w:rPr>
        <w:t>    </w:t>
      </w:r>
      <w:r>
        <w:rPr>
          <w:rFonts w:hint="eastAsia" w:ascii="宋体" w:hAnsi="宋体" w:cs="宋体"/>
        </w:rPr>
        <w:t>（项目名称）采购前市场调研活动，并按要求提交完整的方案文件。现我方郑重承诺以下内容：</w:t>
      </w:r>
    </w:p>
    <w:p>
      <w:pPr>
        <w:pStyle w:val="5"/>
        <w:spacing w:line="400" w:lineRule="exact"/>
        <w:jc w:val="left"/>
        <w:rPr>
          <w:rFonts w:hint="default" w:ascii="宋体" w:hAnsi="宋体" w:cs="宋体" w:eastAsiaTheme="minorEastAsia"/>
          <w:lang w:val="en-US" w:eastAsia="zh-CN"/>
        </w:rPr>
      </w:pPr>
      <w:r>
        <w:rPr>
          <w:rFonts w:hint="eastAsia" w:ascii="宋体" w:hAnsi="宋体" w:cs="宋体"/>
          <w:lang w:val="en-US" w:eastAsia="zh-CN"/>
        </w:rPr>
        <w:t>一、公司资质要求</w:t>
      </w:r>
    </w:p>
    <w:p>
      <w:pPr>
        <w:pStyle w:val="5"/>
        <w:spacing w:line="400" w:lineRule="exact"/>
        <w:jc w:val="left"/>
        <w:rPr>
          <w:rFonts w:ascii="宋体"/>
        </w:rPr>
      </w:pPr>
      <w:r>
        <w:rPr>
          <w:rFonts w:hint="eastAsia" w:ascii="宋体" w:hAnsi="宋体" w:cs="宋体"/>
        </w:rPr>
        <w:t>（一）在中华人民共和国境内注册，具有独立法人资格的合法企业；</w:t>
      </w:r>
    </w:p>
    <w:p>
      <w:pPr>
        <w:pStyle w:val="5"/>
        <w:spacing w:line="400" w:lineRule="exact"/>
        <w:jc w:val="left"/>
        <w:rPr>
          <w:rFonts w:ascii="宋体"/>
        </w:rPr>
      </w:pPr>
      <w:r>
        <w:rPr>
          <w:rFonts w:hint="eastAsia" w:ascii="宋体" w:hAnsi="宋体" w:cs="宋体"/>
        </w:rPr>
        <w:t>（二）具有良好的商业信誉和健全的财务会计制度；</w:t>
      </w:r>
    </w:p>
    <w:p>
      <w:pPr>
        <w:pStyle w:val="5"/>
        <w:spacing w:line="400" w:lineRule="exact"/>
        <w:jc w:val="left"/>
        <w:rPr>
          <w:rFonts w:ascii="宋体"/>
        </w:rPr>
      </w:pPr>
      <w:r>
        <w:rPr>
          <w:rFonts w:hint="eastAsia" w:ascii="宋体" w:hAnsi="宋体" w:cs="宋体"/>
        </w:rPr>
        <w:t>（三）具有履行合同所必需的设备和专业技术能力；</w:t>
      </w:r>
    </w:p>
    <w:p>
      <w:pPr>
        <w:pStyle w:val="5"/>
        <w:spacing w:line="400" w:lineRule="exact"/>
        <w:jc w:val="left"/>
        <w:rPr>
          <w:rFonts w:ascii="宋体"/>
        </w:rPr>
      </w:pPr>
      <w:r>
        <w:rPr>
          <w:rFonts w:hint="eastAsia" w:ascii="宋体" w:hAnsi="宋体" w:cs="宋体"/>
        </w:rPr>
        <w:t>（四）有依法缴纳税收和社会保障资金的良好记录；</w:t>
      </w:r>
    </w:p>
    <w:p>
      <w:pPr>
        <w:pStyle w:val="5"/>
        <w:spacing w:line="400" w:lineRule="exact"/>
        <w:jc w:val="left"/>
        <w:rPr>
          <w:rFonts w:ascii="宋体"/>
        </w:rPr>
      </w:pPr>
      <w:r>
        <w:rPr>
          <w:rFonts w:hint="eastAsia" w:ascii="宋体" w:hAnsi="宋体" w:cs="宋体"/>
        </w:rPr>
        <w:t>（五）参加采购活动前三年内，在经营活动中没有重大违法记录；</w:t>
      </w:r>
    </w:p>
    <w:p>
      <w:pPr>
        <w:pStyle w:val="5"/>
        <w:spacing w:line="400" w:lineRule="exact"/>
        <w:jc w:val="left"/>
        <w:rPr>
          <w:rFonts w:ascii="宋体"/>
        </w:rPr>
      </w:pPr>
      <w:r>
        <w:rPr>
          <w:rFonts w:hint="eastAsia" w:ascii="宋体" w:hAnsi="宋体" w:cs="宋体"/>
        </w:rPr>
        <w:t>（六）法律、行政法规规定的其他条件；</w:t>
      </w:r>
    </w:p>
    <w:p>
      <w:pPr>
        <w:pStyle w:val="5"/>
        <w:spacing w:line="400" w:lineRule="exact"/>
        <w:jc w:val="left"/>
        <w:rPr>
          <w:rFonts w:hint="eastAsia" w:ascii="宋体" w:hAnsi="宋体" w:cs="宋体"/>
          <w:lang w:val="en-US" w:eastAsia="zh-CN"/>
        </w:rPr>
      </w:pPr>
      <w:r>
        <w:rPr>
          <w:rFonts w:hint="eastAsia" w:ascii="宋体" w:hAnsi="宋体" w:cs="宋体"/>
          <w:lang w:val="en-US" w:eastAsia="zh-CN"/>
        </w:rPr>
        <w:t>二、提供资料的真实性</w:t>
      </w:r>
    </w:p>
    <w:p>
      <w:pPr>
        <w:pStyle w:val="5"/>
        <w:spacing w:line="400" w:lineRule="exact"/>
        <w:jc w:val="left"/>
        <w:rPr>
          <w:rFonts w:hint="eastAsia" w:ascii="宋体" w:hAnsi="宋体" w:cs="宋体"/>
          <w:lang w:val="en-US" w:eastAsia="zh-CN"/>
        </w:rPr>
      </w:pPr>
      <w:r>
        <w:rPr>
          <w:rFonts w:hint="eastAsia" w:ascii="宋体" w:hAnsi="宋体" w:cs="宋体"/>
          <w:lang w:val="en-US" w:eastAsia="zh-CN"/>
        </w:rPr>
        <w:t>（一）我方按照贵院要求提供的方案内容及相关材料完全真实，若存在虚假，我方愿意接受贵单位及相关权利机构的相应处理。</w:t>
      </w:r>
    </w:p>
    <w:p>
      <w:pPr>
        <w:pStyle w:val="5"/>
        <w:spacing w:line="400" w:lineRule="exact"/>
        <w:jc w:val="left"/>
        <w:rPr>
          <w:rFonts w:hint="default" w:ascii="宋体" w:hAnsi="宋体" w:cs="宋体"/>
          <w:lang w:val="en-US" w:eastAsia="zh-CN"/>
        </w:rPr>
      </w:pPr>
      <w:r>
        <w:rPr>
          <w:rFonts w:hint="eastAsia" w:ascii="宋体" w:hAnsi="宋体" w:cs="宋体"/>
          <w:lang w:val="en-US" w:eastAsia="zh-CN"/>
        </w:rPr>
        <w:t>（二）我方同意贵单位对参加调研的所有方案进行参考与综合，同意贵单位对于结果不作任何解释。</w:t>
      </w:r>
    </w:p>
    <w:p>
      <w:pPr>
        <w:pStyle w:val="5"/>
        <w:spacing w:line="400" w:lineRule="exact"/>
        <w:jc w:val="left"/>
        <w:rPr>
          <w:rFonts w:hint="eastAsia" w:ascii="宋体" w:hAnsi="宋体" w:cs="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5"/>
        <w:spacing w:line="400" w:lineRule="exact"/>
        <w:jc w:val="left"/>
        <w:rPr>
          <w:rFonts w:hint="eastAsia" w:ascii="宋体" w:hAnsi="宋体" w:cs="宋体"/>
        </w:rPr>
      </w:pPr>
    </w:p>
    <w:p>
      <w:pPr>
        <w:pStyle w:val="5"/>
        <w:spacing w:line="400" w:lineRule="exact"/>
        <w:jc w:val="left"/>
        <w:rPr>
          <w:rFonts w:hint="eastAsia" w:ascii="宋体" w:hAnsi="宋体" w:cs="宋体"/>
        </w:rPr>
      </w:pPr>
    </w:p>
    <w:p>
      <w:pPr>
        <w:pStyle w:val="5"/>
        <w:spacing w:line="400" w:lineRule="exact"/>
        <w:jc w:val="left"/>
        <w:rPr>
          <w:rFonts w:hint="eastAsia" w:ascii="宋体" w:hAnsi="宋体" w:cs="宋体"/>
        </w:rPr>
      </w:pPr>
    </w:p>
    <w:p>
      <w:pPr>
        <w:spacing w:line="360" w:lineRule="auto"/>
        <w:ind w:firstLine="420" w:firstLineChars="200"/>
        <w:jc w:val="center"/>
        <w:rPr>
          <w:rFonts w:ascii="宋体"/>
        </w:rPr>
      </w:pPr>
      <w:r>
        <w:rPr>
          <w:rFonts w:hint="eastAsia" w:ascii="宋体" w:hAnsi="宋体" w:cs="宋体"/>
          <w:kern w:val="0"/>
          <w:lang w:val="en-US" w:eastAsia="zh-CN"/>
        </w:rPr>
        <w:t xml:space="preserve">                                        </w:t>
      </w: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8"/>
        <w:spacing w:line="360" w:lineRule="auto"/>
        <w:ind w:firstLine="420" w:firstLineChars="200"/>
        <w:rPr>
          <w:rFonts w:hAnsi="宋体" w:cs="Times New Roman"/>
          <w:kern w:val="0"/>
        </w:rPr>
      </w:pPr>
    </w:p>
    <w:p>
      <w:pPr>
        <w:pStyle w:val="8"/>
        <w:spacing w:line="360" w:lineRule="auto"/>
        <w:ind w:firstLine="420" w:firstLineChars="200"/>
        <w:rPr>
          <w:rFonts w:hint="eastAsia" w:hAnsi="宋体"/>
          <w:kern w:val="0"/>
        </w:rPr>
      </w:pPr>
    </w:p>
    <w:p>
      <w:pPr>
        <w:pStyle w:val="8"/>
        <w:spacing w:line="360" w:lineRule="auto"/>
        <w:ind w:firstLine="420" w:firstLineChars="200"/>
        <w:rPr>
          <w:rFonts w:hint="eastAsia" w:hAnsi="宋体"/>
          <w:kern w:val="0"/>
        </w:rPr>
      </w:pPr>
    </w:p>
    <w:p>
      <w:pPr>
        <w:pStyle w:val="8"/>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5"/>
        <w:spacing w:line="400" w:lineRule="exact"/>
        <w:jc w:val="left"/>
        <w:rPr>
          <w:rFonts w:hint="eastAsia" w:ascii="宋体" w:hAnsi="宋体" w:cs="宋体"/>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8" w:name="_Toc30193"/>
      <w:r>
        <w:rPr>
          <w:rFonts w:hint="eastAsia"/>
          <w:lang w:val="en-US" w:eastAsia="zh-CN"/>
        </w:rPr>
        <w:t>三、项目调研情况一览汇总表</w:t>
      </w:r>
      <w:bookmarkEnd w:id="28"/>
    </w:p>
    <w:p>
      <w:pPr>
        <w:pStyle w:val="6"/>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p>
    <w:p>
      <w:pPr>
        <w:pStyle w:val="6"/>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14"/>
        <w:tblW w:w="52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0"/>
        <w:gridCol w:w="1778"/>
        <w:gridCol w:w="2078"/>
        <w:gridCol w:w="1272"/>
        <w:gridCol w:w="2023"/>
        <w:gridCol w:w="971"/>
        <w:gridCol w:w="909"/>
        <w:gridCol w:w="810"/>
        <w:gridCol w:w="3543"/>
        <w:gridCol w:w="1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jc w:val="center"/>
        </w:trPr>
        <w:tc>
          <w:tcPr>
            <w:tcW w:w="5000" w:type="pct"/>
            <w:gridSpan w:val="10"/>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项目调研情况一览汇总表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1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供应商名称</w:t>
            </w: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产品公司名称</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报价</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（万元）</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该产品在国内三甲医院用户案例</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实施周期及常驻实施人员</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免费</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质保期</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（3年及以上）</w:t>
            </w: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后期</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维护费</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（比例）</w:t>
            </w:r>
          </w:p>
        </w:tc>
        <w:tc>
          <w:tcPr>
            <w:tcW w:w="11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优势特色</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jc w:val="center"/>
        </w:trPr>
        <w:tc>
          <w:tcPr>
            <w:tcW w:w="1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1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42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合计：</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1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pStyle w:val="2"/>
        <w:rPr>
          <w:rFonts w:hint="eastAsia"/>
          <w:lang w:val="en-US" w:eastAsia="zh-CN"/>
        </w:rPr>
      </w:pPr>
    </w:p>
    <w:p>
      <w:pPr>
        <w:pStyle w:val="3"/>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lang w:val="en-US" w:eastAsia="zh-CN"/>
        </w:rPr>
      </w:pPr>
      <w:bookmarkStart w:id="29" w:name="_Toc6595"/>
      <w:r>
        <w:rPr>
          <w:rFonts w:hint="eastAsia"/>
          <w:lang w:val="en-US" w:eastAsia="zh-CN"/>
        </w:rPr>
        <w:t>调研项目配置清单及分项报价明细</w:t>
      </w:r>
      <w:bookmarkEnd w:id="29"/>
    </w:p>
    <w:p>
      <w:pPr>
        <w:bidi w:val="0"/>
        <w:rPr>
          <w:rFonts w:hint="default"/>
          <w:lang w:val="en-US" w:eastAsia="zh-CN"/>
        </w:rPr>
      </w:pPr>
      <w:r>
        <w:rPr>
          <w:rFonts w:hint="eastAsia"/>
          <w:lang w:val="en-US" w:eastAsia="zh-CN"/>
        </w:rPr>
        <w:t>（格式可自拟）</w:t>
      </w: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30" w:name="_Toc24038"/>
      <w:r>
        <w:rPr>
          <w:rFonts w:hint="eastAsia"/>
          <w:lang w:val="en-US" w:eastAsia="zh-CN"/>
        </w:rPr>
        <w:t>五、三甲综合医院同类项目案例</w:t>
      </w:r>
      <w:bookmarkEnd w:id="30"/>
    </w:p>
    <w:p>
      <w:pPr>
        <w:pStyle w:val="4"/>
        <w:bidi w:val="0"/>
        <w:ind w:firstLine="482" w:firstLineChars="200"/>
        <w:rPr>
          <w:rFonts w:hint="eastAsia"/>
          <w:lang w:val="en-US" w:eastAsia="zh-CN"/>
        </w:rPr>
      </w:pPr>
      <w:bookmarkStart w:id="31" w:name="_Toc12579"/>
      <w:r>
        <w:rPr>
          <w:rFonts w:hint="eastAsia"/>
          <w:lang w:val="en-US" w:eastAsia="zh-CN"/>
        </w:rPr>
        <w:t>5.1 四川省内（  ）家</w:t>
      </w:r>
      <w:bookmarkEnd w:id="31"/>
    </w:p>
    <w:tbl>
      <w:tblPr>
        <w:tblStyle w:val="14"/>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25"/>
        <w:ind w:firstLine="0" w:firstLineChars="0"/>
        <w:rPr>
          <w:rFonts w:hint="eastAsia" w:ascii="仿宋" w:hAnsi="仿宋" w:eastAsia="仿宋" w:cs="仿宋"/>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4"/>
        <w:bidi w:val="0"/>
        <w:ind w:firstLine="482" w:firstLineChars="200"/>
        <w:rPr>
          <w:rFonts w:hint="eastAsia"/>
          <w:lang w:val="en-US" w:eastAsia="zh-CN"/>
        </w:rPr>
      </w:pPr>
      <w:bookmarkStart w:id="32" w:name="_Toc3373"/>
      <w:r>
        <w:rPr>
          <w:rFonts w:hint="eastAsia"/>
          <w:lang w:val="en-US" w:eastAsia="zh-CN"/>
        </w:rPr>
        <w:t>5.2 四川省外（  ）家</w:t>
      </w:r>
      <w:bookmarkEnd w:id="32"/>
    </w:p>
    <w:tbl>
      <w:tblPr>
        <w:tblStyle w:val="14"/>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4"/>
        <w:bidi w:val="0"/>
        <w:ind w:firstLine="482" w:firstLineChars="200"/>
        <w:rPr>
          <w:rFonts w:hint="eastAsia"/>
          <w:lang w:val="en-US" w:eastAsia="zh-CN"/>
        </w:rPr>
      </w:pPr>
    </w:p>
    <w:p>
      <w:pPr>
        <w:pStyle w:val="4"/>
        <w:bidi w:val="0"/>
        <w:ind w:firstLine="482" w:firstLineChars="200"/>
        <w:rPr>
          <w:rFonts w:hint="eastAsia"/>
          <w:lang w:val="en-US" w:eastAsia="zh-CN"/>
        </w:rPr>
      </w:pPr>
      <w:bookmarkStart w:id="33" w:name="_Toc6592"/>
      <w:bookmarkStart w:id="34" w:name="_Toc138151651"/>
      <w:r>
        <w:rPr>
          <w:rFonts w:hint="eastAsia"/>
          <w:lang w:val="en-US" w:eastAsia="zh-CN"/>
        </w:rPr>
        <w:t>5.3三甲综合医院同类项目案例合同及验收佐证</w:t>
      </w:r>
      <w:bookmarkEnd w:id="33"/>
      <w:bookmarkEnd w:id="34"/>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bookmarkStart w:id="35" w:name="_Toc138151652"/>
      <w:bookmarkStart w:id="36" w:name="_Toc27685"/>
      <w:r>
        <w:rPr>
          <w:rFonts w:hint="eastAsia"/>
          <w:lang w:val="en-US" w:eastAsia="zh-CN"/>
        </w:rPr>
        <w:t>六、报价表</w:t>
      </w:r>
      <w:bookmarkEnd w:id="35"/>
      <w:r>
        <w:rPr>
          <w:rFonts w:hint="eastAsia"/>
          <w:lang w:val="en-US" w:eastAsia="zh-CN"/>
        </w:rPr>
        <w:t>包含内容</w:t>
      </w:r>
      <w:bookmarkEnd w:id="36"/>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1.报价包含项目实施所涉及的软件及配套硬件、成本、费用和税金，其包括但不限于软件开发、安装、调试、验收、培训、税金、第三方系统的接口开发等费用。</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2.系统建设实施直至整体验收提供不少于1名具有实施经验的技术人员常驻医院现场。</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3.系统整体验收合格之日起提供不少于3年的免费质保期，质保期内免费上门服务，质保期内提供免费的软件升级及接口改造服务，包括医院主要业务系统变更等。</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4.质保期之后，系统维保费率不高于招标总价的5%。</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6.须支持密评防护,并免费做好该项目涉及的密码应用对接及密评相关工作，须满足医院自行或聘请的第三方网络安全等级保护测评和商用密码应用安全性评估，对测评中出现的软硬件安全漏洞须及时修复、改造。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7.待资阳市政务服务和大数据管理局完成政务信创云项目建设后，本系统将迁移至政务信创云，需对本项目进行服务及数据迁移，业务中断≤24小时。</w:t>
      </w:r>
    </w:p>
    <w:p>
      <w:pPr>
        <w:pStyle w:val="2"/>
        <w:spacing w:line="240" w:lineRule="auto"/>
        <w:ind w:firstLine="560"/>
        <w:rPr>
          <w:rFonts w:hint="default" w:ascii="仿宋" w:hAnsi="仿宋" w:eastAsia="仿宋" w:cs="仿宋"/>
          <w:b w:val="0"/>
          <w:color w:val="auto"/>
          <w:kern w:val="2"/>
          <w:sz w:val="24"/>
          <w:szCs w:val="24"/>
          <w:lang w:val="en-US" w:eastAsia="zh-CN" w:bidi="ar-SA"/>
        </w:rPr>
      </w:pPr>
      <w:r>
        <w:rPr>
          <w:rFonts w:hint="default" w:ascii="仿宋" w:hAnsi="仿宋" w:eastAsia="仿宋" w:cs="仿宋"/>
          <w:b w:val="0"/>
          <w:color w:val="auto"/>
          <w:kern w:val="2"/>
          <w:sz w:val="24"/>
          <w:szCs w:val="24"/>
          <w:lang w:val="en-US" w:eastAsia="zh-CN" w:bidi="ar-SA"/>
        </w:rPr>
        <w:t>8.报价包含提供第三方测评公司出具的测评报告(包括功能、性能、安全等)。</w:t>
      </w:r>
      <w:bookmarkStart w:id="46" w:name="_GoBack"/>
      <w:bookmarkEnd w:id="46"/>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7" w:name="_Toc15885"/>
      <w:r>
        <w:rPr>
          <w:rFonts w:hint="eastAsia"/>
          <w:lang w:val="en-US" w:eastAsia="zh-CN"/>
        </w:rPr>
        <w:t>七、建设方案</w:t>
      </w:r>
      <w:bookmarkEnd w:id="37"/>
    </w:p>
    <w:p>
      <w:pPr>
        <w:bidi w:val="0"/>
        <w:rPr>
          <w:rFonts w:hint="eastAsia"/>
          <w:lang w:val="en-US" w:eastAsia="zh-CN"/>
        </w:rPr>
      </w:pPr>
      <w:bookmarkStart w:id="38" w:name="_Toc138151653"/>
      <w:r>
        <w:rPr>
          <w:rFonts w:hint="eastAsia"/>
          <w:lang w:val="en-US" w:eastAsia="zh-CN"/>
        </w:rPr>
        <w:t>（包含以内容，其他内容自拟）</w:t>
      </w:r>
    </w:p>
    <w:p>
      <w:pPr>
        <w:pStyle w:val="4"/>
        <w:bidi w:val="0"/>
        <w:ind w:firstLine="482" w:firstLineChars="200"/>
        <w:rPr>
          <w:rFonts w:hint="eastAsia"/>
          <w:lang w:val="en-US" w:eastAsia="zh-CN"/>
        </w:rPr>
      </w:pPr>
      <w:bookmarkStart w:id="39" w:name="_Toc6336"/>
      <w:r>
        <w:rPr>
          <w:rFonts w:hint="eastAsia"/>
          <w:lang w:val="en-US" w:eastAsia="zh-CN"/>
        </w:rPr>
        <w:t>7.1 实施条件（实施所需的支持条件）</w:t>
      </w:r>
      <w:bookmarkEnd w:id="38"/>
      <w:bookmarkEnd w:id="39"/>
    </w:p>
    <w:p>
      <w:pPr>
        <w:pStyle w:val="4"/>
        <w:bidi w:val="0"/>
        <w:ind w:firstLine="482" w:firstLineChars="200"/>
        <w:rPr>
          <w:rFonts w:hint="eastAsia"/>
          <w:lang w:val="en-US" w:eastAsia="zh-CN"/>
        </w:rPr>
      </w:pPr>
      <w:bookmarkStart w:id="40" w:name="_Toc138151654"/>
      <w:bookmarkStart w:id="41" w:name="_Toc21591"/>
      <w:r>
        <w:rPr>
          <w:rFonts w:hint="eastAsia"/>
          <w:lang w:val="en-US" w:eastAsia="zh-CN"/>
        </w:rPr>
        <w:t>7.2 实施周期</w:t>
      </w:r>
      <w:bookmarkEnd w:id="40"/>
      <w:bookmarkEnd w:id="41"/>
    </w:p>
    <w:p>
      <w:pPr>
        <w:pStyle w:val="4"/>
        <w:bidi w:val="0"/>
        <w:ind w:firstLine="482" w:firstLineChars="200"/>
        <w:rPr>
          <w:rFonts w:hint="eastAsia"/>
          <w:lang w:val="en-US" w:eastAsia="zh-CN"/>
        </w:rPr>
      </w:pPr>
      <w:bookmarkStart w:id="42" w:name="_Toc138151655"/>
      <w:bookmarkStart w:id="43" w:name="_Toc18352"/>
      <w:r>
        <w:rPr>
          <w:rFonts w:hint="eastAsia"/>
          <w:lang w:val="en-US" w:eastAsia="zh-CN"/>
        </w:rPr>
        <w:t>7.3 系统运行环境</w:t>
      </w:r>
      <w:bookmarkEnd w:id="42"/>
      <w:bookmarkEnd w:id="43"/>
    </w:p>
    <w:p>
      <w:pPr>
        <w:pStyle w:val="4"/>
        <w:bidi w:val="0"/>
        <w:ind w:firstLine="482" w:firstLineChars="200"/>
        <w:rPr>
          <w:rFonts w:hint="eastAsia"/>
          <w:lang w:val="en-US" w:eastAsia="zh-CN"/>
        </w:rPr>
      </w:pPr>
      <w:bookmarkStart w:id="44" w:name="_Toc8120"/>
      <w:bookmarkStart w:id="45" w:name="_Toc138151656"/>
      <w:r>
        <w:rPr>
          <w:rFonts w:hint="eastAsia"/>
          <w:lang w:val="en-US" w:eastAsia="zh-CN"/>
        </w:rPr>
        <w:t>7.4 系统总体架构</w:t>
      </w:r>
      <w:bookmarkEnd w:id="44"/>
      <w:bookmarkEnd w:id="45"/>
    </w:p>
    <w:p>
      <w:pPr>
        <w:rPr>
          <w:rFonts w:hint="eastAsia"/>
          <w:lang w:val="en-US" w:eastAsia="zh-CN"/>
        </w:rPr>
      </w:pPr>
    </w:p>
    <w:p>
      <w:pPr>
        <w:rPr>
          <w:rFonts w:hint="eastAsia"/>
          <w:lang w:val="en-US" w:eastAsia="zh-CN"/>
        </w:rPr>
      </w:pPr>
    </w:p>
    <w:p>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8C3793D-D95B-4571-8E14-363F41EFC24A}"/>
  </w:font>
  <w:font w:name="仿宋">
    <w:panose1 w:val="02010609060101010101"/>
    <w:charset w:val="86"/>
    <w:family w:val="auto"/>
    <w:pitch w:val="default"/>
    <w:sig w:usb0="800002BF" w:usb1="38CF7CFA" w:usb2="00000016" w:usb3="00000000" w:csb0="00040001" w:csb1="00000000"/>
    <w:embedRegular r:id="rId2" w:fontKey="{79C6B80B-8CDE-4732-AA1B-380B01109E3D}"/>
  </w:font>
  <w:font w:name="方正小标宋简体">
    <w:panose1 w:val="03000509000000000000"/>
    <w:charset w:val="86"/>
    <w:family w:val="auto"/>
    <w:pitch w:val="default"/>
    <w:sig w:usb0="00000001" w:usb1="080E0000" w:usb2="00000000" w:usb3="00000000" w:csb0="00040000" w:csb1="00000000"/>
    <w:embedRegular r:id="rId3" w:fontKey="{3D81DBC0-0334-44AA-8407-9D88B8E392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C2C5C"/>
    <w:multiLevelType w:val="singleLevel"/>
    <w:tmpl w:val="168C2C5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224038E"/>
    <w:rsid w:val="02CE7139"/>
    <w:rsid w:val="030430D0"/>
    <w:rsid w:val="037F580B"/>
    <w:rsid w:val="03D3104E"/>
    <w:rsid w:val="04593878"/>
    <w:rsid w:val="0B915D31"/>
    <w:rsid w:val="0C811C7B"/>
    <w:rsid w:val="0CDC4161"/>
    <w:rsid w:val="0D5422FE"/>
    <w:rsid w:val="0DD4413B"/>
    <w:rsid w:val="0E6E4D2B"/>
    <w:rsid w:val="0EA93CA3"/>
    <w:rsid w:val="0F537E5E"/>
    <w:rsid w:val="121A3D4C"/>
    <w:rsid w:val="13712447"/>
    <w:rsid w:val="16207B77"/>
    <w:rsid w:val="18D92EBD"/>
    <w:rsid w:val="18DA55A3"/>
    <w:rsid w:val="18E35B95"/>
    <w:rsid w:val="1A4F72D2"/>
    <w:rsid w:val="1AAF2DD5"/>
    <w:rsid w:val="1AE31E7C"/>
    <w:rsid w:val="1ED65F1E"/>
    <w:rsid w:val="20E172DD"/>
    <w:rsid w:val="20E3342D"/>
    <w:rsid w:val="22A273FF"/>
    <w:rsid w:val="23595A90"/>
    <w:rsid w:val="25C63BAB"/>
    <w:rsid w:val="25C67C05"/>
    <w:rsid w:val="283860D8"/>
    <w:rsid w:val="29FF496C"/>
    <w:rsid w:val="2B8925CC"/>
    <w:rsid w:val="2C6F6170"/>
    <w:rsid w:val="2D755A60"/>
    <w:rsid w:val="2E447274"/>
    <w:rsid w:val="2E8E10D4"/>
    <w:rsid w:val="2F306A0A"/>
    <w:rsid w:val="305F1B4D"/>
    <w:rsid w:val="34B66051"/>
    <w:rsid w:val="36A50FB2"/>
    <w:rsid w:val="38761053"/>
    <w:rsid w:val="38A804E3"/>
    <w:rsid w:val="3A985554"/>
    <w:rsid w:val="3AAB598F"/>
    <w:rsid w:val="3EBE4976"/>
    <w:rsid w:val="3EF73899"/>
    <w:rsid w:val="3FF23327"/>
    <w:rsid w:val="428970E4"/>
    <w:rsid w:val="49550899"/>
    <w:rsid w:val="4F5F64BA"/>
    <w:rsid w:val="4FB545D4"/>
    <w:rsid w:val="502A6491"/>
    <w:rsid w:val="502E58AD"/>
    <w:rsid w:val="5229783A"/>
    <w:rsid w:val="536B2A7D"/>
    <w:rsid w:val="53E51F5E"/>
    <w:rsid w:val="541505F1"/>
    <w:rsid w:val="56BF65F2"/>
    <w:rsid w:val="59410223"/>
    <w:rsid w:val="5BB10EFE"/>
    <w:rsid w:val="5DEA79AF"/>
    <w:rsid w:val="5E2F3B42"/>
    <w:rsid w:val="61FC4DEE"/>
    <w:rsid w:val="62561308"/>
    <w:rsid w:val="62927E29"/>
    <w:rsid w:val="640D6CAC"/>
    <w:rsid w:val="67CB7B5D"/>
    <w:rsid w:val="687304EE"/>
    <w:rsid w:val="6A987C6E"/>
    <w:rsid w:val="6D4B29EE"/>
    <w:rsid w:val="6D6D71FE"/>
    <w:rsid w:val="6EC06CA8"/>
    <w:rsid w:val="6EED01BE"/>
    <w:rsid w:val="709E1F5D"/>
    <w:rsid w:val="71B2000E"/>
    <w:rsid w:val="725577F4"/>
    <w:rsid w:val="74BE1DD0"/>
    <w:rsid w:val="75BD6E1E"/>
    <w:rsid w:val="75BE2C2C"/>
    <w:rsid w:val="76EB7264"/>
    <w:rsid w:val="77F5610B"/>
    <w:rsid w:val="79175759"/>
    <w:rsid w:val="7CEF5984"/>
    <w:rsid w:val="7F2D0FB6"/>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Indent"/>
    <w:basedOn w:val="1"/>
    <w:qFormat/>
    <w:uiPriority w:val="99"/>
    <w:pPr>
      <w:spacing w:line="360" w:lineRule="auto"/>
      <w:ind w:firstLine="420" w:firstLineChars="200"/>
    </w:pPr>
  </w:style>
  <w:style w:type="paragraph" w:styleId="6">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7">
    <w:name w:val="Body Text Indent"/>
    <w:basedOn w:val="1"/>
    <w:qFormat/>
    <w:uiPriority w:val="99"/>
    <w:pPr>
      <w:spacing w:after="120"/>
      <w:ind w:left="420" w:leftChars="200"/>
    </w:pPr>
  </w:style>
  <w:style w:type="paragraph" w:styleId="8">
    <w:name w:val="Plain Text"/>
    <w:basedOn w:val="1"/>
    <w:qFormat/>
    <w:uiPriority w:val="0"/>
    <w:rPr>
      <w:rFonts w:ascii="宋体" w:hAnsi="Courier New" w:cs="宋体"/>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toc 2"/>
    <w:basedOn w:val="1"/>
    <w:next w:val="1"/>
    <w:qFormat/>
    <w:uiPriority w:val="0"/>
    <w:pPr>
      <w:ind w:left="420" w:leftChars="200"/>
    </w:pPr>
  </w:style>
  <w:style w:type="paragraph" w:styleId="13">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customStyle="1" w:styleId="18">
    <w:name w:val="font81"/>
    <w:basedOn w:val="16"/>
    <w:qFormat/>
    <w:uiPriority w:val="0"/>
    <w:rPr>
      <w:rFonts w:hint="eastAsia" w:ascii="仿宋" w:hAnsi="仿宋" w:eastAsia="仿宋" w:cs="仿宋"/>
      <w:color w:val="FF0000"/>
      <w:sz w:val="24"/>
      <w:szCs w:val="24"/>
      <w:u w:val="none"/>
    </w:rPr>
  </w:style>
  <w:style w:type="character" w:customStyle="1" w:styleId="19">
    <w:name w:val="font61"/>
    <w:basedOn w:val="16"/>
    <w:qFormat/>
    <w:uiPriority w:val="0"/>
    <w:rPr>
      <w:rFonts w:hint="eastAsia" w:ascii="仿宋" w:hAnsi="仿宋" w:eastAsia="仿宋" w:cs="仿宋"/>
      <w:color w:val="000000"/>
      <w:sz w:val="24"/>
      <w:szCs w:val="24"/>
      <w:u w:val="none"/>
    </w:rPr>
  </w:style>
  <w:style w:type="character" w:customStyle="1" w:styleId="20">
    <w:name w:val="font41"/>
    <w:basedOn w:val="16"/>
    <w:qFormat/>
    <w:uiPriority w:val="0"/>
    <w:rPr>
      <w:rFonts w:hint="eastAsia" w:ascii="仿宋" w:hAnsi="仿宋" w:eastAsia="仿宋" w:cs="仿宋"/>
      <w:color w:val="000000"/>
      <w:sz w:val="24"/>
      <w:szCs w:val="24"/>
      <w:u w:val="none"/>
    </w:rPr>
  </w:style>
  <w:style w:type="character" w:customStyle="1" w:styleId="21">
    <w:name w:val="font71"/>
    <w:basedOn w:val="16"/>
    <w:qFormat/>
    <w:uiPriority w:val="0"/>
    <w:rPr>
      <w:rFonts w:hint="eastAsia" w:ascii="仿宋" w:hAnsi="仿宋" w:eastAsia="仿宋" w:cs="仿宋"/>
      <w:color w:val="0070C0"/>
      <w:sz w:val="24"/>
      <w:szCs w:val="24"/>
      <w:u w:val="none"/>
    </w:rPr>
  </w:style>
  <w:style w:type="character" w:customStyle="1" w:styleId="22">
    <w:name w:val="font51"/>
    <w:basedOn w:val="16"/>
    <w:qFormat/>
    <w:uiPriority w:val="0"/>
    <w:rPr>
      <w:rFonts w:hint="eastAsia" w:ascii="宋体" w:hAnsi="宋体" w:eastAsia="宋体" w:cs="宋体"/>
      <w:color w:val="000000"/>
      <w:sz w:val="24"/>
      <w:szCs w:val="24"/>
      <w:u w:val="none"/>
    </w:rPr>
  </w:style>
  <w:style w:type="character" w:customStyle="1" w:styleId="23">
    <w:name w:val="font21"/>
    <w:basedOn w:val="16"/>
    <w:qFormat/>
    <w:uiPriority w:val="0"/>
    <w:rPr>
      <w:rFonts w:hint="eastAsia" w:ascii="宋体" w:hAnsi="宋体" w:eastAsia="宋体" w:cs="宋体"/>
      <w:color w:val="000000"/>
      <w:sz w:val="22"/>
      <w:szCs w:val="22"/>
      <w:u w:val="none"/>
    </w:rPr>
  </w:style>
  <w:style w:type="character" w:customStyle="1" w:styleId="24">
    <w:name w:val="font11"/>
    <w:basedOn w:val="16"/>
    <w:qFormat/>
    <w:uiPriority w:val="0"/>
    <w:rPr>
      <w:rFonts w:hint="eastAsia" w:ascii="宋体" w:hAnsi="宋体" w:eastAsia="宋体" w:cs="宋体"/>
      <w:b/>
      <w:bCs/>
      <w:color w:val="000000"/>
      <w:sz w:val="24"/>
      <w:szCs w:val="24"/>
      <w:u w:val="none"/>
    </w:rPr>
  </w:style>
  <w:style w:type="paragraph" w:customStyle="1" w:styleId="2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6">
    <w:name w:val="font31"/>
    <w:basedOn w:val="16"/>
    <w:qFormat/>
    <w:uiPriority w:val="0"/>
    <w:rPr>
      <w:rFonts w:hint="eastAsia" w:ascii="宋体" w:hAnsi="宋体" w:eastAsia="宋体" w:cs="宋体"/>
      <w:color w:val="000000"/>
      <w:sz w:val="24"/>
      <w:szCs w:val="24"/>
      <w:u w:val="none"/>
    </w:rPr>
  </w:style>
  <w:style w:type="character" w:customStyle="1" w:styleId="27">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7101</Words>
  <Characters>7421</Characters>
  <Lines>0</Lines>
  <Paragraphs>0</Paragraphs>
  <TotalTime>10</TotalTime>
  <ScaleCrop>false</ScaleCrop>
  <LinksUpToDate>false</LinksUpToDate>
  <CharactersWithSpaces>7463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李凤</cp:lastModifiedBy>
  <cp:lastPrinted>2024-01-10T00:56:00Z</cp:lastPrinted>
  <dcterms:modified xsi:type="dcterms:W3CDTF">2024-03-06T08:33:46Z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2BE5B3BE4C4646EAA0CBC1FE6BCE9D2B_13</vt:lpwstr>
  </property>
</Properties>
</file>