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附件二：</w:t>
      </w:r>
    </w:p>
    <w:p>
      <w:pPr>
        <w:keepNext w:val="0"/>
        <w:keepLines w:val="0"/>
        <w:widowControl/>
        <w:numPr>
          <w:ilvl w:val="0"/>
          <w:numId w:val="0"/>
        </w:numPr>
        <w:suppressLineNumbers w:val="0"/>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b/>
          <w:bCs/>
          <w:sz w:val="44"/>
          <w:szCs w:val="44"/>
          <w:u w:val="none"/>
          <w:lang w:val="en-US" w:eastAsia="zh-CN"/>
        </w:rPr>
        <w:t xml:space="preserve"> </w:t>
      </w:r>
      <w:r>
        <w:rPr>
          <w:rFonts w:hint="eastAsia" w:ascii="仿宋_GB2312" w:hAnsi="仿宋_GB2312" w:eastAsia="仿宋_GB2312" w:cs="仿宋_GB2312"/>
          <w:b/>
          <w:bCs/>
          <w:sz w:val="44"/>
          <w:szCs w:val="44"/>
          <w:lang w:val="en-US" w:eastAsia="zh-CN"/>
        </w:rPr>
        <w:t>更换消防应急电源电瓶项目采购合同</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签订时间：2024年 　月 　日</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采购人（甲方）：资阳市第一人民医院</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供应商（乙方）：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0" w:name="_Toc217446107"/>
      <w:r>
        <w:rPr>
          <w:rFonts w:hint="eastAsia" w:ascii="仿宋_GB2312" w:hAnsi="仿宋_GB2312" w:eastAsia="仿宋_GB2312" w:cs="仿宋_GB2312"/>
          <w:sz w:val="24"/>
          <w:szCs w:val="24"/>
          <w:lang w:val="en-US" w:eastAsia="zh-CN"/>
        </w:rPr>
        <w:t>根据《院内自行采购工作规范【2022】144号》、《中华人民共和国民法典》要求，参照《中华人民共和国政府采购法》等法律法规及</w:t>
      </w:r>
      <w:r>
        <w:rPr>
          <w:rFonts w:hint="eastAsia" w:ascii="仿宋_GB2312" w:hAnsi="仿宋_GB2312" w:eastAsia="仿宋_GB2312" w:cs="仿宋_GB2312"/>
          <w:sz w:val="24"/>
          <w:szCs w:val="24"/>
          <w:u w:val="single"/>
          <w:lang w:val="en-US" w:eastAsia="zh-CN"/>
        </w:rPr>
        <w:t xml:space="preserve"> 更换消防应急电源电瓶项目（</w:t>
      </w:r>
      <w:r>
        <w:rPr>
          <w:rFonts w:hint="eastAsia" w:ascii="仿宋_GB2312" w:hAnsi="仿宋_GB2312" w:eastAsia="仿宋_GB2312" w:cs="仿宋_GB2312"/>
          <w:sz w:val="24"/>
          <w:szCs w:val="24"/>
          <w:lang w:val="en-US" w:eastAsia="zh-CN"/>
        </w:rPr>
        <w:t>项目编号：      ）的“采购要求”、乙方的“响应情况”，甲、乙双方同意签订本合同。双方同意共同遵守如下条款：</w:t>
      </w:r>
    </w:p>
    <w:p>
      <w:pPr>
        <w:keepNext w:val="0"/>
        <w:keepLines w:val="0"/>
        <w:widowControl/>
        <w:numPr>
          <w:ilvl w:val="0"/>
          <w:numId w:val="1"/>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w:t>
      </w:r>
      <w:bookmarkEnd w:id="0"/>
      <w:r>
        <w:rPr>
          <w:rFonts w:hint="eastAsia" w:ascii="仿宋_GB2312" w:hAnsi="仿宋_GB2312" w:eastAsia="仿宋_GB2312" w:cs="仿宋_GB2312"/>
          <w:sz w:val="24"/>
          <w:szCs w:val="24"/>
          <w:lang w:val="en-US" w:eastAsia="zh-CN"/>
        </w:rPr>
        <w:t>内容</w:t>
      </w:r>
    </w:p>
    <w:tbl>
      <w:tblPr>
        <w:tblStyle w:val="5"/>
        <w:tblW w:w="8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812"/>
        <w:gridCol w:w="672"/>
        <w:gridCol w:w="720"/>
        <w:gridCol w:w="1104"/>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7"/>
              <w:widowControl w:val="0"/>
              <w:numPr>
                <w:ilvl w:val="0"/>
                <w:numId w:val="0"/>
              </w:numPr>
              <w:tabs>
                <w:tab w:val="left" w:pos="0"/>
              </w:tabs>
              <w:ind w:left="0" w:leftChars="0" w:right="225" w:rightChars="0" w:firstLine="0" w:firstLineChars="0"/>
              <w:jc w:val="center"/>
              <w:rPr>
                <w:rFonts w:hint="default" w:ascii="仿宋_GB2312" w:hAnsi="仿宋_GB2312" w:eastAsia="仿宋_GB2312" w:cs="仿宋_GB2312"/>
                <w:lang w:val="en-US" w:eastAsia="zh-CN"/>
              </w:rPr>
            </w:pPr>
            <w:bookmarkStart w:id="1" w:name="_Toc217446108"/>
            <w:r>
              <w:rPr>
                <w:rFonts w:hint="eastAsia" w:ascii="仿宋_GB2312" w:hAnsi="仿宋_GB2312" w:eastAsia="仿宋_GB2312" w:cs="仿宋_GB2312"/>
                <w:lang w:val="en-US" w:eastAsia="zh-CN"/>
              </w:rPr>
              <w:t>品目</w:t>
            </w:r>
          </w:p>
        </w:tc>
        <w:tc>
          <w:tcPr>
            <w:tcW w:w="1812" w:type="dxa"/>
            <w:vAlign w:val="center"/>
          </w:tcPr>
          <w:p>
            <w:pPr>
              <w:pStyle w:val="7"/>
              <w:widowControl w:val="0"/>
              <w:numPr>
                <w:ilvl w:val="0"/>
                <w:numId w:val="0"/>
              </w:numPr>
              <w:tabs>
                <w:tab w:val="left" w:pos="0"/>
              </w:tabs>
              <w:ind w:left="0" w:leftChars="0" w:right="225" w:righ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参数</w:t>
            </w:r>
          </w:p>
        </w:tc>
        <w:tc>
          <w:tcPr>
            <w:tcW w:w="672" w:type="dxa"/>
            <w:vAlign w:val="center"/>
          </w:tcPr>
          <w:p>
            <w:pPr>
              <w:pStyle w:val="7"/>
              <w:widowControl w:val="0"/>
              <w:numPr>
                <w:ilvl w:val="0"/>
                <w:numId w:val="0"/>
              </w:numPr>
              <w:tabs>
                <w:tab w:val="left" w:pos="0"/>
              </w:tabs>
              <w:ind w:right="-168" w:right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数量</w:t>
            </w:r>
          </w:p>
        </w:tc>
        <w:tc>
          <w:tcPr>
            <w:tcW w:w="720" w:type="dxa"/>
            <w:vAlign w:val="center"/>
          </w:tcPr>
          <w:p>
            <w:pPr>
              <w:pStyle w:val="7"/>
              <w:widowControl w:val="0"/>
              <w:numPr>
                <w:ilvl w:val="0"/>
                <w:numId w:val="0"/>
              </w:numPr>
              <w:tabs>
                <w:tab w:val="left" w:pos="0"/>
              </w:tabs>
              <w:ind w:right="225" w:right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单价</w:t>
            </w:r>
          </w:p>
        </w:tc>
        <w:tc>
          <w:tcPr>
            <w:tcW w:w="1104" w:type="dxa"/>
            <w:vAlign w:val="center"/>
          </w:tcPr>
          <w:p>
            <w:pPr>
              <w:pStyle w:val="7"/>
              <w:widowControl w:val="0"/>
              <w:numPr>
                <w:ilvl w:val="0"/>
                <w:numId w:val="0"/>
              </w:numPr>
              <w:tabs>
                <w:tab w:val="left" w:pos="0"/>
              </w:tabs>
              <w:ind w:right="225" w:rightChars="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金额</w:t>
            </w:r>
          </w:p>
        </w:tc>
        <w:tc>
          <w:tcPr>
            <w:tcW w:w="3108" w:type="dxa"/>
            <w:vAlign w:val="center"/>
          </w:tcPr>
          <w:p>
            <w:pPr>
              <w:pStyle w:val="7"/>
              <w:widowControl w:val="0"/>
              <w:numPr>
                <w:ilvl w:val="0"/>
                <w:numId w:val="0"/>
              </w:numPr>
              <w:tabs>
                <w:tab w:val="left" w:pos="0"/>
              </w:tabs>
              <w:ind w:left="0" w:leftChars="0" w:right="225" w:righ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7"/>
              <w:widowControl w:val="0"/>
              <w:numPr>
                <w:ilvl w:val="0"/>
                <w:numId w:val="0"/>
              </w:numPr>
              <w:tabs>
                <w:tab w:val="left" w:pos="0"/>
              </w:tabs>
              <w:ind w:left="0" w:leftChars="0" w:right="225" w:righ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阀控式铅酸蓄电池</w:t>
            </w:r>
          </w:p>
        </w:tc>
        <w:tc>
          <w:tcPr>
            <w:tcW w:w="1812" w:type="dxa"/>
            <w:vAlign w:val="center"/>
          </w:tcPr>
          <w:p>
            <w:pPr>
              <w:pStyle w:val="7"/>
              <w:widowControl w:val="0"/>
              <w:numPr>
                <w:ilvl w:val="0"/>
                <w:numId w:val="0"/>
              </w:numPr>
              <w:tabs>
                <w:tab w:val="left" w:pos="0"/>
              </w:tabs>
              <w:ind w:left="0" w:leftChars="0" w:right="225" w:righ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6-FM-55(12V 55Ah/10HR)，尺寸：（±5%）230*140*210mm</w:t>
            </w:r>
          </w:p>
        </w:tc>
        <w:tc>
          <w:tcPr>
            <w:tcW w:w="672" w:type="dxa"/>
            <w:vAlign w:val="center"/>
          </w:tcPr>
          <w:p>
            <w:pPr>
              <w:pStyle w:val="7"/>
              <w:widowControl w:val="0"/>
              <w:numPr>
                <w:ilvl w:val="0"/>
                <w:numId w:val="0"/>
              </w:numPr>
              <w:tabs>
                <w:tab w:val="left" w:pos="0"/>
              </w:tabs>
              <w:ind w:right="225" w:right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64块</w:t>
            </w:r>
          </w:p>
        </w:tc>
        <w:tc>
          <w:tcPr>
            <w:tcW w:w="720" w:type="dxa"/>
            <w:vAlign w:val="center"/>
          </w:tcPr>
          <w:p>
            <w:pPr>
              <w:pStyle w:val="7"/>
              <w:widowControl w:val="0"/>
              <w:numPr>
                <w:ilvl w:val="0"/>
                <w:numId w:val="0"/>
              </w:numPr>
              <w:tabs>
                <w:tab w:val="left" w:pos="0"/>
              </w:tabs>
              <w:ind w:right="-36" w:rightChars="0"/>
              <w:jc w:val="center"/>
              <w:rPr>
                <w:rFonts w:hint="default" w:ascii="仿宋_GB2312" w:hAnsi="仿宋_GB2312" w:eastAsia="仿宋_GB2312" w:cs="仿宋_GB2312"/>
                <w:lang w:val="en-US" w:eastAsia="zh-CN"/>
              </w:rPr>
            </w:pPr>
          </w:p>
        </w:tc>
        <w:tc>
          <w:tcPr>
            <w:tcW w:w="1104" w:type="dxa"/>
            <w:vAlign w:val="center"/>
          </w:tcPr>
          <w:p>
            <w:pPr>
              <w:pStyle w:val="7"/>
              <w:widowControl w:val="0"/>
              <w:numPr>
                <w:ilvl w:val="0"/>
                <w:numId w:val="0"/>
              </w:numPr>
              <w:tabs>
                <w:tab w:val="left" w:pos="0"/>
              </w:tabs>
              <w:ind w:right="8" w:rightChars="0"/>
              <w:jc w:val="center"/>
              <w:rPr>
                <w:rFonts w:hint="default" w:ascii="仿宋_GB2312" w:hAnsi="仿宋_GB2312" w:eastAsia="仿宋_GB2312" w:cs="仿宋_GB2312"/>
                <w:b w:val="0"/>
                <w:bCs w:val="0"/>
                <w:kern w:val="2"/>
                <w:sz w:val="24"/>
                <w:szCs w:val="24"/>
                <w:vertAlign w:val="baseline"/>
                <w:lang w:val="en-US" w:eastAsia="zh-CN" w:bidi="ar-SA"/>
              </w:rPr>
            </w:pPr>
          </w:p>
        </w:tc>
        <w:tc>
          <w:tcPr>
            <w:tcW w:w="3108" w:type="dxa"/>
            <w:vAlign w:val="center"/>
          </w:tcPr>
          <w:p>
            <w:pPr>
              <w:pStyle w:val="7"/>
              <w:widowControl w:val="0"/>
              <w:numPr>
                <w:ilvl w:val="0"/>
                <w:numId w:val="0"/>
              </w:numPr>
              <w:tabs>
                <w:tab w:val="left" w:pos="0"/>
              </w:tabs>
              <w:ind w:left="0" w:leftChars="0" w:right="-36" w:righ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1.供应商提供全新蓄电池并完成新旧蓄电池更换工作。2.供应商负责对旧蓄电池按危废进行无害化处理。</w:t>
            </w:r>
          </w:p>
        </w:tc>
      </w:tr>
      <w:bookmarkEnd w:id="1"/>
    </w:tbl>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二、合同总价</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合同总价为人民币大写：</w:t>
      </w:r>
      <w:r>
        <w:rPr>
          <w:rFonts w:hint="eastAsia" w:ascii="仿宋_GB2312" w:hAnsi="仿宋_GB2312" w:eastAsia="仿宋_GB2312" w:cs="仿宋_GB2312"/>
          <w:color w:val="auto"/>
          <w:sz w:val="24"/>
          <w:szCs w:val="24"/>
          <w:u w:val="single"/>
          <w:lang w:val="en-US" w:eastAsia="zh-CN"/>
        </w:rPr>
        <w:t xml:space="preserve">            </w:t>
      </w:r>
      <w:bookmarkStart w:id="5" w:name="_GoBack"/>
      <w:bookmarkEnd w:id="5"/>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，即RMB￥：</w:t>
      </w:r>
      <w:r>
        <w:rPr>
          <w:rFonts w:hint="eastAsia" w:ascii="仿宋_GB2312" w:hAnsi="仿宋_GB2312" w:eastAsia="仿宋_GB2312" w:cs="仿宋_GB2312"/>
          <w:b w:val="0"/>
          <w:bCs w:val="0"/>
          <w:color w:val="auto"/>
          <w:kern w:val="2"/>
          <w:sz w:val="24"/>
          <w:szCs w:val="24"/>
          <w:u w:val="single"/>
          <w:vertAlign w:val="baseline"/>
          <w:lang w:val="en-US" w:eastAsia="zh-CN" w:bidi="ar-SA"/>
        </w:rPr>
        <w:t xml:space="preserve">        </w:t>
      </w:r>
      <w:r>
        <w:rPr>
          <w:rFonts w:hint="eastAsia" w:ascii="仿宋_GB2312" w:hAnsi="仿宋_GB2312" w:eastAsia="仿宋_GB2312" w:cs="仿宋_GB2312"/>
          <w:color w:val="auto"/>
          <w:sz w:val="24"/>
          <w:szCs w:val="24"/>
          <w:u w:val="single"/>
          <w:lang w:val="en-US" w:eastAsia="zh-CN"/>
        </w:rPr>
        <w:t>元</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sz w:val="24"/>
          <w:szCs w:val="24"/>
          <w:highlight w:val="none"/>
          <w:lang w:val="en-US" w:eastAsia="zh-CN"/>
        </w:rPr>
        <w:t>该合同总价已货物及运输、验收合格之前及保修期内保修服务与备用物件、无害化处理等所有其他有关各项的含税费用。甲方无须另向乙方支付本合同规定之外的其他任何费用。</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bookmarkStart w:id="2" w:name="_Toc217446109"/>
      <w:r>
        <w:rPr>
          <w:rFonts w:hint="eastAsia" w:ascii="仿宋_GB2312" w:hAnsi="仿宋_GB2312" w:eastAsia="仿宋_GB2312" w:cs="仿宋_GB2312"/>
          <w:sz w:val="24"/>
          <w:szCs w:val="24"/>
          <w:highlight w:val="none"/>
          <w:lang w:val="en-US" w:eastAsia="zh-CN"/>
        </w:rPr>
        <w:t>三、质量要求</w:t>
      </w:r>
      <w:bookmarkEnd w:id="2"/>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（一）乙方须提供全新无质量问题的产品（含零部件、配件等），表面无划伤、无碰撞痕迹，且权属清楚，不得侵害他人的知识产权。</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（二）产品或服务必须符合或优于国家（行业）标准，以及本项目采购要求，提供产品合格证等相关资料进行佐证</w:t>
      </w:r>
      <w:r>
        <w:rPr>
          <w:rFonts w:hint="eastAsia" w:ascii="仿宋_GB2312" w:hAnsi="仿宋_GB2312" w:eastAsia="仿宋_GB2312" w:cs="仿宋_GB2312"/>
          <w:sz w:val="24"/>
          <w:szCs w:val="24"/>
          <w:highlight w:val="none"/>
          <w:lang w:val="en-US" w:eastAsia="zh-CN"/>
        </w:rPr>
        <w:t>。</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none"/>
          <w:lang w:val="en-US" w:eastAsia="zh-CN"/>
        </w:rPr>
        <w:t>（三）产品质保期：自</w:t>
      </w:r>
      <w:r>
        <w:rPr>
          <w:rFonts w:hint="eastAsia" w:ascii="仿宋_GB2312" w:hAnsi="仿宋_GB2312" w:eastAsia="仿宋_GB2312" w:cs="仿宋_GB2312"/>
          <w:sz w:val="24"/>
          <w:szCs w:val="24"/>
          <w:highlight w:val="none"/>
          <w:lang w:val="en-US" w:eastAsia="zh-CN"/>
        </w:rPr>
        <w:t>产品安装调试完毕、设备运行正常、甲乙双方验收合格签字确认之日起计算质保期。质保期</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年。</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lang w:val="en-US" w:eastAsia="zh-CN" w:bidi="ar-SA"/>
        </w:rPr>
        <w:t>四、工期：</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天</w:t>
      </w:r>
    </w:p>
    <w:p>
      <w:pPr>
        <w:numPr>
          <w:ilvl w:val="0"/>
          <w:numId w:val="0"/>
        </w:numPr>
        <w:tabs>
          <w:tab w:val="left" w:pos="3690"/>
        </w:tabs>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五、验收方式：</w:t>
      </w:r>
      <w:r>
        <w:rPr>
          <w:rFonts w:hint="eastAsia" w:ascii="仿宋_GB2312" w:hAnsi="仿宋_GB2312" w:eastAsia="仿宋_GB2312" w:cs="仿宋_GB2312"/>
          <w:sz w:val="24"/>
          <w:szCs w:val="24"/>
          <w:lang w:val="en-US" w:eastAsia="zh-CN"/>
        </w:rPr>
        <w:t>医院自行组织验。</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bookmarkStart w:id="3" w:name="_Toc217446111"/>
      <w:r>
        <w:rPr>
          <w:rFonts w:hint="eastAsia" w:ascii="仿宋_GB2312" w:hAnsi="仿宋_GB2312" w:eastAsia="仿宋_GB2312" w:cs="仿宋_GB2312"/>
          <w:sz w:val="24"/>
          <w:szCs w:val="24"/>
          <w:lang w:val="en-US" w:eastAsia="zh-CN"/>
        </w:rPr>
        <w:t>六、付款方式</w:t>
      </w:r>
      <w:bookmarkEnd w:id="3"/>
      <w:r>
        <w:rPr>
          <w:rFonts w:hint="eastAsia" w:ascii="仿宋_GB2312" w:hAnsi="仿宋_GB2312" w:eastAsia="仿宋_GB2312" w:cs="仿宋_GB2312"/>
          <w:sz w:val="24"/>
          <w:szCs w:val="24"/>
          <w:lang w:val="en-US" w:eastAsia="zh-CN"/>
        </w:rPr>
        <w:t>（三选一）：本合同选择</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highlight w:val="none"/>
          <w:lang w:val="en-US" w:eastAsia="zh-CN"/>
        </w:rPr>
        <w:t>付款方式（一）。</w:t>
      </w:r>
    </w:p>
    <w:p>
      <w:pPr>
        <w:numPr>
          <w:ilvl w:val="0"/>
          <w:numId w:val="0"/>
        </w:numPr>
        <w:tabs>
          <w:tab w:val="left" w:pos="3690"/>
        </w:tabs>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☑付款方式（一）：</w:t>
      </w:r>
      <w:r>
        <w:rPr>
          <w:rFonts w:hint="eastAsia" w:ascii="仿宋_GB2312" w:hAnsi="仿宋_GB2312" w:eastAsia="仿宋_GB2312" w:cs="仿宋_GB2312"/>
          <w:sz w:val="24"/>
          <w:szCs w:val="24"/>
          <w:highlight w:val="none"/>
          <w:lang w:val="en-US" w:eastAsia="zh-CN"/>
        </w:rPr>
        <w:t>乙方完成蓄电池更换，经甲方验收合格，在收到乙方出具合法有效完整的完税发票及凭证资料后的次月内，付合同总金额的100%。</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□付款方式（二）：甲方收到产品验收入库、发票齐全、正常使用完后，即可按照甲方账期进行滚动付款。</w:t>
      </w:r>
      <w:bookmarkStart w:id="4" w:name="_Toc217446115"/>
    </w:p>
    <w:p>
      <w:pPr>
        <w:pStyle w:val="7"/>
        <w:numPr>
          <w:ilvl w:val="0"/>
          <w:numId w:val="0"/>
        </w:numPr>
        <w:tabs>
          <w:tab w:val="left" w:pos="0"/>
        </w:tabs>
        <w:ind w:right="225"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□付款方式（三）：</w:t>
      </w:r>
      <w:r>
        <w:rPr>
          <w:rFonts w:hint="eastAsia" w:ascii="仿宋_GB2312" w:hAnsi="仿宋_GB2312" w:eastAsia="仿宋_GB2312" w:cs="仿宋_GB2312"/>
          <w:kern w:val="2"/>
          <w:sz w:val="24"/>
          <w:szCs w:val="24"/>
          <w:lang w:val="en-US" w:eastAsia="zh-CN" w:bidi="ar-SA"/>
        </w:rPr>
        <w:t>投标人完成</w:t>
      </w:r>
      <w:r>
        <w:rPr>
          <w:rFonts w:hint="eastAsia" w:ascii="仿宋_GB2312" w:hAnsi="仿宋_GB2312" w:eastAsia="仿宋_GB2312" w:cs="仿宋_GB2312"/>
          <w:kern w:val="2"/>
          <w:sz w:val="24"/>
          <w:szCs w:val="24"/>
          <w:u w:val="single"/>
          <w:lang w:val="en-US" w:eastAsia="zh-CN" w:bidi="ar-SA"/>
        </w:rPr>
        <w:t xml:space="preserve">               </w:t>
      </w:r>
      <w:r>
        <w:rPr>
          <w:rFonts w:hint="eastAsia" w:ascii="仿宋_GB2312" w:hAnsi="仿宋_GB2312" w:eastAsia="仿宋_GB2312" w:cs="仿宋_GB2312"/>
          <w:kern w:val="2"/>
          <w:sz w:val="24"/>
          <w:szCs w:val="24"/>
          <w:lang w:val="en-US" w:eastAsia="zh-CN" w:bidi="ar-SA"/>
        </w:rPr>
        <w:t>项目、招标人验收合格后，经招标人委托的审计公司审计，根据审计结果，达到付款条件起30个工作日内，支付审计结果的97%。质保期满，达到付款条件起30个工作日内，支付审计结果的3%。</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七、违约责任</w:t>
      </w:r>
    </w:p>
    <w:bookmarkEnd w:id="4"/>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因乙方提供的产品质量等问题或在更换过程中违反有关安全操作规程等，造成了甲方经济或名誉损失（包括但不限于</w:t>
      </w:r>
      <w:r>
        <w:rPr>
          <w:rFonts w:hint="eastAsia" w:ascii="仿宋_GB2312" w:hAnsi="仿宋_GB2312" w:eastAsia="仿宋_GB2312" w:cs="仿宋_GB2312"/>
          <w:kern w:val="2"/>
          <w:sz w:val="24"/>
          <w:szCs w:val="24"/>
          <w:lang w:val="en-US" w:eastAsia="zh-CN" w:bidi="ar-SA"/>
        </w:rPr>
        <w:t>甲方</w:t>
      </w:r>
      <w:r>
        <w:rPr>
          <w:rFonts w:hint="eastAsia" w:ascii="仿宋_GB2312" w:hAnsi="仿宋_GB2312" w:eastAsia="仿宋_GB2312" w:cs="仿宋_GB2312"/>
          <w:kern w:val="2"/>
          <w:sz w:val="24"/>
          <w:szCs w:val="24"/>
          <w:lang w:val="en-US" w:eastAsia="zh-CN" w:bidi="ar-SA"/>
        </w:rPr>
        <w:t>工及第三人（患者、家属等）受害、</w:t>
      </w:r>
      <w:r>
        <w:rPr>
          <w:rFonts w:hint="eastAsia" w:ascii="仿宋_GB2312" w:hAnsi="仿宋_GB2312" w:eastAsia="仿宋_GB2312" w:cs="仿宋_GB2312"/>
          <w:kern w:val="2"/>
          <w:sz w:val="24"/>
          <w:szCs w:val="24"/>
          <w:lang w:val="en-US" w:eastAsia="zh-CN" w:bidi="ar-SA"/>
        </w:rPr>
        <w:t>甲方</w:t>
      </w:r>
      <w:r>
        <w:rPr>
          <w:rFonts w:hint="eastAsia" w:ascii="仿宋_GB2312" w:hAnsi="仿宋_GB2312" w:eastAsia="仿宋_GB2312" w:cs="仿宋_GB2312"/>
          <w:kern w:val="2"/>
          <w:sz w:val="24"/>
          <w:szCs w:val="24"/>
          <w:lang w:val="en-US" w:eastAsia="zh-CN" w:bidi="ar-SA"/>
        </w:rPr>
        <w:t>因乙方产品及安装等问题向第三人进行赔偿等）的，</w:t>
      </w:r>
      <w:r>
        <w:rPr>
          <w:rFonts w:hint="eastAsia" w:ascii="仿宋_GB2312" w:hAnsi="仿宋_GB2312" w:eastAsia="仿宋_GB2312" w:cs="仿宋_GB2312"/>
          <w:kern w:val="2"/>
          <w:sz w:val="24"/>
          <w:szCs w:val="24"/>
          <w:lang w:val="en-US" w:eastAsia="zh-CN" w:bidi="ar-SA"/>
        </w:rPr>
        <w:t>乙方</w:t>
      </w:r>
      <w:r>
        <w:rPr>
          <w:rFonts w:hint="eastAsia" w:ascii="仿宋_GB2312" w:hAnsi="仿宋_GB2312" w:eastAsia="仿宋_GB2312" w:cs="仿宋_GB2312"/>
          <w:kern w:val="2"/>
          <w:sz w:val="24"/>
          <w:szCs w:val="24"/>
          <w:lang w:val="en-US" w:eastAsia="zh-CN" w:bidi="ar-SA"/>
        </w:rPr>
        <w:t>对上述招标人损失承担全额赔偿责任并额外向</w:t>
      </w:r>
      <w:r>
        <w:rPr>
          <w:rFonts w:hint="eastAsia" w:ascii="仿宋_GB2312" w:hAnsi="仿宋_GB2312" w:eastAsia="仿宋_GB2312" w:cs="仿宋_GB2312"/>
          <w:kern w:val="2"/>
          <w:sz w:val="24"/>
          <w:szCs w:val="24"/>
          <w:lang w:val="en-US" w:eastAsia="zh-CN" w:bidi="ar-SA"/>
        </w:rPr>
        <w:t>甲方</w:t>
      </w:r>
      <w:r>
        <w:rPr>
          <w:rFonts w:hint="eastAsia" w:ascii="仿宋_GB2312" w:hAnsi="仿宋_GB2312" w:eastAsia="仿宋_GB2312" w:cs="仿宋_GB2312"/>
          <w:kern w:val="2"/>
          <w:sz w:val="24"/>
          <w:szCs w:val="24"/>
          <w:lang w:val="en-US" w:eastAsia="zh-CN" w:bidi="ar-SA"/>
        </w:rPr>
        <w:t>支付合同总额20%的违约金，同时</w:t>
      </w:r>
      <w:r>
        <w:rPr>
          <w:rFonts w:hint="eastAsia" w:ascii="仿宋_GB2312" w:hAnsi="仿宋_GB2312" w:eastAsia="仿宋_GB2312" w:cs="仿宋_GB2312"/>
          <w:kern w:val="2"/>
          <w:sz w:val="24"/>
          <w:szCs w:val="24"/>
          <w:lang w:val="en-US" w:eastAsia="zh-CN" w:bidi="ar-SA"/>
        </w:rPr>
        <w:t>甲方</w:t>
      </w:r>
      <w:r>
        <w:rPr>
          <w:rFonts w:hint="eastAsia" w:ascii="仿宋_GB2312" w:hAnsi="仿宋_GB2312" w:eastAsia="仿宋_GB2312" w:cs="仿宋_GB2312"/>
          <w:kern w:val="2"/>
          <w:sz w:val="24"/>
          <w:szCs w:val="24"/>
          <w:lang w:val="en-US" w:eastAsia="zh-CN" w:bidi="ar-SA"/>
        </w:rPr>
        <w:t>有权原价退回本合同项下全部产品。</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highlight w:val="none"/>
          <w:lang w:val="en-US" w:eastAsia="zh-CN"/>
        </w:rPr>
        <w:t>八、</w:t>
      </w:r>
      <w:r>
        <w:rPr>
          <w:rFonts w:hint="eastAsia" w:ascii="仿宋_GB2312" w:hAnsi="仿宋_GB2312" w:eastAsia="仿宋_GB2312" w:cs="仿宋_GB2312"/>
          <w:sz w:val="24"/>
          <w:szCs w:val="24"/>
          <w:highlight w:val="none"/>
          <w:lang w:val="en-US" w:eastAsia="zh-CN"/>
        </w:rPr>
        <w:t>其他</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（一）如有未尽事宜，由甲乙双方协商解决。协商不一致，向甲方所在地人民法院提起诉讼。</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（二）本合同一式五份，自双方签章之日起生效。甲方四份，乙方一份。</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（三）附件：</w:t>
      </w:r>
      <w:r>
        <w:rPr>
          <w:rFonts w:hint="default" w:ascii="仿宋_GB2312" w:hAnsi="仿宋_GB2312" w:eastAsia="仿宋_GB2312" w:cs="仿宋_GB2312"/>
          <w:sz w:val="24"/>
          <w:szCs w:val="24"/>
          <w:lang w:val="en-US" w:eastAsia="zh-CN"/>
        </w:rPr>
        <w:t>廉洁承诺书</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lang w:val="en-US" w:eastAsia="zh-CN"/>
        </w:rPr>
      </w:pPr>
    </w:p>
    <w:tbl>
      <w:tblPr>
        <w:tblStyle w:val="4"/>
        <w:tblW w:w="9331" w:type="dxa"/>
        <w:jc w:val="center"/>
        <w:tblLayout w:type="fixed"/>
        <w:tblCellMar>
          <w:top w:w="0" w:type="dxa"/>
          <w:left w:w="108" w:type="dxa"/>
          <w:bottom w:w="0" w:type="dxa"/>
          <w:right w:w="108" w:type="dxa"/>
        </w:tblCellMar>
      </w:tblPr>
      <w:tblGrid>
        <w:gridCol w:w="3801"/>
        <w:gridCol w:w="5530"/>
      </w:tblGrid>
      <w:tr>
        <w:tblPrEx>
          <w:tblCellMar>
            <w:top w:w="0" w:type="dxa"/>
            <w:left w:w="108" w:type="dxa"/>
            <w:bottom w:w="0" w:type="dxa"/>
            <w:right w:w="108" w:type="dxa"/>
          </w:tblCellMar>
        </w:tblPrEx>
        <w:trPr>
          <w:trHeight w:val="1406" w:hRule="atLeast"/>
          <w:jc w:val="center"/>
        </w:trPr>
        <w:tc>
          <w:tcPr>
            <w:tcW w:w="3801"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甲方：（章）资阳市第一人民医院</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法定代表人/授权代理人签字：</w:t>
            </w:r>
          </w:p>
          <w:p>
            <w:pPr>
              <w:pStyle w:val="2"/>
              <w:rPr>
                <w:rFonts w:hint="eastAsia"/>
                <w:lang w:val="en-US" w:eastAsia="zh-CN"/>
              </w:rPr>
            </w:pPr>
          </w:p>
          <w:p>
            <w:pPr>
              <w:pStyle w:val="2"/>
              <w:rPr>
                <w:rFonts w:hint="eastAsia"/>
                <w:lang w:val="en-US" w:eastAsia="zh-CN"/>
              </w:rPr>
            </w:pPr>
          </w:p>
          <w:p>
            <w:pPr>
              <w:pStyle w:val="2"/>
              <w:rPr>
                <w:rFonts w:hint="eastAsia" w:ascii="仿宋_GB2312" w:hAnsi="仿宋_GB2312" w:eastAsia="仿宋_GB2312" w:cs="仿宋_GB2312"/>
                <w:sz w:val="24"/>
                <w:szCs w:val="24"/>
                <w:lang w:val="en-US" w:eastAsia="zh-CN"/>
              </w:rPr>
            </w:pPr>
          </w:p>
          <w:p>
            <w:pPr>
              <w:pStyle w:val="2"/>
              <w:rPr>
                <w:rFonts w:hint="eastAsia"/>
                <w:lang w:val="en-US" w:eastAsia="zh-CN"/>
              </w:rPr>
            </w:pPr>
            <w:r>
              <w:rPr>
                <w:rFonts w:hint="eastAsia" w:ascii="仿宋_GB2312" w:hAnsi="仿宋_GB2312" w:eastAsia="仿宋_GB2312" w:cs="仿宋_GB2312"/>
                <w:sz w:val="24"/>
                <w:szCs w:val="24"/>
                <w:lang w:val="en-US" w:eastAsia="zh-CN"/>
              </w:rPr>
              <w:t>地址：资阳市雁江区仁德西路66号</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日期：2024年　 月 　日 </w:t>
            </w:r>
          </w:p>
        </w:tc>
        <w:tc>
          <w:tcPr>
            <w:tcW w:w="5530"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乙方：（章）四川智创天使科技有限公司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法定代表人/授权代理人签字：</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pStyle w:val="2"/>
              <w:ind w:left="0" w:leftChars="0" w:firstLine="0" w:firstLineChars="0"/>
              <w:rPr>
                <w:rFonts w:hint="default"/>
                <w:lang w:val="en-US" w:eastAsia="zh-CN"/>
              </w:rPr>
            </w:pPr>
            <w:r>
              <w:rPr>
                <w:rFonts w:hint="eastAsia" w:ascii="仿宋_GB2312" w:hAnsi="仿宋_GB2312" w:eastAsia="仿宋_GB2312" w:cs="仿宋_GB2312"/>
                <w:sz w:val="24"/>
                <w:szCs w:val="24"/>
                <w:lang w:val="en-US" w:eastAsia="zh-CN"/>
              </w:rPr>
              <w:t xml:space="preserve">地址：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日期：2024年 　月 　日 </w:t>
            </w:r>
          </w:p>
        </w:tc>
      </w:tr>
    </w:tbl>
    <w:p>
      <w:pPr>
        <w:keepNext w:val="0"/>
        <w:keepLines w:val="0"/>
        <w:widowControl/>
        <w:suppressLineNumbers w:val="0"/>
        <w:jc w:val="left"/>
        <w:rPr>
          <w:rFonts w:hint="eastAsia" w:ascii="仿宋_GB2312" w:hAnsi="仿宋_GB2312" w:eastAsia="仿宋_GB2312" w:cs="仿宋_GB2312"/>
          <w:sz w:val="32"/>
          <w:szCs w:val="32"/>
          <w:lang w:val="en-US" w:eastAsia="zh-CN"/>
        </w:rPr>
      </w:pPr>
    </w:p>
    <w:p/>
    <w:p>
      <w:pPr>
        <w:numPr>
          <w:ilvl w:val="0"/>
          <w:numId w:val="0"/>
        </w:numPr>
        <w:tabs>
          <w:tab w:val="left" w:pos="3690"/>
        </w:tabs>
        <w:jc w:val="center"/>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jc w:val="center"/>
        <w:rPr>
          <w:rFonts w:hint="eastAsia" w:ascii="仿宋_GB2312" w:hAnsi="仿宋_GB2312" w:eastAsia="仿宋_GB2312" w:cs="仿宋_GB2312"/>
          <w:i w:val="0"/>
          <w:iCs w:val="0"/>
          <w:caps w:val="0"/>
          <w:color w:val="555555"/>
          <w:spacing w:val="0"/>
          <w:sz w:val="32"/>
          <w:szCs w:val="32"/>
          <w:shd w:val="clear" w:fill="FFFFFF"/>
          <w:lang w:val="en-US" w:eastAsia="zh-CN"/>
        </w:rPr>
      </w:pPr>
      <w:r>
        <w:rPr>
          <w:rFonts w:hint="eastAsia" w:ascii="仿宋_GB2312" w:hAnsi="仿宋_GB2312" w:eastAsia="仿宋_GB2312" w:cs="仿宋_GB2312"/>
          <w:b/>
          <w:bCs/>
          <w:kern w:val="2"/>
          <w:sz w:val="32"/>
          <w:szCs w:val="32"/>
          <w:lang w:val="en-US" w:eastAsia="zh-CN" w:bidi="ar-SA"/>
        </w:rPr>
        <w:t>廉洁承诺书</w:t>
      </w:r>
    </w:p>
    <w:p>
      <w:pPr>
        <w:keepNext w:val="0"/>
        <w:keepLines w:val="0"/>
        <w:widowControl/>
        <w:numPr>
          <w:ilvl w:val="0"/>
          <w:numId w:val="0"/>
        </w:numPr>
        <w:suppressLineNumbers w:val="0"/>
        <w:ind w:left="0" w:leftChars="0" w:firstLine="0" w:firstLineChars="0"/>
        <w:jc w:val="both"/>
      </w:pP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 xml:space="preserve">    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一、进一步统一思想，充分认识开展治理商业贿赂专项治理的重要性、紧迫性和必要性。</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二、应积极配合医院开展自查自纠工作，积极配合对相关医务人员的商业贿赂行为进行查处。</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三、不找有关领导干涉药品、医用设备、医用耗材等购销活动，不以贿赂的方式将上述商品销售到医院。</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四、不向药品、医用设备、医用耗材等购销人员给予各种名义的财物或回扣。</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五、不向从事药品、医用设备、医用耗材等相关活动的人员给予开单费、临床促销费、宣传费、劳务费、统方费等费用。</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六、不为医院相关人员报销电话费、娱乐费、差旅费、餐费等应由本人支付的各种费用。</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七、不组织甲方相关人员参加国内外旅游、座谈会、学术会等活动。</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八、不向甲方相关人员赠送各种实物及有价证券。</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九、不派工作人员到医院临床科室进行药品、医用设备、医用耗材的广告宣传。</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十、不以任何理由向医院及其相关人员进行商业贿赂。</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十一、如违反上述约定，医院有权单方终止现有购销关系，若违反承诺条款，公司承诺：三年内无权参加医院所有的采购活动。</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十二、违反上述约定，应向医院支付违约金贰万元，医院可直接在双方购销款中扣除。</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 </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                </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sz w:val="24"/>
          <w:szCs w:val="24"/>
          <w:lang w:val="en-US" w:eastAsia="zh-CN"/>
        </w:rPr>
        <w:t>                                    承诺公司：（盖章）</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承诺代表：</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承诺时间：2024年   月   日</w:t>
      </w:r>
    </w:p>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      </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EC159"/>
    <w:multiLevelType w:val="singleLevel"/>
    <w:tmpl w:val="114EC1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4B21"/>
    <w:rsid w:val="019B6782"/>
    <w:rsid w:val="097E28D3"/>
    <w:rsid w:val="0A2E4928"/>
    <w:rsid w:val="0A4B5E5C"/>
    <w:rsid w:val="0B175B42"/>
    <w:rsid w:val="1F63408D"/>
    <w:rsid w:val="25A07F99"/>
    <w:rsid w:val="2DF9431C"/>
    <w:rsid w:val="32F02BEF"/>
    <w:rsid w:val="38C547B3"/>
    <w:rsid w:val="457413B4"/>
    <w:rsid w:val="47887727"/>
    <w:rsid w:val="48A723C2"/>
    <w:rsid w:val="49FD1CF0"/>
    <w:rsid w:val="4B5D6354"/>
    <w:rsid w:val="4F5C5C9B"/>
    <w:rsid w:val="50131D9D"/>
    <w:rsid w:val="578B469D"/>
    <w:rsid w:val="5B5D40A3"/>
    <w:rsid w:val="64205DBE"/>
    <w:rsid w:val="67192A32"/>
    <w:rsid w:val="6D8B07C8"/>
    <w:rsid w:val="6DEC3CE4"/>
    <w:rsid w:val="6F2D20F2"/>
    <w:rsid w:val="724A5173"/>
    <w:rsid w:val="734E117F"/>
    <w:rsid w:val="735637C7"/>
    <w:rsid w:val="777C31C0"/>
    <w:rsid w:val="7E6A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99"/>
    <w:pPr>
      <w:spacing w:after="120"/>
    </w:pPr>
  </w:style>
  <w:style w:type="paragraph" w:styleId="3">
    <w:name w:val="footer"/>
    <w:basedOn w:val="1"/>
    <w:qFormat/>
    <w:uiPriority w:val="0"/>
    <w:pPr>
      <w:tabs>
        <w:tab w:val="center" w:pos="4153"/>
        <w:tab w:val="right" w:pos="8306"/>
      </w:tabs>
      <w:autoSpaceDE w:val="0"/>
      <w:autoSpaceDN w:val="0"/>
      <w:adjustRightInd w:val="0"/>
      <w:snapToGrid w:val="0"/>
      <w:jc w:val="left"/>
    </w:pPr>
    <w:rPr>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 w:type="character" w:customStyle="1" w:styleId="8">
    <w:name w:val="font81"/>
    <w:basedOn w:val="6"/>
    <w:qFormat/>
    <w:uiPriority w:val="0"/>
    <w:rPr>
      <w:rFonts w:hint="default" w:ascii="Times New Roman" w:hAnsi="Times New Roman" w:cs="Times New Roman"/>
      <w:b/>
      <w:bCs/>
      <w:color w:val="000000"/>
      <w:sz w:val="24"/>
      <w:szCs w:val="24"/>
      <w:u w:val="none"/>
    </w:rPr>
  </w:style>
  <w:style w:type="paragraph" w:customStyle="1" w:styleId="9">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2023-08-09T05:12:00Z</dcterms:created>
  <dc:creator>Administrator</dc:creator>
  <cp:lastModifiedBy>a</cp:lastModifiedBy>
  <dcterms:modified xsi:type="dcterms:W3CDTF">2024-01-15T07:51:04Z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936E0BA9DCA5483B8A7F65A3D95E8E57</vt:lpwstr>
  </property>
</Properties>
</file>