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0"/>
          <w:sz w:val="36"/>
          <w:szCs w:val="36"/>
          <w:u w:val="none"/>
          <w:lang w:val="en-US" w:eastAsia="zh-CN" w:bidi="ar"/>
        </w:rPr>
      </w:pPr>
      <w:r>
        <w:rPr>
          <w:rFonts w:hint="eastAsia" w:ascii="黑体" w:hAnsi="黑体" w:eastAsia="黑体" w:cs="黑体"/>
          <w:i w:val="0"/>
          <w:iCs w:val="0"/>
          <w:color w:val="000000"/>
          <w:kern w:val="0"/>
          <w:sz w:val="36"/>
          <w:szCs w:val="36"/>
          <w:u w:val="none"/>
          <w:lang w:val="en-US" w:eastAsia="zh-CN" w:bidi="ar"/>
        </w:rPr>
        <w:t>资阳市中心医院</w:t>
      </w:r>
      <w:r>
        <w:rPr>
          <w:rFonts w:hint="eastAsia" w:ascii="黑体" w:hAnsi="黑体" w:eastAsia="黑体" w:cs="黑体"/>
          <w:i w:val="0"/>
          <w:iCs w:val="0"/>
          <w:color w:val="000000"/>
          <w:kern w:val="0"/>
          <w:sz w:val="36"/>
          <w:szCs w:val="36"/>
          <w:u w:val="none"/>
          <w:lang w:val="en-US" w:eastAsia="zh-CN" w:bidi="ar"/>
        </w:rPr>
        <w:br w:type="textWrapping"/>
      </w:r>
      <w:r>
        <w:rPr>
          <w:rFonts w:hint="eastAsia" w:ascii="黑体" w:hAnsi="黑体" w:eastAsia="黑体" w:cs="黑体"/>
          <w:b w:val="0"/>
          <w:bCs w:val="0"/>
          <w:i w:val="0"/>
          <w:iCs w:val="0"/>
          <w:color w:val="000000"/>
          <w:kern w:val="0"/>
          <w:sz w:val="36"/>
          <w:szCs w:val="36"/>
          <w:u w:val="none"/>
          <w:lang w:val="en-US" w:eastAsia="zh-CN" w:bidi="ar"/>
        </w:rPr>
        <w:t>医疗管理能力提升项目调研公告</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000000"/>
          <w:kern w:val="0"/>
          <w:sz w:val="36"/>
          <w:szCs w:val="36"/>
          <w:u w:val="none"/>
          <w:lang w:val="en-US" w:eastAsia="zh-CN" w:bidi="ar"/>
        </w:rPr>
      </w:pPr>
    </w:p>
    <w:p>
      <w:pPr>
        <w:pStyle w:val="6"/>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因医院业务</w:t>
      </w:r>
      <w:r>
        <w:rPr>
          <w:rFonts w:hint="eastAsia" w:ascii="仿宋" w:hAnsi="仿宋" w:cs="仿宋"/>
          <w:i w:val="0"/>
          <w:iCs w:val="0"/>
          <w:color w:val="auto"/>
          <w:sz w:val="28"/>
          <w:szCs w:val="28"/>
          <w:u w:val="none"/>
          <w:lang w:val="en-US" w:eastAsia="zh-CN"/>
        </w:rPr>
        <w:t>发展</w:t>
      </w:r>
      <w:r>
        <w:rPr>
          <w:rFonts w:hint="eastAsia" w:ascii="仿宋" w:hAnsi="仿宋" w:eastAsia="仿宋" w:cs="仿宋"/>
          <w:i w:val="0"/>
          <w:iCs w:val="0"/>
          <w:color w:val="auto"/>
          <w:sz w:val="28"/>
          <w:szCs w:val="28"/>
          <w:u w:val="none"/>
          <w:lang w:val="en-US" w:eastAsia="zh-CN"/>
        </w:rPr>
        <w:t>需要，</w:t>
      </w:r>
      <w:r>
        <w:rPr>
          <w:rFonts w:hint="eastAsia" w:ascii="仿宋" w:hAnsi="仿宋" w:cs="仿宋"/>
          <w:i w:val="0"/>
          <w:iCs w:val="0"/>
          <w:color w:val="auto"/>
          <w:sz w:val="28"/>
          <w:szCs w:val="28"/>
          <w:u w:val="none"/>
          <w:lang w:val="en-US" w:eastAsia="zh-CN"/>
        </w:rPr>
        <w:t>对医院医疗管理能力提升项目</w:t>
      </w:r>
      <w:r>
        <w:rPr>
          <w:rFonts w:hint="eastAsia" w:ascii="仿宋" w:hAnsi="仿宋" w:eastAsia="仿宋" w:cs="仿宋"/>
          <w:i w:val="0"/>
          <w:iCs w:val="0"/>
          <w:color w:val="auto"/>
          <w:sz w:val="28"/>
          <w:szCs w:val="28"/>
          <w:u w:val="none"/>
          <w:lang w:val="en-US" w:eastAsia="zh-CN"/>
        </w:rPr>
        <w:t>进行市场调研,欢迎各潜在供应商进行报名，现公开征集</w:t>
      </w:r>
      <w:r>
        <w:rPr>
          <w:rFonts w:hint="eastAsia" w:ascii="仿宋" w:hAnsi="仿宋" w:cs="仿宋"/>
          <w:i w:val="0"/>
          <w:iCs w:val="0"/>
          <w:color w:val="auto"/>
          <w:sz w:val="28"/>
          <w:szCs w:val="28"/>
          <w:u w:val="none"/>
          <w:lang w:val="en-US" w:eastAsia="zh-CN"/>
        </w:rPr>
        <w:t>整体方案</w:t>
      </w:r>
      <w:r>
        <w:rPr>
          <w:rFonts w:hint="eastAsia" w:ascii="仿宋" w:hAnsi="仿宋" w:eastAsia="仿宋" w:cs="仿宋"/>
          <w:i w:val="0"/>
          <w:iCs w:val="0"/>
          <w:color w:val="auto"/>
          <w:sz w:val="28"/>
          <w:szCs w:val="28"/>
          <w:u w:val="none"/>
          <w:lang w:val="en-US" w:eastAsia="zh-CN"/>
        </w:rPr>
        <w:t>资料</w:t>
      </w:r>
      <w:r>
        <w:rPr>
          <w:rFonts w:hint="eastAsia" w:ascii="仿宋" w:hAnsi="仿宋" w:cs="仿宋"/>
          <w:i w:val="0"/>
          <w:iCs w:val="0"/>
          <w:color w:val="auto"/>
          <w:sz w:val="28"/>
          <w:szCs w:val="28"/>
          <w:u w:val="none"/>
          <w:lang w:val="en-US" w:eastAsia="zh-CN"/>
        </w:rPr>
        <w:t>（否则视为无效报名）</w:t>
      </w:r>
      <w:r>
        <w:rPr>
          <w:rFonts w:hint="eastAsia" w:ascii="仿宋" w:hAnsi="仿宋" w:eastAsia="仿宋" w:cs="仿宋"/>
          <w:i w:val="0"/>
          <w:iCs w:val="0"/>
          <w:color w:val="auto"/>
          <w:sz w:val="28"/>
          <w:szCs w:val="28"/>
          <w:u w:val="none"/>
          <w:lang w:val="en-US" w:eastAsia="zh-CN"/>
        </w:rPr>
        <w:t>,现将有关事宜公告如下：</w:t>
      </w:r>
    </w:p>
    <w:p>
      <w:pPr>
        <w:keepNext w:val="0"/>
        <w:keepLines w:val="0"/>
        <w:pageBreakBefore w:val="0"/>
        <w:numPr>
          <w:ilvl w:val="0"/>
          <w:numId w:val="1"/>
        </w:numPr>
        <w:kinsoku/>
        <w:wordWrap/>
        <w:overflowPunct/>
        <w:topLinePunct w:val="0"/>
        <w:autoSpaceDE/>
        <w:autoSpaceDN/>
        <w:bidi w:val="0"/>
        <w:adjustRightInd/>
        <w:snapToGrid/>
        <w:spacing w:line="360" w:lineRule="exact"/>
        <w:ind w:leftChars="0" w:firstLine="560" w:firstLineChars="200"/>
        <w:rPr>
          <w:rFonts w:hint="eastAsia"/>
          <w:color w:val="auto"/>
          <w:lang w:val="en-US" w:eastAsia="zh-CN"/>
        </w:rPr>
      </w:pPr>
      <w:r>
        <w:rPr>
          <w:rFonts w:hint="eastAsia" w:ascii="方正黑体简体" w:hAnsi="方正黑体简体" w:eastAsia="方正黑体简体" w:cs="方正黑体简体"/>
          <w:i w:val="0"/>
          <w:iCs w:val="0"/>
          <w:color w:val="auto"/>
          <w:kern w:val="0"/>
          <w:sz w:val="28"/>
          <w:szCs w:val="28"/>
          <w:u w:val="none"/>
          <w:lang w:val="en-US" w:eastAsia="zh-CN" w:bidi="ar"/>
        </w:rPr>
        <w:t>项目概述</w:t>
      </w:r>
    </w:p>
    <w:p>
      <w:pPr>
        <w:pStyle w:val="6"/>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auto"/>
          <w:sz w:val="28"/>
          <w:szCs w:val="28"/>
          <w:u w:val="none"/>
          <w:lang w:val="en-US" w:eastAsia="zh-CN"/>
        </w:rPr>
      </w:pPr>
      <w:r>
        <w:rPr>
          <w:rFonts w:hint="eastAsia" w:ascii="仿宋" w:hAnsi="仿宋" w:cs="仿宋"/>
          <w:i w:val="0"/>
          <w:iCs w:val="0"/>
          <w:color w:val="auto"/>
          <w:sz w:val="28"/>
          <w:szCs w:val="28"/>
          <w:u w:val="none"/>
          <w:lang w:val="en-US" w:eastAsia="zh-CN"/>
        </w:rPr>
        <w:t>（一）</w:t>
      </w:r>
      <w:r>
        <w:rPr>
          <w:rFonts w:hint="eastAsia" w:ascii="仿宋" w:hAnsi="仿宋" w:eastAsia="仿宋" w:cs="仿宋"/>
          <w:i w:val="0"/>
          <w:iCs w:val="0"/>
          <w:color w:val="auto"/>
          <w:sz w:val="28"/>
          <w:szCs w:val="28"/>
          <w:u w:val="none"/>
          <w:lang w:val="en-US" w:eastAsia="zh-CN"/>
        </w:rPr>
        <w:t>建设内容：</w:t>
      </w:r>
    </w:p>
    <w:p>
      <w:pPr>
        <w:pStyle w:val="6"/>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auto"/>
          <w:sz w:val="28"/>
          <w:szCs w:val="28"/>
          <w:u w:val="none"/>
          <w:lang w:val="en-US" w:eastAsia="zh-CN"/>
        </w:rPr>
      </w:pPr>
      <w:r>
        <w:rPr>
          <w:rFonts w:hint="eastAsia" w:ascii="仿宋" w:hAnsi="仿宋" w:cs="仿宋"/>
          <w:color w:val="auto"/>
          <w:sz w:val="28"/>
          <w:szCs w:val="28"/>
          <w:lang w:val="en-US"/>
        </w:rPr>
        <w:t>智慧公共卫生管理信息系统、医务管理系统、科研教学管理系统</w:t>
      </w:r>
    </w:p>
    <w:tbl>
      <w:tblPr>
        <w:tblStyle w:val="14"/>
        <w:tblW w:w="554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2053"/>
        <w:gridCol w:w="6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系统建设与院内相关系统集成需求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系统建设与院内相关系统集成需求</w:t>
            </w:r>
          </w:p>
        </w:tc>
        <w:tc>
          <w:tcPr>
            <w:tcW w:w="3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医院已建设有医院信息集成平台，若系统建设需要与集成平台、HIS等相关业务系统对接，需要评估相关集成技术和经济需求。可另附明细表以及合理化建议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改造配合需求</w:t>
            </w:r>
          </w:p>
        </w:tc>
        <w:tc>
          <w:tcPr>
            <w:tcW w:w="3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在项目建设及运维期内，应无偿配合医院应政策要求的等级保护、信创及商用密码改造、灾备能力提升适配等相关配合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医院云环境提供</w:t>
            </w:r>
          </w:p>
        </w:tc>
        <w:tc>
          <w:tcPr>
            <w:tcW w:w="3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医院提供普通应用的云环境部署资源，可由医院向云服务商申请，但服务器操作系统及数据库、中间件等应自行配备正版软件。</w:t>
            </w:r>
          </w:p>
        </w:tc>
      </w:tr>
    </w:tbl>
    <w:p>
      <w:pPr>
        <w:numPr>
          <w:ilvl w:val="0"/>
          <w:numId w:val="0"/>
        </w:numPr>
        <w:rPr>
          <w:rFonts w:hint="eastAsia"/>
          <w:color w:val="auto"/>
          <w:lang w:val="en-US" w:eastAsia="zh-CN"/>
        </w:rPr>
      </w:pPr>
    </w:p>
    <w:p>
      <w:pPr>
        <w:pStyle w:val="6"/>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auto"/>
          <w:sz w:val="28"/>
          <w:szCs w:val="28"/>
          <w:u w:val="none"/>
          <w:lang w:val="en-US" w:eastAsia="zh-CN"/>
        </w:rPr>
      </w:pPr>
      <w:r>
        <w:rPr>
          <w:rFonts w:hint="eastAsia" w:ascii="仿宋" w:hAnsi="仿宋" w:cs="仿宋"/>
          <w:i w:val="0"/>
          <w:iCs w:val="0"/>
          <w:color w:val="auto"/>
          <w:sz w:val="28"/>
          <w:szCs w:val="28"/>
          <w:u w:val="none"/>
          <w:lang w:val="en-US" w:eastAsia="zh-CN"/>
        </w:rPr>
        <w:t>（二）功能需求</w:t>
      </w:r>
    </w:p>
    <w:tbl>
      <w:tblPr>
        <w:tblStyle w:val="14"/>
        <w:tblW w:w="1005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800"/>
        <w:gridCol w:w="7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50" w:type="dxa"/>
            <w:shd w:val="clear" w:color="auto" w:fill="auto"/>
            <w:noWrap/>
            <w:vAlign w:val="center"/>
          </w:tcPr>
          <w:p>
            <w:pPr>
              <w:widowControl/>
              <w:jc w:val="center"/>
              <w:rPr>
                <w:rFonts w:ascii="宋体" w:hAnsi="宋体" w:eastAsia="宋体" w:cs="宋体"/>
                <w:b/>
                <w:bCs/>
                <w:color w:val="auto"/>
                <w:kern w:val="0"/>
                <w:sz w:val="22"/>
                <w:szCs w:val="22"/>
              </w:rPr>
            </w:pPr>
            <w:r>
              <w:rPr>
                <w:rFonts w:hint="eastAsia" w:ascii="宋体" w:hAnsi="宋体" w:eastAsia="宋体" w:cs="宋体"/>
                <w:b/>
                <w:bCs/>
                <w:color w:val="auto"/>
                <w:kern w:val="0"/>
                <w:sz w:val="22"/>
                <w:szCs w:val="22"/>
              </w:rPr>
              <w:t>序号</w:t>
            </w:r>
          </w:p>
        </w:tc>
        <w:tc>
          <w:tcPr>
            <w:tcW w:w="1800" w:type="dxa"/>
            <w:shd w:val="clear" w:color="auto" w:fill="auto"/>
            <w:noWrap/>
            <w:vAlign w:val="center"/>
          </w:tcPr>
          <w:p>
            <w:pPr>
              <w:widowControl/>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功能项</w:t>
            </w:r>
          </w:p>
        </w:tc>
        <w:tc>
          <w:tcPr>
            <w:tcW w:w="7100" w:type="dxa"/>
            <w:shd w:val="clear" w:color="auto" w:fill="auto"/>
            <w:noWrap/>
            <w:vAlign w:val="center"/>
          </w:tcPr>
          <w:p>
            <w:pPr>
              <w:widowControl/>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项目概述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50" w:type="dxa"/>
            <w:gridSpan w:val="3"/>
            <w:shd w:val="clear" w:color="auto" w:fill="auto"/>
            <w:noWrap/>
            <w:vAlign w:val="center"/>
          </w:tcPr>
          <w:p>
            <w:pPr>
              <w:widowControl/>
              <w:jc w:val="left"/>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（一）智慧公共卫生管理信息系统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50" w:type="dxa"/>
            <w:vMerge w:val="restart"/>
            <w:shd w:val="clear" w:color="auto" w:fill="auto"/>
            <w:noWrap/>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1.1</w:t>
            </w:r>
          </w:p>
        </w:tc>
        <w:tc>
          <w:tcPr>
            <w:tcW w:w="1800" w:type="dxa"/>
            <w:vMerge w:val="restart"/>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总体要求</w:t>
            </w: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（1）系统满足新型冠状病毒上报、预警监测功能。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150" w:type="dxa"/>
            <w:vMerge w:val="continue"/>
            <w:vAlign w:val="center"/>
          </w:tcPr>
          <w:p>
            <w:pPr>
              <w:widowControl/>
              <w:jc w:val="left"/>
              <w:rPr>
                <w:rFonts w:ascii="宋体" w:hAnsi="宋体" w:eastAsia="宋体" w:cs="宋体"/>
                <w:color w:val="auto"/>
                <w:kern w:val="0"/>
                <w:sz w:val="22"/>
                <w:szCs w:val="22"/>
              </w:rPr>
            </w:pPr>
          </w:p>
        </w:tc>
        <w:tc>
          <w:tcPr>
            <w:tcW w:w="1800" w:type="dxa"/>
            <w:vMerge w:val="continue"/>
            <w:vAlign w:val="center"/>
          </w:tcPr>
          <w:p>
            <w:pPr>
              <w:widowControl/>
              <w:jc w:val="left"/>
              <w:rPr>
                <w:rFonts w:ascii="宋体" w:hAnsi="宋体" w:eastAsia="宋体" w:cs="宋体"/>
                <w:color w:val="auto"/>
                <w:kern w:val="0"/>
                <w:sz w:val="22"/>
                <w:szCs w:val="22"/>
              </w:rPr>
            </w:pP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（2）报卡录入应支持卡片放大、缩小功能。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50" w:type="dxa"/>
            <w:vMerge w:val="continue"/>
            <w:vAlign w:val="center"/>
          </w:tcPr>
          <w:p>
            <w:pPr>
              <w:widowControl/>
              <w:jc w:val="left"/>
              <w:rPr>
                <w:rFonts w:ascii="宋体" w:hAnsi="宋体" w:eastAsia="宋体" w:cs="宋体"/>
                <w:color w:val="auto"/>
                <w:kern w:val="0"/>
                <w:sz w:val="22"/>
                <w:szCs w:val="22"/>
              </w:rPr>
            </w:pPr>
          </w:p>
        </w:tc>
        <w:tc>
          <w:tcPr>
            <w:tcW w:w="1800" w:type="dxa"/>
            <w:vMerge w:val="continue"/>
            <w:vAlign w:val="center"/>
          </w:tcPr>
          <w:p>
            <w:pPr>
              <w:widowControl/>
              <w:jc w:val="left"/>
              <w:rPr>
                <w:rFonts w:ascii="宋体" w:hAnsi="宋体" w:eastAsia="宋体" w:cs="宋体"/>
                <w:color w:val="auto"/>
                <w:kern w:val="0"/>
                <w:sz w:val="22"/>
                <w:szCs w:val="22"/>
              </w:rPr>
            </w:pP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（3）不需手工录入即可自动填报国家CDC，与国家疾控中心CDC平台对接。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50" w:type="dxa"/>
            <w:vMerge w:val="continue"/>
            <w:vAlign w:val="center"/>
          </w:tcPr>
          <w:p>
            <w:pPr>
              <w:widowControl/>
              <w:jc w:val="left"/>
              <w:rPr>
                <w:rFonts w:ascii="宋体" w:hAnsi="宋体" w:eastAsia="宋体" w:cs="宋体"/>
                <w:color w:val="auto"/>
                <w:kern w:val="0"/>
                <w:sz w:val="22"/>
                <w:szCs w:val="22"/>
              </w:rPr>
            </w:pPr>
          </w:p>
        </w:tc>
        <w:tc>
          <w:tcPr>
            <w:tcW w:w="1800" w:type="dxa"/>
            <w:vMerge w:val="continue"/>
            <w:vAlign w:val="center"/>
          </w:tcPr>
          <w:p>
            <w:pPr>
              <w:widowControl/>
              <w:jc w:val="left"/>
              <w:rPr>
                <w:rFonts w:ascii="宋体" w:hAnsi="宋体" w:eastAsia="宋体" w:cs="宋体"/>
                <w:color w:val="auto"/>
                <w:kern w:val="0"/>
                <w:sz w:val="22"/>
                <w:szCs w:val="22"/>
              </w:rPr>
            </w:pP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（4）报卡信息自动校验数据的准确性包括身份证、地址、电话号码等。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50" w:type="dxa"/>
            <w:vMerge w:val="continue"/>
            <w:vAlign w:val="center"/>
          </w:tcPr>
          <w:p>
            <w:pPr>
              <w:widowControl/>
              <w:jc w:val="left"/>
              <w:rPr>
                <w:rFonts w:ascii="宋体" w:hAnsi="宋体" w:eastAsia="宋体" w:cs="宋体"/>
                <w:color w:val="auto"/>
                <w:kern w:val="0"/>
                <w:sz w:val="22"/>
                <w:szCs w:val="22"/>
              </w:rPr>
            </w:pPr>
          </w:p>
        </w:tc>
        <w:tc>
          <w:tcPr>
            <w:tcW w:w="1800" w:type="dxa"/>
            <w:vMerge w:val="continue"/>
            <w:vAlign w:val="center"/>
          </w:tcPr>
          <w:p>
            <w:pPr>
              <w:widowControl/>
              <w:jc w:val="left"/>
              <w:rPr>
                <w:rFonts w:ascii="宋体" w:hAnsi="宋体" w:eastAsia="宋体" w:cs="宋体"/>
                <w:color w:val="auto"/>
                <w:kern w:val="0"/>
                <w:sz w:val="22"/>
                <w:szCs w:val="22"/>
              </w:rPr>
            </w:pP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（5）退卡功能提示医生重新修改报卡提交，能够记录报卡的所有修改痕迹。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150" w:type="dxa"/>
            <w:vMerge w:val="continue"/>
            <w:vAlign w:val="center"/>
          </w:tcPr>
          <w:p>
            <w:pPr>
              <w:widowControl/>
              <w:jc w:val="left"/>
              <w:rPr>
                <w:rFonts w:ascii="宋体" w:hAnsi="宋体" w:eastAsia="宋体" w:cs="宋体"/>
                <w:color w:val="auto"/>
                <w:kern w:val="0"/>
                <w:sz w:val="22"/>
                <w:szCs w:val="22"/>
              </w:rPr>
            </w:pPr>
          </w:p>
        </w:tc>
        <w:tc>
          <w:tcPr>
            <w:tcW w:w="1800" w:type="dxa"/>
            <w:vMerge w:val="continue"/>
            <w:vAlign w:val="center"/>
          </w:tcPr>
          <w:p>
            <w:pPr>
              <w:widowControl/>
              <w:jc w:val="left"/>
              <w:rPr>
                <w:rFonts w:ascii="宋体" w:hAnsi="宋体" w:eastAsia="宋体" w:cs="宋体"/>
                <w:color w:val="auto"/>
                <w:kern w:val="0"/>
                <w:sz w:val="22"/>
                <w:szCs w:val="22"/>
              </w:rPr>
            </w:pP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（6）传染病系统支持地址反查功能，如输入某个街道，自动生成对应的省、市、区（须及时更新地区行政区划变化）。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50" w:type="dxa"/>
            <w:vMerge w:val="continue"/>
            <w:vAlign w:val="center"/>
          </w:tcPr>
          <w:p>
            <w:pPr>
              <w:widowControl/>
              <w:jc w:val="left"/>
              <w:rPr>
                <w:rFonts w:ascii="宋体" w:hAnsi="宋体" w:eastAsia="宋体" w:cs="宋体"/>
                <w:color w:val="auto"/>
                <w:kern w:val="0"/>
                <w:sz w:val="22"/>
                <w:szCs w:val="22"/>
              </w:rPr>
            </w:pPr>
          </w:p>
        </w:tc>
        <w:tc>
          <w:tcPr>
            <w:tcW w:w="1800" w:type="dxa"/>
            <w:vMerge w:val="continue"/>
            <w:vAlign w:val="center"/>
          </w:tcPr>
          <w:p>
            <w:pPr>
              <w:widowControl/>
              <w:jc w:val="left"/>
              <w:rPr>
                <w:rFonts w:ascii="宋体" w:hAnsi="宋体" w:eastAsia="宋体" w:cs="宋体"/>
                <w:color w:val="auto"/>
                <w:kern w:val="0"/>
                <w:sz w:val="22"/>
                <w:szCs w:val="22"/>
              </w:rPr>
            </w:pP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（7）传染病病例直报CDC自动判断是否迟报并提醒，系统支持自动修改相关时间。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50" w:type="dxa"/>
            <w:vMerge w:val="continue"/>
            <w:vAlign w:val="center"/>
          </w:tcPr>
          <w:p>
            <w:pPr>
              <w:widowControl/>
              <w:jc w:val="left"/>
              <w:rPr>
                <w:rFonts w:ascii="宋体" w:hAnsi="宋体" w:eastAsia="宋体" w:cs="宋体"/>
                <w:color w:val="auto"/>
                <w:kern w:val="0"/>
                <w:sz w:val="22"/>
                <w:szCs w:val="22"/>
              </w:rPr>
            </w:pPr>
          </w:p>
        </w:tc>
        <w:tc>
          <w:tcPr>
            <w:tcW w:w="1800" w:type="dxa"/>
            <w:vMerge w:val="continue"/>
            <w:vAlign w:val="center"/>
          </w:tcPr>
          <w:p>
            <w:pPr>
              <w:widowControl/>
              <w:jc w:val="left"/>
              <w:rPr>
                <w:rFonts w:ascii="宋体" w:hAnsi="宋体" w:eastAsia="宋体" w:cs="宋体"/>
                <w:color w:val="auto"/>
                <w:kern w:val="0"/>
                <w:sz w:val="22"/>
                <w:szCs w:val="22"/>
              </w:rPr>
            </w:pP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（8）传染病直报支持内网互联、中转机对接、二维码扫码等多种方式。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150" w:type="dxa"/>
            <w:vMerge w:val="continue"/>
            <w:vAlign w:val="center"/>
          </w:tcPr>
          <w:p>
            <w:pPr>
              <w:widowControl/>
              <w:jc w:val="left"/>
              <w:rPr>
                <w:rFonts w:ascii="宋体" w:hAnsi="宋体" w:eastAsia="宋体" w:cs="宋体"/>
                <w:color w:val="auto"/>
                <w:kern w:val="0"/>
                <w:sz w:val="22"/>
                <w:szCs w:val="22"/>
              </w:rPr>
            </w:pPr>
          </w:p>
        </w:tc>
        <w:tc>
          <w:tcPr>
            <w:tcW w:w="1800" w:type="dxa"/>
            <w:vMerge w:val="continue"/>
            <w:vAlign w:val="center"/>
          </w:tcPr>
          <w:p>
            <w:pPr>
              <w:widowControl/>
              <w:jc w:val="left"/>
              <w:rPr>
                <w:rFonts w:ascii="宋体" w:hAnsi="宋体" w:eastAsia="宋体" w:cs="宋体"/>
                <w:color w:val="auto"/>
                <w:kern w:val="0"/>
                <w:sz w:val="22"/>
                <w:szCs w:val="22"/>
              </w:rPr>
            </w:pP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（9）集成的预警报卡日报功能，能以图形方式直观展示已报卡份数，未处理报卡份数，预警份数，未处理预警份数。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50" w:type="dxa"/>
            <w:vMerge w:val="continue"/>
            <w:vAlign w:val="center"/>
          </w:tcPr>
          <w:p>
            <w:pPr>
              <w:widowControl/>
              <w:jc w:val="left"/>
              <w:rPr>
                <w:rFonts w:ascii="宋体" w:hAnsi="宋体" w:eastAsia="宋体" w:cs="宋体"/>
                <w:color w:val="auto"/>
                <w:kern w:val="0"/>
                <w:sz w:val="22"/>
                <w:szCs w:val="22"/>
              </w:rPr>
            </w:pPr>
          </w:p>
        </w:tc>
        <w:tc>
          <w:tcPr>
            <w:tcW w:w="1800" w:type="dxa"/>
            <w:vMerge w:val="continue"/>
            <w:vAlign w:val="center"/>
          </w:tcPr>
          <w:p>
            <w:pPr>
              <w:widowControl/>
              <w:jc w:val="left"/>
              <w:rPr>
                <w:rFonts w:ascii="宋体" w:hAnsi="宋体" w:eastAsia="宋体" w:cs="宋体"/>
                <w:color w:val="auto"/>
                <w:kern w:val="0"/>
                <w:sz w:val="22"/>
                <w:szCs w:val="22"/>
              </w:rPr>
            </w:pP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（10）包含漏报查询、疫情报卡处理、门诊日志查询、住院日志查询、报卡信息查询、预警报卡日报、重点传染病统计、传染病按病种统计、传染病按任意时段统计等功能。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50" w:type="dxa"/>
            <w:vMerge w:val="restart"/>
            <w:shd w:val="clear" w:color="auto" w:fill="auto"/>
            <w:noWrap/>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1.2</w:t>
            </w:r>
          </w:p>
        </w:tc>
        <w:tc>
          <w:tcPr>
            <w:tcW w:w="1800" w:type="dxa"/>
            <w:vMerge w:val="restart"/>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上报卡提醒</w:t>
            </w: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（1）可根据上报时间、报卡种类、报卡状态、姓名或住院号等条件查询上报卡。并能按颜色直观显示未处理、待查、作废、已退卡的各种报卡状态。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0" w:type="dxa"/>
            <w:vMerge w:val="continue"/>
            <w:vAlign w:val="center"/>
          </w:tcPr>
          <w:p>
            <w:pPr>
              <w:widowControl/>
              <w:jc w:val="left"/>
              <w:rPr>
                <w:rFonts w:ascii="宋体" w:hAnsi="宋体" w:eastAsia="宋体" w:cs="宋体"/>
                <w:color w:val="auto"/>
                <w:kern w:val="0"/>
                <w:sz w:val="22"/>
                <w:szCs w:val="22"/>
              </w:rPr>
            </w:pPr>
          </w:p>
        </w:tc>
        <w:tc>
          <w:tcPr>
            <w:tcW w:w="1800" w:type="dxa"/>
            <w:vMerge w:val="continue"/>
            <w:vAlign w:val="center"/>
          </w:tcPr>
          <w:p>
            <w:pPr>
              <w:widowControl/>
              <w:jc w:val="left"/>
              <w:rPr>
                <w:rFonts w:ascii="宋体" w:hAnsi="宋体" w:eastAsia="宋体" w:cs="宋体"/>
                <w:color w:val="auto"/>
                <w:kern w:val="0"/>
                <w:sz w:val="22"/>
                <w:szCs w:val="22"/>
              </w:rPr>
            </w:pP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（2）可对报卡进行确认、待查、作废、退卡处理。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50" w:type="dxa"/>
            <w:vMerge w:val="continue"/>
            <w:vAlign w:val="center"/>
          </w:tcPr>
          <w:p>
            <w:pPr>
              <w:widowControl/>
              <w:jc w:val="left"/>
              <w:rPr>
                <w:rFonts w:ascii="宋体" w:hAnsi="宋体" w:eastAsia="宋体" w:cs="宋体"/>
                <w:color w:val="auto"/>
                <w:kern w:val="0"/>
                <w:sz w:val="22"/>
                <w:szCs w:val="22"/>
              </w:rPr>
            </w:pPr>
          </w:p>
        </w:tc>
        <w:tc>
          <w:tcPr>
            <w:tcW w:w="1800" w:type="dxa"/>
            <w:vMerge w:val="continue"/>
            <w:vAlign w:val="center"/>
          </w:tcPr>
          <w:p>
            <w:pPr>
              <w:widowControl/>
              <w:jc w:val="left"/>
              <w:rPr>
                <w:rFonts w:ascii="宋体" w:hAnsi="宋体" w:eastAsia="宋体" w:cs="宋体"/>
                <w:color w:val="auto"/>
                <w:kern w:val="0"/>
                <w:sz w:val="22"/>
                <w:szCs w:val="22"/>
              </w:rPr>
            </w:pP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（3）有快捷方式能查询病人详情。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0" w:type="dxa"/>
            <w:vMerge w:val="continue"/>
            <w:vAlign w:val="center"/>
          </w:tcPr>
          <w:p>
            <w:pPr>
              <w:widowControl/>
              <w:jc w:val="left"/>
              <w:rPr>
                <w:rFonts w:ascii="宋体" w:hAnsi="宋体" w:eastAsia="宋体" w:cs="宋体"/>
                <w:color w:val="auto"/>
                <w:kern w:val="0"/>
                <w:sz w:val="22"/>
                <w:szCs w:val="22"/>
              </w:rPr>
            </w:pPr>
          </w:p>
        </w:tc>
        <w:tc>
          <w:tcPr>
            <w:tcW w:w="1800" w:type="dxa"/>
            <w:vMerge w:val="continue"/>
            <w:vAlign w:val="center"/>
          </w:tcPr>
          <w:p>
            <w:pPr>
              <w:widowControl/>
              <w:jc w:val="left"/>
              <w:rPr>
                <w:rFonts w:ascii="宋体" w:hAnsi="宋体" w:eastAsia="宋体" w:cs="宋体"/>
                <w:color w:val="auto"/>
                <w:kern w:val="0"/>
                <w:sz w:val="22"/>
                <w:szCs w:val="22"/>
              </w:rPr>
            </w:pPr>
          </w:p>
        </w:tc>
        <w:tc>
          <w:tcPr>
            <w:tcW w:w="7100" w:type="dxa"/>
            <w:shd w:val="clear" w:color="auto" w:fill="auto"/>
            <w:vAlign w:val="center"/>
          </w:tcPr>
          <w:p>
            <w:pPr>
              <w:widowControl/>
              <w:jc w:val="left"/>
              <w:rPr>
                <w:rFonts w:hint="eastAsia" w:ascii="宋体" w:hAnsi="宋体" w:eastAsia="宋体" w:cs="宋体"/>
                <w:color w:val="auto"/>
                <w:sz w:val="22"/>
                <w:szCs w:val="22"/>
              </w:rPr>
            </w:pPr>
            <w:r>
              <w:rPr>
                <w:rFonts w:hint="eastAsia" w:ascii="宋体" w:hAnsi="宋体" w:eastAsia="宋体" w:cs="宋体"/>
                <w:color w:val="auto"/>
                <w:kern w:val="0"/>
                <w:sz w:val="22"/>
                <w:szCs w:val="22"/>
              </w:rPr>
              <w:t>（4）有查询病人历史报卡功能，防止重复上报（重卡自动检索提醒）。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150" w:type="dxa"/>
            <w:shd w:val="clear" w:color="auto" w:fill="auto"/>
            <w:noWrap/>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1.3</w:t>
            </w:r>
          </w:p>
        </w:tc>
        <w:tc>
          <w:tcPr>
            <w:tcW w:w="180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公共卫生监测病历报卡</w:t>
            </w: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可提供传染病病例监测相关报告卡、食源性疾病监测相关报告卡、死亡病例监测相关报告卡、慢性非传染病监测相关报告卡、中毒病例监测相关报告卡、其他疾病监测相关报告卡等（以上包括报告模板及自动传输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0" w:type="dxa"/>
            <w:vMerge w:val="restart"/>
            <w:shd w:val="clear" w:color="auto" w:fill="auto"/>
            <w:noWrap/>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1.4</w:t>
            </w:r>
          </w:p>
        </w:tc>
        <w:tc>
          <w:tcPr>
            <w:tcW w:w="1800" w:type="dxa"/>
            <w:vMerge w:val="restart"/>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系统预警</w:t>
            </w: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（1）系统可以自由设置条件进行传染病等病例的筛查（条件）。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0" w:type="dxa"/>
            <w:vMerge w:val="continue"/>
            <w:vAlign w:val="center"/>
          </w:tcPr>
          <w:p>
            <w:pPr>
              <w:widowControl/>
              <w:jc w:val="left"/>
              <w:rPr>
                <w:rFonts w:ascii="宋体" w:hAnsi="宋体" w:eastAsia="宋体" w:cs="宋体"/>
                <w:color w:val="auto"/>
                <w:kern w:val="0"/>
                <w:sz w:val="22"/>
                <w:szCs w:val="22"/>
              </w:rPr>
            </w:pPr>
          </w:p>
        </w:tc>
        <w:tc>
          <w:tcPr>
            <w:tcW w:w="1800" w:type="dxa"/>
            <w:vMerge w:val="continue"/>
            <w:vAlign w:val="center"/>
          </w:tcPr>
          <w:p>
            <w:pPr>
              <w:widowControl/>
              <w:jc w:val="left"/>
              <w:rPr>
                <w:rFonts w:ascii="宋体" w:hAnsi="宋体" w:eastAsia="宋体" w:cs="宋体"/>
                <w:color w:val="auto"/>
                <w:kern w:val="0"/>
                <w:sz w:val="22"/>
                <w:szCs w:val="22"/>
              </w:rPr>
            </w:pP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（2）可以从电子病历系统中医生描述的病例关键字搜查。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150" w:type="dxa"/>
            <w:vMerge w:val="continue"/>
            <w:vAlign w:val="center"/>
          </w:tcPr>
          <w:p>
            <w:pPr>
              <w:widowControl/>
              <w:jc w:val="left"/>
              <w:rPr>
                <w:rFonts w:ascii="宋体" w:hAnsi="宋体" w:eastAsia="宋体" w:cs="宋体"/>
                <w:color w:val="auto"/>
                <w:kern w:val="0"/>
                <w:sz w:val="22"/>
                <w:szCs w:val="22"/>
              </w:rPr>
            </w:pPr>
          </w:p>
        </w:tc>
        <w:tc>
          <w:tcPr>
            <w:tcW w:w="1800" w:type="dxa"/>
            <w:vMerge w:val="continue"/>
            <w:vAlign w:val="center"/>
          </w:tcPr>
          <w:p>
            <w:pPr>
              <w:widowControl/>
              <w:jc w:val="left"/>
              <w:rPr>
                <w:rFonts w:ascii="宋体" w:hAnsi="宋体" w:eastAsia="宋体" w:cs="宋体"/>
                <w:color w:val="auto"/>
                <w:kern w:val="0"/>
                <w:sz w:val="22"/>
                <w:szCs w:val="22"/>
              </w:rPr>
            </w:pP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（3）预警能够涵盖所有的传染病等病例，系统能够在医生下诊断、检验科返回阳性结果和放射科结果出来后及时提醒医生进行疑似病例的处理。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0" w:type="dxa"/>
            <w:vMerge w:val="continue"/>
            <w:vAlign w:val="center"/>
          </w:tcPr>
          <w:p>
            <w:pPr>
              <w:widowControl/>
              <w:jc w:val="left"/>
              <w:rPr>
                <w:rFonts w:ascii="宋体" w:hAnsi="宋体" w:eastAsia="宋体" w:cs="宋体"/>
                <w:color w:val="auto"/>
                <w:kern w:val="0"/>
                <w:sz w:val="22"/>
                <w:szCs w:val="22"/>
              </w:rPr>
            </w:pPr>
          </w:p>
        </w:tc>
        <w:tc>
          <w:tcPr>
            <w:tcW w:w="1800" w:type="dxa"/>
            <w:vMerge w:val="continue"/>
            <w:vAlign w:val="center"/>
          </w:tcPr>
          <w:p>
            <w:pPr>
              <w:widowControl/>
              <w:jc w:val="left"/>
              <w:rPr>
                <w:rFonts w:ascii="宋体" w:hAnsi="宋体" w:eastAsia="宋体" w:cs="宋体"/>
                <w:color w:val="auto"/>
                <w:kern w:val="0"/>
                <w:sz w:val="22"/>
                <w:szCs w:val="22"/>
              </w:rPr>
            </w:pP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（4）能准确处理句号、感叹号、问号、换行等断句符号。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0" w:type="dxa"/>
            <w:vMerge w:val="continue"/>
            <w:vAlign w:val="center"/>
          </w:tcPr>
          <w:p>
            <w:pPr>
              <w:widowControl/>
              <w:jc w:val="left"/>
              <w:rPr>
                <w:rFonts w:ascii="宋体" w:hAnsi="宋体" w:eastAsia="宋体" w:cs="宋体"/>
                <w:color w:val="auto"/>
                <w:kern w:val="0"/>
                <w:sz w:val="22"/>
                <w:szCs w:val="22"/>
              </w:rPr>
            </w:pPr>
          </w:p>
        </w:tc>
        <w:tc>
          <w:tcPr>
            <w:tcW w:w="1800" w:type="dxa"/>
            <w:vMerge w:val="continue"/>
            <w:vAlign w:val="center"/>
          </w:tcPr>
          <w:p>
            <w:pPr>
              <w:widowControl/>
              <w:jc w:val="left"/>
              <w:rPr>
                <w:rFonts w:ascii="宋体" w:hAnsi="宋体" w:eastAsia="宋体" w:cs="宋体"/>
                <w:color w:val="auto"/>
                <w:kern w:val="0"/>
                <w:sz w:val="22"/>
                <w:szCs w:val="22"/>
              </w:rPr>
            </w:pP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（5）预警关键字能设置从指定文字开始到指定文字结束部分预警。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0" w:type="dxa"/>
            <w:vMerge w:val="restart"/>
            <w:shd w:val="clear" w:color="auto" w:fill="auto"/>
            <w:noWrap/>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1.5</w:t>
            </w:r>
          </w:p>
        </w:tc>
        <w:tc>
          <w:tcPr>
            <w:tcW w:w="1800" w:type="dxa"/>
            <w:vMerge w:val="restart"/>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医生端功能</w:t>
            </w: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（1）可根据上报时间、报卡类型、患者姓名/住院号等条件查看历史报卡信息。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50" w:type="dxa"/>
            <w:vMerge w:val="continue"/>
            <w:vAlign w:val="center"/>
          </w:tcPr>
          <w:p>
            <w:pPr>
              <w:widowControl/>
              <w:jc w:val="left"/>
              <w:rPr>
                <w:rFonts w:ascii="宋体" w:hAnsi="宋体" w:eastAsia="宋体" w:cs="宋体"/>
                <w:color w:val="auto"/>
                <w:kern w:val="0"/>
                <w:sz w:val="22"/>
                <w:szCs w:val="22"/>
              </w:rPr>
            </w:pPr>
          </w:p>
        </w:tc>
        <w:tc>
          <w:tcPr>
            <w:tcW w:w="1800" w:type="dxa"/>
            <w:vMerge w:val="continue"/>
            <w:vAlign w:val="center"/>
          </w:tcPr>
          <w:p>
            <w:pPr>
              <w:widowControl/>
              <w:jc w:val="left"/>
              <w:rPr>
                <w:rFonts w:ascii="宋体" w:hAnsi="宋体" w:eastAsia="宋体" w:cs="宋体"/>
                <w:color w:val="auto"/>
                <w:kern w:val="0"/>
                <w:sz w:val="22"/>
                <w:szCs w:val="22"/>
              </w:rPr>
            </w:pP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（2）能显示退卡或作废报卡填写的备注。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0" w:type="dxa"/>
            <w:vMerge w:val="continue"/>
            <w:vAlign w:val="center"/>
          </w:tcPr>
          <w:p>
            <w:pPr>
              <w:widowControl/>
              <w:jc w:val="left"/>
              <w:rPr>
                <w:rFonts w:ascii="宋体" w:hAnsi="宋体" w:eastAsia="宋体" w:cs="宋体"/>
                <w:color w:val="auto"/>
                <w:kern w:val="0"/>
                <w:sz w:val="22"/>
                <w:szCs w:val="22"/>
              </w:rPr>
            </w:pPr>
          </w:p>
        </w:tc>
        <w:tc>
          <w:tcPr>
            <w:tcW w:w="1800" w:type="dxa"/>
            <w:vMerge w:val="continue"/>
            <w:vAlign w:val="center"/>
          </w:tcPr>
          <w:p>
            <w:pPr>
              <w:widowControl/>
              <w:jc w:val="left"/>
              <w:rPr>
                <w:rFonts w:ascii="宋体" w:hAnsi="宋体" w:eastAsia="宋体" w:cs="宋体"/>
                <w:color w:val="auto"/>
                <w:kern w:val="0"/>
                <w:sz w:val="22"/>
                <w:szCs w:val="22"/>
              </w:rPr>
            </w:pP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（3）能显示与当前病人上报过的报卡以防止重复上报。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50" w:type="dxa"/>
            <w:vMerge w:val="continue"/>
            <w:vAlign w:val="center"/>
          </w:tcPr>
          <w:p>
            <w:pPr>
              <w:widowControl/>
              <w:jc w:val="left"/>
              <w:rPr>
                <w:rFonts w:ascii="宋体" w:hAnsi="宋体" w:eastAsia="宋体" w:cs="宋体"/>
                <w:color w:val="auto"/>
                <w:kern w:val="0"/>
                <w:sz w:val="22"/>
                <w:szCs w:val="22"/>
              </w:rPr>
            </w:pPr>
          </w:p>
        </w:tc>
        <w:tc>
          <w:tcPr>
            <w:tcW w:w="1800" w:type="dxa"/>
            <w:vMerge w:val="continue"/>
            <w:vAlign w:val="center"/>
          </w:tcPr>
          <w:p>
            <w:pPr>
              <w:widowControl/>
              <w:jc w:val="left"/>
              <w:rPr>
                <w:rFonts w:ascii="宋体" w:hAnsi="宋体" w:eastAsia="宋体" w:cs="宋体"/>
                <w:color w:val="auto"/>
                <w:kern w:val="0"/>
                <w:sz w:val="22"/>
                <w:szCs w:val="22"/>
              </w:rPr>
            </w:pP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（4）能处理保存报卡，导出、打印报卡信息。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50" w:type="dxa"/>
            <w:vMerge w:val="continue"/>
            <w:vAlign w:val="center"/>
          </w:tcPr>
          <w:p>
            <w:pPr>
              <w:widowControl/>
              <w:jc w:val="left"/>
              <w:rPr>
                <w:rFonts w:ascii="宋体" w:hAnsi="宋体" w:eastAsia="宋体" w:cs="宋体"/>
                <w:color w:val="auto"/>
                <w:kern w:val="0"/>
                <w:sz w:val="22"/>
                <w:szCs w:val="22"/>
              </w:rPr>
            </w:pPr>
          </w:p>
        </w:tc>
        <w:tc>
          <w:tcPr>
            <w:tcW w:w="1800" w:type="dxa"/>
            <w:vMerge w:val="continue"/>
            <w:vAlign w:val="center"/>
          </w:tcPr>
          <w:p>
            <w:pPr>
              <w:widowControl/>
              <w:jc w:val="left"/>
              <w:rPr>
                <w:rFonts w:ascii="宋体" w:hAnsi="宋体" w:eastAsia="宋体" w:cs="宋体"/>
                <w:color w:val="auto"/>
                <w:kern w:val="0"/>
                <w:sz w:val="22"/>
                <w:szCs w:val="22"/>
              </w:rPr>
            </w:pP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（5）能够提醒显示通知公告功能。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50" w:type="dxa"/>
            <w:vMerge w:val="continue"/>
            <w:vAlign w:val="center"/>
          </w:tcPr>
          <w:p>
            <w:pPr>
              <w:widowControl/>
              <w:jc w:val="left"/>
              <w:rPr>
                <w:rFonts w:ascii="宋体" w:hAnsi="宋体" w:eastAsia="宋体" w:cs="宋体"/>
                <w:color w:val="auto"/>
                <w:kern w:val="0"/>
                <w:sz w:val="22"/>
                <w:szCs w:val="22"/>
              </w:rPr>
            </w:pPr>
          </w:p>
        </w:tc>
        <w:tc>
          <w:tcPr>
            <w:tcW w:w="1800" w:type="dxa"/>
            <w:vMerge w:val="continue"/>
            <w:vAlign w:val="center"/>
          </w:tcPr>
          <w:p>
            <w:pPr>
              <w:widowControl/>
              <w:jc w:val="left"/>
              <w:rPr>
                <w:rFonts w:ascii="宋体" w:hAnsi="宋体" w:eastAsia="宋体" w:cs="宋体"/>
                <w:color w:val="auto"/>
                <w:kern w:val="0"/>
                <w:sz w:val="22"/>
                <w:szCs w:val="22"/>
              </w:rPr>
            </w:pP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（6）具备医生端预警信息查询功能。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150" w:type="dxa"/>
            <w:shd w:val="clear" w:color="auto" w:fill="auto"/>
            <w:noWrap/>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1.6</w:t>
            </w:r>
          </w:p>
        </w:tc>
        <w:tc>
          <w:tcPr>
            <w:tcW w:w="180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其他功能</w:t>
            </w: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提供系统报卡验证条件、病例日志查询、标准、移动预警、通知公告发送、统计分析、权限设置、历史报卡查询、每日症状监测录入等功能。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150" w:type="dxa"/>
            <w:shd w:val="clear" w:color="auto" w:fill="auto"/>
            <w:noWrap/>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1.7</w:t>
            </w:r>
          </w:p>
        </w:tc>
        <w:tc>
          <w:tcPr>
            <w:tcW w:w="180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强制提醒上报</w:t>
            </w: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可以根据医院情况嵌入HIS系统，在医生下诊断、开药的时候，判断该病人是否需要进行传染病等病例的相关报卡，如果需要报卡，可以弹出报卡强制医院完成报卡后才能进行下一步操作（可由传管人员后台设置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50" w:type="dxa"/>
            <w:gridSpan w:val="3"/>
            <w:shd w:val="clear" w:color="auto" w:fill="auto"/>
            <w:noWrap/>
            <w:vAlign w:val="center"/>
          </w:tcPr>
          <w:p>
            <w:pPr>
              <w:widowControl/>
              <w:jc w:val="left"/>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（二）医务管理系统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6" w:hRule="atLeast"/>
        </w:trPr>
        <w:tc>
          <w:tcPr>
            <w:tcW w:w="1150" w:type="dxa"/>
            <w:shd w:val="clear" w:color="auto" w:fill="auto"/>
            <w:noWrap/>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2.1</w:t>
            </w:r>
          </w:p>
        </w:tc>
        <w:tc>
          <w:tcPr>
            <w:tcW w:w="180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系统介绍</w:t>
            </w: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本系统是向医务职能管理工作建设一套医务管理系统，利用信息化手段支撑医务及质量管理部门开展医院相关医务管理工作的需求。根据医务日常工作及管理需求出发，与医务实际业务相结合，满足医务人员在制度管理、医师档案管理、考勤管理、权限资质管控、医务管理和业务互联互通等多种功能场景要求，提供一套完善的医务管理信息系统，控制医疗服务各环节的质量水平，使医务科从以往大量的手工劳动中解脱出来，提高工作效率，减少人为差错，全力投入到本职工作中去。是可以有效提升医务部门管理效率和工作质量、规范操作流程、减轻医务人员工作量的整体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150" w:type="dxa"/>
            <w:vMerge w:val="restart"/>
            <w:shd w:val="clear" w:color="auto" w:fill="auto"/>
            <w:noWrap/>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2.2</w:t>
            </w:r>
          </w:p>
        </w:tc>
        <w:tc>
          <w:tcPr>
            <w:tcW w:w="1800" w:type="dxa"/>
            <w:vMerge w:val="restart"/>
            <w:shd w:val="clear" w:color="auto" w:fill="auto"/>
            <w:noWrap/>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医师档案管理（含技师、药师）</w:t>
            </w:r>
          </w:p>
        </w:tc>
        <w:tc>
          <w:tcPr>
            <w:tcW w:w="7100" w:type="dxa"/>
            <w:shd w:val="clear" w:color="auto" w:fill="auto"/>
            <w:noWrap/>
            <w:vAlign w:val="center"/>
          </w:tcPr>
          <w:p>
            <w:pPr>
              <w:widowControl/>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系统可让每位医师（技师、药师）对本人档案信息进行修改维护：教育经历、工作经历、职称信息、培训经历、获奖信息、任职信息、科研情况、论文情况、新项目新技术情况、医疗技术开展情况、手术情况等，并能上传相关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150" w:type="dxa"/>
            <w:vMerge w:val="continue"/>
            <w:vAlign w:val="center"/>
          </w:tcPr>
          <w:p>
            <w:pPr>
              <w:widowControl/>
              <w:jc w:val="left"/>
              <w:rPr>
                <w:rFonts w:ascii="宋体" w:hAnsi="宋体" w:eastAsia="宋体" w:cs="宋体"/>
                <w:color w:val="auto"/>
                <w:kern w:val="0"/>
                <w:sz w:val="22"/>
                <w:szCs w:val="22"/>
              </w:rPr>
            </w:pPr>
          </w:p>
        </w:tc>
        <w:tc>
          <w:tcPr>
            <w:tcW w:w="1800" w:type="dxa"/>
            <w:vMerge w:val="continue"/>
            <w:vAlign w:val="center"/>
          </w:tcPr>
          <w:p>
            <w:pPr>
              <w:widowControl/>
              <w:jc w:val="left"/>
              <w:rPr>
                <w:rFonts w:ascii="宋体" w:hAnsi="宋体" w:eastAsia="宋体" w:cs="宋体"/>
                <w:color w:val="auto"/>
                <w:kern w:val="0"/>
                <w:sz w:val="22"/>
                <w:szCs w:val="22"/>
              </w:rPr>
            </w:pPr>
          </w:p>
        </w:tc>
        <w:tc>
          <w:tcPr>
            <w:tcW w:w="7100" w:type="dxa"/>
            <w:shd w:val="clear" w:color="auto" w:fill="auto"/>
            <w:noWrap/>
            <w:vAlign w:val="center"/>
          </w:tcPr>
          <w:p>
            <w:pPr>
              <w:widowControl/>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2.系统可让医教部相关人员对全院医师（技师、药师）档案信息进行修改、审核、查看、统计分析等，可新增、注销账号。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50" w:type="dxa"/>
            <w:vMerge w:val="restart"/>
            <w:shd w:val="clear" w:color="auto" w:fill="auto"/>
            <w:noWrap/>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2.3</w:t>
            </w:r>
          </w:p>
        </w:tc>
        <w:tc>
          <w:tcPr>
            <w:tcW w:w="1800" w:type="dxa"/>
            <w:vMerge w:val="restart"/>
            <w:shd w:val="clear" w:color="auto" w:fill="auto"/>
            <w:noWrap/>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医师360视图</w:t>
            </w:r>
          </w:p>
        </w:tc>
        <w:tc>
          <w:tcPr>
            <w:tcW w:w="7100" w:type="dxa"/>
            <w:vMerge w:val="restart"/>
            <w:shd w:val="clear" w:color="auto" w:fill="auto"/>
            <w:noWrap/>
            <w:vAlign w:val="center"/>
          </w:tcPr>
          <w:p>
            <w:pPr>
              <w:widowControl/>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提供医师360视图、医师工作经历相关信息、医师在多个医院执业信息、医师拥有职称信息维护及上传附件、医师资格证书管理、医师聘任记录信息、提供医师进修信息、医师科研信息管理等相关功能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50" w:type="dxa"/>
            <w:vMerge w:val="continue"/>
            <w:vAlign w:val="center"/>
          </w:tcPr>
          <w:p>
            <w:pPr>
              <w:widowControl/>
              <w:jc w:val="left"/>
              <w:rPr>
                <w:rFonts w:ascii="宋体" w:hAnsi="宋体" w:eastAsia="宋体" w:cs="宋体"/>
                <w:color w:val="auto"/>
                <w:kern w:val="0"/>
                <w:sz w:val="22"/>
                <w:szCs w:val="22"/>
              </w:rPr>
            </w:pPr>
          </w:p>
        </w:tc>
        <w:tc>
          <w:tcPr>
            <w:tcW w:w="1800" w:type="dxa"/>
            <w:vMerge w:val="continue"/>
            <w:vAlign w:val="center"/>
          </w:tcPr>
          <w:p>
            <w:pPr>
              <w:widowControl/>
              <w:jc w:val="left"/>
              <w:rPr>
                <w:rFonts w:ascii="宋体" w:hAnsi="宋体" w:eastAsia="宋体" w:cs="宋体"/>
                <w:color w:val="auto"/>
                <w:kern w:val="0"/>
                <w:sz w:val="22"/>
                <w:szCs w:val="22"/>
              </w:rPr>
            </w:pPr>
          </w:p>
        </w:tc>
        <w:tc>
          <w:tcPr>
            <w:tcW w:w="7100" w:type="dxa"/>
            <w:vMerge w:val="continue"/>
            <w:vAlign w:val="center"/>
          </w:tcPr>
          <w:p>
            <w:pPr>
              <w:widowControl/>
              <w:jc w:val="left"/>
              <w:rPr>
                <w:rFonts w:ascii="宋体" w:hAnsi="宋体" w:eastAsia="宋体"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50" w:type="dxa"/>
            <w:vMerge w:val="restart"/>
            <w:shd w:val="clear" w:color="auto" w:fill="auto"/>
            <w:noWrap/>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2.4</w:t>
            </w:r>
          </w:p>
        </w:tc>
        <w:tc>
          <w:tcPr>
            <w:tcW w:w="1800" w:type="dxa"/>
            <w:vMerge w:val="restart"/>
            <w:shd w:val="clear" w:color="auto" w:fill="auto"/>
            <w:noWrap/>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新技术管理</w:t>
            </w:r>
          </w:p>
        </w:tc>
        <w:tc>
          <w:tcPr>
            <w:tcW w:w="7100" w:type="dxa"/>
            <w:vMerge w:val="restart"/>
            <w:shd w:val="clear" w:color="auto" w:fill="auto"/>
            <w:noWrap/>
            <w:vAlign w:val="center"/>
          </w:tcPr>
          <w:p>
            <w:pPr>
              <w:widowControl/>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提供新技术申请、新技术申请参与角色维护、新技术病例备案、新技术全程追踪管理、新技术转常、新技术总体详情等功能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50" w:type="dxa"/>
            <w:vMerge w:val="continue"/>
            <w:vAlign w:val="center"/>
          </w:tcPr>
          <w:p>
            <w:pPr>
              <w:widowControl/>
              <w:jc w:val="left"/>
              <w:rPr>
                <w:rFonts w:ascii="宋体" w:hAnsi="宋体" w:eastAsia="宋体" w:cs="宋体"/>
                <w:color w:val="auto"/>
                <w:kern w:val="0"/>
                <w:sz w:val="22"/>
                <w:szCs w:val="22"/>
              </w:rPr>
            </w:pPr>
          </w:p>
        </w:tc>
        <w:tc>
          <w:tcPr>
            <w:tcW w:w="1800" w:type="dxa"/>
            <w:vMerge w:val="continue"/>
            <w:vAlign w:val="center"/>
          </w:tcPr>
          <w:p>
            <w:pPr>
              <w:widowControl/>
              <w:jc w:val="left"/>
              <w:rPr>
                <w:rFonts w:ascii="宋体" w:hAnsi="宋体" w:eastAsia="宋体" w:cs="宋体"/>
                <w:color w:val="auto"/>
                <w:kern w:val="0"/>
                <w:sz w:val="22"/>
                <w:szCs w:val="22"/>
              </w:rPr>
            </w:pPr>
          </w:p>
        </w:tc>
        <w:tc>
          <w:tcPr>
            <w:tcW w:w="7100" w:type="dxa"/>
            <w:vMerge w:val="continue"/>
            <w:vAlign w:val="center"/>
          </w:tcPr>
          <w:p>
            <w:pPr>
              <w:widowControl/>
              <w:jc w:val="left"/>
              <w:rPr>
                <w:rFonts w:ascii="宋体" w:hAnsi="宋体" w:eastAsia="宋体"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50" w:type="dxa"/>
            <w:vMerge w:val="restart"/>
            <w:shd w:val="clear" w:color="auto" w:fill="auto"/>
            <w:noWrap/>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2.5</w:t>
            </w:r>
          </w:p>
        </w:tc>
        <w:tc>
          <w:tcPr>
            <w:tcW w:w="1800" w:type="dxa"/>
            <w:vMerge w:val="restart"/>
            <w:shd w:val="clear" w:color="auto" w:fill="auto"/>
            <w:noWrap/>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医师权限管理（含技师、药师）</w:t>
            </w:r>
          </w:p>
        </w:tc>
        <w:tc>
          <w:tcPr>
            <w:tcW w:w="7100" w:type="dxa"/>
            <w:shd w:val="clear" w:color="auto" w:fill="auto"/>
            <w:noWrap/>
            <w:vAlign w:val="center"/>
          </w:tcPr>
          <w:p>
            <w:pPr>
              <w:widowControl/>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提供医师（技师、药师）申请权限功能：处方权限、会诊权限、药物权限、门诊权限、手术权限、高风险医疗技术操作权限、限制类技术权限、放射权限、POCT权限、特殊权限等。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0" w:type="dxa"/>
            <w:vMerge w:val="continue"/>
            <w:vAlign w:val="center"/>
          </w:tcPr>
          <w:p>
            <w:pPr>
              <w:widowControl/>
              <w:jc w:val="left"/>
              <w:rPr>
                <w:rFonts w:ascii="宋体" w:hAnsi="宋体" w:eastAsia="宋体" w:cs="宋体"/>
                <w:color w:val="auto"/>
                <w:kern w:val="0"/>
                <w:sz w:val="22"/>
                <w:szCs w:val="22"/>
              </w:rPr>
            </w:pPr>
          </w:p>
        </w:tc>
        <w:tc>
          <w:tcPr>
            <w:tcW w:w="1800" w:type="dxa"/>
            <w:vMerge w:val="continue"/>
            <w:vAlign w:val="center"/>
          </w:tcPr>
          <w:p>
            <w:pPr>
              <w:widowControl/>
              <w:jc w:val="left"/>
              <w:rPr>
                <w:rFonts w:ascii="宋体" w:hAnsi="宋体" w:eastAsia="宋体" w:cs="宋体"/>
                <w:color w:val="auto"/>
                <w:kern w:val="0"/>
                <w:sz w:val="22"/>
                <w:szCs w:val="22"/>
              </w:rPr>
            </w:pPr>
          </w:p>
        </w:tc>
        <w:tc>
          <w:tcPr>
            <w:tcW w:w="7100" w:type="dxa"/>
            <w:shd w:val="clear" w:color="auto" w:fill="auto"/>
            <w:noWrap/>
            <w:vAlign w:val="center"/>
          </w:tcPr>
          <w:p>
            <w:pPr>
              <w:widowControl/>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提供医教部相关人员权限管理功能：权限授予、取消、变更、修改、审核等。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50" w:type="dxa"/>
            <w:vMerge w:val="restart"/>
            <w:shd w:val="clear" w:color="auto" w:fill="auto"/>
            <w:noWrap/>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2.6</w:t>
            </w:r>
          </w:p>
        </w:tc>
        <w:tc>
          <w:tcPr>
            <w:tcW w:w="1800" w:type="dxa"/>
            <w:vMerge w:val="restart"/>
            <w:shd w:val="clear" w:color="auto" w:fill="auto"/>
            <w:noWrap/>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排班管理</w:t>
            </w:r>
          </w:p>
        </w:tc>
        <w:tc>
          <w:tcPr>
            <w:tcW w:w="7100" w:type="dxa"/>
            <w:vMerge w:val="restart"/>
            <w:shd w:val="clear" w:color="auto" w:fill="auto"/>
            <w:noWrap/>
            <w:vAlign w:val="center"/>
          </w:tcPr>
          <w:p>
            <w:pPr>
              <w:widowControl/>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提供排班查看、排班审核、排班统计、轮转人员管理、住院总管理等功能。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50" w:type="dxa"/>
            <w:vMerge w:val="continue"/>
            <w:vAlign w:val="center"/>
          </w:tcPr>
          <w:p>
            <w:pPr>
              <w:widowControl/>
              <w:jc w:val="left"/>
              <w:rPr>
                <w:rFonts w:ascii="宋体" w:hAnsi="宋体" w:eastAsia="宋体" w:cs="宋体"/>
                <w:color w:val="auto"/>
                <w:kern w:val="0"/>
                <w:sz w:val="22"/>
                <w:szCs w:val="22"/>
              </w:rPr>
            </w:pPr>
          </w:p>
        </w:tc>
        <w:tc>
          <w:tcPr>
            <w:tcW w:w="1800" w:type="dxa"/>
            <w:vMerge w:val="continue"/>
            <w:vAlign w:val="center"/>
          </w:tcPr>
          <w:p>
            <w:pPr>
              <w:widowControl/>
              <w:jc w:val="left"/>
              <w:rPr>
                <w:rFonts w:ascii="宋体" w:hAnsi="宋体" w:eastAsia="宋体" w:cs="宋体"/>
                <w:color w:val="auto"/>
                <w:kern w:val="0"/>
                <w:sz w:val="22"/>
                <w:szCs w:val="22"/>
              </w:rPr>
            </w:pPr>
          </w:p>
        </w:tc>
        <w:tc>
          <w:tcPr>
            <w:tcW w:w="7100" w:type="dxa"/>
            <w:vMerge w:val="continue"/>
            <w:vAlign w:val="center"/>
          </w:tcPr>
          <w:p>
            <w:pPr>
              <w:widowControl/>
              <w:jc w:val="left"/>
              <w:rPr>
                <w:rFonts w:ascii="宋体" w:hAnsi="宋体" w:eastAsia="宋体"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50" w:type="dxa"/>
            <w:vMerge w:val="restart"/>
            <w:shd w:val="clear" w:color="auto" w:fill="auto"/>
            <w:noWrap/>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2.7</w:t>
            </w:r>
          </w:p>
        </w:tc>
        <w:tc>
          <w:tcPr>
            <w:tcW w:w="1800" w:type="dxa"/>
            <w:vMerge w:val="restart"/>
            <w:shd w:val="clear" w:color="auto" w:fill="auto"/>
            <w:noWrap/>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医疗纠纷管理</w:t>
            </w:r>
          </w:p>
        </w:tc>
        <w:tc>
          <w:tcPr>
            <w:tcW w:w="7100" w:type="dxa"/>
            <w:vMerge w:val="restart"/>
            <w:shd w:val="clear" w:color="auto" w:fill="auto"/>
            <w:noWrap/>
            <w:vAlign w:val="center"/>
          </w:tcPr>
          <w:p>
            <w:pPr>
              <w:widowControl/>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提供医疗纠纷管理、科室反馈记录、院内讨论记录、医患沟通记录、全院职工纠纷投诉记分管理、临床科室“三高”谈话记录等功能。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50" w:type="dxa"/>
            <w:vMerge w:val="continue"/>
            <w:vAlign w:val="center"/>
          </w:tcPr>
          <w:p>
            <w:pPr>
              <w:widowControl/>
              <w:jc w:val="left"/>
              <w:rPr>
                <w:rFonts w:ascii="宋体" w:hAnsi="宋体" w:eastAsia="宋体" w:cs="宋体"/>
                <w:color w:val="auto"/>
                <w:kern w:val="0"/>
                <w:sz w:val="22"/>
                <w:szCs w:val="22"/>
              </w:rPr>
            </w:pPr>
          </w:p>
        </w:tc>
        <w:tc>
          <w:tcPr>
            <w:tcW w:w="1800" w:type="dxa"/>
            <w:vMerge w:val="continue"/>
            <w:vAlign w:val="center"/>
          </w:tcPr>
          <w:p>
            <w:pPr>
              <w:widowControl/>
              <w:jc w:val="left"/>
              <w:rPr>
                <w:rFonts w:ascii="宋体" w:hAnsi="宋体" w:eastAsia="宋体" w:cs="宋体"/>
                <w:color w:val="auto"/>
                <w:kern w:val="0"/>
                <w:sz w:val="22"/>
                <w:szCs w:val="22"/>
              </w:rPr>
            </w:pPr>
          </w:p>
        </w:tc>
        <w:tc>
          <w:tcPr>
            <w:tcW w:w="7100" w:type="dxa"/>
            <w:vMerge w:val="continue"/>
            <w:vAlign w:val="center"/>
          </w:tcPr>
          <w:p>
            <w:pPr>
              <w:widowControl/>
              <w:jc w:val="left"/>
              <w:rPr>
                <w:rFonts w:ascii="宋体" w:hAnsi="宋体" w:eastAsia="宋体"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50" w:type="dxa"/>
            <w:vMerge w:val="restart"/>
            <w:shd w:val="clear" w:color="auto" w:fill="auto"/>
            <w:noWrap/>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2.8</w:t>
            </w:r>
          </w:p>
        </w:tc>
        <w:tc>
          <w:tcPr>
            <w:tcW w:w="1800" w:type="dxa"/>
            <w:vMerge w:val="restart"/>
            <w:shd w:val="clear" w:color="auto" w:fill="auto"/>
            <w:noWrap/>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合同管理</w:t>
            </w:r>
          </w:p>
        </w:tc>
        <w:tc>
          <w:tcPr>
            <w:tcW w:w="7100" w:type="dxa"/>
            <w:vMerge w:val="restart"/>
            <w:shd w:val="clear" w:color="auto" w:fill="auto"/>
            <w:vAlign w:val="center"/>
          </w:tcPr>
          <w:p>
            <w:pPr>
              <w:widowControl/>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提供合同审批流程、执行等全过程闭环管理，具有审批、执行、转办、到期合同预警、统计、利用、归档等管理功能。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50" w:type="dxa"/>
            <w:vMerge w:val="continue"/>
            <w:vAlign w:val="center"/>
          </w:tcPr>
          <w:p>
            <w:pPr>
              <w:widowControl/>
              <w:jc w:val="left"/>
              <w:rPr>
                <w:rFonts w:ascii="宋体" w:hAnsi="宋体" w:eastAsia="宋体" w:cs="宋体"/>
                <w:color w:val="auto"/>
                <w:kern w:val="0"/>
                <w:sz w:val="22"/>
                <w:szCs w:val="22"/>
              </w:rPr>
            </w:pPr>
          </w:p>
        </w:tc>
        <w:tc>
          <w:tcPr>
            <w:tcW w:w="1800" w:type="dxa"/>
            <w:vMerge w:val="continue"/>
            <w:vAlign w:val="center"/>
          </w:tcPr>
          <w:p>
            <w:pPr>
              <w:widowControl/>
              <w:jc w:val="left"/>
              <w:rPr>
                <w:rFonts w:ascii="宋体" w:hAnsi="宋体" w:eastAsia="宋体" w:cs="宋体"/>
                <w:color w:val="auto"/>
                <w:kern w:val="0"/>
                <w:sz w:val="22"/>
                <w:szCs w:val="22"/>
              </w:rPr>
            </w:pPr>
          </w:p>
        </w:tc>
        <w:tc>
          <w:tcPr>
            <w:tcW w:w="7100" w:type="dxa"/>
            <w:vMerge w:val="continue"/>
            <w:vAlign w:val="center"/>
          </w:tcPr>
          <w:p>
            <w:pPr>
              <w:widowControl/>
              <w:jc w:val="left"/>
              <w:rPr>
                <w:rFonts w:ascii="宋体" w:hAnsi="宋体" w:eastAsia="宋体"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50" w:type="dxa"/>
            <w:vMerge w:val="restart"/>
            <w:shd w:val="clear" w:color="auto" w:fill="auto"/>
            <w:noWrap/>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2.9</w:t>
            </w:r>
          </w:p>
        </w:tc>
        <w:tc>
          <w:tcPr>
            <w:tcW w:w="1800" w:type="dxa"/>
            <w:vMerge w:val="restart"/>
            <w:shd w:val="clear" w:color="auto" w:fill="auto"/>
            <w:noWrap/>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制度管理</w:t>
            </w:r>
          </w:p>
        </w:tc>
        <w:tc>
          <w:tcPr>
            <w:tcW w:w="7100" w:type="dxa"/>
            <w:vMerge w:val="restart"/>
            <w:shd w:val="clear" w:color="auto" w:fill="auto"/>
            <w:vAlign w:val="center"/>
          </w:tcPr>
          <w:p>
            <w:pPr>
              <w:widowControl/>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根据医院的医疗规范建立制度体系结构，目录管理，医务科制度、科室制度上传、废止、删除和下载，制度文档的权限管理等功能。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50" w:type="dxa"/>
            <w:vMerge w:val="continue"/>
            <w:vAlign w:val="center"/>
          </w:tcPr>
          <w:p>
            <w:pPr>
              <w:widowControl/>
              <w:jc w:val="left"/>
              <w:rPr>
                <w:rFonts w:ascii="宋体" w:hAnsi="宋体" w:eastAsia="宋体" w:cs="宋体"/>
                <w:color w:val="auto"/>
                <w:kern w:val="0"/>
                <w:sz w:val="22"/>
                <w:szCs w:val="22"/>
              </w:rPr>
            </w:pPr>
          </w:p>
        </w:tc>
        <w:tc>
          <w:tcPr>
            <w:tcW w:w="1800" w:type="dxa"/>
            <w:vMerge w:val="continue"/>
            <w:vAlign w:val="center"/>
          </w:tcPr>
          <w:p>
            <w:pPr>
              <w:widowControl/>
              <w:jc w:val="left"/>
              <w:rPr>
                <w:rFonts w:ascii="宋体" w:hAnsi="宋体" w:eastAsia="宋体" w:cs="宋体"/>
                <w:color w:val="auto"/>
                <w:kern w:val="0"/>
                <w:sz w:val="22"/>
                <w:szCs w:val="22"/>
              </w:rPr>
            </w:pPr>
          </w:p>
        </w:tc>
        <w:tc>
          <w:tcPr>
            <w:tcW w:w="7100" w:type="dxa"/>
            <w:vMerge w:val="continue"/>
            <w:vAlign w:val="center"/>
          </w:tcPr>
          <w:p>
            <w:pPr>
              <w:widowControl/>
              <w:jc w:val="left"/>
              <w:rPr>
                <w:rFonts w:ascii="宋体" w:hAnsi="宋体" w:eastAsia="宋体"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50" w:type="dxa"/>
            <w:vMerge w:val="restart"/>
            <w:shd w:val="clear" w:color="auto" w:fill="auto"/>
            <w:noWrap/>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xml:space="preserve">2.10 </w:t>
            </w:r>
          </w:p>
        </w:tc>
        <w:tc>
          <w:tcPr>
            <w:tcW w:w="1800" w:type="dxa"/>
            <w:vMerge w:val="restart"/>
            <w:shd w:val="clear" w:color="auto" w:fill="auto"/>
            <w:noWrap/>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文件管理</w:t>
            </w:r>
          </w:p>
        </w:tc>
        <w:tc>
          <w:tcPr>
            <w:tcW w:w="7100" w:type="dxa"/>
            <w:vMerge w:val="restart"/>
            <w:shd w:val="clear" w:color="auto" w:fill="auto"/>
            <w:vAlign w:val="center"/>
          </w:tcPr>
          <w:p>
            <w:pPr>
              <w:widowControl/>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提供收文、转办、办结、归档等功能；提供发文审批流程、归档等功能；提供统计、查询利用等功能。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50" w:type="dxa"/>
            <w:vMerge w:val="continue"/>
            <w:vAlign w:val="center"/>
          </w:tcPr>
          <w:p>
            <w:pPr>
              <w:widowControl/>
              <w:jc w:val="left"/>
              <w:rPr>
                <w:rFonts w:ascii="宋体" w:hAnsi="宋体" w:eastAsia="宋体" w:cs="宋体"/>
                <w:color w:val="auto"/>
                <w:kern w:val="0"/>
                <w:sz w:val="22"/>
                <w:szCs w:val="22"/>
              </w:rPr>
            </w:pPr>
          </w:p>
        </w:tc>
        <w:tc>
          <w:tcPr>
            <w:tcW w:w="1800" w:type="dxa"/>
            <w:vMerge w:val="continue"/>
            <w:vAlign w:val="center"/>
          </w:tcPr>
          <w:p>
            <w:pPr>
              <w:widowControl/>
              <w:jc w:val="left"/>
              <w:rPr>
                <w:rFonts w:ascii="宋体" w:hAnsi="宋体" w:eastAsia="宋体" w:cs="宋体"/>
                <w:color w:val="auto"/>
                <w:kern w:val="0"/>
                <w:sz w:val="22"/>
                <w:szCs w:val="22"/>
              </w:rPr>
            </w:pPr>
          </w:p>
        </w:tc>
        <w:tc>
          <w:tcPr>
            <w:tcW w:w="7100" w:type="dxa"/>
            <w:vMerge w:val="continue"/>
            <w:vAlign w:val="center"/>
          </w:tcPr>
          <w:p>
            <w:pPr>
              <w:widowControl/>
              <w:jc w:val="left"/>
              <w:rPr>
                <w:rFonts w:ascii="宋体" w:hAnsi="宋体" w:eastAsia="宋体"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50" w:type="dxa"/>
            <w:vMerge w:val="restart"/>
            <w:shd w:val="clear" w:color="auto" w:fill="auto"/>
            <w:noWrap/>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2.11</w:t>
            </w:r>
          </w:p>
        </w:tc>
        <w:tc>
          <w:tcPr>
            <w:tcW w:w="1800" w:type="dxa"/>
            <w:vMerge w:val="restart"/>
            <w:shd w:val="clear" w:color="auto" w:fill="auto"/>
            <w:noWrap/>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日间手术管理</w:t>
            </w:r>
          </w:p>
        </w:tc>
        <w:tc>
          <w:tcPr>
            <w:tcW w:w="7100" w:type="dxa"/>
            <w:vMerge w:val="restart"/>
            <w:shd w:val="clear" w:color="auto" w:fill="auto"/>
            <w:vAlign w:val="center"/>
          </w:tcPr>
          <w:p>
            <w:pPr>
              <w:widowControl/>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提供点击科室，选择开展日间手术病种即可自动筛选出符合要求的日间手术患者；24小时、48小时、退出日间手术患者均可自动筛查。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50" w:type="dxa"/>
            <w:vMerge w:val="continue"/>
            <w:vAlign w:val="center"/>
          </w:tcPr>
          <w:p>
            <w:pPr>
              <w:widowControl/>
              <w:jc w:val="left"/>
              <w:rPr>
                <w:rFonts w:ascii="宋体" w:hAnsi="宋体" w:eastAsia="宋体" w:cs="宋体"/>
                <w:color w:val="auto"/>
                <w:kern w:val="0"/>
                <w:sz w:val="22"/>
                <w:szCs w:val="22"/>
              </w:rPr>
            </w:pPr>
          </w:p>
        </w:tc>
        <w:tc>
          <w:tcPr>
            <w:tcW w:w="1800" w:type="dxa"/>
            <w:vMerge w:val="continue"/>
            <w:vAlign w:val="center"/>
          </w:tcPr>
          <w:p>
            <w:pPr>
              <w:widowControl/>
              <w:jc w:val="left"/>
              <w:rPr>
                <w:rFonts w:ascii="宋体" w:hAnsi="宋体" w:eastAsia="宋体" w:cs="宋体"/>
                <w:color w:val="auto"/>
                <w:kern w:val="0"/>
                <w:sz w:val="22"/>
                <w:szCs w:val="22"/>
              </w:rPr>
            </w:pPr>
          </w:p>
        </w:tc>
        <w:tc>
          <w:tcPr>
            <w:tcW w:w="7100" w:type="dxa"/>
            <w:vMerge w:val="continue"/>
            <w:vAlign w:val="center"/>
          </w:tcPr>
          <w:p>
            <w:pPr>
              <w:widowControl/>
              <w:jc w:val="left"/>
              <w:rPr>
                <w:rFonts w:ascii="宋体" w:hAnsi="宋体" w:eastAsia="宋体"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50" w:type="dxa"/>
            <w:vMerge w:val="restart"/>
            <w:shd w:val="clear" w:color="auto" w:fill="auto"/>
            <w:noWrap/>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2.12</w:t>
            </w:r>
          </w:p>
        </w:tc>
        <w:tc>
          <w:tcPr>
            <w:tcW w:w="1800" w:type="dxa"/>
            <w:vMerge w:val="restart"/>
            <w:shd w:val="clear" w:color="auto" w:fill="auto"/>
            <w:noWrap/>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满意度调查</w:t>
            </w:r>
          </w:p>
        </w:tc>
        <w:tc>
          <w:tcPr>
            <w:tcW w:w="7100" w:type="dxa"/>
            <w:vMerge w:val="restart"/>
            <w:shd w:val="clear" w:color="auto" w:fill="auto"/>
            <w:vAlign w:val="center"/>
          </w:tcPr>
          <w:p>
            <w:pPr>
              <w:widowControl/>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提供满意度调查模板设置和修改、满意度调查内容选项、满意度调查任务管理、手机端扫码在线填写满意度调查、满意度调查结果统计分析等功能。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50" w:type="dxa"/>
            <w:vMerge w:val="continue"/>
            <w:vAlign w:val="center"/>
          </w:tcPr>
          <w:p>
            <w:pPr>
              <w:widowControl/>
              <w:jc w:val="left"/>
              <w:rPr>
                <w:rFonts w:ascii="宋体" w:hAnsi="宋体" w:eastAsia="宋体" w:cs="宋体"/>
                <w:color w:val="auto"/>
                <w:kern w:val="0"/>
                <w:sz w:val="22"/>
                <w:szCs w:val="22"/>
              </w:rPr>
            </w:pPr>
          </w:p>
        </w:tc>
        <w:tc>
          <w:tcPr>
            <w:tcW w:w="1800" w:type="dxa"/>
            <w:vMerge w:val="continue"/>
            <w:vAlign w:val="center"/>
          </w:tcPr>
          <w:p>
            <w:pPr>
              <w:widowControl/>
              <w:jc w:val="left"/>
              <w:rPr>
                <w:rFonts w:ascii="宋体" w:hAnsi="宋体" w:eastAsia="宋体" w:cs="宋体"/>
                <w:color w:val="auto"/>
                <w:kern w:val="0"/>
                <w:sz w:val="22"/>
                <w:szCs w:val="22"/>
              </w:rPr>
            </w:pPr>
          </w:p>
        </w:tc>
        <w:tc>
          <w:tcPr>
            <w:tcW w:w="7100" w:type="dxa"/>
            <w:vMerge w:val="continue"/>
            <w:vAlign w:val="center"/>
          </w:tcPr>
          <w:p>
            <w:pPr>
              <w:widowControl/>
              <w:jc w:val="left"/>
              <w:rPr>
                <w:rFonts w:ascii="宋体" w:hAnsi="宋体" w:eastAsia="宋体"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0" w:type="dxa"/>
            <w:shd w:val="clear" w:color="auto" w:fill="auto"/>
            <w:noWrap/>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2.13</w:t>
            </w:r>
          </w:p>
        </w:tc>
        <w:tc>
          <w:tcPr>
            <w:tcW w:w="1800" w:type="dxa"/>
            <w:shd w:val="clear" w:color="auto" w:fill="auto"/>
            <w:noWrap/>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其他功能</w:t>
            </w:r>
          </w:p>
        </w:tc>
        <w:tc>
          <w:tcPr>
            <w:tcW w:w="7100" w:type="dxa"/>
            <w:shd w:val="clear" w:color="auto" w:fill="auto"/>
            <w:vAlign w:val="center"/>
          </w:tcPr>
          <w:p>
            <w:pPr>
              <w:widowControl/>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提供审批流程、报表统计、模版管理、系统设置等功能。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50" w:type="dxa"/>
            <w:gridSpan w:val="3"/>
            <w:shd w:val="clear" w:color="auto" w:fill="auto"/>
            <w:noWrap/>
            <w:vAlign w:val="center"/>
          </w:tcPr>
          <w:p>
            <w:pPr>
              <w:widowControl/>
              <w:jc w:val="left"/>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（三）科研教学管理系统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50" w:type="dxa"/>
            <w:shd w:val="clear" w:color="auto" w:fill="auto"/>
            <w:vAlign w:val="center"/>
          </w:tcPr>
          <w:p>
            <w:pPr>
              <w:widowControl/>
              <w:jc w:val="center"/>
              <w:rPr>
                <w:rFonts w:hint="eastAsia" w:ascii="宋体" w:hAnsi="宋体" w:eastAsia="宋体" w:cs="宋体"/>
                <w:color w:val="auto"/>
                <w:kern w:val="0"/>
                <w:sz w:val="22"/>
                <w:szCs w:val="22"/>
              </w:rPr>
            </w:pPr>
            <w:bookmarkStart w:id="46" w:name="_GoBack" w:colFirst="1" w:colLast="1"/>
            <w:r>
              <w:rPr>
                <w:rFonts w:hint="eastAsia" w:ascii="宋体" w:hAnsi="宋体" w:eastAsia="宋体" w:cs="宋体"/>
                <w:color w:val="auto"/>
                <w:kern w:val="0"/>
                <w:sz w:val="22"/>
                <w:szCs w:val="22"/>
              </w:rPr>
              <w:t>3.1</w:t>
            </w:r>
          </w:p>
        </w:tc>
        <w:tc>
          <w:tcPr>
            <w:tcW w:w="180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用户管理</w:t>
            </w: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访问系统的统一账号管理功能，包括基本信息、登录方式、密码重置等功能。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3.2</w:t>
            </w:r>
          </w:p>
        </w:tc>
        <w:tc>
          <w:tcPr>
            <w:tcW w:w="180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角色管理</w:t>
            </w: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定义多种业务角色，并根据角色设定相应的系统访问权限。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3.3</w:t>
            </w:r>
          </w:p>
        </w:tc>
        <w:tc>
          <w:tcPr>
            <w:tcW w:w="180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菜单管理</w:t>
            </w: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树形菜单管理，直观清晰的了解菜单的结构和信息；动态管理为维护菜单数据和顺序。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5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3.4</w:t>
            </w:r>
          </w:p>
        </w:tc>
        <w:tc>
          <w:tcPr>
            <w:tcW w:w="180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权限管理</w:t>
            </w: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功能访问权限和数据权限的控制或设置。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3.5</w:t>
            </w:r>
          </w:p>
        </w:tc>
        <w:tc>
          <w:tcPr>
            <w:tcW w:w="180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字典管理</w:t>
            </w: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对系统中的各种标准、术语进行标准化和规范化管理，医院可以自行维护相关数据定义。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15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3.6</w:t>
            </w:r>
          </w:p>
        </w:tc>
        <w:tc>
          <w:tcPr>
            <w:tcW w:w="180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人员管理</w:t>
            </w: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学生/学员/教师/教辅人员的统一管理，包括基本信息、教育背景、工作经历等，以身份证号为唯一身份识别码。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3.7</w:t>
            </w:r>
          </w:p>
        </w:tc>
        <w:tc>
          <w:tcPr>
            <w:tcW w:w="180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系/科室/教研室管理</w:t>
            </w: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设置或修改组织架构信息。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3.8</w:t>
            </w:r>
          </w:p>
        </w:tc>
        <w:tc>
          <w:tcPr>
            <w:tcW w:w="180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打印模板管理</w:t>
            </w: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在后台对常规需要打印的内容进行模板管理，支持word格式、EXCEL格式和PDF格式；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3.9</w:t>
            </w:r>
          </w:p>
        </w:tc>
        <w:tc>
          <w:tcPr>
            <w:tcW w:w="180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工作流管理</w:t>
            </w: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在线可视化配置工作流，完成审核权限的流程和权限管理。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5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xml:space="preserve">3.10 </w:t>
            </w:r>
          </w:p>
        </w:tc>
        <w:tc>
          <w:tcPr>
            <w:tcW w:w="180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节假日设置</w:t>
            </w: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管理节假日、周末与特殊假期。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3.11</w:t>
            </w:r>
          </w:p>
        </w:tc>
        <w:tc>
          <w:tcPr>
            <w:tcW w:w="180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招录管理</w:t>
            </w: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支持在线完成学员招录报名注册、资格审核、考核安排、录取等功能。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3.12</w:t>
            </w:r>
          </w:p>
        </w:tc>
        <w:tc>
          <w:tcPr>
            <w:tcW w:w="180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信息管理</w:t>
            </w: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公告的编辑、发布，资料上传/下载管理，新闻发布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15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3.13</w:t>
            </w:r>
          </w:p>
        </w:tc>
        <w:tc>
          <w:tcPr>
            <w:tcW w:w="180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轮转管理</w:t>
            </w: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根据国家培训细则要求，匹配医院实际临床科室，制定轮转计划，支持自动排轮转、手动排轮转、轮转计划调整。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15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3.14</w:t>
            </w:r>
          </w:p>
        </w:tc>
        <w:tc>
          <w:tcPr>
            <w:tcW w:w="180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学员档案管理</w:t>
            </w: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对学员的信息进行登记、审核和管理，包括个人基本信息、轮转科室培训信息、考勤信息、奖惩信息、执业注册信息、退培或延期申请。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3.15</w:t>
            </w:r>
          </w:p>
        </w:tc>
        <w:tc>
          <w:tcPr>
            <w:tcW w:w="180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考勤管理</w:t>
            </w: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支持住院医师的请销假流程管理，自动生成月度考勤汇总表。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15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3.16</w:t>
            </w:r>
          </w:p>
        </w:tc>
        <w:tc>
          <w:tcPr>
            <w:tcW w:w="180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工作量管理</w:t>
            </w: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对应国家住院医师规范化培训细则要求，设置不同培训专业对应轮转科室所需要达到的培训内容和工作量要求。通过与HIS、EMR及临床业务系统的对接，获取规培数据，同时支持学员手动录入临床工作量，登记病种、基本操作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5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3.17</w:t>
            </w:r>
          </w:p>
        </w:tc>
        <w:tc>
          <w:tcPr>
            <w:tcW w:w="180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师资管理</w:t>
            </w: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建立师资库，实现各类型师资的遴选、考核、评价、评优和退出、带教活动登记（带教时间、培训对象等）、师资培训信息登记、审核、汇总统计等功能。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5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3.18</w:t>
            </w:r>
          </w:p>
        </w:tc>
        <w:tc>
          <w:tcPr>
            <w:tcW w:w="180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教学活动管理</w:t>
            </w: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小讲课/病例讨论/教学查房/读片阅片等教学活动的通知发布，二维码扫描签到、教学活动出勤情况统计，教学活动图片及课件上传，教学活动开展情况汇总统计。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15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3.19</w:t>
            </w:r>
          </w:p>
        </w:tc>
        <w:tc>
          <w:tcPr>
            <w:tcW w:w="180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考核管理</w:t>
            </w: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包括师资考核、出科考核、年度考核、结业考核，支持在线考试、编辑试卷、智能组卷、考试统计分析。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15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3.2</w:t>
            </w:r>
          </w:p>
        </w:tc>
        <w:tc>
          <w:tcPr>
            <w:tcW w:w="180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调查问卷管理</w:t>
            </w: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问卷设计、预览、新增、删除、批量删除、问卷发布、填写、导出和查看操作，实现调查结果分析。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15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3.21</w:t>
            </w:r>
          </w:p>
        </w:tc>
        <w:tc>
          <w:tcPr>
            <w:tcW w:w="180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科研项目</w:t>
            </w: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支持横向、纵向课题的申请、审批、参与人员、经费使用明细登记、过程开展、项目结题；论文或成果关联；支持历史课题数据的批量导入(Excel格式)；支持相关证明材料、文件、图片等数据的上传与查看；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15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3.22</w:t>
            </w:r>
          </w:p>
        </w:tc>
        <w:tc>
          <w:tcPr>
            <w:tcW w:w="180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经费管理</w:t>
            </w: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支持课题、重点学科、外出学习、培训等各种与费用相关的经费管理，从预算、到账确认、费用报销、审核以及概括（总金额、已使用、余额、使用百分比）查询等功能，直观的展现经费的动态与结果，以及分类展示（国家基金、省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5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3.23</w:t>
            </w:r>
          </w:p>
        </w:tc>
        <w:tc>
          <w:tcPr>
            <w:tcW w:w="180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学术论文</w:t>
            </w: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支持论文的发表进行申请、审核、打印介绍信；以及论文发表后的登记、费用报销（版面费等）；根据论文字数，自动计入继教学分；支持记录期刊种类、卷期、收录情况等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3.24</w:t>
            </w:r>
          </w:p>
        </w:tc>
        <w:tc>
          <w:tcPr>
            <w:tcW w:w="180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学术会议</w:t>
            </w: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支持学术会议的申请、审核和登记，以及费用报销（会务费或差旅等）功能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3.25</w:t>
            </w:r>
          </w:p>
        </w:tc>
        <w:tc>
          <w:tcPr>
            <w:tcW w:w="1800" w:type="dxa"/>
            <w:shd w:val="clear" w:color="auto" w:fill="auto"/>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科技成果</w:t>
            </w:r>
          </w:p>
        </w:tc>
        <w:tc>
          <w:tcPr>
            <w:tcW w:w="7100" w:type="dxa"/>
            <w:shd w:val="clear" w:color="auto" w:fill="auto"/>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对科技成果，以及成果的获奖情况进行管理，并支持申请、审核和登记</w:t>
            </w:r>
          </w:p>
        </w:tc>
      </w:tr>
      <w:bookmarkEnd w:id="46"/>
    </w:tbl>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textAlignment w:val="auto"/>
        <w:rPr>
          <w:rFonts w:hint="eastAsia" w:ascii="仿宋" w:hAnsi="仿宋" w:eastAsia="仿宋" w:cs="仿宋"/>
          <w:i w:val="0"/>
          <w:iCs w:val="0"/>
          <w:color w:val="auto"/>
          <w:kern w:val="2"/>
          <w:sz w:val="28"/>
          <w:szCs w:val="28"/>
          <w:u w:val="none"/>
          <w:lang w:val="en-US" w:eastAsia="zh-CN" w:bidi="zh-CN"/>
        </w:rPr>
      </w:pPr>
    </w:p>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560" w:firstLineChars="200"/>
        <w:rPr>
          <w:rFonts w:hint="eastAsia" w:ascii="方正黑体简体" w:hAnsi="方正黑体简体" w:eastAsia="方正黑体简体" w:cs="方正黑体简体"/>
          <w:i w:val="0"/>
          <w:iCs w:val="0"/>
          <w:color w:val="auto"/>
          <w:kern w:val="0"/>
          <w:sz w:val="28"/>
          <w:szCs w:val="28"/>
          <w:u w:val="none"/>
          <w:lang w:val="en-US" w:eastAsia="zh-CN" w:bidi="ar"/>
        </w:rPr>
      </w:pPr>
      <w:r>
        <w:rPr>
          <w:rFonts w:hint="eastAsia" w:ascii="方正黑体简体" w:hAnsi="方正黑体简体" w:eastAsia="方正黑体简体" w:cs="方正黑体简体"/>
          <w:i w:val="0"/>
          <w:iCs w:val="0"/>
          <w:color w:val="auto"/>
          <w:kern w:val="0"/>
          <w:sz w:val="28"/>
          <w:szCs w:val="28"/>
          <w:u w:val="none"/>
          <w:lang w:val="en-US" w:eastAsia="zh-CN" w:bidi="ar"/>
        </w:rPr>
        <w:t>二、项目要求</w:t>
      </w:r>
    </w:p>
    <w:p>
      <w:pPr>
        <w:pStyle w:val="6"/>
        <w:keepNext w:val="0"/>
        <w:keepLines w:val="0"/>
        <w:pageBreakBefore w:val="0"/>
        <w:widowControl w:val="0"/>
        <w:kinsoku/>
        <w:wordWrap/>
        <w:overflowPunct/>
        <w:topLinePunct w:val="0"/>
        <w:autoSpaceDE/>
        <w:autoSpaceDN/>
        <w:bidi w:val="0"/>
        <w:adjustRightInd/>
        <w:snapToGrid/>
        <w:spacing w:before="0" w:line="360" w:lineRule="exact"/>
        <w:ind w:firstLine="560" w:firstLineChars="200"/>
        <w:textAlignment w:val="auto"/>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1．参照《电子病历系统功能应用水平分级评价方法及标准（试行）》六级要求建设；</w:t>
      </w:r>
    </w:p>
    <w:p>
      <w:pPr>
        <w:pStyle w:val="6"/>
        <w:keepNext w:val="0"/>
        <w:keepLines w:val="0"/>
        <w:pageBreakBefore w:val="0"/>
        <w:widowControl w:val="0"/>
        <w:kinsoku/>
        <w:wordWrap/>
        <w:overflowPunct/>
        <w:topLinePunct w:val="0"/>
        <w:autoSpaceDE/>
        <w:autoSpaceDN/>
        <w:bidi w:val="0"/>
        <w:adjustRightInd/>
        <w:snapToGrid/>
        <w:spacing w:before="0" w:line="360" w:lineRule="exact"/>
        <w:ind w:firstLine="560" w:firstLineChars="200"/>
        <w:textAlignment w:val="auto"/>
        <w:rPr>
          <w:rFonts w:hint="eastAsia" w:ascii="仿宋" w:hAnsi="仿宋" w:eastAsia="仿宋" w:cs="仿宋"/>
          <w:i w:val="0"/>
          <w:iCs w:val="0"/>
          <w:color w:val="auto"/>
          <w:sz w:val="28"/>
          <w:szCs w:val="28"/>
          <w:u w:val="none"/>
          <w:lang w:val="en-US" w:eastAsia="zh-CN"/>
        </w:rPr>
      </w:pPr>
      <w:r>
        <w:rPr>
          <w:rFonts w:hint="default" w:ascii="仿宋" w:hAnsi="仿宋" w:eastAsia="仿宋" w:cs="仿宋"/>
          <w:i w:val="0"/>
          <w:iCs w:val="0"/>
          <w:color w:val="auto"/>
          <w:sz w:val="28"/>
          <w:szCs w:val="28"/>
          <w:u w:val="none"/>
          <w:lang w:val="en-US" w:eastAsia="zh-CN"/>
        </w:rPr>
        <w:t>2</w:t>
      </w:r>
      <w:r>
        <w:rPr>
          <w:rFonts w:hint="eastAsia" w:ascii="仿宋" w:hAnsi="仿宋" w:eastAsia="仿宋" w:cs="仿宋"/>
          <w:i w:val="0"/>
          <w:iCs w:val="0"/>
          <w:color w:val="auto"/>
          <w:sz w:val="28"/>
          <w:szCs w:val="28"/>
          <w:u w:val="none"/>
          <w:lang w:val="en-US" w:eastAsia="zh-CN"/>
        </w:rPr>
        <w:t>．参照《国家医疗健康信息区域卫生</w:t>
      </w:r>
      <w:r>
        <w:rPr>
          <w:rFonts w:hint="default" w:ascii="仿宋" w:hAnsi="仿宋" w:eastAsia="仿宋" w:cs="仿宋"/>
          <w:i w:val="0"/>
          <w:iCs w:val="0"/>
          <w:color w:val="auto"/>
          <w:sz w:val="28"/>
          <w:szCs w:val="28"/>
          <w:u w:val="none"/>
          <w:lang w:val="en-US" w:eastAsia="zh-CN"/>
        </w:rPr>
        <w:t>(</w:t>
      </w:r>
      <w:r>
        <w:rPr>
          <w:rFonts w:hint="eastAsia" w:ascii="仿宋" w:hAnsi="仿宋" w:eastAsia="仿宋" w:cs="仿宋"/>
          <w:i w:val="0"/>
          <w:iCs w:val="0"/>
          <w:color w:val="auto"/>
          <w:sz w:val="28"/>
          <w:szCs w:val="28"/>
          <w:u w:val="none"/>
          <w:lang w:val="en-US" w:eastAsia="zh-CN"/>
        </w:rPr>
        <w:t>医院</w:t>
      </w:r>
      <w:r>
        <w:rPr>
          <w:rFonts w:hint="default" w:ascii="仿宋" w:hAnsi="仿宋" w:eastAsia="仿宋" w:cs="仿宋"/>
          <w:i w:val="0"/>
          <w:iCs w:val="0"/>
          <w:color w:val="auto"/>
          <w:sz w:val="28"/>
          <w:szCs w:val="28"/>
          <w:u w:val="none"/>
          <w:lang w:val="en-US" w:eastAsia="zh-CN"/>
        </w:rPr>
        <w:t>)</w:t>
      </w:r>
      <w:r>
        <w:rPr>
          <w:rFonts w:hint="eastAsia" w:ascii="仿宋" w:hAnsi="仿宋" w:eastAsia="仿宋" w:cs="仿宋"/>
          <w:i w:val="0"/>
          <w:iCs w:val="0"/>
          <w:color w:val="auto"/>
          <w:sz w:val="28"/>
          <w:szCs w:val="28"/>
          <w:u w:val="none"/>
          <w:lang w:val="en-US" w:eastAsia="zh-CN"/>
        </w:rPr>
        <w:t>信息互联互通标准化成熟度测评方案（</w:t>
      </w:r>
      <w:r>
        <w:rPr>
          <w:rFonts w:hint="default" w:ascii="仿宋" w:hAnsi="仿宋" w:eastAsia="仿宋" w:cs="仿宋"/>
          <w:i w:val="0"/>
          <w:iCs w:val="0"/>
          <w:color w:val="auto"/>
          <w:sz w:val="28"/>
          <w:szCs w:val="28"/>
          <w:u w:val="none"/>
          <w:lang w:val="en-US" w:eastAsia="zh-CN"/>
        </w:rPr>
        <w:t>2020</w:t>
      </w:r>
      <w:r>
        <w:rPr>
          <w:rFonts w:hint="eastAsia" w:ascii="仿宋" w:hAnsi="仿宋" w:eastAsia="仿宋" w:cs="仿宋"/>
          <w:i w:val="0"/>
          <w:iCs w:val="0"/>
          <w:color w:val="auto"/>
          <w:sz w:val="28"/>
          <w:szCs w:val="28"/>
          <w:u w:val="none"/>
          <w:lang w:val="en-US" w:eastAsia="zh-CN"/>
        </w:rPr>
        <w:t>年版）》五级乙等建设；</w:t>
      </w:r>
    </w:p>
    <w:p>
      <w:pPr>
        <w:pStyle w:val="6"/>
        <w:keepNext w:val="0"/>
        <w:keepLines w:val="0"/>
        <w:pageBreakBefore w:val="0"/>
        <w:widowControl w:val="0"/>
        <w:kinsoku/>
        <w:wordWrap/>
        <w:overflowPunct/>
        <w:topLinePunct w:val="0"/>
        <w:autoSpaceDE/>
        <w:autoSpaceDN/>
        <w:bidi w:val="0"/>
        <w:adjustRightInd/>
        <w:snapToGrid/>
        <w:spacing w:before="0" w:line="360" w:lineRule="exact"/>
        <w:ind w:firstLine="560" w:firstLineChars="200"/>
        <w:textAlignment w:val="auto"/>
        <w:rPr>
          <w:rFonts w:hint="eastAsia" w:ascii="仿宋" w:hAnsi="仿宋" w:eastAsia="仿宋" w:cs="仿宋"/>
          <w:i w:val="0"/>
          <w:iCs w:val="0"/>
          <w:color w:val="auto"/>
          <w:sz w:val="28"/>
          <w:szCs w:val="28"/>
          <w:u w:val="none"/>
          <w:lang w:val="en-US" w:eastAsia="zh-CN"/>
        </w:rPr>
      </w:pPr>
      <w:r>
        <w:rPr>
          <w:rFonts w:hint="default" w:ascii="仿宋" w:hAnsi="仿宋" w:eastAsia="仿宋" w:cs="仿宋"/>
          <w:i w:val="0"/>
          <w:iCs w:val="0"/>
          <w:color w:val="auto"/>
          <w:sz w:val="28"/>
          <w:szCs w:val="28"/>
          <w:u w:val="none"/>
          <w:lang w:val="en-US" w:eastAsia="zh-CN"/>
        </w:rPr>
        <w:t>3</w:t>
      </w:r>
      <w:r>
        <w:rPr>
          <w:rFonts w:hint="eastAsia" w:ascii="仿宋" w:hAnsi="仿宋" w:eastAsia="仿宋" w:cs="仿宋"/>
          <w:i w:val="0"/>
          <w:iCs w:val="0"/>
          <w:color w:val="auto"/>
          <w:sz w:val="28"/>
          <w:szCs w:val="28"/>
          <w:u w:val="none"/>
          <w:lang w:val="en-US" w:eastAsia="zh-CN"/>
        </w:rPr>
        <w:t>．参照《医院智慧服务分级评估标准体系（试行）》四级要求建设；</w:t>
      </w:r>
    </w:p>
    <w:p>
      <w:pPr>
        <w:pStyle w:val="6"/>
        <w:keepNext w:val="0"/>
        <w:keepLines w:val="0"/>
        <w:pageBreakBefore w:val="0"/>
        <w:widowControl w:val="0"/>
        <w:kinsoku/>
        <w:wordWrap/>
        <w:overflowPunct/>
        <w:topLinePunct w:val="0"/>
        <w:autoSpaceDE/>
        <w:autoSpaceDN/>
        <w:bidi w:val="0"/>
        <w:adjustRightInd/>
        <w:snapToGrid/>
        <w:spacing w:before="0" w:line="360" w:lineRule="exact"/>
        <w:ind w:firstLine="560" w:firstLineChars="200"/>
        <w:textAlignment w:val="auto"/>
        <w:rPr>
          <w:rFonts w:hint="eastAsia" w:ascii="仿宋" w:hAnsi="仿宋" w:eastAsia="仿宋" w:cs="仿宋"/>
          <w:i w:val="0"/>
          <w:iCs w:val="0"/>
          <w:color w:val="auto"/>
          <w:sz w:val="28"/>
          <w:szCs w:val="28"/>
          <w:u w:val="none"/>
          <w:lang w:val="en-US" w:eastAsia="zh-CN"/>
        </w:rPr>
      </w:pPr>
      <w:r>
        <w:rPr>
          <w:rFonts w:hint="default" w:ascii="仿宋" w:hAnsi="仿宋" w:eastAsia="仿宋" w:cs="仿宋"/>
          <w:i w:val="0"/>
          <w:iCs w:val="0"/>
          <w:color w:val="auto"/>
          <w:sz w:val="28"/>
          <w:szCs w:val="28"/>
          <w:u w:val="none"/>
          <w:lang w:val="en-US" w:eastAsia="zh-CN"/>
        </w:rPr>
        <w:t>4</w:t>
      </w:r>
      <w:r>
        <w:rPr>
          <w:rFonts w:hint="eastAsia" w:ascii="仿宋" w:hAnsi="仿宋" w:eastAsia="仿宋" w:cs="仿宋"/>
          <w:i w:val="0"/>
          <w:iCs w:val="0"/>
          <w:color w:val="auto"/>
          <w:sz w:val="28"/>
          <w:szCs w:val="28"/>
          <w:u w:val="none"/>
          <w:lang w:val="en-US" w:eastAsia="zh-CN"/>
        </w:rPr>
        <w:t>．需参照《医院智慧管理分级评估标准体系（试行）》三级要求建设；</w:t>
      </w:r>
    </w:p>
    <w:p>
      <w:pPr>
        <w:pStyle w:val="6"/>
        <w:keepNext w:val="0"/>
        <w:keepLines w:val="0"/>
        <w:pageBreakBefore w:val="0"/>
        <w:widowControl w:val="0"/>
        <w:kinsoku/>
        <w:wordWrap/>
        <w:overflowPunct/>
        <w:topLinePunct w:val="0"/>
        <w:autoSpaceDE/>
        <w:autoSpaceDN/>
        <w:bidi w:val="0"/>
        <w:adjustRightInd/>
        <w:snapToGrid/>
        <w:spacing w:before="0" w:line="360" w:lineRule="exact"/>
        <w:ind w:firstLine="560" w:firstLineChars="200"/>
        <w:textAlignment w:val="auto"/>
        <w:rPr>
          <w:rFonts w:hint="eastAsia" w:ascii="仿宋" w:hAnsi="仿宋" w:eastAsia="仿宋" w:cs="仿宋"/>
          <w:i w:val="0"/>
          <w:iCs w:val="0"/>
          <w:color w:val="auto"/>
          <w:sz w:val="28"/>
          <w:szCs w:val="28"/>
          <w:u w:val="none"/>
          <w:lang w:val="en-US" w:eastAsia="zh-CN"/>
        </w:rPr>
      </w:pPr>
      <w:r>
        <w:rPr>
          <w:rFonts w:hint="default" w:ascii="仿宋" w:hAnsi="仿宋" w:eastAsia="仿宋" w:cs="仿宋"/>
          <w:i w:val="0"/>
          <w:iCs w:val="0"/>
          <w:color w:val="auto"/>
          <w:sz w:val="28"/>
          <w:szCs w:val="28"/>
          <w:u w:val="none"/>
          <w:lang w:val="en-US" w:eastAsia="zh-CN"/>
        </w:rPr>
        <w:t>5</w:t>
      </w:r>
      <w:r>
        <w:rPr>
          <w:rFonts w:hint="eastAsia" w:ascii="仿宋" w:hAnsi="仿宋" w:eastAsia="仿宋" w:cs="仿宋"/>
          <w:i w:val="0"/>
          <w:iCs w:val="0"/>
          <w:color w:val="auto"/>
          <w:sz w:val="28"/>
          <w:szCs w:val="28"/>
          <w:u w:val="none"/>
          <w:lang w:val="en-US" w:eastAsia="zh-CN"/>
        </w:rPr>
        <w:t>．必须达到《信息安全技术信息系统安全等级保护基本要求》</w:t>
      </w:r>
      <w:r>
        <w:rPr>
          <w:rFonts w:hint="default" w:ascii="仿宋" w:hAnsi="仿宋" w:eastAsia="仿宋" w:cs="仿宋"/>
          <w:i w:val="0"/>
          <w:iCs w:val="0"/>
          <w:color w:val="auto"/>
          <w:sz w:val="28"/>
          <w:szCs w:val="28"/>
          <w:u w:val="none"/>
          <w:lang w:val="en-US" w:eastAsia="zh-CN"/>
        </w:rPr>
        <w:t>(GB/T22239-2019)</w:t>
      </w:r>
      <w:r>
        <w:rPr>
          <w:rFonts w:hint="eastAsia" w:ascii="仿宋" w:hAnsi="仿宋" w:eastAsia="仿宋" w:cs="仿宋"/>
          <w:i w:val="0"/>
          <w:iCs w:val="0"/>
          <w:color w:val="auto"/>
          <w:sz w:val="28"/>
          <w:szCs w:val="28"/>
          <w:u w:val="none"/>
          <w:lang w:val="en-US" w:eastAsia="zh-CN"/>
        </w:rPr>
        <w:t>三级要求；</w:t>
      </w:r>
    </w:p>
    <w:p>
      <w:pPr>
        <w:pStyle w:val="6"/>
        <w:keepNext w:val="0"/>
        <w:keepLines w:val="0"/>
        <w:pageBreakBefore w:val="0"/>
        <w:widowControl w:val="0"/>
        <w:kinsoku/>
        <w:wordWrap/>
        <w:overflowPunct/>
        <w:topLinePunct w:val="0"/>
        <w:autoSpaceDE/>
        <w:autoSpaceDN/>
        <w:bidi w:val="0"/>
        <w:adjustRightInd/>
        <w:snapToGrid/>
        <w:spacing w:before="0" w:line="360" w:lineRule="exact"/>
        <w:ind w:firstLine="560" w:firstLineChars="200"/>
        <w:textAlignment w:val="auto"/>
        <w:rPr>
          <w:rFonts w:hint="default" w:ascii="仿宋" w:hAnsi="仿宋" w:eastAsia="仿宋" w:cs="仿宋"/>
          <w:i w:val="0"/>
          <w:iCs w:val="0"/>
          <w:color w:val="auto"/>
          <w:kern w:val="2"/>
          <w:sz w:val="28"/>
          <w:szCs w:val="28"/>
          <w:u w:val="none"/>
          <w:lang w:val="en-US" w:eastAsia="zh-CN" w:bidi="zh-CN"/>
        </w:rPr>
      </w:pPr>
      <w:r>
        <w:rPr>
          <w:rFonts w:hint="default" w:ascii="仿宋" w:hAnsi="仿宋" w:eastAsia="仿宋" w:cs="仿宋"/>
          <w:i w:val="0"/>
          <w:iCs w:val="0"/>
          <w:color w:val="auto"/>
          <w:sz w:val="28"/>
          <w:szCs w:val="28"/>
          <w:u w:val="none"/>
          <w:lang w:val="en-US" w:eastAsia="zh-CN"/>
        </w:rPr>
        <w:t>6</w:t>
      </w:r>
      <w:r>
        <w:rPr>
          <w:rFonts w:hint="eastAsia" w:ascii="仿宋" w:hAnsi="仿宋" w:eastAsia="仿宋" w:cs="仿宋"/>
          <w:i w:val="0"/>
          <w:iCs w:val="0"/>
          <w:color w:val="auto"/>
          <w:sz w:val="28"/>
          <w:szCs w:val="28"/>
          <w:u w:val="none"/>
          <w:lang w:val="en-US" w:eastAsia="zh-CN"/>
        </w:rPr>
        <w:t>．要求提供定制化开发服务，满足医院个性化需求。</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560" w:firstLineChars="200"/>
        <w:rPr>
          <w:rFonts w:hint="eastAsia" w:ascii="方正黑体简体" w:hAnsi="方正黑体简体" w:eastAsia="方正黑体简体" w:cs="方正黑体简体"/>
          <w:i w:val="0"/>
          <w:iCs w:val="0"/>
          <w:color w:val="auto"/>
          <w:kern w:val="0"/>
          <w:sz w:val="28"/>
          <w:szCs w:val="28"/>
          <w:u w:val="none"/>
          <w:lang w:val="en-US" w:eastAsia="zh-CN" w:bidi="ar"/>
        </w:rPr>
      </w:pPr>
      <w:r>
        <w:rPr>
          <w:rFonts w:hint="eastAsia" w:ascii="方正黑体简体" w:hAnsi="方正黑体简体" w:eastAsia="方正黑体简体" w:cs="方正黑体简体"/>
          <w:i w:val="0"/>
          <w:iCs w:val="0"/>
          <w:color w:val="auto"/>
          <w:kern w:val="0"/>
          <w:sz w:val="28"/>
          <w:szCs w:val="28"/>
          <w:u w:val="none"/>
          <w:lang w:val="en-US" w:eastAsia="zh-CN" w:bidi="ar"/>
        </w:rPr>
        <w:t>三、报名时间、方式</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报名时间：本公告自挂网公告日起，截止时间为2024年5月10日 ，公告截止日期后递交的报名资料无效。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报名方式:本次市场调研活动采用邮箱报名，不接受现场报名。</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1.报名资料按附件《报名须知》要求，将电子文档（盖章扫描件和可编辑版本）发送至836096422@qq.com，并抄送至2539231388@qq.com。邮件名称：“XXXX项目名称+公司名称+联系人+联系电话）”报名资料目录见附件。</w:t>
      </w:r>
    </w:p>
    <w:p>
      <w:pPr>
        <w:pStyle w:val="6"/>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2.联系人</w:t>
      </w:r>
      <w:r>
        <w:rPr>
          <w:rFonts w:hint="eastAsia" w:ascii="仿宋" w:hAnsi="仿宋" w:cs="仿宋"/>
          <w:i w:val="0"/>
          <w:iCs w:val="0"/>
          <w:color w:val="auto"/>
          <w:sz w:val="28"/>
          <w:szCs w:val="28"/>
          <w:u w:val="none"/>
          <w:lang w:val="en-US" w:eastAsia="zh-CN"/>
        </w:rPr>
        <w:t xml:space="preserve"> </w:t>
      </w:r>
      <w:r>
        <w:rPr>
          <w:rFonts w:hint="eastAsia" w:ascii="仿宋" w:hAnsi="仿宋" w:eastAsia="仿宋" w:cs="仿宋"/>
          <w:i w:val="0"/>
          <w:iCs w:val="0"/>
          <w:color w:val="auto"/>
          <w:sz w:val="28"/>
          <w:szCs w:val="28"/>
          <w:u w:val="none"/>
          <w:lang w:val="en-US" w:eastAsia="zh-CN"/>
        </w:rPr>
        <w:t>：</w:t>
      </w:r>
      <w:r>
        <w:rPr>
          <w:rFonts w:hint="eastAsia" w:ascii="仿宋" w:hAnsi="仿宋" w:cs="仿宋"/>
          <w:i w:val="0"/>
          <w:iCs w:val="0"/>
          <w:color w:val="auto"/>
          <w:sz w:val="28"/>
          <w:szCs w:val="28"/>
          <w:u w:val="none"/>
          <w:lang w:val="en-US" w:eastAsia="zh-CN"/>
        </w:rPr>
        <w:t>曾</w:t>
      </w:r>
      <w:r>
        <w:rPr>
          <w:rFonts w:hint="eastAsia" w:ascii="仿宋" w:hAnsi="仿宋" w:eastAsia="仿宋" w:cs="仿宋"/>
          <w:i w:val="0"/>
          <w:iCs w:val="0"/>
          <w:color w:val="auto"/>
          <w:sz w:val="28"/>
          <w:szCs w:val="28"/>
          <w:u w:val="none"/>
          <w:lang w:val="en-US" w:eastAsia="zh-CN"/>
        </w:rPr>
        <w:t>老师 028-26219526</w:t>
      </w:r>
    </w:p>
    <w:p>
      <w:pPr>
        <w:pStyle w:val="6"/>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auto"/>
          <w:sz w:val="28"/>
          <w:szCs w:val="28"/>
          <w:u w:val="none"/>
          <w:lang w:val="en-US" w:eastAsia="zh-CN"/>
        </w:rPr>
      </w:pPr>
      <w:r>
        <w:rPr>
          <w:rFonts w:hint="eastAsia" w:ascii="仿宋" w:hAnsi="仿宋" w:cs="仿宋"/>
          <w:i w:val="0"/>
          <w:iCs w:val="0"/>
          <w:color w:val="auto"/>
          <w:sz w:val="28"/>
          <w:szCs w:val="28"/>
          <w:u w:val="none"/>
          <w:lang w:val="en-US" w:eastAsia="zh-CN"/>
        </w:rPr>
        <w:t>3.</w:t>
      </w:r>
      <w:r>
        <w:rPr>
          <w:rFonts w:hint="eastAsia" w:ascii="仿宋" w:hAnsi="仿宋" w:eastAsia="仿宋" w:cs="仿宋"/>
          <w:i w:val="0"/>
          <w:iCs w:val="0"/>
          <w:color w:val="auto"/>
          <w:sz w:val="28"/>
          <w:szCs w:val="28"/>
          <w:u w:val="none"/>
          <w:lang w:val="en-US" w:eastAsia="zh-CN"/>
        </w:rPr>
        <w:t>线上或线下集中调研需求论证时间及地点，另行通知</w:t>
      </w:r>
      <w:r>
        <w:rPr>
          <w:rFonts w:hint="eastAsia" w:ascii="仿宋" w:hAnsi="仿宋" w:cs="仿宋"/>
          <w:i w:val="0"/>
          <w:iCs w:val="0"/>
          <w:color w:val="auto"/>
          <w:sz w:val="28"/>
          <w:szCs w:val="28"/>
          <w:u w:val="none"/>
          <w:lang w:val="en-US" w:eastAsia="zh-CN"/>
        </w:rPr>
        <w:t>，</w:t>
      </w:r>
      <w:r>
        <w:rPr>
          <w:rFonts w:hint="eastAsia" w:ascii="仿宋" w:hAnsi="仿宋" w:eastAsia="仿宋" w:cs="仿宋"/>
          <w:i w:val="0"/>
          <w:iCs w:val="0"/>
          <w:color w:val="auto"/>
          <w:sz w:val="28"/>
          <w:szCs w:val="28"/>
          <w:u w:val="none"/>
          <w:lang w:val="en-US" w:eastAsia="zh-CN"/>
        </w:rPr>
        <w:t>请参加调研会的供应商准备相应的纸质版</w:t>
      </w:r>
      <w:r>
        <w:rPr>
          <w:rFonts w:hint="eastAsia" w:ascii="仿宋" w:hAnsi="仿宋" w:cs="仿宋"/>
          <w:i w:val="0"/>
          <w:iCs w:val="0"/>
          <w:color w:val="auto"/>
          <w:sz w:val="28"/>
          <w:szCs w:val="28"/>
          <w:u w:val="none"/>
          <w:lang w:val="en-US" w:eastAsia="zh-CN"/>
        </w:rPr>
        <w:t>报价表</w:t>
      </w:r>
      <w:r>
        <w:rPr>
          <w:rFonts w:hint="eastAsia" w:ascii="仿宋" w:hAnsi="仿宋" w:eastAsia="仿宋" w:cs="仿宋"/>
          <w:i w:val="0"/>
          <w:iCs w:val="0"/>
          <w:color w:val="auto"/>
          <w:sz w:val="28"/>
          <w:szCs w:val="28"/>
          <w:u w:val="none"/>
          <w:lang w:val="en-US" w:eastAsia="zh-CN"/>
        </w:rPr>
        <w:t>及汇报PPT等。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default"/>
          <w:color w:val="auto"/>
          <w:lang w:val="en-US" w:eastAsia="zh-CN"/>
        </w:rPr>
      </w:pPr>
      <w:r>
        <w:rPr>
          <w:rFonts w:hint="eastAsia" w:ascii="方正黑体简体" w:hAnsi="方正黑体简体" w:eastAsia="方正黑体简体" w:cs="方正黑体简体"/>
          <w:i w:val="0"/>
          <w:iCs w:val="0"/>
          <w:color w:val="auto"/>
          <w:kern w:val="0"/>
          <w:sz w:val="28"/>
          <w:szCs w:val="28"/>
          <w:u w:val="none"/>
          <w:lang w:val="en-US" w:eastAsia="zh-CN" w:bidi="ar"/>
        </w:rPr>
        <w:t>四、其他说明</w:t>
      </w:r>
    </w:p>
    <w:p>
      <w:pPr>
        <w:pStyle w:val="6"/>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auto"/>
          <w:sz w:val="28"/>
          <w:szCs w:val="28"/>
          <w:u w:val="none"/>
          <w:lang w:val="en-US" w:eastAsia="zh-CN"/>
        </w:rPr>
      </w:pPr>
      <w:r>
        <w:rPr>
          <w:rFonts w:hint="eastAsia" w:ascii="仿宋" w:hAnsi="仿宋" w:cs="仿宋"/>
          <w:i w:val="0"/>
          <w:iCs w:val="0"/>
          <w:color w:val="auto"/>
          <w:sz w:val="28"/>
          <w:szCs w:val="28"/>
          <w:u w:val="none"/>
          <w:lang w:val="en-US" w:eastAsia="zh-CN"/>
        </w:rPr>
        <w:t>1.本次以整体方案调研，不再接受单个厂商针对单个系统提供调研资料及报价。可接受联合体、厂商授权等方式进行整合报名登记或提交。各潜在供应商应自行考虑项目管理费等相关成本。</w:t>
      </w:r>
    </w:p>
    <w:p>
      <w:pPr>
        <w:pStyle w:val="6"/>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auto"/>
          <w:sz w:val="28"/>
          <w:szCs w:val="28"/>
          <w:u w:val="none"/>
          <w:lang w:val="en-US" w:eastAsia="zh-CN"/>
        </w:rPr>
      </w:pPr>
      <w:r>
        <w:rPr>
          <w:rFonts w:hint="eastAsia" w:ascii="仿宋" w:hAnsi="仿宋" w:cs="仿宋"/>
          <w:i w:val="0"/>
          <w:iCs w:val="0"/>
          <w:color w:val="auto"/>
          <w:sz w:val="28"/>
          <w:szCs w:val="28"/>
          <w:u w:val="none"/>
          <w:lang w:val="en-US" w:eastAsia="zh-CN"/>
        </w:rPr>
        <w:t>2.本次公开市场调研内容因市场了解的局限性，仅作为医院市场调研参考使用，</w:t>
      </w:r>
      <w:r>
        <w:rPr>
          <w:rFonts w:hint="eastAsia" w:ascii="仿宋" w:hAnsi="仿宋" w:eastAsia="仿宋" w:cs="仿宋"/>
          <w:i w:val="0"/>
          <w:iCs w:val="0"/>
          <w:color w:val="auto"/>
          <w:sz w:val="28"/>
          <w:szCs w:val="28"/>
          <w:u w:val="none"/>
          <w:lang w:val="en-US" w:eastAsia="zh-CN"/>
        </w:rPr>
        <w:t>我院有权使用所征集技术指标中的相关内容</w:t>
      </w:r>
      <w:r>
        <w:rPr>
          <w:rFonts w:hint="eastAsia" w:ascii="仿宋" w:hAnsi="仿宋" w:cs="仿宋"/>
          <w:i w:val="0"/>
          <w:iCs w:val="0"/>
          <w:color w:val="auto"/>
          <w:sz w:val="28"/>
          <w:szCs w:val="28"/>
          <w:u w:val="none"/>
          <w:lang w:val="en-US" w:eastAsia="zh-CN"/>
        </w:rPr>
        <w:t>，不作为正式采购依据，无任何针对性，如有不全之处，敬请理解，并请供应商详实介绍推荐产品，本项目最终配置和技术参数以采购时为准。对未公告配置及技术性能的，请供应商自行提供。</w:t>
      </w:r>
    </w:p>
    <w:p>
      <w:pPr>
        <w:pStyle w:val="6"/>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auto"/>
          <w:sz w:val="28"/>
          <w:szCs w:val="28"/>
          <w:u w:val="none"/>
          <w:lang w:val="en-US" w:eastAsia="zh-CN"/>
        </w:rPr>
      </w:pPr>
      <w:r>
        <w:rPr>
          <w:rFonts w:hint="eastAsia" w:ascii="仿宋" w:hAnsi="仿宋" w:cs="仿宋"/>
          <w:i w:val="0"/>
          <w:iCs w:val="0"/>
          <w:color w:val="auto"/>
          <w:sz w:val="28"/>
          <w:szCs w:val="28"/>
          <w:u w:val="none"/>
          <w:lang w:val="en-US" w:eastAsia="zh-CN"/>
        </w:rPr>
        <w:t>3.本次市场调研需提供项目参考价格和配置清单，配置清单范围包括但不限于本公告所提供的配置需求内容，各供应商可依据本公司提供的具体方案对配置清单进行合理调整。所谓参考价格是指按照与我院项目相似或体量相当的建设方案计算的参考价格，如果项目中集成有硬件，请在配置清单中罗列，硬件配置的参考报价仅用于医院后期采购参考，并不一定集成在本项目之中。</w:t>
      </w:r>
    </w:p>
    <w:p>
      <w:pPr>
        <w:pStyle w:val="6"/>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auto"/>
          <w:sz w:val="28"/>
          <w:szCs w:val="28"/>
          <w:u w:val="none"/>
          <w:lang w:val="en-US" w:eastAsia="zh-CN"/>
        </w:rPr>
      </w:pPr>
      <w:r>
        <w:rPr>
          <w:rFonts w:hint="eastAsia" w:ascii="仿宋" w:hAnsi="仿宋" w:cs="仿宋"/>
          <w:i w:val="0"/>
          <w:iCs w:val="0"/>
          <w:color w:val="auto"/>
          <w:sz w:val="28"/>
          <w:szCs w:val="28"/>
          <w:u w:val="none"/>
          <w:lang w:val="en-US" w:eastAsia="zh-CN"/>
        </w:rPr>
        <w:t>4.参加供应商保证拟推荐货物应为合法、全新、未使用过的原装正品，配置应为出厂标准配置，如有选配件需单独注明；如需使用单一来源的耗材也需单独注明。</w:t>
      </w:r>
    </w:p>
    <w:p>
      <w:pPr>
        <w:pStyle w:val="6"/>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auto"/>
          <w:sz w:val="28"/>
          <w:szCs w:val="28"/>
          <w:u w:val="none"/>
          <w:lang w:val="en-US" w:eastAsia="zh-CN"/>
        </w:rPr>
      </w:pPr>
      <w:r>
        <w:rPr>
          <w:rFonts w:hint="eastAsia" w:ascii="仿宋" w:hAnsi="仿宋" w:cs="仿宋"/>
          <w:i w:val="0"/>
          <w:iCs w:val="0"/>
          <w:color w:val="auto"/>
          <w:sz w:val="28"/>
          <w:szCs w:val="28"/>
          <w:u w:val="none"/>
          <w:lang w:val="en-US" w:eastAsia="zh-CN"/>
        </w:rPr>
        <w:t>5.供应商宜通过阐述系统相关业务场景应用、结合医院流程进行分析，阐述解决方案的优势。对接口方案、对接系统以及所需要的对接数据等内容进行进一步阐述。</w:t>
      </w:r>
    </w:p>
    <w:p>
      <w:pPr>
        <w:rPr>
          <w:rFonts w:hint="eastAsia"/>
          <w:color w:val="auto"/>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both"/>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报名注意事项</w:t>
      </w:r>
    </w:p>
    <w:p>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1.请参与报名的供应商在准备报名资料时，按照报名资料目录顺序和模板提交，若其中某项资料不需提供，请勿删除页面，自动跳过当前页即可。</w:t>
      </w:r>
    </w:p>
    <w:p>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w:t>
      </w:r>
      <w:r>
        <w:rPr>
          <w:rFonts w:hint="eastAsia" w:ascii="仿宋" w:hAnsi="仿宋" w:eastAsia="仿宋" w:cs="仿宋"/>
          <w:i w:val="0"/>
          <w:iCs w:val="0"/>
          <w:color w:val="auto"/>
          <w:sz w:val="28"/>
          <w:szCs w:val="28"/>
          <w:u w:val="none"/>
          <w:lang w:val="en-US" w:eastAsia="zh-CN"/>
        </w:rPr>
        <w:t>836096422@qq.com</w:t>
      </w:r>
      <w:r>
        <w:rPr>
          <w:rFonts w:hint="eastAsia" w:ascii="仿宋" w:hAnsi="仿宋" w:eastAsia="仿宋" w:cs="仿宋"/>
          <w:b w:val="0"/>
          <w:bCs w:val="0"/>
          <w:color w:val="auto"/>
          <w:sz w:val="30"/>
          <w:szCs w:val="30"/>
          <w:lang w:val="en-US" w:eastAsia="zh-CN"/>
        </w:rPr>
        <w:t>，并抄送至2539231388@qq.com。邮件名称：“XXXX项目名称（公司名称+联系人+联系电话）</w:t>
      </w:r>
      <w:r>
        <w:rPr>
          <w:rFonts w:hint="eastAsia" w:ascii="仿宋" w:hAnsi="仿宋" w:eastAsia="仿宋" w:cs="仿宋"/>
          <w:b w:val="0"/>
          <w:bCs w:val="0"/>
          <w:color w:val="auto"/>
          <w:sz w:val="30"/>
          <w:szCs w:val="30"/>
          <w:lang w:val="en-US" w:eastAsia="zh-CN"/>
        </w:rPr>
        <w:t>”</w:t>
      </w:r>
      <w:r>
        <w:rPr>
          <w:rFonts w:hint="eastAsia" w:ascii="仿宋" w:hAnsi="仿宋" w:eastAsia="仿宋" w:cs="仿宋"/>
          <w:b w:val="0"/>
          <w:bCs w:val="0"/>
          <w:color w:val="auto"/>
          <w:kern w:val="0"/>
          <w:sz w:val="30"/>
          <w:szCs w:val="30"/>
          <w:lang w:val="en-US" w:eastAsia="zh-CN" w:bidi="ar-SA"/>
        </w:rPr>
        <w:br w:type="textWrapping"/>
      </w:r>
      <w:r>
        <w:rPr>
          <w:rFonts w:hint="eastAsia" w:ascii="仿宋" w:hAnsi="仿宋" w:eastAsia="仿宋" w:cs="仿宋"/>
          <w:b w:val="0"/>
          <w:bCs w:val="0"/>
          <w:color w:val="auto"/>
          <w:kern w:val="0"/>
          <w:sz w:val="30"/>
          <w:szCs w:val="30"/>
          <w:lang w:val="en-US" w:eastAsia="zh-CN" w:bidi="ar-SA"/>
        </w:rPr>
        <w:t xml:space="preserve">    </w:t>
      </w: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pPr>
        <w:pStyle w:val="2"/>
        <w:keepNext w:val="0"/>
        <w:keepLines w:val="0"/>
        <w:pageBreakBefore w:val="0"/>
        <w:widowControl w:val="0"/>
        <w:kinsoku/>
        <w:wordWrap/>
        <w:overflowPunct/>
        <w:topLinePunct w:val="0"/>
        <w:bidi w:val="0"/>
        <w:snapToGrid/>
        <w:spacing w:line="360" w:lineRule="auto"/>
        <w:ind w:left="0" w:leftChars="0" w:right="0" w:rightChars="0"/>
        <w:rPr>
          <w:rFonts w:hint="eastAsia" w:ascii="宋体" w:hAnsi="宋体" w:eastAsia="宋体" w:cs="宋体"/>
          <w:b w:val="0"/>
          <w:bCs w:val="0"/>
          <w:color w:val="auto"/>
          <w:sz w:val="30"/>
          <w:szCs w:val="30"/>
          <w:lang w:val="en-US" w:eastAsia="zh-CN"/>
        </w:rPr>
      </w:pPr>
    </w:p>
    <w:p>
      <w:pPr>
        <w:rPr>
          <w:rFonts w:hint="eastAsia"/>
          <w:color w:val="auto"/>
          <w:lang w:val="en-US" w:eastAsia="zh-CN"/>
        </w:rPr>
      </w:pPr>
    </w:p>
    <w:p>
      <w:pPr>
        <w:pStyle w:val="6"/>
        <w:rPr>
          <w:rFonts w:hint="default"/>
          <w:color w:val="auto"/>
          <w:lang w:val="en-US" w:eastAsia="zh-CN"/>
        </w:rPr>
      </w:pPr>
    </w:p>
    <w:p>
      <w:pPr>
        <w:pStyle w:val="6"/>
        <w:rPr>
          <w:rFonts w:hint="eastAsia"/>
          <w:color w:val="auto"/>
          <w:lang w:eastAsia="zh-CN"/>
        </w:rPr>
      </w:pPr>
    </w:p>
    <w:p>
      <w:pPr>
        <w:pStyle w:val="6"/>
        <w:numPr>
          <w:ilvl w:val="0"/>
          <w:numId w:val="0"/>
        </w:numPr>
        <w:rPr>
          <w:rFonts w:hint="eastAsia"/>
          <w:color w:val="auto"/>
          <w:lang w:eastAsia="zh-CN"/>
        </w:rPr>
      </w:pPr>
    </w:p>
    <w:p>
      <w:pPr>
        <w:rPr>
          <w:color w:val="auto"/>
        </w:rPr>
      </w:pPr>
    </w:p>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sdt>
      <w:sdtPr>
        <w:rPr>
          <w:rFonts w:ascii="宋体" w:hAnsi="宋体" w:eastAsia="宋体" w:cstheme="minorBidi"/>
          <w:color w:val="auto"/>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color w:val="auto"/>
              <w:sz w:val="40"/>
              <w:szCs w:val="40"/>
            </w:rPr>
          </w:pPr>
          <w:r>
            <w:rPr>
              <w:rFonts w:hint="eastAsia" w:asciiTheme="minorEastAsia" w:hAnsiTheme="minorEastAsia" w:eastAsiaTheme="minorEastAsia" w:cstheme="minorEastAsia"/>
              <w:b/>
              <w:bCs/>
              <w:color w:val="auto"/>
              <w:kern w:val="2"/>
              <w:sz w:val="40"/>
              <w:szCs w:val="40"/>
              <w:lang w:val="en-US" w:eastAsia="zh-CN" w:bidi="ar-SA"/>
            </w:rPr>
            <w:t>调研报名</w:t>
          </w:r>
          <w:r>
            <w:rPr>
              <w:rFonts w:hint="eastAsia" w:asciiTheme="minorEastAsia" w:hAnsiTheme="minorEastAsia" w:eastAsiaTheme="minorEastAsia" w:cstheme="minorEastAsia"/>
              <w:b/>
              <w:bCs/>
              <w:color w:val="auto"/>
              <w:sz w:val="40"/>
              <w:szCs w:val="40"/>
            </w:rPr>
            <w:t>目录</w:t>
          </w:r>
        </w:p>
        <w:p>
          <w:pPr>
            <w:spacing w:before="0" w:beforeLines="0" w:after="0" w:afterLines="0" w:line="240" w:lineRule="auto"/>
            <w:ind w:left="0" w:leftChars="0" w:right="0" w:rightChars="0" w:firstLine="0" w:firstLineChars="0"/>
            <w:jc w:val="center"/>
            <w:rPr>
              <w:color w:val="auto"/>
            </w:rPr>
          </w:pPr>
        </w:p>
        <w:p>
          <w:pPr>
            <w:pStyle w:val="11"/>
            <w:tabs>
              <w:tab w:val="right" w:leader="dot" w:pos="8306"/>
            </w:tabs>
            <w:rPr>
              <w:color w:val="auto"/>
            </w:rPr>
          </w:pPr>
          <w:r>
            <w:rPr>
              <w:color w:val="auto"/>
            </w:rPr>
            <w:fldChar w:fldCharType="begin"/>
          </w:r>
          <w:r>
            <w:rPr>
              <w:color w:val="auto"/>
            </w:rPr>
            <w:instrText xml:space="preserve">TOC \o "1-3" \h \u </w:instrText>
          </w:r>
          <w:r>
            <w:rPr>
              <w:color w:val="auto"/>
            </w:rPr>
            <w:fldChar w:fldCharType="separate"/>
          </w:r>
          <w:r>
            <w:rPr>
              <w:color w:val="auto"/>
            </w:rPr>
            <w:fldChar w:fldCharType="begin"/>
          </w:r>
          <w:r>
            <w:rPr>
              <w:color w:val="auto"/>
            </w:rPr>
            <w:instrText xml:space="preserve"> HYPERLINK \l _Toc7871 </w:instrText>
          </w:r>
          <w:r>
            <w:rPr>
              <w:color w:val="auto"/>
            </w:rPr>
            <w:fldChar w:fldCharType="separate"/>
          </w:r>
          <w:r>
            <w:rPr>
              <w:rFonts w:hint="eastAsia"/>
              <w:color w:val="auto"/>
              <w:lang w:val="en-US" w:eastAsia="zh-CN"/>
            </w:rPr>
            <w:t>一、</w:t>
          </w:r>
          <w:r>
            <w:rPr>
              <w:rFonts w:hint="eastAsia"/>
              <w:color w:val="auto"/>
            </w:rPr>
            <w:t>报名</w:t>
          </w:r>
          <w:r>
            <w:rPr>
              <w:rFonts w:hint="eastAsia"/>
              <w:color w:val="auto"/>
              <w:lang w:eastAsia="zh-CN"/>
            </w:rPr>
            <w:t>登记</w:t>
          </w:r>
          <w:r>
            <w:rPr>
              <w:rFonts w:hint="eastAsia"/>
              <w:color w:val="auto"/>
            </w:rPr>
            <w:t>表</w:t>
          </w:r>
          <w:r>
            <w:rPr>
              <w:color w:val="auto"/>
            </w:rPr>
            <w:tab/>
          </w:r>
          <w:r>
            <w:rPr>
              <w:color w:val="auto"/>
            </w:rPr>
            <w:fldChar w:fldCharType="begin"/>
          </w:r>
          <w:r>
            <w:rPr>
              <w:color w:val="auto"/>
            </w:rPr>
            <w:instrText xml:space="preserve"> PAGEREF _Toc7871 \h </w:instrText>
          </w:r>
          <w:r>
            <w:rPr>
              <w:color w:val="auto"/>
            </w:rPr>
            <w:fldChar w:fldCharType="separate"/>
          </w:r>
          <w:r>
            <w:rPr>
              <w:color w:val="auto"/>
            </w:rPr>
            <w:t>5</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_Toc638 </w:instrText>
          </w:r>
          <w:r>
            <w:rPr>
              <w:color w:val="auto"/>
            </w:rPr>
            <w:fldChar w:fldCharType="separate"/>
          </w:r>
          <w:r>
            <w:rPr>
              <w:rFonts w:hint="eastAsia"/>
              <w:color w:val="auto"/>
              <w:lang w:val="en-US" w:eastAsia="zh-CN"/>
            </w:rPr>
            <w:t>二、资质：</w:t>
          </w:r>
          <w:r>
            <w:rPr>
              <w:color w:val="auto"/>
            </w:rPr>
            <w:tab/>
          </w:r>
          <w:r>
            <w:rPr>
              <w:color w:val="auto"/>
            </w:rPr>
            <w:fldChar w:fldCharType="begin"/>
          </w:r>
          <w:r>
            <w:rPr>
              <w:color w:val="auto"/>
            </w:rPr>
            <w:instrText xml:space="preserve"> PAGEREF _Toc638 \h </w:instrText>
          </w:r>
          <w:r>
            <w:rPr>
              <w:color w:val="auto"/>
            </w:rPr>
            <w:fldChar w:fldCharType="separate"/>
          </w:r>
          <w:r>
            <w:rPr>
              <w:color w:val="auto"/>
            </w:rPr>
            <w:t>5</w:t>
          </w:r>
          <w:r>
            <w:rPr>
              <w:color w:val="auto"/>
            </w:rPr>
            <w:fldChar w:fldCharType="end"/>
          </w:r>
          <w:r>
            <w:rPr>
              <w:color w:val="auto"/>
            </w:rPr>
            <w:fldChar w:fldCharType="end"/>
          </w:r>
        </w:p>
        <w:p>
          <w:pPr>
            <w:pStyle w:val="12"/>
            <w:tabs>
              <w:tab w:val="right" w:leader="dot" w:pos="8306"/>
            </w:tabs>
            <w:rPr>
              <w:color w:val="auto"/>
            </w:rPr>
          </w:pPr>
          <w:r>
            <w:rPr>
              <w:color w:val="auto"/>
            </w:rPr>
            <w:fldChar w:fldCharType="begin"/>
          </w:r>
          <w:r>
            <w:rPr>
              <w:color w:val="auto"/>
            </w:rPr>
            <w:instrText xml:space="preserve"> HYPERLINK \l _Toc10667 </w:instrText>
          </w:r>
          <w:r>
            <w:rPr>
              <w:color w:val="auto"/>
            </w:rPr>
            <w:fldChar w:fldCharType="separate"/>
          </w:r>
          <w:r>
            <w:rPr>
              <w:rFonts w:hint="eastAsia"/>
              <w:color w:val="auto"/>
              <w:lang w:val="en-US" w:eastAsia="zh-CN"/>
            </w:rPr>
            <w:t>2.1</w:t>
          </w:r>
          <w:r>
            <w:rPr>
              <w:rFonts w:hint="eastAsia"/>
              <w:color w:val="auto"/>
            </w:rPr>
            <w:t>营业执照</w:t>
          </w:r>
          <w:r>
            <w:rPr>
              <w:color w:val="auto"/>
            </w:rPr>
            <w:tab/>
          </w:r>
          <w:r>
            <w:rPr>
              <w:color w:val="auto"/>
            </w:rPr>
            <w:fldChar w:fldCharType="begin"/>
          </w:r>
          <w:r>
            <w:rPr>
              <w:color w:val="auto"/>
            </w:rPr>
            <w:instrText xml:space="preserve"> PAGEREF _Toc10667 \h </w:instrText>
          </w:r>
          <w:r>
            <w:rPr>
              <w:color w:val="auto"/>
            </w:rPr>
            <w:fldChar w:fldCharType="separate"/>
          </w:r>
          <w:r>
            <w:rPr>
              <w:color w:val="auto"/>
            </w:rPr>
            <w:t>5</w:t>
          </w:r>
          <w:r>
            <w:rPr>
              <w:color w:val="auto"/>
            </w:rPr>
            <w:fldChar w:fldCharType="end"/>
          </w:r>
          <w:r>
            <w:rPr>
              <w:color w:val="auto"/>
            </w:rPr>
            <w:fldChar w:fldCharType="end"/>
          </w:r>
        </w:p>
        <w:p>
          <w:pPr>
            <w:pStyle w:val="12"/>
            <w:tabs>
              <w:tab w:val="right" w:leader="dot" w:pos="8306"/>
            </w:tabs>
            <w:rPr>
              <w:color w:val="auto"/>
            </w:rPr>
          </w:pPr>
          <w:r>
            <w:rPr>
              <w:color w:val="auto"/>
            </w:rPr>
            <w:fldChar w:fldCharType="begin"/>
          </w:r>
          <w:r>
            <w:rPr>
              <w:color w:val="auto"/>
            </w:rPr>
            <w:instrText xml:space="preserve"> HYPERLINK \l _Toc11741 </w:instrText>
          </w:r>
          <w:r>
            <w:rPr>
              <w:color w:val="auto"/>
            </w:rPr>
            <w:fldChar w:fldCharType="separate"/>
          </w:r>
          <w:r>
            <w:rPr>
              <w:rFonts w:hint="eastAsia"/>
              <w:color w:val="auto"/>
              <w:lang w:val="en-US" w:eastAsia="zh-CN"/>
            </w:rPr>
            <w:t>2.2</w:t>
          </w:r>
          <w:r>
            <w:rPr>
              <w:rFonts w:hint="eastAsia"/>
              <w:color w:val="auto"/>
              <w:lang w:eastAsia="zh-CN"/>
            </w:rPr>
            <w:t>法定代表人授权书</w:t>
          </w:r>
          <w:r>
            <w:rPr>
              <w:color w:val="auto"/>
            </w:rPr>
            <w:tab/>
          </w:r>
          <w:r>
            <w:rPr>
              <w:color w:val="auto"/>
            </w:rPr>
            <w:fldChar w:fldCharType="begin"/>
          </w:r>
          <w:r>
            <w:rPr>
              <w:color w:val="auto"/>
            </w:rPr>
            <w:instrText xml:space="preserve"> PAGEREF _Toc11741 \h </w:instrText>
          </w:r>
          <w:r>
            <w:rPr>
              <w:color w:val="auto"/>
            </w:rPr>
            <w:fldChar w:fldCharType="separate"/>
          </w:r>
          <w:r>
            <w:rPr>
              <w:color w:val="auto"/>
            </w:rPr>
            <w:t>5</w:t>
          </w:r>
          <w:r>
            <w:rPr>
              <w:color w:val="auto"/>
            </w:rPr>
            <w:fldChar w:fldCharType="end"/>
          </w:r>
          <w:r>
            <w:rPr>
              <w:color w:val="auto"/>
            </w:rPr>
            <w:fldChar w:fldCharType="end"/>
          </w:r>
        </w:p>
        <w:p>
          <w:pPr>
            <w:pStyle w:val="12"/>
            <w:tabs>
              <w:tab w:val="right" w:leader="dot" w:pos="8306"/>
            </w:tabs>
            <w:rPr>
              <w:color w:val="auto"/>
            </w:rPr>
          </w:pPr>
          <w:r>
            <w:rPr>
              <w:color w:val="auto"/>
            </w:rPr>
            <w:fldChar w:fldCharType="begin"/>
          </w:r>
          <w:r>
            <w:rPr>
              <w:color w:val="auto"/>
            </w:rPr>
            <w:instrText xml:space="preserve"> HYPERLINK \l _Toc8522 </w:instrText>
          </w:r>
          <w:r>
            <w:rPr>
              <w:color w:val="auto"/>
            </w:rPr>
            <w:fldChar w:fldCharType="separate"/>
          </w:r>
          <w:r>
            <w:rPr>
              <w:rFonts w:hint="eastAsia"/>
              <w:color w:val="auto"/>
              <w:lang w:val="en-US" w:eastAsia="zh-CN"/>
            </w:rPr>
            <w:t>2.3</w:t>
          </w:r>
          <w:r>
            <w:rPr>
              <w:rFonts w:hint="eastAsia"/>
              <w:color w:val="auto"/>
              <w:lang w:eastAsia="zh-CN"/>
            </w:rPr>
            <w:t>法人及被授权人身份证</w:t>
          </w:r>
          <w:r>
            <w:rPr>
              <w:color w:val="auto"/>
            </w:rPr>
            <w:tab/>
          </w:r>
          <w:r>
            <w:rPr>
              <w:color w:val="auto"/>
            </w:rPr>
            <w:fldChar w:fldCharType="begin"/>
          </w:r>
          <w:r>
            <w:rPr>
              <w:color w:val="auto"/>
            </w:rPr>
            <w:instrText xml:space="preserve"> PAGEREF _Toc8522 \h </w:instrText>
          </w:r>
          <w:r>
            <w:rPr>
              <w:color w:val="auto"/>
            </w:rPr>
            <w:fldChar w:fldCharType="separate"/>
          </w:r>
          <w:r>
            <w:rPr>
              <w:color w:val="auto"/>
            </w:rPr>
            <w:t>5</w:t>
          </w:r>
          <w:r>
            <w:rPr>
              <w:color w:val="auto"/>
            </w:rPr>
            <w:fldChar w:fldCharType="end"/>
          </w:r>
          <w:r>
            <w:rPr>
              <w:color w:val="auto"/>
            </w:rPr>
            <w:fldChar w:fldCharType="end"/>
          </w:r>
        </w:p>
        <w:p>
          <w:pPr>
            <w:pStyle w:val="12"/>
            <w:tabs>
              <w:tab w:val="right" w:leader="dot" w:pos="8306"/>
            </w:tabs>
            <w:rPr>
              <w:color w:val="auto"/>
            </w:rPr>
          </w:pPr>
          <w:r>
            <w:rPr>
              <w:color w:val="auto"/>
            </w:rPr>
            <w:fldChar w:fldCharType="begin"/>
          </w:r>
          <w:r>
            <w:rPr>
              <w:color w:val="auto"/>
            </w:rPr>
            <w:instrText xml:space="preserve"> HYPERLINK \l _Toc16232 </w:instrText>
          </w:r>
          <w:r>
            <w:rPr>
              <w:color w:val="auto"/>
            </w:rPr>
            <w:fldChar w:fldCharType="separate"/>
          </w:r>
          <w:r>
            <w:rPr>
              <w:rFonts w:hint="eastAsia"/>
              <w:color w:val="auto"/>
              <w:lang w:val="en-US" w:eastAsia="zh-CN"/>
            </w:rPr>
            <w:t>2.4</w:t>
          </w:r>
          <w:r>
            <w:rPr>
              <w:rFonts w:hint="eastAsia"/>
              <w:color w:val="auto"/>
              <w:lang w:eastAsia="zh-CN"/>
            </w:rPr>
            <w:t>公司资质</w:t>
          </w:r>
          <w:r>
            <w:rPr>
              <w:color w:val="auto"/>
            </w:rPr>
            <w:tab/>
          </w:r>
          <w:r>
            <w:rPr>
              <w:color w:val="auto"/>
            </w:rPr>
            <w:fldChar w:fldCharType="begin"/>
          </w:r>
          <w:r>
            <w:rPr>
              <w:color w:val="auto"/>
            </w:rPr>
            <w:instrText xml:space="preserve"> PAGEREF _Toc16232 \h </w:instrText>
          </w:r>
          <w:r>
            <w:rPr>
              <w:color w:val="auto"/>
            </w:rPr>
            <w:fldChar w:fldCharType="separate"/>
          </w:r>
          <w:r>
            <w:rPr>
              <w:color w:val="auto"/>
            </w:rPr>
            <w:t>5</w:t>
          </w:r>
          <w:r>
            <w:rPr>
              <w:color w:val="auto"/>
            </w:rPr>
            <w:fldChar w:fldCharType="end"/>
          </w:r>
          <w:r>
            <w:rPr>
              <w:color w:val="auto"/>
            </w:rPr>
            <w:fldChar w:fldCharType="end"/>
          </w:r>
        </w:p>
        <w:p>
          <w:pPr>
            <w:pStyle w:val="12"/>
            <w:tabs>
              <w:tab w:val="right" w:leader="dot" w:pos="8306"/>
            </w:tabs>
            <w:rPr>
              <w:color w:val="auto"/>
            </w:rPr>
          </w:pPr>
          <w:r>
            <w:rPr>
              <w:color w:val="auto"/>
            </w:rPr>
            <w:fldChar w:fldCharType="begin"/>
          </w:r>
          <w:r>
            <w:rPr>
              <w:color w:val="auto"/>
            </w:rPr>
            <w:instrText xml:space="preserve"> HYPERLINK \l _Toc21131 </w:instrText>
          </w:r>
          <w:r>
            <w:rPr>
              <w:color w:val="auto"/>
            </w:rPr>
            <w:fldChar w:fldCharType="separate"/>
          </w:r>
          <w:r>
            <w:rPr>
              <w:rFonts w:hint="eastAsia"/>
              <w:color w:val="auto"/>
              <w:lang w:val="en-US" w:eastAsia="zh-CN"/>
            </w:rPr>
            <w:t>2.5软件资质</w:t>
          </w:r>
          <w:r>
            <w:rPr>
              <w:color w:val="auto"/>
            </w:rPr>
            <w:tab/>
          </w:r>
          <w:r>
            <w:rPr>
              <w:color w:val="auto"/>
            </w:rPr>
            <w:fldChar w:fldCharType="begin"/>
          </w:r>
          <w:r>
            <w:rPr>
              <w:color w:val="auto"/>
            </w:rPr>
            <w:instrText xml:space="preserve"> PAGEREF _Toc21131 \h </w:instrText>
          </w:r>
          <w:r>
            <w:rPr>
              <w:color w:val="auto"/>
            </w:rPr>
            <w:fldChar w:fldCharType="separate"/>
          </w:r>
          <w:r>
            <w:rPr>
              <w:color w:val="auto"/>
            </w:rPr>
            <w:t>5</w:t>
          </w:r>
          <w:r>
            <w:rPr>
              <w:color w:val="auto"/>
            </w:rPr>
            <w:fldChar w:fldCharType="end"/>
          </w:r>
          <w:r>
            <w:rPr>
              <w:color w:val="auto"/>
            </w:rPr>
            <w:fldChar w:fldCharType="end"/>
          </w:r>
        </w:p>
        <w:p>
          <w:pPr>
            <w:pStyle w:val="12"/>
            <w:tabs>
              <w:tab w:val="right" w:leader="dot" w:pos="8306"/>
            </w:tabs>
            <w:rPr>
              <w:color w:val="auto"/>
            </w:rPr>
          </w:pPr>
          <w:r>
            <w:rPr>
              <w:color w:val="auto"/>
            </w:rPr>
            <w:fldChar w:fldCharType="begin"/>
          </w:r>
          <w:r>
            <w:rPr>
              <w:color w:val="auto"/>
            </w:rPr>
            <w:instrText xml:space="preserve"> HYPERLINK \l _Toc3224 </w:instrText>
          </w:r>
          <w:r>
            <w:rPr>
              <w:color w:val="auto"/>
            </w:rPr>
            <w:fldChar w:fldCharType="separate"/>
          </w:r>
          <w:r>
            <w:rPr>
              <w:rFonts w:hint="eastAsia"/>
              <w:color w:val="auto"/>
              <w:lang w:val="en-US" w:eastAsia="zh-CN"/>
            </w:rPr>
            <w:t>2.6本项目涉及</w:t>
          </w:r>
          <w:r>
            <w:rPr>
              <w:rFonts w:hint="eastAsia"/>
              <w:color w:val="auto"/>
              <w:lang w:eastAsia="zh-CN"/>
            </w:rPr>
            <w:t>资质</w:t>
          </w:r>
          <w:r>
            <w:rPr>
              <w:color w:val="auto"/>
            </w:rPr>
            <w:tab/>
          </w:r>
          <w:r>
            <w:rPr>
              <w:color w:val="auto"/>
            </w:rPr>
            <w:fldChar w:fldCharType="begin"/>
          </w:r>
          <w:r>
            <w:rPr>
              <w:color w:val="auto"/>
            </w:rPr>
            <w:instrText xml:space="preserve"> PAGEREF _Toc3224 \h </w:instrText>
          </w:r>
          <w:r>
            <w:rPr>
              <w:color w:val="auto"/>
            </w:rPr>
            <w:fldChar w:fldCharType="separate"/>
          </w:r>
          <w:r>
            <w:rPr>
              <w:color w:val="auto"/>
            </w:rPr>
            <w:t>5</w:t>
          </w:r>
          <w:r>
            <w:rPr>
              <w:color w:val="auto"/>
            </w:rPr>
            <w:fldChar w:fldCharType="end"/>
          </w:r>
          <w:r>
            <w:rPr>
              <w:color w:val="auto"/>
            </w:rPr>
            <w:fldChar w:fldCharType="end"/>
          </w:r>
        </w:p>
        <w:p>
          <w:pPr>
            <w:pStyle w:val="12"/>
            <w:tabs>
              <w:tab w:val="right" w:leader="dot" w:pos="8306"/>
            </w:tabs>
            <w:rPr>
              <w:color w:val="auto"/>
            </w:rPr>
          </w:pPr>
          <w:r>
            <w:rPr>
              <w:color w:val="auto"/>
            </w:rPr>
            <w:fldChar w:fldCharType="begin"/>
          </w:r>
          <w:r>
            <w:rPr>
              <w:color w:val="auto"/>
            </w:rPr>
            <w:instrText xml:space="preserve"> HYPERLINK \l _Toc4162 </w:instrText>
          </w:r>
          <w:r>
            <w:rPr>
              <w:color w:val="auto"/>
            </w:rPr>
            <w:fldChar w:fldCharType="separate"/>
          </w:r>
          <w:r>
            <w:rPr>
              <w:rFonts w:hint="eastAsia"/>
              <w:color w:val="auto"/>
              <w:lang w:val="en-US" w:eastAsia="zh-CN"/>
            </w:rPr>
            <w:t>2.7开发商委托销售授权函</w:t>
          </w:r>
          <w:r>
            <w:rPr>
              <w:color w:val="auto"/>
            </w:rPr>
            <w:tab/>
          </w:r>
          <w:r>
            <w:rPr>
              <w:color w:val="auto"/>
            </w:rPr>
            <w:fldChar w:fldCharType="begin"/>
          </w:r>
          <w:r>
            <w:rPr>
              <w:color w:val="auto"/>
            </w:rPr>
            <w:instrText xml:space="preserve"> PAGEREF _Toc4162 \h </w:instrText>
          </w:r>
          <w:r>
            <w:rPr>
              <w:color w:val="auto"/>
            </w:rPr>
            <w:fldChar w:fldCharType="separate"/>
          </w:r>
          <w:r>
            <w:rPr>
              <w:color w:val="auto"/>
            </w:rPr>
            <w:t>5</w:t>
          </w:r>
          <w:r>
            <w:rPr>
              <w:color w:val="auto"/>
            </w:rPr>
            <w:fldChar w:fldCharType="end"/>
          </w:r>
          <w:r>
            <w:rPr>
              <w:color w:val="auto"/>
            </w:rPr>
            <w:fldChar w:fldCharType="end"/>
          </w:r>
        </w:p>
        <w:p>
          <w:pPr>
            <w:pStyle w:val="12"/>
            <w:tabs>
              <w:tab w:val="right" w:leader="dot" w:pos="8306"/>
            </w:tabs>
            <w:rPr>
              <w:color w:val="auto"/>
            </w:rPr>
          </w:pPr>
          <w:r>
            <w:rPr>
              <w:color w:val="auto"/>
            </w:rPr>
            <w:fldChar w:fldCharType="begin"/>
          </w:r>
          <w:r>
            <w:rPr>
              <w:color w:val="auto"/>
            </w:rPr>
            <w:instrText xml:space="preserve"> HYPERLINK \l _Toc2883 </w:instrText>
          </w:r>
          <w:r>
            <w:rPr>
              <w:color w:val="auto"/>
            </w:rPr>
            <w:fldChar w:fldCharType="separate"/>
          </w:r>
          <w:r>
            <w:rPr>
              <w:rFonts w:hint="eastAsia"/>
              <w:color w:val="auto"/>
              <w:lang w:val="en-US" w:eastAsia="zh-CN"/>
            </w:rPr>
            <w:t>2.8 承诺函</w:t>
          </w:r>
          <w:r>
            <w:rPr>
              <w:color w:val="auto"/>
            </w:rPr>
            <w:tab/>
          </w:r>
          <w:r>
            <w:rPr>
              <w:color w:val="auto"/>
            </w:rPr>
            <w:fldChar w:fldCharType="begin"/>
          </w:r>
          <w:r>
            <w:rPr>
              <w:color w:val="auto"/>
            </w:rPr>
            <w:instrText xml:space="preserve"> PAGEREF _Toc2883 \h </w:instrText>
          </w:r>
          <w:r>
            <w:rPr>
              <w:color w:val="auto"/>
            </w:rPr>
            <w:fldChar w:fldCharType="separate"/>
          </w:r>
          <w:r>
            <w:rPr>
              <w:color w:val="auto"/>
            </w:rPr>
            <w:t>6</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_Toc30193 </w:instrText>
          </w:r>
          <w:r>
            <w:rPr>
              <w:color w:val="auto"/>
            </w:rPr>
            <w:fldChar w:fldCharType="separate"/>
          </w:r>
          <w:r>
            <w:rPr>
              <w:rFonts w:hint="eastAsia"/>
              <w:color w:val="auto"/>
              <w:lang w:val="en-US" w:eastAsia="zh-CN"/>
            </w:rPr>
            <w:t>三、项目调研情况一览汇总表</w:t>
          </w:r>
          <w:r>
            <w:rPr>
              <w:color w:val="auto"/>
            </w:rPr>
            <w:tab/>
          </w:r>
          <w:r>
            <w:rPr>
              <w:color w:val="auto"/>
            </w:rPr>
            <w:fldChar w:fldCharType="begin"/>
          </w:r>
          <w:r>
            <w:rPr>
              <w:color w:val="auto"/>
            </w:rPr>
            <w:instrText xml:space="preserve"> PAGEREF _Toc30193 \h </w:instrText>
          </w:r>
          <w:r>
            <w:rPr>
              <w:color w:val="auto"/>
            </w:rPr>
            <w:fldChar w:fldCharType="separate"/>
          </w:r>
          <w:r>
            <w:rPr>
              <w:color w:val="auto"/>
            </w:rPr>
            <w:t>7</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_Toc6595 </w:instrText>
          </w:r>
          <w:r>
            <w:rPr>
              <w:color w:val="auto"/>
            </w:rPr>
            <w:fldChar w:fldCharType="separate"/>
          </w:r>
          <w:r>
            <w:rPr>
              <w:rFonts w:hint="eastAsia"/>
              <w:color w:val="auto"/>
              <w:lang w:val="en-US" w:eastAsia="zh-CN"/>
            </w:rPr>
            <w:t>四、 调研项目配置清单及分项报价明细</w:t>
          </w:r>
          <w:r>
            <w:rPr>
              <w:color w:val="auto"/>
            </w:rPr>
            <w:tab/>
          </w:r>
          <w:r>
            <w:rPr>
              <w:color w:val="auto"/>
            </w:rPr>
            <w:fldChar w:fldCharType="begin"/>
          </w:r>
          <w:r>
            <w:rPr>
              <w:color w:val="auto"/>
            </w:rPr>
            <w:instrText xml:space="preserve"> PAGEREF _Toc6595 \h </w:instrText>
          </w:r>
          <w:r>
            <w:rPr>
              <w:color w:val="auto"/>
            </w:rPr>
            <w:fldChar w:fldCharType="separate"/>
          </w:r>
          <w:r>
            <w:rPr>
              <w:color w:val="auto"/>
            </w:rPr>
            <w:t>8</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_Toc24038 </w:instrText>
          </w:r>
          <w:r>
            <w:rPr>
              <w:color w:val="auto"/>
            </w:rPr>
            <w:fldChar w:fldCharType="separate"/>
          </w:r>
          <w:r>
            <w:rPr>
              <w:rFonts w:hint="eastAsia"/>
              <w:color w:val="auto"/>
              <w:lang w:val="en-US" w:eastAsia="zh-CN"/>
            </w:rPr>
            <w:t>五、三甲综合医院同类项目案例</w:t>
          </w:r>
          <w:r>
            <w:rPr>
              <w:color w:val="auto"/>
            </w:rPr>
            <w:tab/>
          </w:r>
          <w:r>
            <w:rPr>
              <w:color w:val="auto"/>
            </w:rPr>
            <w:fldChar w:fldCharType="begin"/>
          </w:r>
          <w:r>
            <w:rPr>
              <w:color w:val="auto"/>
            </w:rPr>
            <w:instrText xml:space="preserve"> PAGEREF _Toc24038 \h </w:instrText>
          </w:r>
          <w:r>
            <w:rPr>
              <w:color w:val="auto"/>
            </w:rPr>
            <w:fldChar w:fldCharType="separate"/>
          </w:r>
          <w:r>
            <w:rPr>
              <w:color w:val="auto"/>
            </w:rPr>
            <w:t>8</w:t>
          </w:r>
          <w:r>
            <w:rPr>
              <w:color w:val="auto"/>
            </w:rPr>
            <w:fldChar w:fldCharType="end"/>
          </w:r>
          <w:r>
            <w:rPr>
              <w:color w:val="auto"/>
            </w:rPr>
            <w:fldChar w:fldCharType="end"/>
          </w:r>
        </w:p>
        <w:p>
          <w:pPr>
            <w:pStyle w:val="12"/>
            <w:tabs>
              <w:tab w:val="right" w:leader="dot" w:pos="8306"/>
            </w:tabs>
            <w:rPr>
              <w:color w:val="auto"/>
            </w:rPr>
          </w:pPr>
          <w:r>
            <w:rPr>
              <w:color w:val="auto"/>
            </w:rPr>
            <w:fldChar w:fldCharType="begin"/>
          </w:r>
          <w:r>
            <w:rPr>
              <w:color w:val="auto"/>
            </w:rPr>
            <w:instrText xml:space="preserve"> HYPERLINK \l _Toc12579 </w:instrText>
          </w:r>
          <w:r>
            <w:rPr>
              <w:color w:val="auto"/>
            </w:rPr>
            <w:fldChar w:fldCharType="separate"/>
          </w:r>
          <w:r>
            <w:rPr>
              <w:rFonts w:hint="eastAsia"/>
              <w:color w:val="auto"/>
              <w:lang w:val="en-US" w:eastAsia="zh-CN"/>
            </w:rPr>
            <w:t>5.1 四川省内（  ）家</w:t>
          </w:r>
          <w:r>
            <w:rPr>
              <w:color w:val="auto"/>
            </w:rPr>
            <w:tab/>
          </w:r>
          <w:r>
            <w:rPr>
              <w:color w:val="auto"/>
            </w:rPr>
            <w:fldChar w:fldCharType="begin"/>
          </w:r>
          <w:r>
            <w:rPr>
              <w:color w:val="auto"/>
            </w:rPr>
            <w:instrText xml:space="preserve"> PAGEREF _Toc12579 \h </w:instrText>
          </w:r>
          <w:r>
            <w:rPr>
              <w:color w:val="auto"/>
            </w:rPr>
            <w:fldChar w:fldCharType="separate"/>
          </w:r>
          <w:r>
            <w:rPr>
              <w:color w:val="auto"/>
            </w:rPr>
            <w:t>8</w:t>
          </w:r>
          <w:r>
            <w:rPr>
              <w:color w:val="auto"/>
            </w:rPr>
            <w:fldChar w:fldCharType="end"/>
          </w:r>
          <w:r>
            <w:rPr>
              <w:color w:val="auto"/>
            </w:rPr>
            <w:fldChar w:fldCharType="end"/>
          </w:r>
        </w:p>
        <w:p>
          <w:pPr>
            <w:pStyle w:val="12"/>
            <w:tabs>
              <w:tab w:val="right" w:leader="dot" w:pos="8306"/>
            </w:tabs>
            <w:rPr>
              <w:color w:val="auto"/>
            </w:rPr>
          </w:pPr>
          <w:r>
            <w:rPr>
              <w:color w:val="auto"/>
            </w:rPr>
            <w:fldChar w:fldCharType="begin"/>
          </w:r>
          <w:r>
            <w:rPr>
              <w:color w:val="auto"/>
            </w:rPr>
            <w:instrText xml:space="preserve"> HYPERLINK \l _Toc3373 </w:instrText>
          </w:r>
          <w:r>
            <w:rPr>
              <w:color w:val="auto"/>
            </w:rPr>
            <w:fldChar w:fldCharType="separate"/>
          </w:r>
          <w:r>
            <w:rPr>
              <w:rFonts w:hint="eastAsia"/>
              <w:color w:val="auto"/>
              <w:lang w:val="en-US" w:eastAsia="zh-CN"/>
            </w:rPr>
            <w:t>5.2 四川省外（  ）家</w:t>
          </w:r>
          <w:r>
            <w:rPr>
              <w:color w:val="auto"/>
            </w:rPr>
            <w:tab/>
          </w:r>
          <w:r>
            <w:rPr>
              <w:color w:val="auto"/>
            </w:rPr>
            <w:fldChar w:fldCharType="begin"/>
          </w:r>
          <w:r>
            <w:rPr>
              <w:color w:val="auto"/>
            </w:rPr>
            <w:instrText xml:space="preserve"> PAGEREF _Toc3373 \h </w:instrText>
          </w:r>
          <w:r>
            <w:rPr>
              <w:color w:val="auto"/>
            </w:rPr>
            <w:fldChar w:fldCharType="separate"/>
          </w:r>
          <w:r>
            <w:rPr>
              <w:color w:val="auto"/>
            </w:rPr>
            <w:t>8</w:t>
          </w:r>
          <w:r>
            <w:rPr>
              <w:color w:val="auto"/>
            </w:rPr>
            <w:fldChar w:fldCharType="end"/>
          </w:r>
          <w:r>
            <w:rPr>
              <w:color w:val="auto"/>
            </w:rPr>
            <w:fldChar w:fldCharType="end"/>
          </w:r>
        </w:p>
        <w:p>
          <w:pPr>
            <w:pStyle w:val="12"/>
            <w:tabs>
              <w:tab w:val="right" w:leader="dot" w:pos="8306"/>
            </w:tabs>
            <w:rPr>
              <w:color w:val="auto"/>
            </w:rPr>
          </w:pPr>
          <w:r>
            <w:rPr>
              <w:color w:val="auto"/>
            </w:rPr>
            <w:fldChar w:fldCharType="begin"/>
          </w:r>
          <w:r>
            <w:rPr>
              <w:color w:val="auto"/>
            </w:rPr>
            <w:instrText xml:space="preserve"> HYPERLINK \l _Toc6592 </w:instrText>
          </w:r>
          <w:r>
            <w:rPr>
              <w:color w:val="auto"/>
            </w:rPr>
            <w:fldChar w:fldCharType="separate"/>
          </w:r>
          <w:r>
            <w:rPr>
              <w:rFonts w:hint="eastAsia"/>
              <w:color w:val="auto"/>
              <w:lang w:val="en-US" w:eastAsia="zh-CN"/>
            </w:rPr>
            <w:t>5.3三甲综合医院同类项目案例合同及验收佐证</w:t>
          </w:r>
          <w:r>
            <w:rPr>
              <w:color w:val="auto"/>
            </w:rPr>
            <w:tab/>
          </w:r>
          <w:r>
            <w:rPr>
              <w:color w:val="auto"/>
            </w:rPr>
            <w:fldChar w:fldCharType="begin"/>
          </w:r>
          <w:r>
            <w:rPr>
              <w:color w:val="auto"/>
            </w:rPr>
            <w:instrText xml:space="preserve"> PAGEREF _Toc6592 \h </w:instrText>
          </w:r>
          <w:r>
            <w:rPr>
              <w:color w:val="auto"/>
            </w:rPr>
            <w:fldChar w:fldCharType="separate"/>
          </w:r>
          <w:r>
            <w:rPr>
              <w:color w:val="auto"/>
            </w:rPr>
            <w:t>8</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_Toc27685 </w:instrText>
          </w:r>
          <w:r>
            <w:rPr>
              <w:color w:val="auto"/>
            </w:rPr>
            <w:fldChar w:fldCharType="separate"/>
          </w:r>
          <w:r>
            <w:rPr>
              <w:rFonts w:hint="eastAsia"/>
              <w:color w:val="auto"/>
              <w:lang w:val="en-US" w:eastAsia="zh-CN"/>
            </w:rPr>
            <w:t>六、报价表包含内容</w:t>
          </w:r>
          <w:r>
            <w:rPr>
              <w:color w:val="auto"/>
            </w:rPr>
            <w:tab/>
          </w:r>
          <w:r>
            <w:rPr>
              <w:color w:val="auto"/>
            </w:rPr>
            <w:fldChar w:fldCharType="begin"/>
          </w:r>
          <w:r>
            <w:rPr>
              <w:color w:val="auto"/>
            </w:rPr>
            <w:instrText xml:space="preserve"> PAGEREF _Toc27685 \h </w:instrText>
          </w:r>
          <w:r>
            <w:rPr>
              <w:color w:val="auto"/>
            </w:rPr>
            <w:fldChar w:fldCharType="separate"/>
          </w:r>
          <w:r>
            <w:rPr>
              <w:color w:val="auto"/>
            </w:rPr>
            <w:t>8</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_Toc15885 </w:instrText>
          </w:r>
          <w:r>
            <w:rPr>
              <w:color w:val="auto"/>
            </w:rPr>
            <w:fldChar w:fldCharType="separate"/>
          </w:r>
          <w:r>
            <w:rPr>
              <w:rFonts w:hint="eastAsia"/>
              <w:color w:val="auto"/>
              <w:lang w:val="en-US" w:eastAsia="zh-CN"/>
            </w:rPr>
            <w:t>七、建设方案</w:t>
          </w:r>
          <w:r>
            <w:rPr>
              <w:color w:val="auto"/>
            </w:rPr>
            <w:tab/>
          </w:r>
          <w:r>
            <w:rPr>
              <w:color w:val="auto"/>
            </w:rPr>
            <w:fldChar w:fldCharType="begin"/>
          </w:r>
          <w:r>
            <w:rPr>
              <w:color w:val="auto"/>
            </w:rPr>
            <w:instrText xml:space="preserve"> PAGEREF _Toc15885 \h </w:instrText>
          </w:r>
          <w:r>
            <w:rPr>
              <w:color w:val="auto"/>
            </w:rPr>
            <w:fldChar w:fldCharType="separate"/>
          </w:r>
          <w:r>
            <w:rPr>
              <w:color w:val="auto"/>
            </w:rPr>
            <w:t>9</w:t>
          </w:r>
          <w:r>
            <w:rPr>
              <w:color w:val="auto"/>
            </w:rPr>
            <w:fldChar w:fldCharType="end"/>
          </w:r>
          <w:r>
            <w:rPr>
              <w:color w:val="auto"/>
            </w:rPr>
            <w:fldChar w:fldCharType="end"/>
          </w:r>
        </w:p>
        <w:p>
          <w:pPr>
            <w:pStyle w:val="12"/>
            <w:tabs>
              <w:tab w:val="right" w:leader="dot" w:pos="8306"/>
            </w:tabs>
            <w:rPr>
              <w:color w:val="auto"/>
            </w:rPr>
          </w:pPr>
          <w:r>
            <w:rPr>
              <w:color w:val="auto"/>
            </w:rPr>
            <w:fldChar w:fldCharType="begin"/>
          </w:r>
          <w:r>
            <w:rPr>
              <w:color w:val="auto"/>
            </w:rPr>
            <w:instrText xml:space="preserve"> HYPERLINK \l _Toc6336 </w:instrText>
          </w:r>
          <w:r>
            <w:rPr>
              <w:color w:val="auto"/>
            </w:rPr>
            <w:fldChar w:fldCharType="separate"/>
          </w:r>
          <w:r>
            <w:rPr>
              <w:rFonts w:hint="eastAsia"/>
              <w:color w:val="auto"/>
              <w:lang w:val="en-US" w:eastAsia="zh-CN"/>
            </w:rPr>
            <w:t>7.1 实施条件（实施所需的支持条件）</w:t>
          </w:r>
          <w:r>
            <w:rPr>
              <w:color w:val="auto"/>
            </w:rPr>
            <w:tab/>
          </w:r>
          <w:r>
            <w:rPr>
              <w:color w:val="auto"/>
            </w:rPr>
            <w:fldChar w:fldCharType="begin"/>
          </w:r>
          <w:r>
            <w:rPr>
              <w:color w:val="auto"/>
            </w:rPr>
            <w:instrText xml:space="preserve"> PAGEREF _Toc6336 \h </w:instrText>
          </w:r>
          <w:r>
            <w:rPr>
              <w:color w:val="auto"/>
            </w:rPr>
            <w:fldChar w:fldCharType="separate"/>
          </w:r>
          <w:r>
            <w:rPr>
              <w:color w:val="auto"/>
            </w:rPr>
            <w:t>9</w:t>
          </w:r>
          <w:r>
            <w:rPr>
              <w:color w:val="auto"/>
            </w:rPr>
            <w:fldChar w:fldCharType="end"/>
          </w:r>
          <w:r>
            <w:rPr>
              <w:color w:val="auto"/>
            </w:rPr>
            <w:fldChar w:fldCharType="end"/>
          </w:r>
        </w:p>
        <w:p>
          <w:pPr>
            <w:pStyle w:val="12"/>
            <w:tabs>
              <w:tab w:val="right" w:leader="dot" w:pos="8306"/>
            </w:tabs>
            <w:rPr>
              <w:color w:val="auto"/>
            </w:rPr>
          </w:pPr>
          <w:r>
            <w:rPr>
              <w:color w:val="auto"/>
            </w:rPr>
            <w:fldChar w:fldCharType="begin"/>
          </w:r>
          <w:r>
            <w:rPr>
              <w:color w:val="auto"/>
            </w:rPr>
            <w:instrText xml:space="preserve"> HYPERLINK \l _Toc21591 </w:instrText>
          </w:r>
          <w:r>
            <w:rPr>
              <w:color w:val="auto"/>
            </w:rPr>
            <w:fldChar w:fldCharType="separate"/>
          </w:r>
          <w:r>
            <w:rPr>
              <w:rFonts w:hint="eastAsia"/>
              <w:color w:val="auto"/>
              <w:lang w:val="en-US" w:eastAsia="zh-CN"/>
            </w:rPr>
            <w:t>7.2 实施周期</w:t>
          </w:r>
          <w:r>
            <w:rPr>
              <w:color w:val="auto"/>
            </w:rPr>
            <w:tab/>
          </w:r>
          <w:r>
            <w:rPr>
              <w:color w:val="auto"/>
            </w:rPr>
            <w:fldChar w:fldCharType="begin"/>
          </w:r>
          <w:r>
            <w:rPr>
              <w:color w:val="auto"/>
            </w:rPr>
            <w:instrText xml:space="preserve"> PAGEREF _Toc21591 \h </w:instrText>
          </w:r>
          <w:r>
            <w:rPr>
              <w:color w:val="auto"/>
            </w:rPr>
            <w:fldChar w:fldCharType="separate"/>
          </w:r>
          <w:r>
            <w:rPr>
              <w:color w:val="auto"/>
            </w:rPr>
            <w:t>9</w:t>
          </w:r>
          <w:r>
            <w:rPr>
              <w:color w:val="auto"/>
            </w:rPr>
            <w:fldChar w:fldCharType="end"/>
          </w:r>
          <w:r>
            <w:rPr>
              <w:color w:val="auto"/>
            </w:rPr>
            <w:fldChar w:fldCharType="end"/>
          </w:r>
        </w:p>
        <w:p>
          <w:pPr>
            <w:pStyle w:val="12"/>
            <w:tabs>
              <w:tab w:val="right" w:leader="dot" w:pos="8306"/>
            </w:tabs>
            <w:rPr>
              <w:color w:val="auto"/>
            </w:rPr>
          </w:pPr>
          <w:r>
            <w:rPr>
              <w:color w:val="auto"/>
            </w:rPr>
            <w:fldChar w:fldCharType="begin"/>
          </w:r>
          <w:r>
            <w:rPr>
              <w:color w:val="auto"/>
            </w:rPr>
            <w:instrText xml:space="preserve"> HYPERLINK \l _Toc18352 </w:instrText>
          </w:r>
          <w:r>
            <w:rPr>
              <w:color w:val="auto"/>
            </w:rPr>
            <w:fldChar w:fldCharType="separate"/>
          </w:r>
          <w:r>
            <w:rPr>
              <w:rFonts w:hint="eastAsia"/>
              <w:color w:val="auto"/>
              <w:lang w:val="en-US" w:eastAsia="zh-CN"/>
            </w:rPr>
            <w:t>7.3 系统运行环境</w:t>
          </w:r>
          <w:r>
            <w:rPr>
              <w:color w:val="auto"/>
            </w:rPr>
            <w:tab/>
          </w:r>
          <w:r>
            <w:rPr>
              <w:color w:val="auto"/>
            </w:rPr>
            <w:fldChar w:fldCharType="begin"/>
          </w:r>
          <w:r>
            <w:rPr>
              <w:color w:val="auto"/>
            </w:rPr>
            <w:instrText xml:space="preserve"> PAGEREF _Toc18352 \h </w:instrText>
          </w:r>
          <w:r>
            <w:rPr>
              <w:color w:val="auto"/>
            </w:rPr>
            <w:fldChar w:fldCharType="separate"/>
          </w:r>
          <w:r>
            <w:rPr>
              <w:color w:val="auto"/>
            </w:rPr>
            <w:t>9</w:t>
          </w:r>
          <w:r>
            <w:rPr>
              <w:color w:val="auto"/>
            </w:rPr>
            <w:fldChar w:fldCharType="end"/>
          </w:r>
          <w:r>
            <w:rPr>
              <w:color w:val="auto"/>
            </w:rPr>
            <w:fldChar w:fldCharType="end"/>
          </w:r>
        </w:p>
        <w:p>
          <w:pPr>
            <w:pStyle w:val="12"/>
            <w:tabs>
              <w:tab w:val="right" w:leader="dot" w:pos="8306"/>
            </w:tabs>
            <w:rPr>
              <w:color w:val="auto"/>
            </w:rPr>
          </w:pPr>
          <w:r>
            <w:rPr>
              <w:color w:val="auto"/>
            </w:rPr>
            <w:fldChar w:fldCharType="begin"/>
          </w:r>
          <w:r>
            <w:rPr>
              <w:color w:val="auto"/>
            </w:rPr>
            <w:instrText xml:space="preserve"> HYPERLINK \l _Toc8120 </w:instrText>
          </w:r>
          <w:r>
            <w:rPr>
              <w:color w:val="auto"/>
            </w:rPr>
            <w:fldChar w:fldCharType="separate"/>
          </w:r>
          <w:r>
            <w:rPr>
              <w:rFonts w:hint="eastAsia"/>
              <w:color w:val="auto"/>
              <w:lang w:val="en-US" w:eastAsia="zh-CN"/>
            </w:rPr>
            <w:t>7.4 系统总体架构</w:t>
          </w:r>
          <w:r>
            <w:rPr>
              <w:color w:val="auto"/>
            </w:rPr>
            <w:tab/>
          </w:r>
          <w:r>
            <w:rPr>
              <w:color w:val="auto"/>
            </w:rPr>
            <w:fldChar w:fldCharType="begin"/>
          </w:r>
          <w:r>
            <w:rPr>
              <w:color w:val="auto"/>
            </w:rPr>
            <w:instrText xml:space="preserve"> PAGEREF _Toc8120 \h </w:instrText>
          </w:r>
          <w:r>
            <w:rPr>
              <w:color w:val="auto"/>
            </w:rPr>
            <w:fldChar w:fldCharType="separate"/>
          </w:r>
          <w:r>
            <w:rPr>
              <w:color w:val="auto"/>
            </w:rPr>
            <w:t>9</w:t>
          </w:r>
          <w:r>
            <w:rPr>
              <w:color w:val="auto"/>
            </w:rPr>
            <w:fldChar w:fldCharType="end"/>
          </w:r>
          <w:r>
            <w:rPr>
              <w:color w:val="auto"/>
            </w:rPr>
            <w:fldChar w:fldCharType="end"/>
          </w:r>
        </w:p>
        <w:p>
          <w:pPr>
            <w:rPr>
              <w:color w:val="auto"/>
            </w:rPr>
          </w:pPr>
          <w:r>
            <w:rPr>
              <w:color w:val="auto"/>
            </w:rPr>
            <w:fldChar w:fldCharType="end"/>
          </w:r>
        </w:p>
      </w:sdtContent>
    </w:sdt>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sectPr>
          <w:headerReference r:id="rId3" w:type="default"/>
          <w:footerReference r:id="rId4" w:type="default"/>
          <w:pgSz w:w="11906" w:h="16838"/>
          <w:pgMar w:top="1134" w:right="1800" w:bottom="1134" w:left="1800"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color w:val="auto"/>
        </w:rPr>
      </w:pPr>
      <w:bookmarkStart w:id="0" w:name="_Toc144974876"/>
      <w:bookmarkStart w:id="1" w:name="_Toc247527848"/>
      <w:bookmarkStart w:id="2" w:name="_Toc152045808"/>
      <w:bookmarkStart w:id="3" w:name="_Toc10065"/>
      <w:bookmarkStart w:id="4" w:name="_Toc7871"/>
      <w:bookmarkStart w:id="5" w:name="_Toc7415"/>
      <w:bookmarkStart w:id="6" w:name="_Toc152042597"/>
      <w:bookmarkStart w:id="7" w:name="_Toc427002393"/>
      <w:bookmarkStart w:id="8" w:name="_Toc247514300"/>
      <w:r>
        <w:rPr>
          <w:rFonts w:hint="eastAsia"/>
          <w:color w:val="auto"/>
          <w:lang w:val="en-US" w:eastAsia="zh-CN"/>
        </w:rPr>
        <w:t>一、</w:t>
      </w:r>
      <w:r>
        <w:rPr>
          <w:rFonts w:hint="eastAsia"/>
          <w:color w:val="auto"/>
        </w:rPr>
        <w:t>报名</w:t>
      </w:r>
      <w:r>
        <w:rPr>
          <w:rFonts w:hint="eastAsia"/>
          <w:color w:val="auto"/>
          <w:lang w:eastAsia="zh-CN"/>
        </w:rPr>
        <w:t>登记</w:t>
      </w:r>
      <w:r>
        <w:rPr>
          <w:rFonts w:hint="eastAsia"/>
          <w:color w:val="auto"/>
        </w:rPr>
        <w:t>表</w:t>
      </w:r>
      <w:bookmarkEnd w:id="0"/>
      <w:bookmarkEnd w:id="1"/>
      <w:bookmarkEnd w:id="2"/>
      <w:bookmarkEnd w:id="3"/>
      <w:bookmarkEnd w:id="4"/>
      <w:bookmarkEnd w:id="5"/>
      <w:bookmarkEnd w:id="6"/>
      <w:bookmarkEnd w:id="7"/>
      <w:bookmarkEnd w:id="8"/>
    </w:p>
    <w:tbl>
      <w:tblPr>
        <w:tblStyle w:val="14"/>
        <w:tblW w:w="9395" w:type="dxa"/>
        <w:tblInd w:w="-4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6"/>
        <w:gridCol w:w="1511"/>
        <w:gridCol w:w="1065"/>
        <w:gridCol w:w="1489"/>
        <w:gridCol w:w="2530"/>
        <w:gridCol w:w="1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6"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bookmarkStart w:id="9" w:name="_Toc322080001"/>
            <w:bookmarkStart w:id="10" w:name="_Toc321933045"/>
            <w:bookmarkStart w:id="11" w:name="_Toc3175"/>
            <w:bookmarkStart w:id="12" w:name="_Toc16693"/>
            <w:r>
              <w:rPr>
                <w:rFonts w:hint="eastAsia" w:ascii="宋体" w:hAnsi="宋体" w:eastAsia="宋体" w:cs="宋体"/>
                <w:i w:val="0"/>
                <w:iCs w:val="0"/>
                <w:color w:val="auto"/>
                <w:kern w:val="0"/>
                <w:sz w:val="24"/>
                <w:szCs w:val="24"/>
                <w:u w:val="none"/>
                <w:lang w:val="en-US" w:eastAsia="zh-CN" w:bidi="ar"/>
              </w:rPr>
              <w:t>序号</w:t>
            </w:r>
          </w:p>
        </w:tc>
        <w:tc>
          <w:tcPr>
            <w:tcW w:w="151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供应商名称</w:t>
            </w:r>
          </w:p>
        </w:tc>
        <w:tc>
          <w:tcPr>
            <w:tcW w:w="106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联系人</w:t>
            </w:r>
          </w:p>
        </w:tc>
        <w:tc>
          <w:tcPr>
            <w:tcW w:w="148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联系电话</w:t>
            </w:r>
          </w:p>
        </w:tc>
        <w:tc>
          <w:tcPr>
            <w:tcW w:w="253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（与报名邮箱一致）</w:t>
            </w:r>
          </w:p>
        </w:tc>
        <w:tc>
          <w:tcPr>
            <w:tcW w:w="1934"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6"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511"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065"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489"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253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934"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r>
      <w:bookmarkEnd w:id="9"/>
      <w:bookmarkEnd w:id="10"/>
      <w:bookmarkEnd w:id="11"/>
      <w:bookmarkEnd w:id="12"/>
    </w:tbl>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color w:val="auto"/>
          <w:lang w:val="en-US" w:eastAsia="zh-CN"/>
        </w:rPr>
      </w:pPr>
      <w:bookmarkStart w:id="13" w:name="_Toc638"/>
      <w:bookmarkStart w:id="14" w:name="_Toc2669"/>
      <w:r>
        <w:rPr>
          <w:rFonts w:hint="eastAsia"/>
          <w:color w:val="auto"/>
          <w:lang w:val="en-US" w:eastAsia="zh-CN"/>
        </w:rPr>
        <w:t>二、资质：</w:t>
      </w:r>
      <w:bookmarkEnd w:id="13"/>
    </w:p>
    <w:p>
      <w:pPr>
        <w:pStyle w:val="4"/>
        <w:bidi w:val="0"/>
        <w:rPr>
          <w:rFonts w:hint="eastAsia"/>
          <w:color w:val="auto"/>
        </w:rPr>
      </w:pPr>
      <w:bookmarkStart w:id="15" w:name="_Toc10667"/>
      <w:r>
        <w:rPr>
          <w:rFonts w:hint="eastAsia"/>
          <w:color w:val="auto"/>
          <w:lang w:val="en-US" w:eastAsia="zh-CN"/>
        </w:rPr>
        <w:t>2.1</w:t>
      </w:r>
      <w:r>
        <w:rPr>
          <w:rFonts w:hint="eastAsia"/>
          <w:color w:val="auto"/>
        </w:rPr>
        <w:t>营业执照</w:t>
      </w:r>
      <w:bookmarkEnd w:id="14"/>
      <w:bookmarkEnd w:id="15"/>
      <w:bookmarkStart w:id="16" w:name="_Toc3036"/>
    </w:p>
    <w:p>
      <w:pPr>
        <w:pStyle w:val="4"/>
        <w:bidi w:val="0"/>
        <w:rPr>
          <w:rFonts w:hint="eastAsia"/>
          <w:color w:val="auto"/>
          <w:lang w:val="en-US" w:eastAsia="zh-CN"/>
        </w:rPr>
      </w:pPr>
      <w:bookmarkStart w:id="17" w:name="_Toc11741"/>
      <w:r>
        <w:rPr>
          <w:rFonts w:hint="eastAsia"/>
          <w:color w:val="auto"/>
          <w:lang w:val="en-US" w:eastAsia="zh-CN"/>
        </w:rPr>
        <w:t>2.2</w:t>
      </w:r>
      <w:r>
        <w:rPr>
          <w:rFonts w:hint="eastAsia"/>
          <w:color w:val="auto"/>
          <w:lang w:eastAsia="zh-CN"/>
        </w:rPr>
        <w:t>法定代表人授权书</w:t>
      </w:r>
      <w:bookmarkEnd w:id="16"/>
      <w:bookmarkEnd w:id="17"/>
    </w:p>
    <w:p>
      <w:pPr>
        <w:pStyle w:val="4"/>
        <w:bidi w:val="0"/>
        <w:rPr>
          <w:rFonts w:hint="eastAsia"/>
          <w:color w:val="auto"/>
          <w:lang w:eastAsia="zh-CN"/>
        </w:rPr>
      </w:pPr>
      <w:bookmarkStart w:id="18" w:name="_Toc8522"/>
      <w:bookmarkStart w:id="19" w:name="_Toc5131"/>
      <w:r>
        <w:rPr>
          <w:rFonts w:hint="eastAsia"/>
          <w:color w:val="auto"/>
          <w:lang w:val="en-US" w:eastAsia="zh-CN"/>
        </w:rPr>
        <w:t>2.3</w:t>
      </w:r>
      <w:r>
        <w:rPr>
          <w:rFonts w:hint="eastAsia"/>
          <w:color w:val="auto"/>
          <w:lang w:eastAsia="zh-CN"/>
        </w:rPr>
        <w:t>法人及被授权人身份证</w:t>
      </w:r>
      <w:bookmarkEnd w:id="18"/>
      <w:bookmarkEnd w:id="19"/>
    </w:p>
    <w:p>
      <w:pPr>
        <w:pStyle w:val="4"/>
        <w:bidi w:val="0"/>
        <w:rPr>
          <w:rFonts w:hint="eastAsia"/>
          <w:color w:val="auto"/>
          <w:lang w:eastAsia="zh-CN"/>
        </w:rPr>
      </w:pPr>
      <w:bookmarkStart w:id="20" w:name="_Toc22588"/>
      <w:bookmarkStart w:id="21" w:name="_Toc16232"/>
      <w:r>
        <w:rPr>
          <w:rFonts w:hint="eastAsia"/>
          <w:color w:val="auto"/>
          <w:lang w:val="en-US" w:eastAsia="zh-CN"/>
        </w:rPr>
        <w:t>2.4</w:t>
      </w:r>
      <w:r>
        <w:rPr>
          <w:rFonts w:hint="eastAsia"/>
          <w:color w:val="auto"/>
          <w:lang w:eastAsia="zh-CN"/>
        </w:rPr>
        <w:t>公司资质</w:t>
      </w:r>
      <w:bookmarkEnd w:id="20"/>
      <w:bookmarkEnd w:id="21"/>
    </w:p>
    <w:p>
      <w:pPr>
        <w:pStyle w:val="4"/>
        <w:bidi w:val="0"/>
        <w:rPr>
          <w:rFonts w:hint="default"/>
          <w:color w:val="auto"/>
          <w:lang w:val="en-US" w:eastAsia="zh-CN"/>
        </w:rPr>
      </w:pPr>
      <w:bookmarkStart w:id="22" w:name="_Toc21131"/>
      <w:r>
        <w:rPr>
          <w:rFonts w:hint="eastAsia"/>
          <w:color w:val="auto"/>
          <w:lang w:val="en-US" w:eastAsia="zh-CN"/>
        </w:rPr>
        <w:t>2.5软件资质</w:t>
      </w:r>
      <w:bookmarkEnd w:id="22"/>
    </w:p>
    <w:p>
      <w:pPr>
        <w:pStyle w:val="4"/>
        <w:bidi w:val="0"/>
        <w:rPr>
          <w:rFonts w:hint="eastAsia"/>
          <w:color w:val="auto"/>
          <w:lang w:eastAsia="zh-CN"/>
        </w:rPr>
      </w:pPr>
      <w:bookmarkStart w:id="23" w:name="_Toc11995"/>
      <w:bookmarkStart w:id="24" w:name="_Toc3224"/>
      <w:r>
        <w:rPr>
          <w:rFonts w:hint="eastAsia"/>
          <w:color w:val="auto"/>
          <w:lang w:val="en-US" w:eastAsia="zh-CN"/>
        </w:rPr>
        <w:t>2.6本项目涉及</w:t>
      </w:r>
      <w:r>
        <w:rPr>
          <w:rFonts w:hint="eastAsia"/>
          <w:color w:val="auto"/>
          <w:lang w:eastAsia="zh-CN"/>
        </w:rPr>
        <w:t>资质</w:t>
      </w:r>
      <w:bookmarkEnd w:id="23"/>
      <w:bookmarkEnd w:id="24"/>
    </w:p>
    <w:p>
      <w:pPr>
        <w:pStyle w:val="4"/>
        <w:bidi w:val="0"/>
        <w:rPr>
          <w:rFonts w:hint="eastAsia"/>
          <w:b/>
          <w:color w:val="auto"/>
          <w:lang w:val="en-US" w:eastAsia="zh-CN"/>
        </w:rPr>
      </w:pPr>
      <w:bookmarkStart w:id="25" w:name="_Toc4162"/>
      <w:bookmarkStart w:id="26" w:name="_Toc21787"/>
      <w:r>
        <w:rPr>
          <w:rFonts w:hint="eastAsia"/>
          <w:b/>
          <w:color w:val="auto"/>
          <w:lang w:val="en-US" w:eastAsia="zh-CN"/>
        </w:rPr>
        <w:t>2.7开发商委托销售授权函</w:t>
      </w:r>
      <w:bookmarkEnd w:id="25"/>
      <w:bookmarkEnd w:id="26"/>
    </w:p>
    <w:p>
      <w:pPr>
        <w:pStyle w:val="5"/>
        <w:spacing w:line="400" w:lineRule="exact"/>
        <w:jc w:val="left"/>
        <w:rPr>
          <w:rFonts w:hint="eastAsia" w:ascii="宋体" w:hAnsi="宋体" w:cs="宋体"/>
          <w:color w:val="auto"/>
          <w:lang w:val="en-US" w:eastAsia="zh-CN"/>
        </w:rPr>
      </w:pPr>
    </w:p>
    <w:p>
      <w:pPr>
        <w:pStyle w:val="5"/>
        <w:spacing w:line="400" w:lineRule="exact"/>
        <w:jc w:val="left"/>
        <w:rPr>
          <w:rFonts w:hint="eastAsia" w:ascii="宋体" w:hAnsi="宋体" w:cs="宋体"/>
          <w:color w:val="auto"/>
          <w:lang w:val="en-US" w:eastAsia="zh-CN"/>
        </w:rPr>
      </w:pPr>
    </w:p>
    <w:p>
      <w:pPr>
        <w:pStyle w:val="5"/>
        <w:spacing w:line="400" w:lineRule="exact"/>
        <w:jc w:val="left"/>
        <w:rPr>
          <w:rFonts w:hint="eastAsia" w:ascii="宋体" w:hAnsi="宋体" w:cs="宋体"/>
          <w:color w:val="auto"/>
          <w:lang w:val="en-US" w:eastAsia="zh-CN"/>
        </w:rPr>
      </w:pPr>
    </w:p>
    <w:p>
      <w:pPr>
        <w:pStyle w:val="5"/>
        <w:spacing w:line="400" w:lineRule="exact"/>
        <w:jc w:val="left"/>
        <w:rPr>
          <w:rFonts w:hint="eastAsia" w:ascii="宋体" w:hAnsi="宋体" w:cs="宋体"/>
          <w:color w:val="auto"/>
          <w:lang w:val="en-US" w:eastAsia="zh-CN"/>
        </w:rPr>
      </w:pPr>
    </w:p>
    <w:p>
      <w:pPr>
        <w:pStyle w:val="5"/>
        <w:spacing w:line="400" w:lineRule="exact"/>
        <w:jc w:val="left"/>
        <w:rPr>
          <w:rFonts w:hint="eastAsia" w:ascii="宋体" w:hAnsi="宋体" w:cs="宋体"/>
          <w:color w:val="auto"/>
          <w:lang w:val="en-US" w:eastAsia="zh-CN"/>
        </w:rPr>
      </w:pPr>
    </w:p>
    <w:p>
      <w:pPr>
        <w:pStyle w:val="5"/>
        <w:spacing w:line="400" w:lineRule="exact"/>
        <w:jc w:val="left"/>
        <w:rPr>
          <w:rFonts w:hint="eastAsia" w:ascii="宋体" w:hAnsi="宋体" w:cs="宋体"/>
          <w:color w:val="auto"/>
          <w:lang w:val="en-US" w:eastAsia="zh-CN"/>
        </w:rPr>
      </w:pPr>
    </w:p>
    <w:p>
      <w:pPr>
        <w:pStyle w:val="5"/>
        <w:spacing w:line="400" w:lineRule="exact"/>
        <w:jc w:val="left"/>
        <w:rPr>
          <w:rFonts w:hint="eastAsia" w:ascii="宋体" w:hAnsi="宋体" w:cs="宋体"/>
          <w:color w:val="auto"/>
          <w:lang w:val="en-US" w:eastAsia="zh-CN"/>
        </w:rPr>
      </w:pPr>
    </w:p>
    <w:p>
      <w:pPr>
        <w:pStyle w:val="5"/>
        <w:spacing w:line="400" w:lineRule="exact"/>
        <w:jc w:val="left"/>
        <w:rPr>
          <w:rFonts w:hint="eastAsia" w:ascii="宋体" w:hAnsi="宋体" w:cs="宋体"/>
          <w:color w:val="auto"/>
          <w:lang w:val="en-US" w:eastAsia="zh-CN"/>
        </w:rPr>
      </w:pPr>
    </w:p>
    <w:p>
      <w:pPr>
        <w:pStyle w:val="5"/>
        <w:spacing w:line="400" w:lineRule="exact"/>
        <w:jc w:val="left"/>
        <w:rPr>
          <w:rFonts w:hint="eastAsia" w:ascii="宋体" w:hAnsi="宋体" w:cs="宋体"/>
          <w:color w:val="auto"/>
          <w:lang w:val="en-US" w:eastAsia="zh-CN"/>
        </w:rPr>
      </w:pPr>
    </w:p>
    <w:p>
      <w:pPr>
        <w:pStyle w:val="5"/>
        <w:spacing w:line="400" w:lineRule="exact"/>
        <w:jc w:val="left"/>
        <w:rPr>
          <w:rFonts w:hint="eastAsia" w:ascii="宋体" w:hAnsi="宋体" w:cs="宋体"/>
          <w:color w:val="auto"/>
          <w:lang w:val="en-US" w:eastAsia="zh-CN"/>
        </w:rPr>
      </w:pPr>
    </w:p>
    <w:p>
      <w:pPr>
        <w:pStyle w:val="5"/>
        <w:spacing w:line="400" w:lineRule="exact"/>
        <w:jc w:val="left"/>
        <w:rPr>
          <w:rFonts w:hint="eastAsia" w:ascii="宋体" w:hAnsi="宋体" w:cs="宋体"/>
          <w:color w:val="auto"/>
          <w:lang w:val="en-US" w:eastAsia="zh-CN"/>
        </w:rPr>
      </w:pPr>
    </w:p>
    <w:p>
      <w:pPr>
        <w:pStyle w:val="5"/>
        <w:spacing w:line="400" w:lineRule="exact"/>
        <w:jc w:val="left"/>
        <w:rPr>
          <w:rFonts w:hint="eastAsia" w:ascii="宋体" w:hAnsi="宋体" w:cs="宋体"/>
          <w:color w:val="auto"/>
          <w:lang w:val="en-US" w:eastAsia="zh-CN"/>
        </w:rPr>
      </w:pPr>
    </w:p>
    <w:p>
      <w:pPr>
        <w:pStyle w:val="5"/>
        <w:spacing w:line="400" w:lineRule="exact"/>
        <w:jc w:val="left"/>
        <w:rPr>
          <w:rFonts w:hint="eastAsia" w:ascii="宋体" w:hAnsi="宋体" w:cs="宋体"/>
          <w:color w:val="auto"/>
          <w:lang w:val="en-US" w:eastAsia="zh-CN"/>
        </w:rPr>
      </w:pPr>
    </w:p>
    <w:p>
      <w:pPr>
        <w:pStyle w:val="5"/>
        <w:spacing w:line="400" w:lineRule="exact"/>
        <w:jc w:val="left"/>
        <w:rPr>
          <w:rFonts w:hint="eastAsia" w:ascii="宋体" w:hAnsi="宋体" w:cs="宋体"/>
          <w:color w:val="auto"/>
          <w:lang w:val="en-US" w:eastAsia="zh-CN"/>
        </w:rPr>
      </w:pPr>
    </w:p>
    <w:p>
      <w:pPr>
        <w:pStyle w:val="5"/>
        <w:spacing w:line="400" w:lineRule="exact"/>
        <w:jc w:val="left"/>
        <w:rPr>
          <w:rFonts w:hint="eastAsia" w:ascii="宋体" w:hAnsi="宋体" w:cs="宋体"/>
          <w:color w:val="auto"/>
          <w:lang w:val="en-US" w:eastAsia="zh-CN"/>
        </w:rPr>
      </w:pPr>
    </w:p>
    <w:p>
      <w:pPr>
        <w:pStyle w:val="5"/>
        <w:spacing w:line="400" w:lineRule="exact"/>
        <w:jc w:val="left"/>
        <w:rPr>
          <w:rFonts w:hint="eastAsia" w:ascii="宋体" w:hAnsi="宋体" w:cs="宋体"/>
          <w:color w:val="auto"/>
          <w:lang w:val="en-US" w:eastAsia="zh-CN"/>
        </w:rPr>
      </w:pPr>
    </w:p>
    <w:p>
      <w:pPr>
        <w:pStyle w:val="5"/>
        <w:spacing w:line="400" w:lineRule="exact"/>
        <w:jc w:val="left"/>
        <w:rPr>
          <w:rFonts w:hint="eastAsia" w:ascii="宋体" w:hAnsi="宋体" w:cs="宋体"/>
          <w:color w:val="auto"/>
          <w:lang w:val="en-US" w:eastAsia="zh-CN"/>
        </w:rPr>
      </w:pPr>
    </w:p>
    <w:p>
      <w:pPr>
        <w:pStyle w:val="5"/>
        <w:spacing w:line="400" w:lineRule="exact"/>
        <w:jc w:val="left"/>
        <w:rPr>
          <w:rFonts w:hint="eastAsia" w:ascii="宋体" w:hAnsi="宋体" w:cs="宋体"/>
          <w:color w:val="auto"/>
          <w:lang w:val="en-US" w:eastAsia="zh-CN"/>
        </w:rPr>
      </w:pPr>
    </w:p>
    <w:p>
      <w:pPr>
        <w:pStyle w:val="5"/>
        <w:spacing w:line="400" w:lineRule="exact"/>
        <w:jc w:val="left"/>
        <w:rPr>
          <w:rFonts w:hint="eastAsia" w:ascii="宋体" w:hAnsi="宋体" w:cs="宋体"/>
          <w:color w:val="auto"/>
          <w:lang w:val="en-US" w:eastAsia="zh-CN"/>
        </w:rPr>
      </w:pPr>
    </w:p>
    <w:p>
      <w:pPr>
        <w:pStyle w:val="4"/>
        <w:bidi w:val="0"/>
        <w:rPr>
          <w:rFonts w:hint="default"/>
          <w:b/>
          <w:color w:val="auto"/>
          <w:lang w:val="en-US" w:eastAsia="zh-CN"/>
        </w:rPr>
      </w:pPr>
      <w:bookmarkStart w:id="27" w:name="_Toc2883"/>
      <w:r>
        <w:rPr>
          <w:rFonts w:hint="eastAsia"/>
          <w:b/>
          <w:color w:val="auto"/>
          <w:lang w:val="en-US" w:eastAsia="zh-CN"/>
        </w:rPr>
        <w:t>2.8 承诺函</w:t>
      </w:r>
      <w:bookmarkEnd w:id="27"/>
    </w:p>
    <w:p>
      <w:pPr>
        <w:pStyle w:val="7"/>
        <w:spacing w:after="0" w:line="360" w:lineRule="auto"/>
        <w:ind w:left="0" w:leftChars="0"/>
        <w:jc w:val="center"/>
        <w:rPr>
          <w:rFonts w:hint="default" w:ascii="宋体" w:hAnsi="宋体" w:cs="宋体" w:eastAsiaTheme="minorEastAsia"/>
          <w:b/>
          <w:bCs/>
          <w:color w:val="auto"/>
          <w:kern w:val="0"/>
          <w:sz w:val="28"/>
          <w:szCs w:val="36"/>
          <w:lang w:val="en-US" w:eastAsia="zh-CN"/>
        </w:rPr>
      </w:pPr>
      <w:r>
        <w:rPr>
          <w:rFonts w:hint="eastAsia" w:ascii="宋体" w:hAnsi="宋体" w:cs="宋体"/>
          <w:b/>
          <w:bCs/>
          <w:color w:val="auto"/>
          <w:kern w:val="0"/>
          <w:sz w:val="28"/>
          <w:szCs w:val="36"/>
          <w:lang w:val="en-US" w:eastAsia="zh-CN"/>
        </w:rPr>
        <w:t>承诺函</w:t>
      </w:r>
    </w:p>
    <w:p>
      <w:pPr>
        <w:pStyle w:val="7"/>
        <w:spacing w:after="0" w:line="360" w:lineRule="auto"/>
        <w:ind w:left="0" w:leftChars="0"/>
        <w:rPr>
          <w:rFonts w:ascii="宋体"/>
          <w:b/>
          <w:bCs/>
          <w:color w:val="auto"/>
        </w:rPr>
      </w:pPr>
      <w:r>
        <w:rPr>
          <w:rFonts w:hint="eastAsia" w:ascii="宋体" w:hAnsi="宋体" w:cs="宋体"/>
          <w:b/>
          <w:bCs/>
          <w:color w:val="auto"/>
          <w:kern w:val="0"/>
        </w:rPr>
        <w:t>致资阳市</w:t>
      </w:r>
      <w:r>
        <w:rPr>
          <w:rFonts w:hint="eastAsia" w:ascii="宋体" w:hAnsi="宋体" w:cs="宋体"/>
          <w:b/>
          <w:bCs/>
          <w:color w:val="auto"/>
          <w:kern w:val="0"/>
          <w:lang w:val="en-US" w:eastAsia="zh-CN"/>
        </w:rPr>
        <w:t>中心</w:t>
      </w:r>
      <w:r>
        <w:rPr>
          <w:rFonts w:ascii="宋体" w:hAnsi="宋体" w:cs="宋体"/>
          <w:b/>
          <w:bCs/>
          <w:color w:val="auto"/>
          <w:kern w:val="0"/>
        </w:rPr>
        <w:t>医院</w:t>
      </w:r>
      <w:r>
        <w:rPr>
          <w:rFonts w:hint="eastAsia" w:ascii="宋体" w:hAnsi="宋体" w:cs="宋体"/>
          <w:b/>
          <w:bCs/>
          <w:color w:val="auto"/>
        </w:rPr>
        <w:t>：</w:t>
      </w:r>
    </w:p>
    <w:p>
      <w:pPr>
        <w:pStyle w:val="5"/>
        <w:spacing w:line="400" w:lineRule="exact"/>
        <w:jc w:val="left"/>
        <w:rPr>
          <w:rFonts w:ascii="宋体"/>
          <w:color w:val="auto"/>
        </w:rPr>
      </w:pPr>
      <w:r>
        <w:rPr>
          <w:rFonts w:hint="eastAsia" w:ascii="宋体" w:hAnsi="宋体" w:cs="宋体"/>
          <w:color w:val="auto"/>
        </w:rPr>
        <w:t>我方</w:t>
      </w:r>
      <w:r>
        <w:rPr>
          <w:rFonts w:hint="eastAsia" w:ascii="宋体" w:hAnsi="宋体" w:cs="宋体"/>
          <w:color w:val="auto"/>
          <w:u w:val="single"/>
        </w:rPr>
        <w:t xml:space="preserve">         </w:t>
      </w:r>
      <w:r>
        <w:rPr>
          <w:rFonts w:hint="eastAsia" w:ascii="宋体" w:hAnsi="宋体" w:cs="宋体"/>
          <w:color w:val="auto"/>
        </w:rPr>
        <w:t>（公司名称）自愿参加贵单位对贵院</w:t>
      </w:r>
      <w:r>
        <w:rPr>
          <w:rFonts w:hint="eastAsia" w:ascii="宋体" w:hAnsi="宋体" w:cs="宋体"/>
          <w:color w:val="auto"/>
          <w:u w:val="single"/>
        </w:rPr>
        <w:t>    </w:t>
      </w:r>
      <w:r>
        <w:rPr>
          <w:rFonts w:hint="eastAsia" w:ascii="宋体" w:hAnsi="宋体" w:cs="宋体"/>
          <w:color w:val="auto"/>
        </w:rPr>
        <w:t>（项目名称）采购前市场调研活动，并按要求提交完整的方案文件。现我方郑重承诺以下内容：</w:t>
      </w:r>
    </w:p>
    <w:p>
      <w:pPr>
        <w:pStyle w:val="5"/>
        <w:spacing w:line="400" w:lineRule="exact"/>
        <w:jc w:val="left"/>
        <w:rPr>
          <w:rFonts w:hint="default" w:ascii="宋体" w:hAnsi="宋体" w:cs="宋体" w:eastAsiaTheme="minorEastAsia"/>
          <w:color w:val="auto"/>
          <w:lang w:val="en-US" w:eastAsia="zh-CN"/>
        </w:rPr>
      </w:pPr>
      <w:r>
        <w:rPr>
          <w:rFonts w:hint="eastAsia" w:ascii="宋体" w:hAnsi="宋体" w:cs="宋体"/>
          <w:color w:val="auto"/>
          <w:lang w:val="en-US" w:eastAsia="zh-CN"/>
        </w:rPr>
        <w:t>一、公司资质要求</w:t>
      </w:r>
    </w:p>
    <w:p>
      <w:pPr>
        <w:pStyle w:val="5"/>
        <w:spacing w:line="400" w:lineRule="exact"/>
        <w:jc w:val="left"/>
        <w:rPr>
          <w:rFonts w:ascii="宋体"/>
          <w:color w:val="auto"/>
        </w:rPr>
      </w:pPr>
      <w:r>
        <w:rPr>
          <w:rFonts w:hint="eastAsia" w:ascii="宋体" w:hAnsi="宋体" w:cs="宋体"/>
          <w:color w:val="auto"/>
        </w:rPr>
        <w:t>（一）在中华人民共和国境内注册，具有独立法人资格的合法企业；</w:t>
      </w:r>
    </w:p>
    <w:p>
      <w:pPr>
        <w:pStyle w:val="5"/>
        <w:spacing w:line="400" w:lineRule="exact"/>
        <w:jc w:val="left"/>
        <w:rPr>
          <w:rFonts w:ascii="宋体"/>
          <w:color w:val="auto"/>
        </w:rPr>
      </w:pPr>
      <w:r>
        <w:rPr>
          <w:rFonts w:hint="eastAsia" w:ascii="宋体" w:hAnsi="宋体" w:cs="宋体"/>
          <w:color w:val="auto"/>
        </w:rPr>
        <w:t>（二）具有良好的商业信誉和健全的财务会计制度；</w:t>
      </w:r>
    </w:p>
    <w:p>
      <w:pPr>
        <w:pStyle w:val="5"/>
        <w:spacing w:line="400" w:lineRule="exact"/>
        <w:jc w:val="left"/>
        <w:rPr>
          <w:rFonts w:ascii="宋体"/>
          <w:color w:val="auto"/>
        </w:rPr>
      </w:pPr>
      <w:r>
        <w:rPr>
          <w:rFonts w:hint="eastAsia" w:ascii="宋体" w:hAnsi="宋体" w:cs="宋体"/>
          <w:color w:val="auto"/>
        </w:rPr>
        <w:t>（三）具有履行合同所必需的设备和专业技术能力；</w:t>
      </w:r>
    </w:p>
    <w:p>
      <w:pPr>
        <w:pStyle w:val="5"/>
        <w:spacing w:line="400" w:lineRule="exact"/>
        <w:jc w:val="left"/>
        <w:rPr>
          <w:rFonts w:ascii="宋体"/>
          <w:color w:val="auto"/>
        </w:rPr>
      </w:pPr>
      <w:r>
        <w:rPr>
          <w:rFonts w:hint="eastAsia" w:ascii="宋体" w:hAnsi="宋体" w:cs="宋体"/>
          <w:color w:val="auto"/>
        </w:rPr>
        <w:t>（四）有依法缴纳税收和社会保障资金的良好记录；</w:t>
      </w:r>
    </w:p>
    <w:p>
      <w:pPr>
        <w:pStyle w:val="5"/>
        <w:spacing w:line="400" w:lineRule="exact"/>
        <w:jc w:val="left"/>
        <w:rPr>
          <w:rFonts w:ascii="宋体"/>
          <w:color w:val="auto"/>
        </w:rPr>
      </w:pPr>
      <w:r>
        <w:rPr>
          <w:rFonts w:hint="eastAsia" w:ascii="宋体" w:hAnsi="宋体" w:cs="宋体"/>
          <w:color w:val="auto"/>
        </w:rPr>
        <w:t>（五）参加采购活动前三年内，在经营活动中没有重大违法记录；</w:t>
      </w:r>
    </w:p>
    <w:p>
      <w:pPr>
        <w:pStyle w:val="5"/>
        <w:spacing w:line="400" w:lineRule="exact"/>
        <w:jc w:val="left"/>
        <w:rPr>
          <w:rFonts w:ascii="宋体"/>
          <w:color w:val="auto"/>
        </w:rPr>
      </w:pPr>
      <w:r>
        <w:rPr>
          <w:rFonts w:hint="eastAsia" w:ascii="宋体" w:hAnsi="宋体" w:cs="宋体"/>
          <w:color w:val="auto"/>
        </w:rPr>
        <w:t>（六）法律、行政法规规定的其他条件；</w:t>
      </w:r>
    </w:p>
    <w:p>
      <w:pPr>
        <w:pStyle w:val="5"/>
        <w:spacing w:line="400" w:lineRule="exact"/>
        <w:jc w:val="left"/>
        <w:rPr>
          <w:rFonts w:hint="eastAsia" w:ascii="宋体" w:hAnsi="宋体" w:cs="宋体"/>
          <w:color w:val="auto"/>
          <w:lang w:val="en-US" w:eastAsia="zh-CN"/>
        </w:rPr>
      </w:pPr>
      <w:r>
        <w:rPr>
          <w:rFonts w:hint="eastAsia" w:ascii="宋体" w:hAnsi="宋体" w:cs="宋体"/>
          <w:color w:val="auto"/>
          <w:lang w:val="en-US" w:eastAsia="zh-CN"/>
        </w:rPr>
        <w:t>二、提供资料的真实性</w:t>
      </w:r>
    </w:p>
    <w:p>
      <w:pPr>
        <w:pStyle w:val="5"/>
        <w:spacing w:line="400" w:lineRule="exact"/>
        <w:jc w:val="left"/>
        <w:rPr>
          <w:rFonts w:hint="eastAsia" w:ascii="宋体" w:hAnsi="宋体" w:cs="宋体"/>
          <w:color w:val="auto"/>
          <w:lang w:val="en-US" w:eastAsia="zh-CN"/>
        </w:rPr>
      </w:pPr>
      <w:r>
        <w:rPr>
          <w:rFonts w:hint="eastAsia" w:ascii="宋体" w:hAnsi="宋体" w:cs="宋体"/>
          <w:color w:val="auto"/>
          <w:lang w:val="en-US" w:eastAsia="zh-CN"/>
        </w:rPr>
        <w:t>（一）我方按照贵院要求提供的方案内容及相关材料完全真实，若存在虚假，我方愿意接受贵单位及相关权利机构的相应处理。</w:t>
      </w:r>
    </w:p>
    <w:p>
      <w:pPr>
        <w:pStyle w:val="5"/>
        <w:spacing w:line="400" w:lineRule="exact"/>
        <w:jc w:val="left"/>
        <w:rPr>
          <w:rFonts w:hint="default" w:ascii="宋体" w:hAnsi="宋体" w:cs="宋体"/>
          <w:color w:val="auto"/>
          <w:lang w:val="en-US" w:eastAsia="zh-CN"/>
        </w:rPr>
      </w:pPr>
      <w:r>
        <w:rPr>
          <w:rFonts w:hint="eastAsia" w:ascii="宋体" w:hAnsi="宋体" w:cs="宋体"/>
          <w:color w:val="auto"/>
          <w:lang w:val="en-US" w:eastAsia="zh-CN"/>
        </w:rPr>
        <w:t>（二）我方同意贵单位对参加调研的所有方案进行参考与综合，同意贵单位对于结果不作任何解释。</w:t>
      </w:r>
    </w:p>
    <w:p>
      <w:pPr>
        <w:pStyle w:val="5"/>
        <w:spacing w:line="400" w:lineRule="exact"/>
        <w:jc w:val="left"/>
        <w:rPr>
          <w:rFonts w:hint="eastAsia" w:ascii="宋体" w:hAnsi="宋体" w:cs="宋体"/>
          <w:color w:val="auto"/>
        </w:rPr>
      </w:pPr>
      <w:r>
        <w:rPr>
          <w:rFonts w:hint="eastAsia" w:ascii="宋体" w:hAnsi="宋体" w:cs="宋体"/>
          <w:color w:val="auto"/>
        </w:rPr>
        <w:t>本单位对上述承诺的内容事项真实性负责。如经查实上述承诺的内容事项存在虚假，我单位愿意接受以提供虚假材料谋取成交追究法律责任。</w:t>
      </w:r>
    </w:p>
    <w:p>
      <w:pPr>
        <w:pStyle w:val="5"/>
        <w:spacing w:line="400" w:lineRule="exact"/>
        <w:jc w:val="left"/>
        <w:rPr>
          <w:rFonts w:hint="eastAsia" w:ascii="宋体" w:hAnsi="宋体" w:cs="宋体"/>
          <w:color w:val="auto"/>
        </w:rPr>
      </w:pPr>
    </w:p>
    <w:p>
      <w:pPr>
        <w:pStyle w:val="5"/>
        <w:spacing w:line="400" w:lineRule="exact"/>
        <w:jc w:val="left"/>
        <w:rPr>
          <w:rFonts w:hint="eastAsia" w:ascii="宋体" w:hAnsi="宋体" w:cs="宋体"/>
          <w:color w:val="auto"/>
        </w:rPr>
      </w:pPr>
    </w:p>
    <w:p>
      <w:pPr>
        <w:pStyle w:val="5"/>
        <w:spacing w:line="400" w:lineRule="exact"/>
        <w:jc w:val="left"/>
        <w:rPr>
          <w:rFonts w:hint="eastAsia" w:ascii="宋体" w:hAnsi="宋体" w:cs="宋体"/>
          <w:color w:val="auto"/>
        </w:rPr>
      </w:pPr>
    </w:p>
    <w:p>
      <w:pPr>
        <w:spacing w:line="360" w:lineRule="auto"/>
        <w:ind w:firstLine="420" w:firstLineChars="200"/>
        <w:jc w:val="center"/>
        <w:rPr>
          <w:rFonts w:ascii="宋体"/>
          <w:color w:val="auto"/>
        </w:rPr>
      </w:pPr>
      <w:r>
        <w:rPr>
          <w:rFonts w:hint="eastAsia" w:ascii="宋体" w:hAnsi="宋体" w:cs="宋体"/>
          <w:color w:val="auto"/>
          <w:kern w:val="0"/>
          <w:lang w:val="en-US" w:eastAsia="zh-CN"/>
        </w:rPr>
        <w:t xml:space="preserve">                                        </w:t>
      </w:r>
      <w:r>
        <w:rPr>
          <w:rFonts w:hint="eastAsia" w:ascii="宋体" w:hAnsi="宋体" w:cs="宋体"/>
          <w:color w:val="auto"/>
          <w:kern w:val="0"/>
        </w:rPr>
        <w:t>供应商名称：</w:t>
      </w:r>
      <w:r>
        <w:rPr>
          <w:rFonts w:ascii="宋体" w:hAnsi="宋体" w:cs="宋体"/>
          <w:color w:val="auto"/>
          <w:kern w:val="0"/>
        </w:rPr>
        <w:t>(</w:t>
      </w:r>
      <w:r>
        <w:rPr>
          <w:rFonts w:hint="eastAsia" w:ascii="宋体" w:hAnsi="宋体" w:cs="宋体"/>
          <w:color w:val="auto"/>
          <w:kern w:val="0"/>
        </w:rPr>
        <w:t>加盖公章</w:t>
      </w:r>
      <w:r>
        <w:rPr>
          <w:rFonts w:ascii="宋体" w:hAnsi="宋体" w:cs="宋体"/>
          <w:color w:val="auto"/>
          <w:kern w:val="0"/>
        </w:rPr>
        <w:t>)</w:t>
      </w:r>
    </w:p>
    <w:p>
      <w:pPr>
        <w:spacing w:line="360" w:lineRule="auto"/>
        <w:ind w:firstLine="420" w:firstLineChars="200"/>
        <w:jc w:val="center"/>
        <w:rPr>
          <w:rFonts w:ascii="宋体"/>
          <w:color w:val="auto"/>
          <w:kern w:val="0"/>
        </w:rPr>
      </w:pPr>
      <w:r>
        <w:rPr>
          <w:rFonts w:hint="eastAsia" w:ascii="宋体" w:hAnsi="宋体" w:cs="宋体"/>
          <w:color w:val="auto"/>
          <w:kern w:val="0"/>
          <w:lang w:val="en-US" w:eastAsia="zh-CN"/>
        </w:rPr>
        <w:t xml:space="preserve">                                             </w:t>
      </w:r>
      <w:r>
        <w:rPr>
          <w:rFonts w:hint="eastAsia" w:ascii="宋体" w:hAnsi="宋体" w:cs="宋体"/>
          <w:color w:val="auto"/>
          <w:kern w:val="0"/>
        </w:rPr>
        <w:t>法定代表人或代理人</w:t>
      </w:r>
      <w:r>
        <w:rPr>
          <w:rFonts w:ascii="宋体" w:hAnsi="宋体" w:cs="宋体"/>
          <w:color w:val="auto"/>
          <w:kern w:val="0"/>
        </w:rPr>
        <w:t>:</w:t>
      </w:r>
      <w:r>
        <w:rPr>
          <w:rFonts w:hint="eastAsia" w:ascii="宋体" w:hAnsi="宋体" w:cs="宋体"/>
          <w:color w:val="auto"/>
          <w:kern w:val="0"/>
        </w:rPr>
        <w:t>（签字）</w:t>
      </w:r>
    </w:p>
    <w:p>
      <w:pPr>
        <w:spacing w:line="360" w:lineRule="auto"/>
        <w:ind w:firstLine="420" w:firstLineChars="200"/>
        <w:jc w:val="center"/>
        <w:rPr>
          <w:rFonts w:ascii="宋体"/>
          <w:color w:val="auto"/>
          <w:kern w:val="0"/>
        </w:rPr>
      </w:pPr>
      <w:r>
        <w:rPr>
          <w:rFonts w:hint="eastAsia" w:ascii="宋体" w:hAnsi="宋体" w:cs="宋体"/>
          <w:color w:val="auto"/>
          <w:kern w:val="0"/>
          <w:lang w:val="en-US" w:eastAsia="zh-CN"/>
        </w:rPr>
        <w:t xml:space="preserve">                                         </w:t>
      </w:r>
      <w:r>
        <w:rPr>
          <w:rFonts w:hint="eastAsia" w:ascii="宋体" w:hAnsi="宋体" w:cs="宋体"/>
          <w:color w:val="auto"/>
          <w:kern w:val="0"/>
        </w:rPr>
        <w:t>日期：</w:t>
      </w:r>
      <w:r>
        <w:rPr>
          <w:rFonts w:hint="eastAsia" w:ascii="宋体" w:hAnsi="宋体" w:cs="宋体"/>
          <w:color w:val="auto"/>
          <w:kern w:val="0"/>
          <w:lang w:val="en-US" w:eastAsia="zh-CN"/>
        </w:rPr>
        <w:t xml:space="preserve">   </w:t>
      </w:r>
      <w:r>
        <w:rPr>
          <w:rFonts w:hint="eastAsia" w:ascii="宋体" w:hAnsi="宋体" w:cs="宋体"/>
          <w:color w:val="auto"/>
          <w:kern w:val="0"/>
        </w:rPr>
        <w:t>年</w:t>
      </w:r>
      <w:r>
        <w:rPr>
          <w:rFonts w:hint="eastAsia" w:ascii="宋体" w:hAnsi="宋体" w:cs="宋体"/>
          <w:color w:val="auto"/>
          <w:kern w:val="0"/>
          <w:lang w:val="en-US" w:eastAsia="zh-CN"/>
        </w:rPr>
        <w:t xml:space="preserve">    </w:t>
      </w:r>
      <w:r>
        <w:rPr>
          <w:rFonts w:hint="eastAsia" w:ascii="宋体" w:hAnsi="宋体" w:cs="宋体"/>
          <w:color w:val="auto"/>
          <w:kern w:val="0"/>
        </w:rPr>
        <w:t>月</w:t>
      </w:r>
      <w:r>
        <w:rPr>
          <w:rFonts w:hint="eastAsia" w:ascii="宋体" w:hAnsi="宋体" w:cs="宋体"/>
          <w:color w:val="auto"/>
          <w:kern w:val="0"/>
          <w:lang w:val="en-US" w:eastAsia="zh-CN"/>
        </w:rPr>
        <w:t xml:space="preserve">    </w:t>
      </w:r>
      <w:r>
        <w:rPr>
          <w:rFonts w:hint="eastAsia" w:ascii="宋体" w:hAnsi="宋体" w:cs="宋体"/>
          <w:color w:val="auto"/>
          <w:kern w:val="0"/>
        </w:rPr>
        <w:t>日</w:t>
      </w:r>
    </w:p>
    <w:p>
      <w:pPr>
        <w:pStyle w:val="8"/>
        <w:spacing w:line="360" w:lineRule="auto"/>
        <w:ind w:firstLine="420" w:firstLineChars="200"/>
        <w:rPr>
          <w:rFonts w:hAnsi="宋体" w:cs="Times New Roman"/>
          <w:color w:val="auto"/>
          <w:kern w:val="0"/>
        </w:rPr>
      </w:pPr>
    </w:p>
    <w:p>
      <w:pPr>
        <w:pStyle w:val="8"/>
        <w:spacing w:line="360" w:lineRule="auto"/>
        <w:ind w:firstLine="420" w:firstLineChars="200"/>
        <w:rPr>
          <w:rFonts w:hint="eastAsia" w:hAnsi="宋体"/>
          <w:color w:val="auto"/>
          <w:kern w:val="0"/>
        </w:rPr>
      </w:pPr>
    </w:p>
    <w:p>
      <w:pPr>
        <w:pStyle w:val="8"/>
        <w:spacing w:line="360" w:lineRule="auto"/>
        <w:ind w:firstLine="420" w:firstLineChars="200"/>
        <w:rPr>
          <w:rFonts w:hint="eastAsia" w:hAnsi="宋体"/>
          <w:color w:val="auto"/>
          <w:kern w:val="0"/>
        </w:rPr>
      </w:pPr>
    </w:p>
    <w:p>
      <w:pPr>
        <w:pStyle w:val="8"/>
        <w:spacing w:line="360" w:lineRule="auto"/>
        <w:ind w:firstLine="420" w:firstLineChars="200"/>
        <w:rPr>
          <w:rFonts w:hAnsi="宋体" w:cs="Times New Roman"/>
          <w:color w:val="auto"/>
          <w:kern w:val="0"/>
        </w:rPr>
      </w:pPr>
      <w:r>
        <w:rPr>
          <w:rFonts w:hint="eastAsia" w:hAnsi="宋体"/>
          <w:color w:val="auto"/>
          <w:kern w:val="0"/>
        </w:rPr>
        <w:t>注：本承诺函可自行提供具有有效签字或盖章的格式。</w:t>
      </w:r>
    </w:p>
    <w:p>
      <w:pPr>
        <w:pStyle w:val="5"/>
        <w:spacing w:line="400" w:lineRule="exact"/>
        <w:jc w:val="left"/>
        <w:rPr>
          <w:rFonts w:hint="eastAsia" w:ascii="宋体" w:hAnsi="宋体" w:cs="宋体"/>
          <w:color w:val="auto"/>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rPr>
          <w:rFonts w:hint="eastAsia"/>
          <w:color w:val="auto"/>
          <w:lang w:val="en-US" w:eastAsia="zh-CN"/>
        </w:rPr>
        <w:sectPr>
          <w:pgSz w:w="11906" w:h="16838"/>
          <w:pgMar w:top="1440" w:right="1800" w:bottom="1440" w:left="1800"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color w:val="auto"/>
          <w:lang w:val="en-US" w:eastAsia="zh-CN"/>
        </w:rPr>
      </w:pPr>
      <w:bookmarkStart w:id="28" w:name="_Toc30193"/>
      <w:r>
        <w:rPr>
          <w:rFonts w:hint="eastAsia"/>
          <w:color w:val="auto"/>
          <w:lang w:val="en-US" w:eastAsia="zh-CN"/>
        </w:rPr>
        <w:t>三、项目调研情况一览汇总表</w:t>
      </w:r>
      <w:bookmarkEnd w:id="28"/>
    </w:p>
    <w:p>
      <w:pPr>
        <w:pStyle w:val="6"/>
        <w:spacing w:line="360" w:lineRule="auto"/>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项目名称：       </w:t>
      </w:r>
      <w:r>
        <w:rPr>
          <w:rFonts w:hint="eastAsia" w:ascii="仿宋" w:hAnsi="仿宋" w:cs="仿宋"/>
          <w:i w:val="0"/>
          <w:iCs w:val="0"/>
          <w:color w:val="auto"/>
          <w:kern w:val="0"/>
          <w:sz w:val="24"/>
          <w:szCs w:val="24"/>
          <w:u w:val="none"/>
          <w:lang w:val="en-US" w:eastAsia="zh-CN" w:bidi="ar"/>
        </w:rPr>
        <w:t xml:space="preserve">      </w:t>
      </w:r>
      <w:r>
        <w:rPr>
          <w:rFonts w:hint="eastAsia" w:ascii="仿宋" w:hAnsi="仿宋" w:eastAsia="仿宋" w:cs="仿宋"/>
          <w:i w:val="0"/>
          <w:iCs w:val="0"/>
          <w:color w:val="auto"/>
          <w:kern w:val="0"/>
          <w:sz w:val="24"/>
          <w:szCs w:val="24"/>
          <w:u w:val="none"/>
          <w:lang w:val="en-US" w:eastAsia="zh-CN" w:bidi="ar"/>
        </w:rPr>
        <w:t xml:space="preserve">   采购品目分类名称：</w:t>
      </w:r>
      <w:r>
        <w:rPr>
          <w:rFonts w:hint="eastAsia" w:ascii="仿宋" w:hAnsi="仿宋" w:cs="仿宋"/>
          <w:i w:val="0"/>
          <w:iCs w:val="0"/>
          <w:color w:val="auto"/>
          <w:kern w:val="0"/>
          <w:sz w:val="24"/>
          <w:szCs w:val="24"/>
          <w:u w:val="none"/>
          <w:lang w:val="en-US" w:eastAsia="zh-CN" w:bidi="ar"/>
        </w:rPr>
        <w:t xml:space="preserve">              </w:t>
      </w:r>
      <w:r>
        <w:rPr>
          <w:rFonts w:hint="eastAsia" w:ascii="仿宋" w:hAnsi="仿宋" w:eastAsia="仿宋" w:cs="仿宋"/>
          <w:i w:val="0"/>
          <w:iCs w:val="0"/>
          <w:color w:val="auto"/>
          <w:kern w:val="0"/>
          <w:sz w:val="24"/>
          <w:szCs w:val="24"/>
          <w:u w:val="none"/>
          <w:lang w:val="en-US" w:eastAsia="zh-CN" w:bidi="ar"/>
        </w:rPr>
        <w:t>供应商名称：               联系人及联系电话：</w:t>
      </w:r>
    </w:p>
    <w:tbl>
      <w:tblPr>
        <w:tblStyle w:val="14"/>
        <w:tblW w:w="524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2"/>
        <w:gridCol w:w="1768"/>
        <w:gridCol w:w="2091"/>
        <w:gridCol w:w="1269"/>
        <w:gridCol w:w="2020"/>
        <w:gridCol w:w="952"/>
        <w:gridCol w:w="921"/>
        <w:gridCol w:w="1114"/>
        <w:gridCol w:w="3236"/>
        <w:gridCol w:w="15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jc w:val="center"/>
        </w:trPr>
        <w:tc>
          <w:tcPr>
            <w:tcW w:w="5000" w:type="pct"/>
            <w:gridSpan w:val="10"/>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6"/>
                <w:szCs w:val="36"/>
                <w:u w:val="none"/>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项目调研情况一览汇总表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7" w:hRule="atLeast"/>
          <w:jc w:val="center"/>
        </w:trPr>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color w:val="auto"/>
                <w:sz w:val="20"/>
                <w:szCs w:val="20"/>
                <w:lang w:val="en-US" w:eastAsia="zh-CN"/>
              </w:rPr>
              <w:t>序号</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供应商名称</w:t>
            </w:r>
          </w:p>
          <w:p>
            <w:pPr>
              <w:pStyle w:val="2"/>
              <w:keepNext w:val="0"/>
              <w:keepLines w:val="0"/>
              <w:pageBreakBefore w:val="0"/>
              <w:kinsoku/>
              <w:wordWrap/>
              <w:overflowPunct/>
              <w:topLinePunct w:val="0"/>
              <w:bidi w:val="0"/>
              <w:snapToGrid/>
              <w:spacing w:line="240" w:lineRule="exact"/>
              <w:jc w:val="center"/>
              <w:rPr>
                <w:rFonts w:hint="default" w:ascii="仿宋" w:hAnsi="仿宋" w:eastAsia="仿宋" w:cs="仿宋"/>
                <w:b w:val="0"/>
                <w:color w:val="auto"/>
                <w:kern w:val="2"/>
                <w:sz w:val="24"/>
                <w:szCs w:val="24"/>
                <w:lang w:val="en-US" w:eastAsia="zh-CN" w:bidi="ar-SA"/>
              </w:rPr>
            </w:pPr>
            <w:r>
              <w:rPr>
                <w:rFonts w:hint="eastAsia" w:ascii="仿宋" w:hAnsi="仿宋" w:eastAsia="仿宋" w:cs="仿宋"/>
                <w:color w:val="auto"/>
                <w:sz w:val="20"/>
                <w:szCs w:val="20"/>
                <w:lang w:val="en-US" w:eastAsia="zh-CN"/>
              </w:rPr>
              <w:t>（必填）</w:t>
            </w: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产品公司名称</w:t>
            </w:r>
          </w:p>
          <w:p>
            <w:pPr>
              <w:pStyle w:val="2"/>
              <w:keepNext w:val="0"/>
              <w:keepLines w:val="0"/>
              <w:pageBreakBefore w:val="0"/>
              <w:kinsoku/>
              <w:wordWrap/>
              <w:overflowPunct/>
              <w:topLinePunct w:val="0"/>
              <w:bidi w:val="0"/>
              <w:snapToGrid/>
              <w:spacing w:line="240" w:lineRule="exact"/>
              <w:jc w:val="center"/>
              <w:rPr>
                <w:rFonts w:hint="default" w:ascii="仿宋" w:hAnsi="仿宋" w:eastAsia="仿宋" w:cs="仿宋"/>
                <w:b w:val="0"/>
                <w:color w:val="auto"/>
                <w:kern w:val="2"/>
                <w:sz w:val="24"/>
                <w:szCs w:val="24"/>
                <w:lang w:val="en-US" w:eastAsia="zh-CN" w:bidi="ar-SA"/>
              </w:rPr>
            </w:pPr>
            <w:r>
              <w:rPr>
                <w:rFonts w:hint="eastAsia" w:ascii="仿宋" w:hAnsi="仿宋" w:eastAsia="仿宋" w:cs="仿宋"/>
                <w:color w:val="auto"/>
                <w:sz w:val="20"/>
                <w:szCs w:val="20"/>
                <w:lang w:val="en-US" w:eastAsia="zh-CN"/>
              </w:rPr>
              <w:t>（必填）</w:t>
            </w: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总包干</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0"/>
                <w:szCs w:val="20"/>
                <w:lang w:val="en-US" w:eastAsia="zh-CN" w:bidi="ar-SA"/>
              </w:rPr>
              <w:t>报价</w:t>
            </w:r>
            <w:r>
              <w:rPr>
                <w:rFonts w:hint="eastAsia" w:ascii="仿宋" w:hAnsi="仿宋" w:eastAsia="仿宋" w:cs="仿宋"/>
                <w:b w:val="0"/>
                <w:color w:val="auto"/>
                <w:kern w:val="2"/>
                <w:sz w:val="20"/>
                <w:szCs w:val="20"/>
                <w:lang w:val="en-US" w:eastAsia="zh-CN" w:bidi="ar-SA"/>
              </w:rPr>
              <w:br w:type="textWrapping"/>
            </w:r>
            <w:r>
              <w:rPr>
                <w:rFonts w:hint="eastAsia" w:ascii="仿宋" w:hAnsi="仿宋" w:eastAsia="仿宋" w:cs="仿宋"/>
                <w:b w:val="0"/>
                <w:color w:val="auto"/>
                <w:kern w:val="2"/>
                <w:sz w:val="20"/>
                <w:szCs w:val="20"/>
                <w:lang w:val="en-US" w:eastAsia="zh-CN" w:bidi="ar-SA"/>
              </w:rPr>
              <w:t>（万元）</w:t>
            </w:r>
          </w:p>
        </w:tc>
        <w:tc>
          <w:tcPr>
            <w:tcW w:w="6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color w:val="auto"/>
                <w:sz w:val="20"/>
                <w:szCs w:val="20"/>
                <w:lang w:val="en-US" w:eastAsia="zh-CN"/>
              </w:rPr>
              <w:t>该产品在国内三甲医院用户案例</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实施周期及驻场实施人数</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 w:hAnsi="仿宋" w:eastAsia="仿宋" w:cs="仿宋"/>
                <w:b w:val="0"/>
                <w:color w:val="auto"/>
                <w:kern w:val="2"/>
                <w:sz w:val="24"/>
                <w:szCs w:val="24"/>
                <w:lang w:val="en-US" w:eastAsia="zh-CN" w:bidi="ar-SA"/>
              </w:rPr>
            </w:pPr>
          </w:p>
        </w:tc>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0"/>
                <w:szCs w:val="20"/>
                <w:lang w:val="en-US" w:eastAsia="zh-CN" w:bidi="ar-SA"/>
              </w:rPr>
              <w:t>免费</w:t>
            </w:r>
            <w:r>
              <w:rPr>
                <w:rFonts w:hint="eastAsia" w:ascii="仿宋" w:hAnsi="仿宋" w:eastAsia="仿宋" w:cs="仿宋"/>
                <w:b w:val="0"/>
                <w:color w:val="auto"/>
                <w:kern w:val="2"/>
                <w:sz w:val="20"/>
                <w:szCs w:val="20"/>
                <w:lang w:val="en-US" w:eastAsia="zh-CN" w:bidi="ar-SA"/>
              </w:rPr>
              <w:br w:type="textWrapping"/>
            </w:r>
            <w:r>
              <w:rPr>
                <w:rFonts w:hint="eastAsia" w:ascii="仿宋" w:hAnsi="仿宋" w:eastAsia="仿宋" w:cs="仿宋"/>
                <w:b w:val="0"/>
                <w:color w:val="auto"/>
                <w:kern w:val="2"/>
                <w:sz w:val="20"/>
                <w:szCs w:val="20"/>
                <w:lang w:val="en-US" w:eastAsia="zh-CN" w:bidi="ar-SA"/>
              </w:rPr>
              <w:t>质保期（3年及以上，最佳5年）</w:t>
            </w:r>
          </w:p>
        </w:tc>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0"/>
                <w:szCs w:val="20"/>
                <w:lang w:val="en-US" w:eastAsia="zh-CN" w:bidi="ar-SA"/>
              </w:rPr>
              <w:t>后期</w:t>
            </w:r>
            <w:r>
              <w:rPr>
                <w:rFonts w:hint="eastAsia" w:ascii="仿宋" w:hAnsi="仿宋" w:eastAsia="仿宋" w:cs="仿宋"/>
                <w:b w:val="0"/>
                <w:color w:val="auto"/>
                <w:kern w:val="2"/>
                <w:sz w:val="20"/>
                <w:szCs w:val="20"/>
                <w:lang w:val="en-US" w:eastAsia="zh-CN" w:bidi="ar-SA"/>
              </w:rPr>
              <w:br w:type="textWrapping"/>
            </w:r>
            <w:r>
              <w:rPr>
                <w:rFonts w:hint="eastAsia" w:ascii="仿宋" w:hAnsi="仿宋" w:eastAsia="仿宋" w:cs="仿宋"/>
                <w:b w:val="0"/>
                <w:color w:val="auto"/>
                <w:kern w:val="2"/>
                <w:sz w:val="20"/>
                <w:szCs w:val="20"/>
                <w:lang w:val="en-US" w:eastAsia="zh-CN" w:bidi="ar-SA"/>
              </w:rPr>
              <w:t>维护费</w:t>
            </w:r>
            <w:r>
              <w:rPr>
                <w:rFonts w:hint="eastAsia" w:ascii="仿宋" w:hAnsi="仿宋" w:eastAsia="仿宋" w:cs="仿宋"/>
                <w:b w:val="0"/>
                <w:color w:val="auto"/>
                <w:kern w:val="2"/>
                <w:sz w:val="20"/>
                <w:szCs w:val="20"/>
                <w:lang w:val="en-US" w:eastAsia="zh-CN" w:bidi="ar-SA"/>
              </w:rPr>
              <w:br w:type="textWrapping"/>
            </w:r>
            <w:r>
              <w:rPr>
                <w:rFonts w:hint="eastAsia" w:ascii="仿宋" w:hAnsi="仿宋" w:eastAsia="仿宋" w:cs="仿宋"/>
                <w:b w:val="0"/>
                <w:color w:val="auto"/>
                <w:kern w:val="2"/>
                <w:sz w:val="20"/>
                <w:szCs w:val="20"/>
                <w:lang w:val="en-US" w:eastAsia="zh-CN" w:bidi="ar-SA"/>
              </w:rPr>
              <w:t>（不得高于合同金额5%）</w:t>
            </w:r>
          </w:p>
        </w:tc>
        <w:tc>
          <w:tcPr>
            <w:tcW w:w="104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0"/>
                <w:szCs w:val="20"/>
                <w:lang w:val="en-US" w:eastAsia="zh-CN" w:bidi="ar-SA"/>
              </w:rPr>
              <w:t>评级情况</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0"/>
                <w:szCs w:val="20"/>
                <w:lang w:val="en-US" w:eastAsia="zh-CN" w:bidi="ar-SA"/>
              </w:rPr>
              <w:t>优势特色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2" w:hRule="atLeast"/>
          <w:jc w:val="center"/>
        </w:trPr>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0"/>
                <w:szCs w:val="20"/>
                <w:lang w:val="en-US" w:eastAsia="zh-CN" w:bidi="ar-SA"/>
              </w:rPr>
              <w:t>1</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auto"/>
                <w:kern w:val="2"/>
                <w:sz w:val="24"/>
                <w:szCs w:val="24"/>
                <w:lang w:val="en-US" w:eastAsia="zh-CN" w:bidi="ar-SA"/>
              </w:rPr>
            </w:pP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auto"/>
                <w:kern w:val="2"/>
                <w:sz w:val="24"/>
                <w:szCs w:val="24"/>
                <w:lang w:val="en-US" w:eastAsia="zh-CN" w:bidi="ar-SA"/>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auto"/>
                <w:kern w:val="2"/>
                <w:sz w:val="24"/>
                <w:szCs w:val="24"/>
                <w:lang w:val="en-US" w:eastAsia="zh-CN" w:bidi="ar-SA"/>
              </w:rPr>
            </w:pPr>
          </w:p>
        </w:tc>
        <w:tc>
          <w:tcPr>
            <w:tcW w:w="65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bidi w:val="0"/>
              <w:snapToGrid/>
              <w:spacing w:line="240" w:lineRule="exact"/>
              <w:jc w:val="left"/>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填写样例:</w:t>
            </w:r>
          </w:p>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省内X家，省外X家</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color w:val="auto"/>
                <w:sz w:val="20"/>
                <w:szCs w:val="20"/>
                <w:lang w:val="en-US" w:eastAsia="zh-CN"/>
              </w:rPr>
              <w:t>代表案例具体医院名称：</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填写样例:</w:t>
            </w:r>
          </w:p>
          <w:p>
            <w:pPr>
              <w:pStyle w:val="2"/>
              <w:keepNext w:val="0"/>
              <w:keepLines w:val="0"/>
              <w:pageBreakBefore w:val="0"/>
              <w:kinsoku/>
              <w:wordWrap/>
              <w:overflowPunct/>
              <w:topLinePunct w:val="0"/>
              <w:bidi w:val="0"/>
              <w:snapToGrid/>
              <w:spacing w:line="240" w:lineRule="exact"/>
              <w:jc w:val="left"/>
              <w:rPr>
                <w:rFonts w:hint="default"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实施周期：X天</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0"/>
                <w:szCs w:val="20"/>
                <w:lang w:val="en-US" w:eastAsia="zh-CN" w:bidi="ar-SA"/>
              </w:rPr>
              <w:t>驻场实施人数：X人</w:t>
            </w:r>
          </w:p>
        </w:tc>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填写样例:</w:t>
            </w:r>
          </w:p>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b w:val="0"/>
                <w:color w:val="auto"/>
                <w:kern w:val="2"/>
                <w:sz w:val="24"/>
                <w:szCs w:val="24"/>
                <w:lang w:val="en-US" w:eastAsia="zh-CN" w:bidi="ar-SA"/>
              </w:rPr>
            </w:pPr>
            <w:r>
              <w:rPr>
                <w:rFonts w:hint="eastAsia" w:ascii="仿宋" w:hAnsi="仿宋" w:eastAsia="仿宋" w:cs="仿宋"/>
                <w:color w:val="auto"/>
                <w:sz w:val="20"/>
                <w:szCs w:val="20"/>
                <w:lang w:val="en-US" w:eastAsia="zh-CN"/>
              </w:rPr>
              <w:t>X年</w:t>
            </w:r>
          </w:p>
        </w:tc>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填写样例:</w:t>
            </w:r>
          </w:p>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b w:val="0"/>
                <w:color w:val="auto"/>
                <w:kern w:val="2"/>
                <w:sz w:val="24"/>
                <w:szCs w:val="24"/>
                <w:lang w:val="en-US" w:eastAsia="zh-CN" w:bidi="ar-SA"/>
              </w:rPr>
            </w:pPr>
            <w:r>
              <w:rPr>
                <w:rFonts w:hint="eastAsia" w:ascii="仿宋" w:hAnsi="仿宋" w:eastAsia="仿宋" w:cs="仿宋"/>
                <w:color w:val="auto"/>
                <w:sz w:val="20"/>
                <w:szCs w:val="20"/>
                <w:lang w:val="en-US" w:eastAsia="zh-CN"/>
              </w:rPr>
              <w:t>合同金额的5%</w:t>
            </w:r>
          </w:p>
        </w:tc>
        <w:tc>
          <w:tcPr>
            <w:tcW w:w="104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填写样例:</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1.电子病历：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2.智慧管理：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3.智慧服务：</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0"/>
                <w:szCs w:val="20"/>
                <w:lang w:val="en-US" w:eastAsia="zh-CN" w:bidi="ar-SA"/>
              </w:rPr>
              <w:t>4.四川省智慧医院得分：</w:t>
            </w:r>
          </w:p>
        </w:tc>
        <w:tc>
          <w:tcPr>
            <w:tcW w:w="5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2</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auto"/>
                <w:kern w:val="2"/>
                <w:sz w:val="24"/>
                <w:szCs w:val="24"/>
                <w:lang w:val="en-US" w:eastAsia="zh-CN" w:bidi="ar-SA"/>
              </w:rPr>
            </w:pP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auto"/>
                <w:kern w:val="2"/>
                <w:sz w:val="24"/>
                <w:szCs w:val="24"/>
                <w:lang w:val="en-US" w:eastAsia="zh-CN" w:bidi="ar-SA"/>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auto"/>
                <w:kern w:val="2"/>
                <w:sz w:val="24"/>
                <w:szCs w:val="24"/>
                <w:lang w:val="en-US" w:eastAsia="zh-CN" w:bidi="ar-SA"/>
              </w:rPr>
            </w:pPr>
          </w:p>
        </w:tc>
        <w:tc>
          <w:tcPr>
            <w:tcW w:w="6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sz w:val="20"/>
                <w:szCs w:val="20"/>
                <w:lang w:val="en-US" w:eastAsia="zh-CN"/>
              </w:rPr>
            </w:pP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auto"/>
                <w:kern w:val="2"/>
                <w:sz w:val="20"/>
                <w:szCs w:val="20"/>
                <w:lang w:val="en-US" w:eastAsia="zh-CN" w:bidi="ar-SA"/>
              </w:rPr>
            </w:pPr>
          </w:p>
        </w:tc>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color w:val="auto"/>
                <w:sz w:val="20"/>
                <w:szCs w:val="20"/>
                <w:lang w:val="en-US" w:eastAsia="zh-CN"/>
              </w:rPr>
            </w:pPr>
          </w:p>
        </w:tc>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color w:val="auto"/>
                <w:sz w:val="20"/>
                <w:szCs w:val="20"/>
                <w:lang w:val="en-US" w:eastAsia="zh-CN"/>
              </w:rPr>
            </w:pPr>
          </w:p>
        </w:tc>
        <w:tc>
          <w:tcPr>
            <w:tcW w:w="104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auto"/>
                <w:kern w:val="2"/>
                <w:sz w:val="20"/>
                <w:szCs w:val="20"/>
                <w:lang w:val="en-US" w:eastAsia="zh-CN" w:bidi="ar-SA"/>
              </w:rPr>
            </w:pPr>
          </w:p>
        </w:tc>
        <w:tc>
          <w:tcPr>
            <w:tcW w:w="5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3</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auto"/>
                <w:kern w:val="2"/>
                <w:sz w:val="24"/>
                <w:szCs w:val="24"/>
                <w:lang w:val="en-US" w:eastAsia="zh-CN" w:bidi="ar-SA"/>
              </w:rPr>
            </w:pP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auto"/>
                <w:kern w:val="2"/>
                <w:sz w:val="24"/>
                <w:szCs w:val="24"/>
                <w:lang w:val="en-US" w:eastAsia="zh-CN" w:bidi="ar-SA"/>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auto"/>
                <w:kern w:val="2"/>
                <w:sz w:val="24"/>
                <w:szCs w:val="24"/>
                <w:lang w:val="en-US" w:eastAsia="zh-CN" w:bidi="ar-SA"/>
              </w:rPr>
            </w:pPr>
          </w:p>
        </w:tc>
        <w:tc>
          <w:tcPr>
            <w:tcW w:w="6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sz w:val="20"/>
                <w:szCs w:val="20"/>
                <w:lang w:val="en-US" w:eastAsia="zh-CN"/>
              </w:rPr>
            </w:pP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auto"/>
                <w:kern w:val="2"/>
                <w:sz w:val="20"/>
                <w:szCs w:val="20"/>
                <w:lang w:val="en-US" w:eastAsia="zh-CN" w:bidi="ar-SA"/>
              </w:rPr>
            </w:pPr>
          </w:p>
        </w:tc>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color w:val="auto"/>
                <w:sz w:val="20"/>
                <w:szCs w:val="20"/>
                <w:lang w:val="en-US" w:eastAsia="zh-CN"/>
              </w:rPr>
            </w:pPr>
          </w:p>
        </w:tc>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color w:val="auto"/>
                <w:sz w:val="20"/>
                <w:szCs w:val="20"/>
                <w:lang w:val="en-US" w:eastAsia="zh-CN"/>
              </w:rPr>
            </w:pPr>
          </w:p>
        </w:tc>
        <w:tc>
          <w:tcPr>
            <w:tcW w:w="104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auto"/>
                <w:kern w:val="2"/>
                <w:sz w:val="20"/>
                <w:szCs w:val="20"/>
                <w:lang w:val="en-US" w:eastAsia="zh-CN" w:bidi="ar-SA"/>
              </w:rPr>
            </w:pPr>
          </w:p>
        </w:tc>
        <w:tc>
          <w:tcPr>
            <w:tcW w:w="5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4</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auto"/>
                <w:kern w:val="2"/>
                <w:sz w:val="24"/>
                <w:szCs w:val="24"/>
                <w:lang w:val="en-US" w:eastAsia="zh-CN" w:bidi="ar-SA"/>
              </w:rPr>
            </w:pP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auto"/>
                <w:kern w:val="2"/>
                <w:sz w:val="24"/>
                <w:szCs w:val="24"/>
                <w:lang w:val="en-US" w:eastAsia="zh-CN" w:bidi="ar-SA"/>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auto"/>
                <w:kern w:val="2"/>
                <w:sz w:val="24"/>
                <w:szCs w:val="24"/>
                <w:lang w:val="en-US" w:eastAsia="zh-CN" w:bidi="ar-SA"/>
              </w:rPr>
            </w:pPr>
          </w:p>
        </w:tc>
        <w:tc>
          <w:tcPr>
            <w:tcW w:w="6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sz w:val="20"/>
                <w:szCs w:val="20"/>
                <w:lang w:val="en-US" w:eastAsia="zh-CN"/>
              </w:rPr>
            </w:pP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auto"/>
                <w:kern w:val="2"/>
                <w:sz w:val="20"/>
                <w:szCs w:val="20"/>
                <w:lang w:val="en-US" w:eastAsia="zh-CN" w:bidi="ar-SA"/>
              </w:rPr>
            </w:pPr>
          </w:p>
        </w:tc>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color w:val="auto"/>
                <w:sz w:val="20"/>
                <w:szCs w:val="20"/>
                <w:lang w:val="en-US" w:eastAsia="zh-CN"/>
              </w:rPr>
            </w:pPr>
          </w:p>
        </w:tc>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color w:val="auto"/>
                <w:sz w:val="20"/>
                <w:szCs w:val="20"/>
                <w:lang w:val="en-US" w:eastAsia="zh-CN"/>
              </w:rPr>
            </w:pPr>
          </w:p>
        </w:tc>
        <w:tc>
          <w:tcPr>
            <w:tcW w:w="104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auto"/>
                <w:kern w:val="2"/>
                <w:sz w:val="20"/>
                <w:szCs w:val="20"/>
                <w:lang w:val="en-US" w:eastAsia="zh-CN" w:bidi="ar-SA"/>
              </w:rPr>
            </w:pPr>
          </w:p>
        </w:tc>
        <w:tc>
          <w:tcPr>
            <w:tcW w:w="5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42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合计：</w:t>
            </w: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auto"/>
                <w:kern w:val="2"/>
                <w:sz w:val="24"/>
                <w:szCs w:val="24"/>
                <w:lang w:val="en-US" w:eastAsia="zh-CN" w:bidi="ar-SA"/>
              </w:rPr>
            </w:pPr>
          </w:p>
        </w:tc>
        <w:tc>
          <w:tcPr>
            <w:tcW w:w="6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auto"/>
                <w:kern w:val="2"/>
                <w:sz w:val="24"/>
                <w:szCs w:val="24"/>
                <w:lang w:val="en-US" w:eastAsia="zh-CN" w:bidi="ar-SA"/>
              </w:rPr>
            </w:pP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auto"/>
                <w:kern w:val="2"/>
                <w:sz w:val="24"/>
                <w:szCs w:val="24"/>
                <w:lang w:val="en-US" w:eastAsia="zh-CN" w:bidi="ar-SA"/>
              </w:rPr>
            </w:pPr>
          </w:p>
        </w:tc>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auto"/>
                <w:kern w:val="2"/>
                <w:sz w:val="24"/>
                <w:szCs w:val="24"/>
                <w:lang w:val="en-US" w:eastAsia="zh-CN" w:bidi="ar-SA"/>
              </w:rPr>
            </w:pPr>
          </w:p>
        </w:tc>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auto"/>
                <w:kern w:val="2"/>
                <w:sz w:val="24"/>
                <w:szCs w:val="24"/>
                <w:lang w:val="en-US" w:eastAsia="zh-CN" w:bidi="ar-SA"/>
              </w:rPr>
            </w:pPr>
          </w:p>
        </w:tc>
        <w:tc>
          <w:tcPr>
            <w:tcW w:w="104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auto"/>
                <w:kern w:val="2"/>
                <w:sz w:val="24"/>
                <w:szCs w:val="24"/>
                <w:lang w:val="en-US" w:eastAsia="zh-CN" w:bidi="ar-SA"/>
              </w:rPr>
            </w:pPr>
          </w:p>
        </w:tc>
        <w:tc>
          <w:tcPr>
            <w:tcW w:w="5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auto"/>
                <w:kern w:val="2"/>
                <w:sz w:val="24"/>
                <w:szCs w:val="24"/>
                <w:lang w:val="en-US" w:eastAsia="zh-CN" w:bidi="ar-SA"/>
              </w:rPr>
            </w:pPr>
          </w:p>
        </w:tc>
      </w:tr>
    </w:tbl>
    <w:p>
      <w:pPr>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sectPr>
          <w:pgSz w:w="16838" w:h="11906" w:orient="landscape"/>
          <w:pgMar w:top="1134" w:right="1134" w:bottom="567" w:left="1134" w:header="851" w:footer="992" w:gutter="0"/>
          <w:cols w:space="425" w:num="1"/>
          <w:docGrid w:type="lines" w:linePitch="312" w:charSpace="0"/>
        </w:sectPr>
      </w:pPr>
    </w:p>
    <w:p>
      <w:pPr>
        <w:pStyle w:val="2"/>
        <w:rPr>
          <w:rFonts w:hint="eastAsia"/>
          <w:color w:val="auto"/>
          <w:lang w:val="en-US" w:eastAsia="zh-CN"/>
        </w:rPr>
      </w:pPr>
    </w:p>
    <w:p>
      <w:pPr>
        <w:pStyle w:val="3"/>
        <w:keepNext/>
        <w:keepLines/>
        <w:pageBreakBefore w:val="0"/>
        <w:widowControl w:val="0"/>
        <w:numPr>
          <w:ilvl w:val="0"/>
          <w:numId w:val="3"/>
        </w:numPr>
        <w:kinsoku/>
        <w:wordWrap/>
        <w:overflowPunct/>
        <w:topLinePunct w:val="0"/>
        <w:autoSpaceDE/>
        <w:autoSpaceDN/>
        <w:bidi w:val="0"/>
        <w:adjustRightInd/>
        <w:snapToGrid/>
        <w:spacing w:before="100" w:after="100"/>
        <w:jc w:val="both"/>
        <w:textAlignment w:val="auto"/>
        <w:rPr>
          <w:rFonts w:hint="eastAsia"/>
          <w:color w:val="auto"/>
          <w:lang w:val="en-US" w:eastAsia="zh-CN"/>
        </w:rPr>
      </w:pPr>
      <w:bookmarkStart w:id="29" w:name="_Toc6575"/>
      <w:r>
        <w:rPr>
          <w:rFonts w:hint="eastAsia"/>
          <w:color w:val="auto"/>
          <w:lang w:val="en-US" w:eastAsia="zh-CN"/>
        </w:rPr>
        <w:t>调研项目配置清单及分项报价明细</w:t>
      </w:r>
      <w:bookmarkEnd w:id="29"/>
    </w:p>
    <w:p>
      <w:pPr>
        <w:bidi w:val="0"/>
        <w:rPr>
          <w:rFonts w:hint="default"/>
          <w:color w:val="auto"/>
          <w:lang w:val="en-US" w:eastAsia="zh-CN"/>
        </w:rPr>
      </w:pPr>
      <w:r>
        <w:rPr>
          <w:rFonts w:hint="eastAsia"/>
          <w:color w:val="auto"/>
          <w:lang w:val="en-US" w:eastAsia="zh-CN"/>
        </w:rPr>
        <w:t>（格式可自拟）</w:t>
      </w: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color w:val="auto"/>
          <w:lang w:val="en-US" w:eastAsia="zh-CN"/>
        </w:rPr>
      </w:pPr>
      <w:bookmarkStart w:id="30" w:name="_Toc24884"/>
      <w:r>
        <w:rPr>
          <w:rFonts w:hint="eastAsia"/>
          <w:color w:val="auto"/>
          <w:lang w:val="en-US" w:eastAsia="zh-CN"/>
        </w:rPr>
        <w:t>五、三甲综合医院同类项目案例</w:t>
      </w:r>
      <w:bookmarkEnd w:id="30"/>
    </w:p>
    <w:p>
      <w:pPr>
        <w:pStyle w:val="4"/>
        <w:bidi w:val="0"/>
        <w:ind w:firstLine="482" w:firstLineChars="200"/>
        <w:rPr>
          <w:rFonts w:hint="eastAsia"/>
          <w:color w:val="auto"/>
          <w:lang w:val="en-US" w:eastAsia="zh-CN"/>
        </w:rPr>
      </w:pPr>
      <w:bookmarkStart w:id="31" w:name="_Toc22058"/>
      <w:r>
        <w:rPr>
          <w:rFonts w:hint="eastAsia"/>
          <w:color w:val="auto"/>
          <w:lang w:val="en-US" w:eastAsia="zh-CN"/>
        </w:rPr>
        <w:t>5.1 四川省内（  ）家</w:t>
      </w:r>
      <w:bookmarkEnd w:id="31"/>
    </w:p>
    <w:tbl>
      <w:tblPr>
        <w:tblStyle w:val="14"/>
        <w:tblpPr w:leftFromText="180" w:rightFromText="180" w:vertAnchor="text" w:horzAnchor="page" w:tblpXSpec="center" w:tblpY="285"/>
        <w:tblOverlap w:val="never"/>
        <w:tblW w:w="14022" w:type="dxa"/>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1973"/>
        <w:gridCol w:w="2158"/>
        <w:gridCol w:w="2158"/>
        <w:gridCol w:w="2158"/>
        <w:gridCol w:w="2031"/>
        <w:gridCol w:w="1200"/>
        <w:gridCol w:w="1536"/>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序号</w:t>
            </w:r>
          </w:p>
        </w:tc>
        <w:tc>
          <w:tcPr>
            <w:tcW w:w="1973"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医院名称</w:t>
            </w:r>
          </w:p>
        </w:tc>
        <w:tc>
          <w:tcPr>
            <w:tcW w:w="215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 xml:space="preserve">案例规模  </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（医院等级）</w:t>
            </w:r>
          </w:p>
        </w:tc>
        <w:tc>
          <w:tcPr>
            <w:tcW w:w="215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案例评级情况</w:t>
            </w:r>
          </w:p>
        </w:tc>
        <w:tc>
          <w:tcPr>
            <w:tcW w:w="215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合同标的</w:t>
            </w:r>
          </w:p>
        </w:tc>
        <w:tc>
          <w:tcPr>
            <w:tcW w:w="203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合同金额</w:t>
            </w:r>
          </w:p>
        </w:tc>
        <w:tc>
          <w:tcPr>
            <w:tcW w:w="120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实施年份</w:t>
            </w:r>
          </w:p>
        </w:tc>
        <w:tc>
          <w:tcPr>
            <w:tcW w:w="1536"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w:t>
            </w:r>
          </w:p>
        </w:tc>
        <w:tc>
          <w:tcPr>
            <w:tcW w:w="1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53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w:t>
            </w:r>
          </w:p>
        </w:tc>
        <w:tc>
          <w:tcPr>
            <w:tcW w:w="1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53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w:t>
            </w:r>
          </w:p>
        </w:tc>
        <w:tc>
          <w:tcPr>
            <w:tcW w:w="1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53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w:t>
            </w:r>
          </w:p>
        </w:tc>
        <w:tc>
          <w:tcPr>
            <w:tcW w:w="1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53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r>
    </w:tbl>
    <w:p>
      <w:pPr>
        <w:pStyle w:val="25"/>
        <w:ind w:firstLine="0" w:firstLineChars="0"/>
        <w:rPr>
          <w:rFonts w:hint="eastAsia" w:ascii="仿宋" w:hAnsi="仿宋" w:eastAsia="仿宋" w:cs="仿宋"/>
          <w:color w:val="auto"/>
          <w:sz w:val="30"/>
          <w:szCs w:val="30"/>
        </w:rPr>
      </w:pPr>
    </w:p>
    <w:p>
      <w:pPr>
        <w:pStyle w:val="2"/>
        <w:rPr>
          <w:rFonts w:hint="eastAsia" w:ascii="仿宋" w:hAnsi="仿宋" w:eastAsia="仿宋" w:cs="仿宋"/>
          <w:color w:val="auto"/>
          <w:kern w:val="2"/>
          <w:sz w:val="30"/>
          <w:szCs w:val="30"/>
        </w:rPr>
      </w:pPr>
    </w:p>
    <w:p>
      <w:pPr>
        <w:pStyle w:val="2"/>
        <w:rPr>
          <w:rFonts w:hint="eastAsia" w:ascii="仿宋" w:hAnsi="仿宋" w:eastAsia="仿宋" w:cs="仿宋"/>
          <w:color w:val="auto"/>
          <w:kern w:val="2"/>
          <w:sz w:val="30"/>
          <w:szCs w:val="30"/>
        </w:rPr>
      </w:pPr>
    </w:p>
    <w:p>
      <w:pPr>
        <w:pStyle w:val="2"/>
        <w:rPr>
          <w:rFonts w:hint="eastAsia" w:ascii="仿宋" w:hAnsi="仿宋" w:eastAsia="仿宋" w:cs="仿宋"/>
          <w:color w:val="auto"/>
          <w:kern w:val="2"/>
          <w:sz w:val="30"/>
          <w:szCs w:val="30"/>
        </w:rPr>
      </w:pPr>
    </w:p>
    <w:p>
      <w:pPr>
        <w:pStyle w:val="2"/>
        <w:rPr>
          <w:rFonts w:hint="eastAsia" w:ascii="仿宋" w:hAnsi="仿宋" w:eastAsia="仿宋" w:cs="仿宋"/>
          <w:color w:val="auto"/>
          <w:kern w:val="2"/>
          <w:sz w:val="30"/>
          <w:szCs w:val="30"/>
        </w:rPr>
      </w:pPr>
    </w:p>
    <w:p>
      <w:pPr>
        <w:pStyle w:val="2"/>
        <w:rPr>
          <w:rFonts w:hint="eastAsia" w:ascii="仿宋" w:hAnsi="仿宋" w:eastAsia="仿宋" w:cs="仿宋"/>
          <w:color w:val="auto"/>
          <w:kern w:val="2"/>
          <w:sz w:val="30"/>
          <w:szCs w:val="30"/>
        </w:rPr>
      </w:pPr>
    </w:p>
    <w:p>
      <w:pPr>
        <w:pStyle w:val="4"/>
        <w:bidi w:val="0"/>
        <w:ind w:firstLine="482" w:firstLineChars="200"/>
        <w:rPr>
          <w:rFonts w:hint="eastAsia"/>
          <w:color w:val="auto"/>
          <w:lang w:val="en-US" w:eastAsia="zh-CN"/>
        </w:rPr>
      </w:pPr>
      <w:bookmarkStart w:id="32" w:name="_Toc26850"/>
      <w:r>
        <w:rPr>
          <w:rFonts w:hint="eastAsia"/>
          <w:color w:val="auto"/>
          <w:lang w:val="en-US" w:eastAsia="zh-CN"/>
        </w:rPr>
        <w:t>5.2 四川省外（  ）家</w:t>
      </w:r>
      <w:bookmarkEnd w:id="32"/>
    </w:p>
    <w:tbl>
      <w:tblPr>
        <w:tblStyle w:val="14"/>
        <w:tblpPr w:leftFromText="180" w:rightFromText="180" w:vertAnchor="text" w:horzAnchor="page" w:tblpXSpec="center" w:tblpY="285"/>
        <w:tblOverlap w:val="never"/>
        <w:tblW w:w="13440" w:type="dxa"/>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1973"/>
        <w:gridCol w:w="2158"/>
        <w:gridCol w:w="2158"/>
        <w:gridCol w:w="2158"/>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序号</w:t>
            </w:r>
          </w:p>
        </w:tc>
        <w:tc>
          <w:tcPr>
            <w:tcW w:w="1973"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医院名称</w:t>
            </w:r>
          </w:p>
        </w:tc>
        <w:tc>
          <w:tcPr>
            <w:tcW w:w="215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 xml:space="preserve">案例规模  </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（医院等级）</w:t>
            </w:r>
          </w:p>
        </w:tc>
        <w:tc>
          <w:tcPr>
            <w:tcW w:w="215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案例评级情况</w:t>
            </w:r>
          </w:p>
        </w:tc>
        <w:tc>
          <w:tcPr>
            <w:tcW w:w="215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w:t>
            </w:r>
          </w:p>
        </w:tc>
        <w:tc>
          <w:tcPr>
            <w:tcW w:w="1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w:t>
            </w:r>
          </w:p>
        </w:tc>
        <w:tc>
          <w:tcPr>
            <w:tcW w:w="1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w:t>
            </w:r>
          </w:p>
        </w:tc>
        <w:tc>
          <w:tcPr>
            <w:tcW w:w="1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w:t>
            </w:r>
          </w:p>
        </w:tc>
        <w:tc>
          <w:tcPr>
            <w:tcW w:w="1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r>
    </w:tbl>
    <w:p>
      <w:pPr>
        <w:rPr>
          <w:rFonts w:hint="eastAsia"/>
          <w:color w:val="auto"/>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color w:val="auto"/>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color w:val="auto"/>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color w:val="auto"/>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color w:val="auto"/>
          <w:lang w:val="en-US" w:eastAsia="zh-CN"/>
        </w:rPr>
      </w:pPr>
    </w:p>
    <w:p>
      <w:pPr>
        <w:pStyle w:val="4"/>
        <w:bidi w:val="0"/>
        <w:ind w:firstLine="482" w:firstLineChars="200"/>
        <w:rPr>
          <w:rFonts w:hint="eastAsia"/>
          <w:color w:val="auto"/>
          <w:lang w:val="en-US" w:eastAsia="zh-CN"/>
        </w:rPr>
      </w:pPr>
    </w:p>
    <w:p>
      <w:pPr>
        <w:pStyle w:val="4"/>
        <w:bidi w:val="0"/>
        <w:ind w:firstLine="482" w:firstLineChars="200"/>
        <w:rPr>
          <w:rFonts w:hint="eastAsia"/>
          <w:color w:val="auto"/>
          <w:lang w:val="en-US" w:eastAsia="zh-CN"/>
        </w:rPr>
      </w:pPr>
      <w:bookmarkStart w:id="33" w:name="_Toc138151651"/>
      <w:bookmarkStart w:id="34" w:name="_Toc8028"/>
      <w:r>
        <w:rPr>
          <w:rFonts w:hint="eastAsia"/>
          <w:color w:val="auto"/>
          <w:lang w:val="en-US" w:eastAsia="zh-CN"/>
        </w:rPr>
        <w:t>5.3三甲综合医院同类项目案例合同及验收佐证</w:t>
      </w:r>
      <w:bookmarkEnd w:id="33"/>
      <w:bookmarkEnd w:id="34"/>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color w:val="auto"/>
          <w:lang w:val="en-US" w:eastAsia="zh-CN"/>
        </w:rPr>
      </w:pPr>
      <w:bookmarkStart w:id="35" w:name="_Toc138151652"/>
      <w:bookmarkStart w:id="36" w:name="_Toc9658"/>
      <w:r>
        <w:rPr>
          <w:rFonts w:hint="eastAsia"/>
          <w:color w:val="auto"/>
          <w:lang w:val="en-US" w:eastAsia="zh-CN"/>
        </w:rPr>
        <w:t>六、报价表</w:t>
      </w:r>
      <w:bookmarkEnd w:id="35"/>
      <w:r>
        <w:rPr>
          <w:rFonts w:hint="eastAsia"/>
          <w:color w:val="auto"/>
          <w:lang w:val="en-US" w:eastAsia="zh-CN"/>
        </w:rPr>
        <w:t>包含内容</w:t>
      </w:r>
      <w:bookmarkEnd w:id="36"/>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1.报价包含项目实施所涉及的软件及配套硬件、成本、费用和税金，其包括但不限于软件开发、安装、调试、验收、培训、税金、第三方系统的接口开发、</w:t>
      </w:r>
      <w:r>
        <w:rPr>
          <w:rFonts w:hint="default" w:ascii="仿宋" w:hAnsi="仿宋" w:eastAsia="仿宋" w:cs="仿宋"/>
          <w:b w:val="0"/>
          <w:color w:val="auto"/>
          <w:kern w:val="2"/>
          <w:sz w:val="24"/>
          <w:szCs w:val="24"/>
          <w:lang w:val="en-US" w:eastAsia="zh-CN" w:bidi="ar-SA"/>
        </w:rPr>
        <w:t>第三方测评公司出具的测评报告(包括功能、性能、安全等)</w:t>
      </w:r>
      <w:r>
        <w:rPr>
          <w:rFonts w:hint="eastAsia" w:ascii="仿宋" w:hAnsi="仿宋" w:eastAsia="仿宋" w:cs="仿宋"/>
          <w:b w:val="0"/>
          <w:color w:val="auto"/>
          <w:kern w:val="2"/>
          <w:sz w:val="24"/>
          <w:szCs w:val="24"/>
          <w:lang w:val="en-US" w:eastAsia="zh-CN" w:bidi="ar-SA"/>
        </w:rPr>
        <w:t>等费用。</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2.系统建设实施直至整体验收提供不少于1名具有实施经验的技术人员常驻医院现场。</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3.系统整体验收合格之日起提供不少于3年的免费质保期，质保期内免费上门服务，质保期内提供免费的软件升级及接口改造服务，包括医院主要业务系统变更等。</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4.质保期之后，系统维保费率不高于招投标总价的5%。</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5.须同时支持Windows平台和国产化平台，后期免费进行国产化适配改造。该项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6.须支持密评防护,并免费做好该项目涉及的密码应用对接及密评相关工作，须满足医院自行或聘请的第三方网络安全等级保护测评和商用密码应用安全性评估，对测评中出现的软硬件安全漏洞须及时修复、改造。</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7.待资阳市政务服务和大数据管理局完成政务信创云项目建设后，本系统将迁移至政务信创云，需对本项目进行服务及数据迁移，业务中断≤24小时。</w:t>
      </w: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auto"/>
          <w:kern w:val="2"/>
          <w:sz w:val="24"/>
          <w:szCs w:val="24"/>
          <w:lang w:val="en-US" w:eastAsia="zh-CN" w:bidi="ar-SA"/>
        </w:rPr>
      </w:pPr>
      <w:bookmarkStart w:id="37" w:name="_Toc29743"/>
      <w:r>
        <w:rPr>
          <w:rFonts w:hint="eastAsia"/>
          <w:color w:val="auto"/>
          <w:lang w:val="en-US" w:eastAsia="zh-CN"/>
        </w:rPr>
        <w:t>七、建设方案</w:t>
      </w:r>
      <w:bookmarkEnd w:id="37"/>
    </w:p>
    <w:p>
      <w:pPr>
        <w:bidi w:val="0"/>
        <w:rPr>
          <w:rFonts w:hint="eastAsia"/>
          <w:color w:val="auto"/>
          <w:lang w:val="en-US" w:eastAsia="zh-CN"/>
        </w:rPr>
      </w:pPr>
      <w:bookmarkStart w:id="38" w:name="_Toc138151653"/>
      <w:r>
        <w:rPr>
          <w:rFonts w:hint="eastAsia"/>
          <w:color w:val="auto"/>
          <w:lang w:val="en-US" w:eastAsia="zh-CN"/>
        </w:rPr>
        <w:t>（包含以内容，其他内容自拟）</w:t>
      </w:r>
    </w:p>
    <w:p>
      <w:pPr>
        <w:pStyle w:val="4"/>
        <w:bidi w:val="0"/>
        <w:ind w:firstLine="482" w:firstLineChars="200"/>
        <w:rPr>
          <w:rFonts w:hint="eastAsia"/>
          <w:color w:val="auto"/>
          <w:lang w:val="en-US" w:eastAsia="zh-CN"/>
        </w:rPr>
      </w:pPr>
      <w:bookmarkStart w:id="39" w:name="_Toc1876"/>
      <w:r>
        <w:rPr>
          <w:rFonts w:hint="eastAsia"/>
          <w:color w:val="auto"/>
          <w:lang w:val="en-US" w:eastAsia="zh-CN"/>
        </w:rPr>
        <w:t>7.1 实施条件（实施所需的支持条件）</w:t>
      </w:r>
      <w:bookmarkEnd w:id="38"/>
      <w:bookmarkEnd w:id="39"/>
    </w:p>
    <w:p>
      <w:pPr>
        <w:pStyle w:val="4"/>
        <w:bidi w:val="0"/>
        <w:ind w:firstLine="482" w:firstLineChars="200"/>
        <w:rPr>
          <w:rFonts w:hint="eastAsia"/>
          <w:color w:val="auto"/>
          <w:lang w:val="en-US" w:eastAsia="zh-CN"/>
        </w:rPr>
      </w:pPr>
      <w:bookmarkStart w:id="40" w:name="_Toc138151654"/>
      <w:bookmarkStart w:id="41" w:name="_Toc10444"/>
      <w:r>
        <w:rPr>
          <w:rFonts w:hint="eastAsia"/>
          <w:color w:val="auto"/>
          <w:lang w:val="en-US" w:eastAsia="zh-CN"/>
        </w:rPr>
        <w:t>7.2 实施周期</w:t>
      </w:r>
      <w:bookmarkEnd w:id="40"/>
      <w:bookmarkEnd w:id="41"/>
    </w:p>
    <w:p>
      <w:pPr>
        <w:pStyle w:val="4"/>
        <w:bidi w:val="0"/>
        <w:ind w:firstLine="482" w:firstLineChars="200"/>
        <w:rPr>
          <w:rFonts w:hint="eastAsia"/>
          <w:color w:val="auto"/>
          <w:lang w:val="en-US" w:eastAsia="zh-CN"/>
        </w:rPr>
      </w:pPr>
      <w:bookmarkStart w:id="42" w:name="_Toc28764"/>
      <w:bookmarkStart w:id="43" w:name="_Toc138151655"/>
      <w:r>
        <w:rPr>
          <w:rFonts w:hint="eastAsia"/>
          <w:color w:val="auto"/>
          <w:lang w:val="en-US" w:eastAsia="zh-CN"/>
        </w:rPr>
        <w:t>7.3 系统运行环境</w:t>
      </w:r>
      <w:bookmarkEnd w:id="42"/>
      <w:bookmarkEnd w:id="43"/>
    </w:p>
    <w:p>
      <w:pPr>
        <w:pStyle w:val="4"/>
        <w:bidi w:val="0"/>
        <w:ind w:firstLine="482" w:firstLineChars="200"/>
        <w:rPr>
          <w:rFonts w:hint="eastAsia"/>
          <w:color w:val="auto"/>
          <w:lang w:val="en-US" w:eastAsia="zh-CN"/>
        </w:rPr>
      </w:pPr>
      <w:bookmarkStart w:id="44" w:name="_Toc8113"/>
      <w:bookmarkStart w:id="45" w:name="_Toc138151656"/>
      <w:r>
        <w:rPr>
          <w:rFonts w:hint="eastAsia"/>
          <w:color w:val="auto"/>
          <w:lang w:val="en-US" w:eastAsia="zh-CN"/>
        </w:rPr>
        <w:t>7.4 系统总体架构</w:t>
      </w:r>
      <w:bookmarkEnd w:id="44"/>
      <w:bookmarkEnd w:id="45"/>
    </w:p>
    <w:p>
      <w:pPr>
        <w:rPr>
          <w:rFonts w:hint="eastAsia"/>
          <w:color w:val="auto"/>
          <w:lang w:val="en-US" w:eastAsia="zh-CN"/>
        </w:rPr>
      </w:pPr>
    </w:p>
    <w:p>
      <w:pPr>
        <w:rPr>
          <w:rFonts w:hint="eastAsia"/>
          <w:color w:val="auto"/>
          <w:lang w:val="en-US" w:eastAsia="zh-CN"/>
        </w:rPr>
      </w:pPr>
    </w:p>
    <w:p>
      <w:pPr>
        <w:rPr>
          <w:rFonts w:hint="default"/>
          <w:lang w:val="en-US" w:eastAsia="zh-CN"/>
        </w:rPr>
      </w:pPr>
    </w:p>
    <w:p>
      <w:pPr>
        <w:rPr>
          <w:rFonts w:hint="default"/>
          <w:lang w:val="en-US" w:eastAsia="zh-CN"/>
        </w:rPr>
      </w:pPr>
    </w:p>
    <w:sectPr>
      <w:pgSz w:w="16838" w:h="11906" w:orient="landscape"/>
      <w:pgMar w:top="1134"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DD33EC-6EBA-47C1-8391-EAF97F61F4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F9E524F-4AA0-4421-AE75-9D93246AAEB8}"/>
  </w:font>
  <w:font w:name="仿宋">
    <w:panose1 w:val="02010609060101010101"/>
    <w:charset w:val="86"/>
    <w:family w:val="auto"/>
    <w:pitch w:val="default"/>
    <w:sig w:usb0="800002BF" w:usb1="38CF7CFA" w:usb2="00000016" w:usb3="00000000" w:csb0="00040001" w:csb1="00000000"/>
    <w:embedRegular r:id="rId3" w:fontKey="{DF315328-172C-4F09-853F-6636421BF79A}"/>
  </w:font>
  <w:font w:name="方正小标宋简体">
    <w:panose1 w:val="03000509000000000000"/>
    <w:charset w:val="86"/>
    <w:family w:val="auto"/>
    <w:pitch w:val="default"/>
    <w:sig w:usb0="00000001" w:usb1="080E0000" w:usb2="00000000" w:usb3="00000000" w:csb0="00040000" w:csb1="00000000"/>
    <w:embedRegular r:id="rId4" w:fontKey="{B5C2160B-7832-4790-8835-9264D0B6768E}"/>
  </w:font>
  <w:font w:name="方正黑体简体">
    <w:panose1 w:val="03000509000000000000"/>
    <w:charset w:val="86"/>
    <w:family w:val="auto"/>
    <w:pitch w:val="default"/>
    <w:sig w:usb0="00000001" w:usb1="080E0000" w:usb2="00000000" w:usb3="00000000" w:csb0="00040000" w:csb1="00000000"/>
    <w:embedRegular r:id="rId5" w:fontKey="{72EFD26F-E835-4B30-9791-E7996B5368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B241E1"/>
    <w:multiLevelType w:val="singleLevel"/>
    <w:tmpl w:val="ADB241E1"/>
    <w:lvl w:ilvl="0" w:tentative="0">
      <w:start w:val="1"/>
      <w:numFmt w:val="chineseCounting"/>
      <w:suff w:val="nothing"/>
      <w:lvlText w:val="%1、"/>
      <w:lvlJc w:val="left"/>
      <w:rPr>
        <w:rFonts w:hint="eastAsia"/>
      </w:rPr>
    </w:lvl>
  </w:abstractNum>
  <w:abstractNum w:abstractNumId="1">
    <w:nsid w:val="E64DC3CE"/>
    <w:multiLevelType w:val="singleLevel"/>
    <w:tmpl w:val="E64DC3CE"/>
    <w:lvl w:ilvl="0" w:tentative="0">
      <w:start w:val="1"/>
      <w:numFmt w:val="chineseCounting"/>
      <w:suff w:val="nothing"/>
      <w:lvlText w:val="（%1）"/>
      <w:lvlJc w:val="left"/>
      <w:rPr>
        <w:rFonts w:hint="eastAsia"/>
      </w:rPr>
    </w:lvl>
  </w:abstractNum>
  <w:abstractNum w:abstractNumId="2">
    <w:nsid w:val="168C2C5C"/>
    <w:multiLevelType w:val="singleLevel"/>
    <w:tmpl w:val="168C2C5C"/>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224038E"/>
    <w:rsid w:val="02CE7139"/>
    <w:rsid w:val="030430D0"/>
    <w:rsid w:val="037F580B"/>
    <w:rsid w:val="03D3104E"/>
    <w:rsid w:val="04593878"/>
    <w:rsid w:val="056365BF"/>
    <w:rsid w:val="0C811C7B"/>
    <w:rsid w:val="0CDC4161"/>
    <w:rsid w:val="0D5422FE"/>
    <w:rsid w:val="0DD4413B"/>
    <w:rsid w:val="0EA93CA3"/>
    <w:rsid w:val="121A3D4C"/>
    <w:rsid w:val="13712447"/>
    <w:rsid w:val="153E6EE2"/>
    <w:rsid w:val="16207B77"/>
    <w:rsid w:val="18D92EBD"/>
    <w:rsid w:val="18E35B95"/>
    <w:rsid w:val="1A4F72D2"/>
    <w:rsid w:val="1A9B0A8F"/>
    <w:rsid w:val="1AAF2DD5"/>
    <w:rsid w:val="1AE31E7C"/>
    <w:rsid w:val="1ED65F1E"/>
    <w:rsid w:val="1F5A51C6"/>
    <w:rsid w:val="20E172DD"/>
    <w:rsid w:val="20E3342D"/>
    <w:rsid w:val="22A273FF"/>
    <w:rsid w:val="25C63BAB"/>
    <w:rsid w:val="25C67C05"/>
    <w:rsid w:val="283860D8"/>
    <w:rsid w:val="29FF496C"/>
    <w:rsid w:val="2B8925CC"/>
    <w:rsid w:val="2C6F6170"/>
    <w:rsid w:val="2D755A60"/>
    <w:rsid w:val="2E023CFF"/>
    <w:rsid w:val="2E8E10D4"/>
    <w:rsid w:val="305F1B4D"/>
    <w:rsid w:val="34B66051"/>
    <w:rsid w:val="38761053"/>
    <w:rsid w:val="38A804E3"/>
    <w:rsid w:val="3A985554"/>
    <w:rsid w:val="3AAB598F"/>
    <w:rsid w:val="3EBE4976"/>
    <w:rsid w:val="3EF73899"/>
    <w:rsid w:val="3FF23327"/>
    <w:rsid w:val="42137613"/>
    <w:rsid w:val="428970E4"/>
    <w:rsid w:val="42CE597A"/>
    <w:rsid w:val="471570FA"/>
    <w:rsid w:val="49550899"/>
    <w:rsid w:val="4C734799"/>
    <w:rsid w:val="4F5F64BA"/>
    <w:rsid w:val="4FB545D4"/>
    <w:rsid w:val="502E58AD"/>
    <w:rsid w:val="5229783A"/>
    <w:rsid w:val="536B2A7D"/>
    <w:rsid w:val="53E51F5E"/>
    <w:rsid w:val="541505F1"/>
    <w:rsid w:val="56BF65F2"/>
    <w:rsid w:val="59410223"/>
    <w:rsid w:val="5B37167F"/>
    <w:rsid w:val="5BB10EFE"/>
    <w:rsid w:val="5DEA79AF"/>
    <w:rsid w:val="5E2F3B42"/>
    <w:rsid w:val="62561308"/>
    <w:rsid w:val="62927E29"/>
    <w:rsid w:val="640D6CAC"/>
    <w:rsid w:val="651F055C"/>
    <w:rsid w:val="654F0FD6"/>
    <w:rsid w:val="67CB7B5D"/>
    <w:rsid w:val="687304EE"/>
    <w:rsid w:val="6A987C6E"/>
    <w:rsid w:val="6D4B29EE"/>
    <w:rsid w:val="6D6D71FE"/>
    <w:rsid w:val="6EC06CA8"/>
    <w:rsid w:val="6EED01BE"/>
    <w:rsid w:val="709E1F5D"/>
    <w:rsid w:val="71B2000E"/>
    <w:rsid w:val="725577F4"/>
    <w:rsid w:val="74BE1DD0"/>
    <w:rsid w:val="75BE2C2C"/>
    <w:rsid w:val="761376E3"/>
    <w:rsid w:val="76EB7264"/>
    <w:rsid w:val="77F5610B"/>
    <w:rsid w:val="782F143B"/>
    <w:rsid w:val="79175759"/>
    <w:rsid w:val="7C1D61AE"/>
    <w:rsid w:val="7CEF5984"/>
    <w:rsid w:val="7E616B80"/>
    <w:rsid w:val="7F2D0FB6"/>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Indent"/>
    <w:basedOn w:val="1"/>
    <w:qFormat/>
    <w:uiPriority w:val="99"/>
    <w:pPr>
      <w:spacing w:line="360" w:lineRule="auto"/>
      <w:ind w:firstLine="420" w:firstLineChars="200"/>
    </w:pPr>
  </w:style>
  <w:style w:type="paragraph" w:styleId="6">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7">
    <w:name w:val="Body Text Indent"/>
    <w:basedOn w:val="1"/>
    <w:qFormat/>
    <w:uiPriority w:val="99"/>
    <w:pPr>
      <w:spacing w:after="120"/>
      <w:ind w:left="420" w:leftChars="200"/>
    </w:pPr>
  </w:style>
  <w:style w:type="paragraph" w:styleId="8">
    <w:name w:val="Plain Text"/>
    <w:basedOn w:val="1"/>
    <w:qFormat/>
    <w:uiPriority w:val="0"/>
    <w:rPr>
      <w:rFonts w:ascii="宋体" w:hAnsi="Courier New" w:cs="宋体"/>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toc 2"/>
    <w:basedOn w:val="1"/>
    <w:next w:val="1"/>
    <w:qFormat/>
    <w:uiPriority w:val="0"/>
    <w:pPr>
      <w:ind w:left="420" w:leftChars="200"/>
    </w:pPr>
  </w:style>
  <w:style w:type="paragraph" w:styleId="13">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5">
    <w:name w:val="Table Grid"/>
    <w:basedOn w:val="1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customStyle="1" w:styleId="18">
    <w:name w:val="font81"/>
    <w:basedOn w:val="16"/>
    <w:qFormat/>
    <w:uiPriority w:val="0"/>
    <w:rPr>
      <w:rFonts w:hint="eastAsia" w:ascii="仿宋" w:hAnsi="仿宋" w:eastAsia="仿宋" w:cs="仿宋"/>
      <w:color w:val="FF0000"/>
      <w:sz w:val="24"/>
      <w:szCs w:val="24"/>
      <w:u w:val="none"/>
    </w:rPr>
  </w:style>
  <w:style w:type="character" w:customStyle="1" w:styleId="19">
    <w:name w:val="font61"/>
    <w:basedOn w:val="16"/>
    <w:qFormat/>
    <w:uiPriority w:val="0"/>
    <w:rPr>
      <w:rFonts w:hint="eastAsia" w:ascii="仿宋" w:hAnsi="仿宋" w:eastAsia="仿宋" w:cs="仿宋"/>
      <w:color w:val="000000"/>
      <w:sz w:val="24"/>
      <w:szCs w:val="24"/>
      <w:u w:val="none"/>
    </w:rPr>
  </w:style>
  <w:style w:type="character" w:customStyle="1" w:styleId="20">
    <w:name w:val="font41"/>
    <w:basedOn w:val="16"/>
    <w:qFormat/>
    <w:uiPriority w:val="0"/>
    <w:rPr>
      <w:rFonts w:hint="eastAsia" w:ascii="仿宋" w:hAnsi="仿宋" w:eastAsia="仿宋" w:cs="仿宋"/>
      <w:color w:val="000000"/>
      <w:sz w:val="24"/>
      <w:szCs w:val="24"/>
      <w:u w:val="none"/>
    </w:rPr>
  </w:style>
  <w:style w:type="character" w:customStyle="1" w:styleId="21">
    <w:name w:val="font71"/>
    <w:basedOn w:val="16"/>
    <w:qFormat/>
    <w:uiPriority w:val="0"/>
    <w:rPr>
      <w:rFonts w:hint="eastAsia" w:ascii="仿宋" w:hAnsi="仿宋" w:eastAsia="仿宋" w:cs="仿宋"/>
      <w:color w:val="0070C0"/>
      <w:sz w:val="24"/>
      <w:szCs w:val="24"/>
      <w:u w:val="none"/>
    </w:rPr>
  </w:style>
  <w:style w:type="character" w:customStyle="1" w:styleId="22">
    <w:name w:val="font51"/>
    <w:basedOn w:val="16"/>
    <w:qFormat/>
    <w:uiPriority w:val="0"/>
    <w:rPr>
      <w:rFonts w:hint="eastAsia" w:ascii="宋体" w:hAnsi="宋体" w:eastAsia="宋体" w:cs="宋体"/>
      <w:color w:val="000000"/>
      <w:sz w:val="24"/>
      <w:szCs w:val="24"/>
      <w:u w:val="none"/>
    </w:rPr>
  </w:style>
  <w:style w:type="character" w:customStyle="1" w:styleId="23">
    <w:name w:val="font21"/>
    <w:basedOn w:val="16"/>
    <w:qFormat/>
    <w:uiPriority w:val="0"/>
    <w:rPr>
      <w:rFonts w:hint="eastAsia" w:ascii="宋体" w:hAnsi="宋体" w:eastAsia="宋体" w:cs="宋体"/>
      <w:color w:val="000000"/>
      <w:sz w:val="22"/>
      <w:szCs w:val="22"/>
      <w:u w:val="none"/>
    </w:rPr>
  </w:style>
  <w:style w:type="character" w:customStyle="1" w:styleId="24">
    <w:name w:val="font11"/>
    <w:basedOn w:val="16"/>
    <w:qFormat/>
    <w:uiPriority w:val="0"/>
    <w:rPr>
      <w:rFonts w:hint="eastAsia" w:ascii="宋体" w:hAnsi="宋体" w:eastAsia="宋体" w:cs="宋体"/>
      <w:b/>
      <w:bCs/>
      <w:color w:val="000000"/>
      <w:sz w:val="24"/>
      <w:szCs w:val="24"/>
      <w:u w:val="none"/>
    </w:rPr>
  </w:style>
  <w:style w:type="paragraph" w:customStyle="1" w:styleId="2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6">
    <w:name w:val="font31"/>
    <w:basedOn w:val="16"/>
    <w:qFormat/>
    <w:uiPriority w:val="0"/>
    <w:rPr>
      <w:rFonts w:hint="eastAsia" w:ascii="宋体" w:hAnsi="宋体" w:eastAsia="宋体" w:cs="宋体"/>
      <w:color w:val="000000"/>
      <w:sz w:val="24"/>
      <w:szCs w:val="24"/>
      <w:u w:val="none"/>
    </w:rPr>
  </w:style>
  <w:style w:type="character" w:customStyle="1" w:styleId="27">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7101</Words>
  <Characters>7421</Characters>
  <Lines>0</Lines>
  <Paragraphs>0</Paragraphs>
  <TotalTime>46</TotalTime>
  <ScaleCrop>false</ScaleCrop>
  <LinksUpToDate>false</LinksUpToDate>
  <CharactersWithSpaces>7463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Administrator</cp:lastModifiedBy>
  <cp:lastPrinted>2024-01-10T00:56:00Z</cp:lastPrinted>
  <dcterms:modified xsi:type="dcterms:W3CDTF">2024-04-30T03:12:28Z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708A41D279C14B33A7D9075D8DD59BE2</vt:lpwstr>
  </property>
</Properties>
</file>