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spacing w:line="360" w:lineRule="auto"/>
        <w:jc w:val="center"/>
        <w:rPr>
          <w:rFonts w:ascii="宋体"/>
          <w:b/>
          <w:bCs/>
          <w:sz w:val="48"/>
          <w:szCs w:val="48"/>
        </w:rPr>
      </w:pPr>
    </w:p>
    <w:p>
      <w:pPr>
        <w:jc w:val="center"/>
        <w:rPr>
          <w:rFonts w:ascii="宋体" w:hAnsi="宋体" w:cs="宋体"/>
          <w:b/>
          <w:bCs/>
          <w:spacing w:val="-12"/>
          <w:sz w:val="48"/>
          <w:szCs w:val="48"/>
        </w:rPr>
      </w:pPr>
      <w:r>
        <w:rPr>
          <w:rFonts w:hint="eastAsia" w:ascii="宋体" w:hAnsi="宋体" w:cs="宋体"/>
          <w:b/>
          <w:bCs/>
          <w:spacing w:val="-12"/>
          <w:sz w:val="48"/>
          <w:szCs w:val="48"/>
        </w:rPr>
        <w:t>资阳市中心医院部分业务系统升级改造及对接集成平台接口项目监理服务采购项目</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比选人：资阳市中心医院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二四年三月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652"/>
      <w:bookmarkStart w:id="1" w:name="_Toc211679176"/>
      <w:bookmarkStart w:id="2" w:name="_Toc173895837"/>
      <w:bookmarkStart w:id="3" w:name="_Toc180296779"/>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 xml:space="preserve">采购单位资阳市中心医院 </w:t>
      </w:r>
      <w:r>
        <w:rPr>
          <w:rFonts w:hint="eastAsia" w:ascii="宋体" w:hAnsi="宋体" w:cs="宋体"/>
          <w:b/>
          <w:bCs/>
          <w:kern w:val="0"/>
        </w:rPr>
        <w:t>拟对</w:t>
      </w:r>
      <w:r>
        <w:rPr>
          <w:rFonts w:hint="eastAsia" w:ascii="宋体" w:hAnsi="宋体" w:cs="宋体"/>
          <w:b/>
          <w:bCs/>
          <w:kern w:val="0"/>
          <w:u w:val="single"/>
        </w:rPr>
        <w:t>资阳市中心医院部分业务系统升级改造及对接集成平台接口项目监理服务采购项目</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ascii="宋体"/>
          <w:b/>
          <w:bCs/>
          <w:kern w:val="0"/>
        </w:rPr>
      </w:pPr>
      <w:r>
        <w:rPr>
          <w:rFonts w:hint="eastAsia" w:ascii="宋体" w:hAnsi="宋体" w:cs="宋体"/>
          <w:b/>
          <w:bCs/>
          <w:kern w:val="0"/>
        </w:rPr>
        <w:t>二、比选项目：资阳市中心医院部分业务系统升级改造及对接集成平台接口项目监理服务采购项目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hAnsi="宋体"/>
          <w:kern w:val="0"/>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个包，采购资阳市中心医院部分业务系统升级改造及对接集成平台接口项目监理服务一项。</w:t>
      </w:r>
      <w:r>
        <w:rPr>
          <w:rFonts w:hint="eastAsia" w:hAnsi="宋体"/>
          <w:kern w:val="0"/>
        </w:rPr>
        <w:t>本项目最高限价</w:t>
      </w:r>
      <w:r>
        <w:rPr>
          <w:rFonts w:hint="eastAsia"/>
        </w:rPr>
        <w:t>6.996万元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、在中华人民共和国境内注册，具有独立法人资格的合法企业（提供营业执照副本、税务登记证副本、组织机构代码证副本）；营业执照中须有本比选项目的经营许可范围。</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r>
        <w:rPr>
          <w:rFonts w:ascii="宋体" w:hAnsi="宋体" w:cs="宋体"/>
        </w:rPr>
        <w:t>2024年3月4日至2024年3月7日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4" w:name="OLE_LINK1"/>
      <w:bookmarkStart w:id="5" w:name="OLE_LINK2"/>
      <w:r>
        <w:rPr>
          <w:rFonts w:hint="eastAsia" w:ascii="宋体" w:hAnsi="宋体" w:cs="宋体"/>
          <w:b/>
          <w:bCs/>
          <w:spacing w:val="-6"/>
          <w:kern w:val="0"/>
        </w:rPr>
        <w:t>递交比选申请文件</w:t>
      </w:r>
      <w:r>
        <w:rPr>
          <w:rFonts w:hint="eastAsia" w:ascii="宋体" w:hAnsi="宋体" w:cs="宋体"/>
          <w:b/>
          <w:bCs/>
          <w:spacing w:val="-6"/>
          <w:kern w:val="0"/>
          <w:u w:val="single"/>
        </w:rPr>
        <w:t>截止时间</w:t>
      </w:r>
      <w:bookmarkEnd w:id="4"/>
      <w:bookmarkEnd w:id="5"/>
      <w:r>
        <w:rPr>
          <w:rFonts w:hint="eastAsia" w:ascii="宋体" w:hAnsi="宋体" w:cs="宋体"/>
          <w:b/>
          <w:bCs/>
          <w:spacing w:val="-6"/>
          <w:kern w:val="0"/>
          <w:u w:val="single"/>
        </w:rPr>
        <w:t>及评审时间</w:t>
      </w:r>
      <w:r>
        <w:rPr>
          <w:rFonts w:hint="eastAsia" w:ascii="宋体" w:hAnsi="宋体" w:cs="宋体"/>
          <w:b/>
          <w:bCs/>
          <w:spacing w:val="-6"/>
          <w:kern w:val="0"/>
        </w:rPr>
        <w:t>：</w:t>
      </w:r>
      <w:r>
        <w:rPr>
          <w:rFonts w:ascii="宋体" w:hAnsi="宋体" w:cs="宋体"/>
          <w:spacing w:val="-6"/>
          <w:kern w:val="0"/>
          <w:sz w:val="22"/>
          <w:szCs w:val="22"/>
          <w:u w:val="single"/>
        </w:rPr>
        <w:t>2024年3月8日13时30分（北京时间）</w:t>
      </w:r>
      <w:r>
        <w:rPr>
          <w:rFonts w:hint="eastAsia" w:ascii="宋体" w:hAnsi="宋体" w:cs="宋体"/>
          <w:spacing w:val="-6"/>
          <w:kern w:val="0"/>
        </w:rPr>
        <w:t>，供应商应于递交比选申请文件截止时间之前将比选申请文件送达比选地点，逾期送达比选申请文件将被拒绝。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资阳市中心医院健康体检楼五楼520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资阳市中心医院健康体检楼五楼520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6655128朱老师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6" w:name="_Toc180296780"/>
      <w:bookmarkStart w:id="7" w:name="_Toc211679177"/>
      <w:bookmarkStart w:id="8" w:name="_Toc173895838"/>
      <w:bookmarkStart w:id="9" w:name="_Toc173895653"/>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0" w:name="_Toc211679179"/>
      <w:bookmarkStart w:id="11" w:name="_Toc180296782"/>
      <w:bookmarkStart w:id="12" w:name="_Toc173895655"/>
      <w:bookmarkStart w:id="13" w:name="_Toc173895840"/>
      <w:r>
        <w:rPr>
          <w:rFonts w:hint="eastAsia" w:ascii="宋体" w:hAnsi="宋体" w:cs="宋体"/>
          <w:kern w:val="0"/>
        </w:rPr>
        <w:t xml:space="preserve"> 供应商资格证明</w:t>
      </w:r>
      <w:bookmarkEnd w:id="10"/>
      <w:bookmarkEnd w:id="11"/>
      <w:bookmarkEnd w:id="12"/>
      <w:bookmarkEnd w:id="13"/>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2024年**</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w:t>
      </w:r>
      <w:r>
        <w:rPr>
          <w:rFonts w:hint="eastAsia" w:ascii="宋体" w:hAnsi="宋体" w:cs="宋体"/>
          <w:b/>
          <w:bCs/>
          <w:kern w:val="0"/>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bookmarkStart w:id="14" w:name="_Toc115628325"/>
            <w:bookmarkStart w:id="15" w:name="_Toc210211733"/>
            <w:bookmarkStart w:id="16" w:name="_Toc177466666"/>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hint="eastAsia" w:ascii="宋体" w:hAnsi="宋体" w:cs="仿宋"/>
              </w:rPr>
              <w:t>100</w:t>
            </w:r>
          </w:p>
        </w:tc>
        <w:tc>
          <w:tcPr>
            <w:tcW w:w="1280" w:type="pct"/>
            <w:vAlign w:val="center"/>
          </w:tcPr>
          <w:p>
            <w:pPr>
              <w:rPr>
                <w:rFonts w:ascii="宋体" w:hAnsi="宋体" w:cs="仿宋"/>
              </w:rPr>
            </w:pPr>
            <w:r>
              <w:rPr>
                <w:rFonts w:hint="eastAsia" w:ascii="宋体" w:hAnsi="宋体" w:cs="仿宋"/>
              </w:rPr>
              <w:t>如存在不唯一最高分，采取随机抽取的形式产生中标人。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6"/>
      <w:bookmarkEnd w:id="7"/>
      <w:bookmarkEnd w:id="8"/>
      <w:bookmarkEnd w:id="9"/>
      <w:bookmarkEnd w:id="14"/>
      <w:bookmarkEnd w:id="15"/>
      <w:bookmarkEnd w:id="16"/>
      <w:bookmarkStart w:id="17" w:name="_Toc180296784"/>
      <w:bookmarkStart w:id="18" w:name="_Toc173895842"/>
      <w:bookmarkStart w:id="19" w:name="_Toc211679181"/>
      <w:bookmarkStart w:id="20" w:name="_Toc173895657"/>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7"/>
      <w:bookmarkEnd w:id="18"/>
      <w:bookmarkEnd w:id="19"/>
      <w:bookmarkEnd w:id="20"/>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spacing w:line="360" w:lineRule="auto"/>
        <w:rPr>
          <w:rFonts w:ascii="宋体"/>
          <w:b/>
          <w:bCs/>
          <w:sz w:val="28"/>
          <w:szCs w:val="28"/>
        </w:rPr>
      </w:pPr>
      <w:r>
        <w:rPr>
          <w:rFonts w:hint="eastAsia" w:ascii="宋体"/>
          <w:b/>
          <w:sz w:val="28"/>
          <w:szCs w:val="28"/>
        </w:rPr>
        <w:t xml:space="preserve">一、 </w:t>
      </w:r>
      <w:r>
        <w:rPr>
          <w:rFonts w:hint="eastAsia" w:ascii="宋体"/>
          <w:b/>
          <w:bCs/>
          <w:sz w:val="28"/>
          <w:szCs w:val="28"/>
        </w:rPr>
        <w:t>服务内容</w:t>
      </w:r>
    </w:p>
    <w:p>
      <w:pPr>
        <w:spacing w:line="360" w:lineRule="auto"/>
        <w:rPr>
          <w:rFonts w:ascii="宋体"/>
        </w:rPr>
      </w:pPr>
      <w:r>
        <w:rPr>
          <w:rFonts w:hint="eastAsia" w:ascii="宋体"/>
        </w:rPr>
        <w:t>对我院“部分业务系统升级改造及对接集成平台接口服务项目”提供全过程监理服务，在项目设计、实施、验收阶段对整个项目进行质量控制、进度控制、投资控制、合同管理、信息管理、协调。保证该项目的顺利实施，达到最终建设目标。我院新建信息化项目如下：（监理服务报价不得高于部分业务系统升级改造及对接集成平台接口服务项目最高限价的2%）</w:t>
      </w:r>
    </w:p>
    <w:tbl>
      <w:tblPr>
        <w:tblStyle w:val="27"/>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3922"/>
        <w:gridCol w:w="1607"/>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pPr>
              <w:spacing w:line="360" w:lineRule="auto"/>
              <w:rPr>
                <w:rFonts w:ascii="宋体"/>
              </w:rPr>
            </w:pPr>
            <w:r>
              <w:rPr>
                <w:rFonts w:hint="eastAsia" w:ascii="宋体"/>
              </w:rPr>
              <w:t>序号</w:t>
            </w:r>
          </w:p>
        </w:tc>
        <w:tc>
          <w:tcPr>
            <w:tcW w:w="3922" w:type="dxa"/>
            <w:vAlign w:val="center"/>
          </w:tcPr>
          <w:p>
            <w:pPr>
              <w:spacing w:line="360" w:lineRule="auto"/>
              <w:rPr>
                <w:rFonts w:ascii="宋体"/>
              </w:rPr>
            </w:pPr>
            <w:r>
              <w:rPr>
                <w:rFonts w:hint="eastAsia" w:ascii="宋体"/>
              </w:rPr>
              <w:t>服务内容</w:t>
            </w:r>
          </w:p>
        </w:tc>
        <w:tc>
          <w:tcPr>
            <w:tcW w:w="1607" w:type="dxa"/>
            <w:vAlign w:val="center"/>
          </w:tcPr>
          <w:p>
            <w:pPr>
              <w:spacing w:line="360" w:lineRule="auto"/>
              <w:rPr>
                <w:rFonts w:ascii="宋体"/>
              </w:rPr>
            </w:pPr>
            <w:r>
              <w:rPr>
                <w:rFonts w:hint="eastAsia" w:ascii="宋体"/>
              </w:rPr>
              <w:t>限价（万元）</w:t>
            </w:r>
          </w:p>
        </w:tc>
        <w:tc>
          <w:tcPr>
            <w:tcW w:w="1990" w:type="dxa"/>
            <w:vAlign w:val="center"/>
          </w:tcPr>
          <w:p>
            <w:pPr>
              <w:spacing w:line="360" w:lineRule="auto"/>
              <w:rPr>
                <w:rFonts w:ascii="宋体"/>
              </w:rPr>
            </w:pPr>
            <w:r>
              <w:rPr>
                <w:rFonts w:hint="eastAsia" w:asci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12" w:type="dxa"/>
            <w:vAlign w:val="center"/>
          </w:tcPr>
          <w:p>
            <w:pPr>
              <w:spacing w:line="360" w:lineRule="auto"/>
              <w:rPr>
                <w:rFonts w:ascii="宋体"/>
              </w:rPr>
            </w:pPr>
            <w:r>
              <w:rPr>
                <w:rFonts w:hint="eastAsia" w:ascii="宋体"/>
              </w:rPr>
              <w:t>1</w:t>
            </w:r>
          </w:p>
        </w:tc>
        <w:tc>
          <w:tcPr>
            <w:tcW w:w="3922" w:type="dxa"/>
            <w:vAlign w:val="center"/>
          </w:tcPr>
          <w:p>
            <w:pPr>
              <w:spacing w:line="360" w:lineRule="auto"/>
              <w:rPr>
                <w:rFonts w:ascii="宋体"/>
              </w:rPr>
            </w:pPr>
            <w:r>
              <w:rPr>
                <w:rFonts w:hint="eastAsia" w:ascii="宋体"/>
              </w:rPr>
              <w:t>部分业务系统升级改造及对接集成平台接口服务项目监理服务</w:t>
            </w:r>
          </w:p>
        </w:tc>
        <w:tc>
          <w:tcPr>
            <w:tcW w:w="1607" w:type="dxa"/>
            <w:vAlign w:val="center"/>
          </w:tcPr>
          <w:p>
            <w:pPr>
              <w:spacing w:line="360" w:lineRule="auto"/>
              <w:rPr>
                <w:rFonts w:ascii="宋体"/>
              </w:rPr>
            </w:pPr>
            <w:r>
              <w:rPr>
                <w:rFonts w:hint="eastAsia" w:ascii="宋体"/>
              </w:rPr>
              <w:t>6.996</w:t>
            </w:r>
          </w:p>
        </w:tc>
        <w:tc>
          <w:tcPr>
            <w:tcW w:w="1990" w:type="dxa"/>
            <w:vAlign w:val="center"/>
          </w:tcPr>
          <w:p>
            <w:pPr>
              <w:spacing w:line="360" w:lineRule="auto"/>
              <w:rPr>
                <w:rFonts w:ascii="宋体"/>
              </w:rPr>
            </w:pPr>
            <w:r>
              <w:rPr>
                <w:rFonts w:hint="eastAsia" w:ascii="宋体"/>
              </w:rPr>
              <w:t>全过程监理服务</w:t>
            </w:r>
          </w:p>
        </w:tc>
      </w:tr>
    </w:tbl>
    <w:p>
      <w:pPr>
        <w:spacing w:line="360" w:lineRule="auto"/>
        <w:rPr>
          <w:rFonts w:ascii="宋体"/>
        </w:rPr>
      </w:pPr>
    </w:p>
    <w:p>
      <w:pPr>
        <w:spacing w:line="360" w:lineRule="auto"/>
        <w:rPr>
          <w:rFonts w:ascii="宋体"/>
          <w:b/>
          <w:sz w:val="28"/>
          <w:szCs w:val="28"/>
        </w:rPr>
      </w:pPr>
      <w:r>
        <w:rPr>
          <w:rFonts w:hint="eastAsia" w:ascii="宋体"/>
          <w:b/>
          <w:sz w:val="28"/>
          <w:szCs w:val="28"/>
        </w:rPr>
        <w:t>★二、技术服务要求</w:t>
      </w:r>
    </w:p>
    <w:p>
      <w:pPr>
        <w:spacing w:line="360" w:lineRule="auto"/>
        <w:rPr>
          <w:rFonts w:ascii="宋体"/>
        </w:rPr>
      </w:pPr>
      <w:r>
        <w:rPr>
          <w:rFonts w:hint="eastAsia" w:ascii="宋体"/>
        </w:rPr>
        <w:t>全过程监理服务要求：根据项目实际状况，可以概括为“四控制”(即质量控制、进度控制、投资控制和变更控制)、“三管理”(合同管理、安全管理和信息管理)和“一协调”。</w:t>
      </w:r>
    </w:p>
    <w:p>
      <w:pPr>
        <w:spacing w:line="360" w:lineRule="auto"/>
        <w:rPr>
          <w:rFonts w:ascii="宋体"/>
          <w:b/>
          <w:bCs/>
        </w:rPr>
      </w:pPr>
      <w:r>
        <w:rPr>
          <w:rFonts w:hint="eastAsia" w:ascii="宋体"/>
          <w:b/>
          <w:bCs/>
        </w:rPr>
        <w:t>1、质量控制</w:t>
      </w:r>
    </w:p>
    <w:p>
      <w:pPr>
        <w:spacing w:line="360" w:lineRule="auto"/>
        <w:rPr>
          <w:rFonts w:ascii="宋体"/>
        </w:rPr>
      </w:pPr>
      <w:r>
        <w:rPr>
          <w:rFonts w:hint="eastAsia" w:ascii="宋体"/>
        </w:rPr>
        <w:t>（1）审查承建单位提交的技术方案、实施方案的合理性、可操作性，提出监理意见；</w:t>
      </w:r>
    </w:p>
    <w:p>
      <w:pPr>
        <w:spacing w:line="360" w:lineRule="auto"/>
        <w:rPr>
          <w:rFonts w:ascii="宋体"/>
        </w:rPr>
      </w:pPr>
      <w:r>
        <w:rPr>
          <w:rFonts w:hint="eastAsia" w:ascii="宋体"/>
        </w:rPr>
        <w:t>（2）审查承建单位提交的阶段性测试验收方案。</w:t>
      </w:r>
    </w:p>
    <w:p>
      <w:pPr>
        <w:spacing w:line="360" w:lineRule="auto"/>
        <w:rPr>
          <w:rFonts w:ascii="宋体"/>
        </w:rPr>
      </w:pPr>
      <w:r>
        <w:rPr>
          <w:rFonts w:hint="eastAsia" w:ascii="宋体"/>
        </w:rPr>
        <w:t>（3）审核承建单位提交的质量管理计划申报表并签署意见；</w:t>
      </w:r>
    </w:p>
    <w:p>
      <w:pPr>
        <w:spacing w:line="360" w:lineRule="auto"/>
        <w:rPr>
          <w:rFonts w:ascii="宋体"/>
        </w:rPr>
      </w:pPr>
      <w:r>
        <w:rPr>
          <w:rFonts w:hint="eastAsia" w:ascii="宋体"/>
        </w:rPr>
        <w:t>（4）对承建单位提供的产品及服务进行验收，对验收结果提出监理意见；</w:t>
      </w:r>
    </w:p>
    <w:p>
      <w:pPr>
        <w:spacing w:line="360" w:lineRule="auto"/>
        <w:rPr>
          <w:rFonts w:ascii="宋体"/>
        </w:rPr>
      </w:pPr>
      <w:r>
        <w:rPr>
          <w:rFonts w:hint="eastAsia" w:ascii="宋体"/>
        </w:rPr>
        <w:t>（5）检查承建单位工程实施状况、人员与实施方案的一致性；</w:t>
      </w:r>
    </w:p>
    <w:p>
      <w:pPr>
        <w:spacing w:line="360" w:lineRule="auto"/>
        <w:rPr>
          <w:rFonts w:ascii="宋体"/>
        </w:rPr>
      </w:pPr>
      <w:r>
        <w:rPr>
          <w:rFonts w:hint="eastAsia" w:ascii="宋体"/>
        </w:rPr>
        <w:t>（6）执行阶段性质量监督和控制；</w:t>
      </w:r>
    </w:p>
    <w:p>
      <w:pPr>
        <w:spacing w:line="360" w:lineRule="auto"/>
        <w:rPr>
          <w:rFonts w:ascii="宋体"/>
        </w:rPr>
      </w:pPr>
      <w:r>
        <w:rPr>
          <w:rFonts w:hint="eastAsia" w:ascii="宋体"/>
        </w:rPr>
        <w:t>（7）及时处理承建单位提交的关键环节的实施申请，审核其合理性后签认并报业主方批准；</w:t>
      </w:r>
    </w:p>
    <w:p>
      <w:pPr>
        <w:spacing w:line="360" w:lineRule="auto"/>
        <w:rPr>
          <w:rFonts w:ascii="宋体"/>
        </w:rPr>
      </w:pPr>
      <w:r>
        <w:rPr>
          <w:rFonts w:hint="eastAsia" w:ascii="宋体"/>
        </w:rPr>
        <w:t>（8）检查承建单位重要工作步骤的衔接工作；</w:t>
      </w:r>
    </w:p>
    <w:p>
      <w:pPr>
        <w:spacing w:line="360" w:lineRule="auto"/>
        <w:rPr>
          <w:rFonts w:ascii="宋体"/>
        </w:rPr>
      </w:pPr>
      <w:r>
        <w:rPr>
          <w:rFonts w:hint="eastAsia" w:ascii="宋体"/>
        </w:rPr>
        <w:t>（9）审核工程变更申请，保证工程总体不受影响；</w:t>
      </w:r>
    </w:p>
    <w:p>
      <w:pPr>
        <w:spacing w:line="360" w:lineRule="auto"/>
        <w:rPr>
          <w:rFonts w:ascii="宋体"/>
        </w:rPr>
      </w:pPr>
      <w:r>
        <w:rPr>
          <w:rFonts w:hint="eastAsia" w:ascii="宋体"/>
        </w:rPr>
        <w:t>（10）处理实施工程出现的各种质量事故；</w:t>
      </w:r>
    </w:p>
    <w:p>
      <w:pPr>
        <w:spacing w:line="360" w:lineRule="auto"/>
        <w:rPr>
          <w:rFonts w:ascii="宋体"/>
        </w:rPr>
      </w:pPr>
      <w:r>
        <w:rPr>
          <w:rFonts w:hint="eastAsia" w:ascii="宋体"/>
        </w:rPr>
        <w:t>（11）在实施过程中，如发现存在重大质量隐患，应及时向承建单位签发停工令，并报业主方。</w:t>
      </w:r>
    </w:p>
    <w:p>
      <w:pPr>
        <w:spacing w:line="360" w:lineRule="auto"/>
        <w:rPr>
          <w:rFonts w:ascii="宋体"/>
        </w:rPr>
      </w:pPr>
      <w:r>
        <w:rPr>
          <w:rFonts w:hint="eastAsia" w:ascii="宋体"/>
        </w:rPr>
        <w:t>（12）及时处理承建单位提交的验收申请，评估验收的必备条件，签认后报业主方签认；</w:t>
      </w:r>
    </w:p>
    <w:p>
      <w:pPr>
        <w:spacing w:line="360" w:lineRule="auto"/>
        <w:rPr>
          <w:rFonts w:ascii="宋体"/>
        </w:rPr>
      </w:pPr>
      <w:r>
        <w:rPr>
          <w:rFonts w:hint="eastAsia" w:ascii="宋体"/>
        </w:rPr>
        <w:t>（13）协助业主方审核承建单位验收计划及方案，明确验收目标、各方责任、验收内容、验收标准、验收方式和验收结果等内容，审核后签署意见；</w:t>
      </w:r>
    </w:p>
    <w:p>
      <w:pPr>
        <w:spacing w:line="360" w:lineRule="auto"/>
        <w:rPr>
          <w:rFonts w:ascii="宋体"/>
        </w:rPr>
      </w:pPr>
      <w:r>
        <w:rPr>
          <w:rFonts w:hint="eastAsia" w:ascii="宋体"/>
        </w:rPr>
        <w:t>（14）协助业主方对验收过程中发现的质量问题进行评估，并确定整改要求和验收方式；</w:t>
      </w:r>
    </w:p>
    <w:p>
      <w:pPr>
        <w:spacing w:line="360" w:lineRule="auto"/>
        <w:rPr>
          <w:rFonts w:ascii="宋体"/>
        </w:rPr>
      </w:pPr>
      <w:r>
        <w:rPr>
          <w:rFonts w:hint="eastAsia" w:ascii="宋体"/>
        </w:rPr>
        <w:t>（15）敦促承建单位根据整改要求提出整改方案，并监督整改过程；</w:t>
      </w:r>
    </w:p>
    <w:p>
      <w:pPr>
        <w:spacing w:line="360" w:lineRule="auto"/>
        <w:rPr>
          <w:rFonts w:ascii="宋体"/>
        </w:rPr>
      </w:pPr>
      <w:r>
        <w:rPr>
          <w:rFonts w:hint="eastAsia" w:ascii="宋体"/>
        </w:rPr>
        <w:t>（16）对项目中的关键性技术指标，要求承建单位出具第三方测试机构的测试报告，第三方测试机构的选择应报业主方和监理机构同意；</w:t>
      </w:r>
    </w:p>
    <w:p>
      <w:pPr>
        <w:spacing w:line="360" w:lineRule="auto"/>
        <w:rPr>
          <w:rFonts w:ascii="宋体"/>
        </w:rPr>
      </w:pPr>
      <w:r>
        <w:rPr>
          <w:rFonts w:hint="eastAsia" w:ascii="宋体"/>
        </w:rPr>
        <w:t>（17）监督承建单位落实项目实施方案中确定的培训方案，并对培训进行评估。</w:t>
      </w:r>
    </w:p>
    <w:p>
      <w:pPr>
        <w:spacing w:line="360" w:lineRule="auto"/>
        <w:rPr>
          <w:rFonts w:ascii="宋体"/>
          <w:b/>
          <w:bCs/>
        </w:rPr>
      </w:pPr>
      <w:r>
        <w:rPr>
          <w:rFonts w:hint="eastAsia" w:ascii="宋体"/>
          <w:b/>
          <w:bCs/>
        </w:rPr>
        <w:t>2、进度控制</w:t>
      </w:r>
    </w:p>
    <w:p>
      <w:pPr>
        <w:spacing w:line="360" w:lineRule="auto"/>
        <w:rPr>
          <w:rFonts w:ascii="宋体"/>
        </w:rPr>
      </w:pPr>
      <w:r>
        <w:rPr>
          <w:rFonts w:hint="eastAsia" w:ascii="宋体"/>
        </w:rPr>
        <w:t>（1）审查承建单位提交的阶段进度计划合理性，针对项目建设特点提出监理意见或建议；</w:t>
      </w:r>
    </w:p>
    <w:p>
      <w:pPr>
        <w:spacing w:line="360" w:lineRule="auto"/>
        <w:rPr>
          <w:rFonts w:ascii="宋体"/>
        </w:rPr>
      </w:pPr>
      <w:r>
        <w:rPr>
          <w:rFonts w:hint="eastAsia" w:ascii="宋体"/>
        </w:rPr>
        <w:t>（2）根据承建单位提交的阶段计划，确定阶段性进度监督、控制的措施和方法；</w:t>
      </w:r>
    </w:p>
    <w:p>
      <w:pPr>
        <w:spacing w:line="360" w:lineRule="auto"/>
        <w:rPr>
          <w:rFonts w:ascii="宋体"/>
        </w:rPr>
      </w:pPr>
      <w:r>
        <w:rPr>
          <w:rFonts w:hint="eastAsia" w:ascii="宋体"/>
        </w:rPr>
        <w:t>（3）定期检查工程的实施进度情况，确保实际进度与计划的一致性，并及时处理工程延期申请；</w:t>
      </w:r>
    </w:p>
    <w:p>
      <w:pPr>
        <w:spacing w:line="360" w:lineRule="auto"/>
        <w:rPr>
          <w:rFonts w:ascii="宋体"/>
        </w:rPr>
      </w:pPr>
      <w:r>
        <w:rPr>
          <w:rFonts w:hint="eastAsia" w:ascii="宋体"/>
        </w:rPr>
        <w:t>（4）审查进度纠偏措施的合理性、可行性，签发监理通知单报业主方，并监督承建单位落实措施按计划进行调整；</w:t>
      </w:r>
    </w:p>
    <w:p>
      <w:pPr>
        <w:spacing w:line="360" w:lineRule="auto"/>
        <w:rPr>
          <w:rFonts w:ascii="宋体"/>
        </w:rPr>
      </w:pPr>
      <w:r>
        <w:rPr>
          <w:rFonts w:hint="eastAsia" w:ascii="宋体"/>
        </w:rPr>
        <w:t>（5）对验收阶段进度安排提出监理意见；</w:t>
      </w:r>
    </w:p>
    <w:p>
      <w:pPr>
        <w:spacing w:line="360" w:lineRule="auto"/>
        <w:rPr>
          <w:rFonts w:ascii="宋体"/>
        </w:rPr>
      </w:pPr>
      <w:r>
        <w:rPr>
          <w:rFonts w:hint="eastAsia" w:ascii="宋体"/>
        </w:rPr>
        <w:t>（6）审核承建单位验收和工程整改计划的可行性；</w:t>
      </w:r>
    </w:p>
    <w:p>
      <w:pPr>
        <w:spacing w:line="360" w:lineRule="auto"/>
        <w:rPr>
          <w:rFonts w:ascii="宋体"/>
          <w:b/>
          <w:bCs/>
        </w:rPr>
      </w:pPr>
      <w:r>
        <w:rPr>
          <w:rFonts w:hint="eastAsia" w:ascii="宋体"/>
          <w:b/>
          <w:bCs/>
        </w:rPr>
        <w:t>3、投资控制</w:t>
      </w:r>
    </w:p>
    <w:p>
      <w:pPr>
        <w:spacing w:line="360" w:lineRule="auto"/>
        <w:rPr>
          <w:rFonts w:ascii="宋体"/>
        </w:rPr>
      </w:pPr>
      <w:r>
        <w:rPr>
          <w:rFonts w:hint="eastAsia" w:ascii="宋体"/>
        </w:rPr>
        <w:t>（1）依据招投标文件、承建合同，审核项目计划、设计方案中所说明的建设目标、范围、内容、产品和服务，对可能的投资变化提出监理意见；</w:t>
      </w:r>
    </w:p>
    <w:p>
      <w:pPr>
        <w:spacing w:line="360" w:lineRule="auto"/>
        <w:rPr>
          <w:rFonts w:ascii="宋体"/>
        </w:rPr>
      </w:pPr>
      <w:r>
        <w:rPr>
          <w:rFonts w:hint="eastAsia" w:ascii="宋体"/>
        </w:rPr>
        <w:t>（2）审核承建单位提交的项目阶段性报告和付款申请，签发项目款支付意见，报业主方签认；</w:t>
      </w:r>
    </w:p>
    <w:p>
      <w:pPr>
        <w:spacing w:line="360" w:lineRule="auto"/>
        <w:rPr>
          <w:rFonts w:ascii="宋体"/>
        </w:rPr>
      </w:pPr>
      <w:r>
        <w:rPr>
          <w:rFonts w:hint="eastAsia" w:ascii="宋体"/>
        </w:rPr>
        <w:t>（3）审查工程的质量、进度和投资等方面的变更，并做工程备忘录；</w:t>
      </w:r>
    </w:p>
    <w:p>
      <w:pPr>
        <w:spacing w:line="360" w:lineRule="auto"/>
        <w:rPr>
          <w:rFonts w:ascii="宋体"/>
        </w:rPr>
      </w:pPr>
      <w:r>
        <w:rPr>
          <w:rFonts w:hint="eastAsia" w:ascii="宋体"/>
        </w:rPr>
        <w:t>（4）及时处理各种索赔申请。</w:t>
      </w:r>
    </w:p>
    <w:p>
      <w:pPr>
        <w:spacing w:line="360" w:lineRule="auto"/>
        <w:rPr>
          <w:rFonts w:ascii="宋体"/>
        </w:rPr>
      </w:pPr>
      <w:r>
        <w:rPr>
          <w:rFonts w:hint="eastAsia" w:ascii="宋体"/>
        </w:rPr>
        <w:t>（5）协助业主方进行工程决算。</w:t>
      </w:r>
    </w:p>
    <w:p>
      <w:pPr>
        <w:spacing w:line="360" w:lineRule="auto"/>
        <w:rPr>
          <w:rFonts w:ascii="宋体"/>
          <w:b/>
          <w:bCs/>
        </w:rPr>
      </w:pPr>
      <w:r>
        <w:rPr>
          <w:rFonts w:ascii="宋体"/>
          <w:b/>
          <w:bCs/>
        </w:rPr>
        <w:t>4</w:t>
      </w:r>
      <w:r>
        <w:rPr>
          <w:rFonts w:hint="eastAsia" w:ascii="宋体"/>
          <w:b/>
          <w:bCs/>
        </w:rPr>
        <w:t>、合同管理</w:t>
      </w:r>
    </w:p>
    <w:p>
      <w:pPr>
        <w:spacing w:line="360" w:lineRule="auto"/>
        <w:rPr>
          <w:rFonts w:ascii="宋体"/>
        </w:rPr>
      </w:pPr>
      <w:r>
        <w:rPr>
          <w:rFonts w:hint="eastAsia" w:ascii="宋体"/>
        </w:rPr>
        <w:t>（1）及时对合同的变更做备忘录；</w:t>
      </w:r>
    </w:p>
    <w:p>
      <w:pPr>
        <w:spacing w:line="360" w:lineRule="auto"/>
        <w:rPr>
          <w:rFonts w:ascii="宋体"/>
        </w:rPr>
      </w:pPr>
      <w:r>
        <w:rPr>
          <w:rFonts w:hint="eastAsia" w:ascii="宋体"/>
        </w:rPr>
        <w:t>（2）对建设阶段各方共同参与的过程和活动做项目建设备忘录；</w:t>
      </w:r>
    </w:p>
    <w:p>
      <w:pPr>
        <w:spacing w:line="360" w:lineRule="auto"/>
        <w:rPr>
          <w:rFonts w:ascii="宋体"/>
        </w:rPr>
      </w:pPr>
      <w:r>
        <w:rPr>
          <w:rFonts w:hint="eastAsia" w:ascii="宋体"/>
        </w:rPr>
        <w:t>（3）监督合同执行情况，定期向承建单位、业主方提交监理报告；</w:t>
      </w:r>
    </w:p>
    <w:p>
      <w:pPr>
        <w:spacing w:line="360" w:lineRule="auto"/>
        <w:rPr>
          <w:rFonts w:ascii="宋体"/>
        </w:rPr>
      </w:pPr>
      <w:r>
        <w:rPr>
          <w:rFonts w:hint="eastAsia" w:ascii="宋体"/>
        </w:rPr>
        <w:t>（4）及时协调合同纠纷，公正地调查分析，提出监理意见。</w:t>
      </w:r>
    </w:p>
    <w:p>
      <w:pPr>
        <w:spacing w:line="360" w:lineRule="auto"/>
        <w:rPr>
          <w:rFonts w:ascii="宋体"/>
        </w:rPr>
      </w:pPr>
      <w:r>
        <w:rPr>
          <w:rFonts w:hint="eastAsia" w:ascii="宋体"/>
        </w:rPr>
        <w:t>（5）及时向业主方、承建单位通报承建合同、协议及相关变更所规定工程内容的执行情况，提出监理意见；</w:t>
      </w:r>
    </w:p>
    <w:p>
      <w:pPr>
        <w:spacing w:line="360" w:lineRule="auto"/>
        <w:rPr>
          <w:rFonts w:ascii="宋体"/>
        </w:rPr>
      </w:pPr>
      <w:r>
        <w:rPr>
          <w:rFonts w:hint="eastAsia" w:ascii="宋体"/>
        </w:rPr>
        <w:t>（6）协助业主方和承建单位签署其他补充协议。</w:t>
      </w:r>
    </w:p>
    <w:p>
      <w:pPr>
        <w:spacing w:line="360" w:lineRule="auto"/>
        <w:rPr>
          <w:rFonts w:ascii="宋体"/>
          <w:b/>
          <w:bCs/>
        </w:rPr>
      </w:pPr>
      <w:r>
        <w:rPr>
          <w:rFonts w:ascii="宋体"/>
          <w:b/>
          <w:bCs/>
        </w:rPr>
        <w:t>5</w:t>
      </w:r>
      <w:r>
        <w:rPr>
          <w:rFonts w:hint="eastAsia" w:ascii="宋体"/>
          <w:b/>
          <w:bCs/>
        </w:rPr>
        <w:t>、信息管理</w:t>
      </w:r>
    </w:p>
    <w:p>
      <w:pPr>
        <w:spacing w:line="360" w:lineRule="auto"/>
        <w:rPr>
          <w:rFonts w:ascii="宋体"/>
        </w:rPr>
      </w:pPr>
      <w:r>
        <w:rPr>
          <w:rFonts w:hint="eastAsia" w:ascii="宋体"/>
        </w:rPr>
        <w:t>（1）协助业主方拟定项目档案管理办法和文档管理制度，确立文档管理机构、人员；</w:t>
      </w:r>
    </w:p>
    <w:p>
      <w:pPr>
        <w:spacing w:line="360" w:lineRule="auto"/>
        <w:rPr>
          <w:rFonts w:ascii="宋体"/>
        </w:rPr>
      </w:pPr>
      <w:r>
        <w:rPr>
          <w:rFonts w:hint="eastAsia" w:ascii="宋体"/>
        </w:rPr>
        <w:t>（2）协助合同审核，确认信息安全和安全施工的标准、要求；</w:t>
      </w:r>
    </w:p>
    <w:p>
      <w:pPr>
        <w:spacing w:line="360" w:lineRule="auto"/>
        <w:rPr>
          <w:rFonts w:ascii="宋体"/>
        </w:rPr>
      </w:pPr>
      <w:r>
        <w:rPr>
          <w:rFonts w:hint="eastAsia" w:ascii="宋体"/>
        </w:rPr>
        <w:t>（3）敦促承建单位建立项目文档管理制度，安全施工制度；</w:t>
      </w:r>
    </w:p>
    <w:p>
      <w:pPr>
        <w:spacing w:line="360" w:lineRule="auto"/>
        <w:rPr>
          <w:rFonts w:ascii="宋体"/>
        </w:rPr>
      </w:pPr>
      <w:r>
        <w:rPr>
          <w:rFonts w:hint="eastAsia" w:ascii="宋体"/>
        </w:rPr>
        <w:t>（4）建议业主方与承建单位签订保密协议，承建单位必须严格确保接触系统建设的人员和范围，所有接触人员须与该公司签订保密协议，确保接触人员严格按照保密协议履行；</w:t>
      </w:r>
    </w:p>
    <w:p>
      <w:pPr>
        <w:spacing w:line="360" w:lineRule="auto"/>
        <w:rPr>
          <w:rFonts w:ascii="宋体"/>
        </w:rPr>
      </w:pPr>
      <w:r>
        <w:rPr>
          <w:rFonts w:hint="eastAsia" w:ascii="宋体"/>
        </w:rPr>
        <w:t>（5）妥善管理实施阶段中所产生的开工令、停工令、监理通知、监理日志和工程备忘录等资料；</w:t>
      </w:r>
    </w:p>
    <w:p>
      <w:pPr>
        <w:spacing w:line="360" w:lineRule="auto"/>
        <w:rPr>
          <w:rFonts w:ascii="宋体"/>
        </w:rPr>
      </w:pPr>
      <w:r>
        <w:rPr>
          <w:rFonts w:hint="eastAsia" w:ascii="宋体"/>
        </w:rPr>
        <w:t>（6）监理机构应对项目实施阶段各方共同参与的过程和活动做相应记录并确认；</w:t>
      </w:r>
    </w:p>
    <w:p>
      <w:pPr>
        <w:spacing w:line="360" w:lineRule="auto"/>
        <w:rPr>
          <w:rFonts w:ascii="宋体"/>
        </w:rPr>
      </w:pPr>
      <w:r>
        <w:rPr>
          <w:rFonts w:hint="eastAsia" w:ascii="宋体"/>
        </w:rPr>
        <w:t>（7）监督业主方和承建单位按照既定的要求编制和管理工程文档。</w:t>
      </w:r>
    </w:p>
    <w:p>
      <w:pPr>
        <w:spacing w:line="360" w:lineRule="auto"/>
        <w:rPr>
          <w:rFonts w:ascii="宋体"/>
        </w:rPr>
      </w:pPr>
      <w:r>
        <w:rPr>
          <w:rFonts w:hint="eastAsia" w:ascii="宋体"/>
        </w:rPr>
        <w:t>（8）敦促业主方、承建单位按照事先约定，编制、签署和妥善保存验收阶段的工程文档；</w:t>
      </w:r>
    </w:p>
    <w:p>
      <w:pPr>
        <w:spacing w:line="360" w:lineRule="auto"/>
        <w:rPr>
          <w:rFonts w:ascii="宋体"/>
        </w:rPr>
      </w:pPr>
      <w:r>
        <w:rPr>
          <w:rFonts w:hint="eastAsia" w:ascii="宋体"/>
        </w:rPr>
        <w:t>（9）根据项目验收要求协助业主方完成验收材料整理，督促承建单位对项目建设技术文档和过程文档进行整理、分类；</w:t>
      </w:r>
    </w:p>
    <w:p>
      <w:pPr>
        <w:spacing w:line="360" w:lineRule="auto"/>
        <w:rPr>
          <w:rFonts w:ascii="宋体"/>
        </w:rPr>
      </w:pPr>
      <w:r>
        <w:rPr>
          <w:rFonts w:hint="eastAsia" w:ascii="宋体"/>
        </w:rPr>
        <w:t>（10）督促承建单位根据项目验收要求和档案管理归档要求完成项目文档归档；</w:t>
      </w:r>
    </w:p>
    <w:p>
      <w:pPr>
        <w:spacing w:line="360" w:lineRule="auto"/>
        <w:rPr>
          <w:rFonts w:ascii="宋体"/>
        </w:rPr>
      </w:pPr>
      <w:r>
        <w:rPr>
          <w:rFonts w:hint="eastAsia" w:ascii="宋体"/>
        </w:rPr>
        <w:t>（11）督促承建单位完成项目文档和设备随机材料移交工作，确保资料完整；</w:t>
      </w:r>
    </w:p>
    <w:p>
      <w:pPr>
        <w:spacing w:line="360" w:lineRule="auto"/>
        <w:rPr>
          <w:rFonts w:ascii="宋体"/>
        </w:rPr>
      </w:pPr>
      <w:r>
        <w:rPr>
          <w:rFonts w:hint="eastAsia" w:ascii="宋体"/>
        </w:rPr>
        <w:t>（12）协助业主方记录验收会验收专家组意见，并督促承建单位完成整改；</w:t>
      </w:r>
    </w:p>
    <w:p>
      <w:pPr>
        <w:spacing w:line="360" w:lineRule="auto"/>
        <w:rPr>
          <w:rFonts w:ascii="宋体"/>
        </w:rPr>
      </w:pPr>
      <w:r>
        <w:rPr>
          <w:rFonts w:hint="eastAsia" w:ascii="宋体"/>
        </w:rPr>
        <w:t>（13）整理与项目有关的全部监理文档，并提交业主方。</w:t>
      </w:r>
    </w:p>
    <w:p>
      <w:pPr>
        <w:spacing w:line="360" w:lineRule="auto"/>
        <w:rPr>
          <w:rFonts w:ascii="宋体"/>
        </w:rPr>
      </w:pPr>
      <w:r>
        <w:rPr>
          <w:rFonts w:hint="eastAsia" w:ascii="宋体"/>
        </w:rPr>
        <w:t>（14）妥善保管项目建设阶段的文档；</w:t>
      </w:r>
    </w:p>
    <w:p>
      <w:pPr>
        <w:spacing w:line="360" w:lineRule="auto"/>
        <w:rPr>
          <w:rFonts w:ascii="宋体"/>
          <w:b/>
          <w:bCs/>
        </w:rPr>
      </w:pPr>
      <w:r>
        <w:rPr>
          <w:rFonts w:ascii="宋体"/>
          <w:b/>
          <w:bCs/>
        </w:rPr>
        <w:t>6</w:t>
      </w:r>
      <w:r>
        <w:rPr>
          <w:rFonts w:hint="eastAsia" w:ascii="宋体"/>
          <w:b/>
          <w:bCs/>
        </w:rPr>
        <w:t>、协调工作</w:t>
      </w:r>
    </w:p>
    <w:p>
      <w:pPr>
        <w:spacing w:line="360" w:lineRule="auto"/>
        <w:rPr>
          <w:rFonts w:ascii="宋体"/>
        </w:rPr>
      </w:pPr>
      <w:r>
        <w:rPr>
          <w:rFonts w:hint="eastAsia" w:ascii="宋体"/>
        </w:rPr>
        <w:t>（1）与业主方和承建单位共同建立实施阶段协调的机制；</w:t>
      </w:r>
    </w:p>
    <w:p>
      <w:pPr>
        <w:spacing w:line="360" w:lineRule="auto"/>
        <w:rPr>
          <w:rFonts w:ascii="宋体"/>
        </w:rPr>
      </w:pPr>
      <w:r>
        <w:rPr>
          <w:rFonts w:hint="eastAsia" w:ascii="宋体"/>
        </w:rPr>
        <w:t>（2）与业主方承建单位确定设计阶段的协调形式和方法，如监理例会和专题会议等，并在项目过程中执行；</w:t>
      </w:r>
    </w:p>
    <w:p>
      <w:pPr>
        <w:spacing w:line="360" w:lineRule="auto"/>
        <w:rPr>
          <w:rFonts w:ascii="宋体"/>
        </w:rPr>
      </w:pPr>
      <w:r>
        <w:rPr>
          <w:rFonts w:hint="eastAsia" w:ascii="宋体"/>
        </w:rPr>
        <w:t>（3）对项目建设阶段可能出现的变更提出监理意见，协调业主方和承建单位达成一致；</w:t>
      </w:r>
    </w:p>
    <w:p>
      <w:pPr>
        <w:spacing w:line="360" w:lineRule="auto"/>
        <w:rPr>
          <w:rFonts w:ascii="宋体"/>
        </w:rPr>
      </w:pPr>
      <w:r>
        <w:rPr>
          <w:rFonts w:hint="eastAsia" w:ascii="宋体"/>
        </w:rPr>
        <w:t>（4）对协调结果做备忘录。</w:t>
      </w:r>
    </w:p>
    <w:p>
      <w:pPr>
        <w:spacing w:line="360" w:lineRule="auto"/>
        <w:rPr>
          <w:rFonts w:ascii="宋体"/>
        </w:rPr>
      </w:pPr>
      <w:r>
        <w:rPr>
          <w:rFonts w:hint="eastAsia" w:ascii="宋体"/>
        </w:rPr>
        <w:t>（5）及时组织专题会议，解决专项问题，做出会议纪要，并抄送各方；</w:t>
      </w:r>
    </w:p>
    <w:p>
      <w:pPr>
        <w:spacing w:line="360" w:lineRule="auto"/>
        <w:rPr>
          <w:rFonts w:ascii="宋体"/>
        </w:rPr>
      </w:pPr>
      <w:r>
        <w:rPr>
          <w:rFonts w:hint="eastAsia" w:ascii="宋体"/>
        </w:rPr>
        <w:t>（6）协调业主方和承建单位对工程变更的范围和内容等达成一致性；</w:t>
      </w:r>
    </w:p>
    <w:p>
      <w:pPr>
        <w:spacing w:line="360" w:lineRule="auto"/>
        <w:rPr>
          <w:rFonts w:ascii="宋体"/>
        </w:rPr>
      </w:pPr>
      <w:r>
        <w:rPr>
          <w:rFonts w:hint="eastAsia" w:ascii="宋体"/>
        </w:rPr>
        <w:t>（7）沟通协调业主方和承建单位在项目建设中可能产生的索赔事项；</w:t>
      </w:r>
    </w:p>
    <w:p>
      <w:pPr>
        <w:spacing w:line="360" w:lineRule="auto"/>
        <w:rPr>
          <w:rFonts w:ascii="宋体"/>
        </w:rPr>
      </w:pPr>
      <w:r>
        <w:rPr>
          <w:rFonts w:hint="eastAsia" w:ascii="宋体"/>
        </w:rPr>
        <w:t>（8）协调业主方配合承建单位的在项目实施过程中的相关工作。</w:t>
      </w:r>
    </w:p>
    <w:p>
      <w:pPr>
        <w:spacing w:line="360" w:lineRule="auto"/>
        <w:rPr>
          <w:rFonts w:ascii="宋体"/>
        </w:rPr>
      </w:pPr>
      <w:r>
        <w:rPr>
          <w:rFonts w:hint="eastAsia" w:ascii="宋体"/>
        </w:rPr>
        <w:t>（9）协调项目参建各方配合验收阶段的工作；</w:t>
      </w:r>
    </w:p>
    <w:p>
      <w:pPr>
        <w:spacing w:line="360" w:lineRule="auto"/>
        <w:rPr>
          <w:rFonts w:ascii="宋体"/>
        </w:rPr>
      </w:pPr>
      <w:r>
        <w:rPr>
          <w:rFonts w:hint="eastAsia" w:ascii="宋体"/>
        </w:rPr>
        <w:t>（10）协助业主方和承建单位完成工程移交工作。</w:t>
      </w:r>
    </w:p>
    <w:p>
      <w:pPr>
        <w:spacing w:line="360" w:lineRule="auto"/>
        <w:rPr>
          <w:rFonts w:ascii="宋体"/>
          <w:b/>
          <w:bCs/>
          <w:iCs/>
          <w:sz w:val="28"/>
          <w:szCs w:val="28"/>
        </w:rPr>
      </w:pPr>
      <w:bookmarkStart w:id="21" w:name="_Toc54893605"/>
      <w:bookmarkStart w:id="22" w:name="_Toc3363731"/>
      <w:r>
        <w:rPr>
          <w:rFonts w:hint="eastAsia" w:ascii="宋体"/>
          <w:b/>
          <w:bCs/>
          <w:iCs/>
          <w:sz w:val="28"/>
          <w:szCs w:val="28"/>
        </w:rPr>
        <w:t>★三、商务要求</w:t>
      </w:r>
      <w:bookmarkEnd w:id="21"/>
      <w:bookmarkEnd w:id="22"/>
    </w:p>
    <w:p>
      <w:pPr>
        <w:spacing w:line="360" w:lineRule="auto"/>
        <w:rPr>
          <w:rFonts w:ascii="宋体"/>
          <w:b/>
          <w:bCs/>
          <w:iCs/>
        </w:rPr>
      </w:pPr>
      <w:r>
        <w:rPr>
          <w:rFonts w:hint="eastAsia" w:ascii="宋体"/>
          <w:b/>
          <w:bCs/>
          <w:iCs/>
        </w:rPr>
        <w:t>3.1 服务期限</w:t>
      </w:r>
    </w:p>
    <w:p>
      <w:pPr>
        <w:spacing w:line="360" w:lineRule="auto"/>
        <w:rPr>
          <w:rFonts w:ascii="宋体"/>
        </w:rPr>
      </w:pPr>
      <w:r>
        <w:rPr>
          <w:rFonts w:hint="eastAsia" w:ascii="宋体"/>
        </w:rPr>
        <w:t>本项目服务期限为自监理服务合同签订之日起，至所监理项目全部实施完毕并通过最终验收为止。</w:t>
      </w:r>
    </w:p>
    <w:p>
      <w:pPr>
        <w:spacing w:line="360" w:lineRule="auto"/>
        <w:rPr>
          <w:rFonts w:ascii="宋体"/>
          <w:b/>
          <w:bCs/>
          <w:iCs/>
        </w:rPr>
      </w:pPr>
      <w:r>
        <w:rPr>
          <w:rFonts w:hint="eastAsia" w:ascii="宋体"/>
          <w:b/>
          <w:bCs/>
          <w:iCs/>
        </w:rPr>
        <w:t>3.2 服务地点</w:t>
      </w:r>
    </w:p>
    <w:p>
      <w:pPr>
        <w:spacing w:line="360" w:lineRule="auto"/>
        <w:rPr>
          <w:rFonts w:ascii="宋体"/>
        </w:rPr>
      </w:pPr>
      <w:r>
        <w:rPr>
          <w:rFonts w:hint="eastAsia" w:ascii="宋体"/>
        </w:rPr>
        <w:t>服务地点：资阳市中心医院。</w:t>
      </w:r>
    </w:p>
    <w:p>
      <w:pPr>
        <w:spacing w:line="360" w:lineRule="auto"/>
        <w:rPr>
          <w:rFonts w:ascii="宋体"/>
          <w:b/>
          <w:bCs/>
          <w:iCs/>
        </w:rPr>
      </w:pPr>
      <w:r>
        <w:rPr>
          <w:rFonts w:hint="eastAsia" w:ascii="宋体"/>
          <w:b/>
          <w:bCs/>
          <w:iCs/>
        </w:rPr>
        <w:t>3.3 付款方式</w:t>
      </w:r>
    </w:p>
    <w:p>
      <w:pPr>
        <w:spacing w:line="360" w:lineRule="auto"/>
        <w:rPr>
          <w:rFonts w:ascii="宋体"/>
        </w:rPr>
      </w:pPr>
      <w:r>
        <w:rPr>
          <w:rFonts w:hint="eastAsia" w:ascii="宋体"/>
        </w:rPr>
        <w:t>1.合同签订后，根据项目终验时间来付款，采购人收到项目完整正规发票，完善采购人财务报销手续后的30日内即支付该项目合同金额（项目实际签订的合同总价）的报价百分比（不得高于2%）的价款。</w:t>
      </w:r>
    </w:p>
    <w:p>
      <w:pPr>
        <w:spacing w:line="360" w:lineRule="auto"/>
        <w:rPr>
          <w:rFonts w:ascii="宋体"/>
        </w:rPr>
      </w:pPr>
      <w:r>
        <w:rPr>
          <w:rFonts w:hint="eastAsia" w:ascii="宋体"/>
        </w:rPr>
        <w:t>2.出具合法有效完整的完税发票及凭证资料进行支付结算</w:t>
      </w:r>
    </w:p>
    <w:p>
      <w:pPr>
        <w:spacing w:line="360" w:lineRule="auto"/>
        <w:rPr>
          <w:rFonts w:ascii="宋体"/>
          <w:b/>
          <w:bCs/>
          <w:iCs/>
        </w:rPr>
      </w:pPr>
      <w:r>
        <w:rPr>
          <w:rFonts w:hint="eastAsia" w:ascii="宋体"/>
          <w:b/>
          <w:bCs/>
          <w:iCs/>
        </w:rPr>
        <w:t>3.4验收要求</w:t>
      </w:r>
    </w:p>
    <w:p>
      <w:pPr>
        <w:spacing w:line="360" w:lineRule="auto"/>
        <w:rPr>
          <w:rFonts w:ascii="宋体"/>
        </w:rPr>
      </w:pPr>
      <w:r>
        <w:rPr>
          <w:rFonts w:hint="eastAsia" w:ascii="宋体"/>
        </w:rPr>
        <w:t xml:space="preserve">依据本项目的合同、采购文件以及采购人签署的会议纪要、备忘录等文件，同时参考国家、省信息化建设相关标准规范进行验收。提供监理服务过程中留存的各类监理记录、问题记录、评估检查报告等各类监理服务的相关文档。 </w:t>
      </w:r>
    </w:p>
    <w:p>
      <w:pPr>
        <w:spacing w:line="360" w:lineRule="auto"/>
        <w:rPr>
          <w:rFonts w:ascii="宋体"/>
        </w:rPr>
      </w:pPr>
      <w:r>
        <w:rPr>
          <w:rFonts w:hint="eastAsia" w:ascii="宋体"/>
        </w:rPr>
        <w:t xml:space="preserve">1.提供验收监理文档资料（包括监理规划、监理细则、监理周报及月报、会议纪要、监理报告等）。  </w:t>
      </w:r>
    </w:p>
    <w:p>
      <w:pPr>
        <w:spacing w:line="360" w:lineRule="auto"/>
        <w:rPr>
          <w:rFonts w:ascii="宋体"/>
        </w:rPr>
      </w:pPr>
      <w:r>
        <w:rPr>
          <w:rFonts w:hint="eastAsia" w:ascii="宋体"/>
        </w:rPr>
        <w:t xml:space="preserve">2.出具监理工作总结报告，报告包含项目实施情况、质量评价、工程款支付情况、文档情况和项目变更等。  </w:t>
      </w:r>
    </w:p>
    <w:p>
      <w:pPr>
        <w:spacing w:line="360" w:lineRule="auto"/>
        <w:rPr>
          <w:rFonts w:ascii="宋体"/>
        </w:rPr>
      </w:pPr>
      <w:r>
        <w:rPr>
          <w:rFonts w:hint="eastAsia" w:ascii="宋体"/>
        </w:rPr>
        <w:t xml:space="preserve">3.审核项目成果交付物，出具审核报告。  </w:t>
      </w:r>
    </w:p>
    <w:p>
      <w:pPr>
        <w:spacing w:line="360" w:lineRule="auto"/>
        <w:rPr>
          <w:rFonts w:ascii="宋体"/>
        </w:rPr>
      </w:pPr>
      <w:r>
        <w:rPr>
          <w:rFonts w:hint="eastAsia" w:ascii="宋体"/>
        </w:rPr>
        <w:t>4.被监理项目通过验收，形成验收报告。</w:t>
      </w:r>
    </w:p>
    <w:p>
      <w:pPr>
        <w:spacing w:line="360" w:lineRule="auto"/>
        <w:rPr>
          <w:rFonts w:ascii="宋体"/>
        </w:rPr>
      </w:pPr>
      <w:r>
        <w:rPr>
          <w:rFonts w:hint="eastAsia" w:ascii="宋体"/>
        </w:rPr>
        <w:t>5.监理服务验收与所监理项目验收同步进行。所监理的项目通过最终验收，视为监理服务通过验收。</w:t>
      </w:r>
    </w:p>
    <w:p>
      <w:pPr>
        <w:spacing w:line="360" w:lineRule="auto"/>
        <w:rPr>
          <w:rFonts w:ascii="宋体"/>
          <w:b/>
          <w:bCs/>
          <w:iCs/>
        </w:rPr>
      </w:pPr>
      <w:r>
        <w:rPr>
          <w:rFonts w:hint="eastAsia" w:ascii="宋体"/>
          <w:b/>
          <w:bCs/>
          <w:iCs/>
        </w:rPr>
        <w:t>3.5监理服务要求：</w:t>
      </w:r>
    </w:p>
    <w:p>
      <w:pPr>
        <w:spacing w:line="360" w:lineRule="auto"/>
        <w:rPr>
          <w:rFonts w:ascii="宋体"/>
        </w:rPr>
      </w:pPr>
      <w:r>
        <w:rPr>
          <w:rFonts w:hint="eastAsia" w:ascii="宋体"/>
        </w:rPr>
        <w:t>监理团队具有较强的实力，并能统揽全局，能有效地组织、协调、监管项目实施过程中各方面的工作，使项目质量达到一流水平，工期得到保证，成本得到控制。</w:t>
      </w:r>
    </w:p>
    <w:p>
      <w:pPr>
        <w:spacing w:line="360" w:lineRule="auto"/>
        <w:rPr>
          <w:rFonts w:ascii="宋体"/>
        </w:rPr>
      </w:pPr>
      <w:r>
        <w:rPr>
          <w:rFonts w:hint="eastAsia" w:ascii="宋体"/>
        </w:rPr>
        <w:t xml:space="preserve">针对本项目设立监理项目组（监理项目组由总监1名，总监代表1名，驻场监理项目师1名，文档管理员1名组成）。在项目实施过程中，要求至少1名监理项目师常驻医院，同时，根据具体工作情况，合理安排并调整技术人员，满足采购人实际工作需要。 </w:t>
      </w:r>
    </w:p>
    <w:p>
      <w:pPr>
        <w:spacing w:line="360" w:lineRule="auto"/>
        <w:rPr>
          <w:rFonts w:ascii="宋体"/>
        </w:rPr>
      </w:pPr>
      <w:r>
        <w:rPr>
          <w:rFonts w:hint="eastAsia" w:ascii="宋体"/>
        </w:rPr>
        <w:t>（1）项目监理部须编制监理规划，应包含目标规划、动态控制措施、监理纪律守则和人员的定岗、职责等；根据建设方确定的项目分组情况，配置固定专门的监理人员。</w:t>
      </w:r>
    </w:p>
    <w:p>
      <w:pPr>
        <w:spacing w:line="360" w:lineRule="auto"/>
        <w:rPr>
          <w:rFonts w:ascii="宋体"/>
        </w:rPr>
      </w:pPr>
      <w:r>
        <w:rPr>
          <w:rFonts w:hint="eastAsia" w:ascii="宋体"/>
        </w:rPr>
        <w:t>（2）参加项目的总监具备五年以上监理工作经验。</w:t>
      </w:r>
    </w:p>
    <w:p>
      <w:pPr>
        <w:spacing w:line="360" w:lineRule="auto"/>
        <w:rPr>
          <w:rFonts w:ascii="宋体"/>
        </w:rPr>
      </w:pPr>
      <w:r>
        <w:rPr>
          <w:rFonts w:hint="eastAsia" w:ascii="宋体"/>
        </w:rPr>
        <w:t>（3）项目监理部及其人员自行配备交通、通信、生活、办公、检测等设备、设施或仪表，以确保监理方案的顺利实施。</w:t>
      </w:r>
    </w:p>
    <w:p>
      <w:pPr>
        <w:spacing w:line="360" w:lineRule="auto"/>
        <w:rPr>
          <w:rFonts w:ascii="宋体"/>
        </w:rPr>
      </w:pPr>
      <w:r>
        <w:rPr>
          <w:rFonts w:hint="eastAsia" w:ascii="宋体"/>
        </w:rPr>
        <w:t>（4）项目监理部须协助业主收集、整理、归纳项目资料，并且形成电子文档。</w:t>
      </w:r>
    </w:p>
    <w:p>
      <w:pPr>
        <w:spacing w:line="360" w:lineRule="auto"/>
        <w:rPr>
          <w:rFonts w:ascii="宋体"/>
        </w:rPr>
      </w:pPr>
      <w:r>
        <w:rPr>
          <w:rFonts w:hint="eastAsia" w:ascii="宋体"/>
        </w:rPr>
        <w:t xml:space="preserve">（5）从事项目监理活动能遵循“守法、诚信、公正、科学”的准则。 </w:t>
      </w:r>
    </w:p>
    <w:p>
      <w:pPr>
        <w:spacing w:line="360" w:lineRule="auto"/>
        <w:rPr>
          <w:rFonts w:ascii="宋体"/>
        </w:rPr>
      </w:pPr>
      <w:r>
        <w:rPr>
          <w:rFonts w:hint="eastAsia" w:ascii="宋体"/>
        </w:rPr>
        <w:t xml:space="preserve">（6）监理单位应根据项目情况，制定适宜的表格来加强对设计、实施、验收的控制力度，包括但不限于如下方面： </w:t>
      </w:r>
    </w:p>
    <w:p>
      <w:pPr>
        <w:numPr>
          <w:ilvl w:val="0"/>
          <w:numId w:val="3"/>
        </w:numPr>
        <w:tabs>
          <w:tab w:val="clear" w:pos="0"/>
        </w:tabs>
        <w:spacing w:line="360" w:lineRule="auto"/>
        <w:rPr>
          <w:rFonts w:ascii="宋体"/>
        </w:rPr>
      </w:pPr>
      <w:r>
        <w:rPr>
          <w:rFonts w:hint="eastAsia" w:ascii="宋体"/>
        </w:rPr>
        <w:t xml:space="preserve">针对关键环节，制定项目进度计划详表，在监理规划中报送； </w:t>
      </w:r>
    </w:p>
    <w:p>
      <w:pPr>
        <w:numPr>
          <w:ilvl w:val="0"/>
          <w:numId w:val="3"/>
        </w:numPr>
        <w:tabs>
          <w:tab w:val="clear" w:pos="0"/>
        </w:tabs>
        <w:spacing w:line="360" w:lineRule="auto"/>
        <w:rPr>
          <w:rFonts w:ascii="宋体"/>
        </w:rPr>
      </w:pPr>
      <w:r>
        <w:rPr>
          <w:rFonts w:hint="eastAsia" w:ascii="宋体"/>
        </w:rPr>
        <w:t xml:space="preserve">监理周报、月报； </w:t>
      </w:r>
    </w:p>
    <w:p>
      <w:pPr>
        <w:numPr>
          <w:ilvl w:val="0"/>
          <w:numId w:val="3"/>
        </w:numPr>
        <w:tabs>
          <w:tab w:val="clear" w:pos="0"/>
        </w:tabs>
        <w:spacing w:line="360" w:lineRule="auto"/>
        <w:rPr>
          <w:rFonts w:ascii="宋体"/>
        </w:rPr>
      </w:pPr>
      <w:r>
        <w:rPr>
          <w:rFonts w:hint="eastAsia" w:ascii="宋体"/>
        </w:rPr>
        <w:t xml:space="preserve">主要工作量记录表，在监理月报中报送； </w:t>
      </w:r>
    </w:p>
    <w:p>
      <w:pPr>
        <w:numPr>
          <w:ilvl w:val="0"/>
          <w:numId w:val="3"/>
        </w:numPr>
        <w:tabs>
          <w:tab w:val="clear" w:pos="0"/>
        </w:tabs>
        <w:spacing w:line="360" w:lineRule="auto"/>
        <w:rPr>
          <w:rFonts w:ascii="宋体"/>
        </w:rPr>
      </w:pPr>
      <w:r>
        <w:rPr>
          <w:rFonts w:hint="eastAsia" w:ascii="宋体"/>
        </w:rPr>
        <w:t xml:space="preserve">安全情况记录表，在监理周报中报送； </w:t>
      </w:r>
    </w:p>
    <w:p>
      <w:pPr>
        <w:numPr>
          <w:ilvl w:val="0"/>
          <w:numId w:val="3"/>
        </w:numPr>
        <w:tabs>
          <w:tab w:val="clear" w:pos="0"/>
        </w:tabs>
        <w:spacing w:line="360" w:lineRule="auto"/>
        <w:rPr>
          <w:rFonts w:ascii="宋体"/>
        </w:rPr>
      </w:pPr>
      <w:r>
        <w:rPr>
          <w:rFonts w:hint="eastAsia" w:ascii="宋体"/>
        </w:rPr>
        <w:t>其它现场验收表格。</w:t>
      </w:r>
    </w:p>
    <w:p>
      <w:pPr>
        <w:spacing w:line="360" w:lineRule="auto"/>
        <w:rPr>
          <w:rFonts w:ascii="宋体"/>
        </w:rPr>
      </w:pPr>
      <w:r>
        <w:rPr>
          <w:rFonts w:hint="eastAsia" w:ascii="宋体"/>
          <w:b/>
          <w:bCs/>
          <w:iCs/>
        </w:rPr>
        <w:t>3.6售后服务要求：</w:t>
      </w:r>
      <w:r>
        <w:rPr>
          <w:rFonts w:hint="eastAsia" w:ascii="宋体"/>
        </w:rPr>
        <w:t>中标方应对监理项目建设的全过程提供技术方面的咨询，包括各个阶段技术方案设计、疑难问题解决、实施过程的技术审核、验收质量把关等以确保项目建设顺利进行。</w:t>
      </w:r>
    </w:p>
    <w:p>
      <w:pPr>
        <w:spacing w:line="360" w:lineRule="auto"/>
        <w:rPr>
          <w:rFonts w:ascii="宋体"/>
        </w:rPr>
      </w:pPr>
      <w:r>
        <w:rPr>
          <w:rFonts w:hint="eastAsia" w:ascii="宋体"/>
          <w:b/>
          <w:bCs/>
          <w:iCs/>
        </w:rPr>
        <w:t>3.7培训要求：</w:t>
      </w:r>
      <w:r>
        <w:rPr>
          <w:rFonts w:hint="eastAsia" w:ascii="宋体"/>
        </w:rPr>
        <w:t>中标方负责技术支持，费用均已涵盖在投报价格中。免费负责为采购方使用人员提供操作培训等工作，直至采购方使用人员能独立正常操作使用为止。</w:t>
      </w:r>
    </w:p>
    <w:p>
      <w:pPr>
        <w:spacing w:line="360" w:lineRule="auto"/>
        <w:rPr>
          <w:rFonts w:ascii="宋体"/>
        </w:rPr>
      </w:pPr>
      <w:r>
        <w:rPr>
          <w:rFonts w:hint="eastAsia" w:ascii="宋体"/>
          <w:b/>
          <w:bCs/>
          <w:iCs/>
        </w:rPr>
        <w:t>3.8资料要求：</w:t>
      </w:r>
      <w:r>
        <w:rPr>
          <w:rFonts w:hint="eastAsia" w:ascii="宋体"/>
        </w:rPr>
        <w:t>按照信息化工程建立规范和国家、省、市对信息化项目监理要求，监理成果物要求包括但不限于：开工令、项目款支付证书、会议纪要、监理月报、实施文档类监理审核意见、监理工作联系函、监理通知单、项目备忘录、设施设备验货台账、设备加电检查记录、专项项目监理报告、测试记录、初验报告、试运行报告、完工移交书、项目竣工报告、监理总报告等。监理机构各阶段产出文档如下：</w:t>
      </w:r>
    </w:p>
    <w:tbl>
      <w:tblPr>
        <w:tblStyle w:val="27"/>
        <w:tblpPr w:leftFromText="180" w:rightFromText="180" w:vertAnchor="text" w:horzAnchor="page" w:tblpXSpec="center" w:tblpY="329"/>
        <w:tblOverlap w:val="never"/>
        <w:tblW w:w="9548" w:type="dxa"/>
        <w:jc w:val="center"/>
        <w:tblLayout w:type="fixed"/>
        <w:tblCellMar>
          <w:top w:w="0" w:type="dxa"/>
          <w:left w:w="108" w:type="dxa"/>
          <w:bottom w:w="0" w:type="dxa"/>
          <w:right w:w="108" w:type="dxa"/>
        </w:tblCellMar>
      </w:tblPr>
      <w:tblGrid>
        <w:gridCol w:w="2391"/>
        <w:gridCol w:w="7157"/>
      </w:tblGrid>
      <w:tr>
        <w:tblPrEx>
          <w:tblCellMar>
            <w:top w:w="0" w:type="dxa"/>
            <w:left w:w="108" w:type="dxa"/>
            <w:bottom w:w="0" w:type="dxa"/>
            <w:right w:w="108" w:type="dxa"/>
          </w:tblCellMar>
        </w:tblPrEx>
        <w:trPr>
          <w:trHeight w:val="436" w:hRule="atLeast"/>
          <w:jc w:val="center"/>
        </w:trPr>
        <w:tc>
          <w:tcPr>
            <w:tcW w:w="125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项目招标准备阶段</w:t>
            </w:r>
          </w:p>
        </w:tc>
        <w:tc>
          <w:tcPr>
            <w:tcW w:w="3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招标文件审核意见</w:t>
            </w:r>
          </w:p>
        </w:tc>
      </w:tr>
      <w:tr>
        <w:tblPrEx>
          <w:tblCellMar>
            <w:top w:w="0" w:type="dxa"/>
            <w:left w:w="108" w:type="dxa"/>
            <w:bottom w:w="0" w:type="dxa"/>
            <w:right w:w="108" w:type="dxa"/>
          </w:tblCellMar>
        </w:tblPrEx>
        <w:trPr>
          <w:trHeight w:val="436" w:hRule="atLeast"/>
          <w:jc w:val="center"/>
        </w:trPr>
        <w:tc>
          <w:tcPr>
            <w:tcW w:w="1252"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项目合同签订阶段</w:t>
            </w:r>
          </w:p>
        </w:tc>
        <w:tc>
          <w:tcPr>
            <w:tcW w:w="3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承建合同审核意见</w:t>
            </w:r>
          </w:p>
        </w:tc>
      </w:tr>
      <w:tr>
        <w:tblPrEx>
          <w:tblCellMar>
            <w:top w:w="0" w:type="dxa"/>
            <w:left w:w="108" w:type="dxa"/>
            <w:bottom w:w="0" w:type="dxa"/>
            <w:right w:w="108" w:type="dxa"/>
          </w:tblCellMar>
        </w:tblPrEx>
        <w:trPr>
          <w:trHeight w:val="436" w:hRule="atLeast"/>
          <w:jc w:val="center"/>
        </w:trPr>
        <w:tc>
          <w:tcPr>
            <w:tcW w:w="1252" w:type="pct"/>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项目启动阶段</w:t>
            </w:r>
          </w:p>
        </w:tc>
        <w:tc>
          <w:tcPr>
            <w:tcW w:w="3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监理规划；监理细则</w:t>
            </w:r>
          </w:p>
        </w:tc>
      </w:tr>
      <w:tr>
        <w:tblPrEx>
          <w:tblCellMar>
            <w:top w:w="0" w:type="dxa"/>
            <w:left w:w="108" w:type="dxa"/>
            <w:bottom w:w="0" w:type="dxa"/>
            <w:right w:w="108" w:type="dxa"/>
          </w:tblCellMar>
        </w:tblPrEx>
        <w:trPr>
          <w:trHeight w:val="436" w:hRule="atLeast"/>
          <w:jc w:val="center"/>
        </w:trPr>
        <w:tc>
          <w:tcPr>
            <w:tcW w:w="125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rPr>
                <w:rFonts w:ascii="宋体"/>
              </w:rPr>
            </w:pPr>
          </w:p>
        </w:tc>
        <w:tc>
          <w:tcPr>
            <w:tcW w:w="3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开（停、复）工令</w:t>
            </w:r>
          </w:p>
        </w:tc>
      </w:tr>
      <w:tr>
        <w:tblPrEx>
          <w:tblCellMar>
            <w:top w:w="0" w:type="dxa"/>
            <w:left w:w="108" w:type="dxa"/>
            <w:bottom w:w="0" w:type="dxa"/>
            <w:right w:w="108" w:type="dxa"/>
          </w:tblCellMar>
        </w:tblPrEx>
        <w:trPr>
          <w:trHeight w:val="678" w:hRule="atLeast"/>
          <w:jc w:val="center"/>
        </w:trPr>
        <w:tc>
          <w:tcPr>
            <w:tcW w:w="125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rPr>
                <w:rFonts w:ascii="宋体"/>
              </w:rPr>
            </w:pPr>
            <w:r>
              <w:rPr>
                <w:rFonts w:hint="eastAsia" w:ascii="宋体"/>
              </w:rPr>
              <w:t>需求开发设计阶段</w:t>
            </w:r>
          </w:p>
          <w:p>
            <w:pPr>
              <w:spacing w:line="360" w:lineRule="auto"/>
              <w:rPr>
                <w:rFonts w:ascii="宋体"/>
              </w:rPr>
            </w:pPr>
            <w:r>
              <w:rPr>
                <w:rFonts w:hint="eastAsia" w:ascii="宋体"/>
              </w:rPr>
              <w:t>现场测试阶段</w:t>
            </w:r>
          </w:p>
          <w:p>
            <w:pPr>
              <w:spacing w:line="360" w:lineRule="auto"/>
              <w:rPr>
                <w:rFonts w:ascii="宋体"/>
              </w:rPr>
            </w:pPr>
            <w:r>
              <w:rPr>
                <w:rFonts w:hint="eastAsia" w:ascii="宋体"/>
              </w:rPr>
              <w:t>系统上线阶段</w:t>
            </w:r>
          </w:p>
        </w:tc>
        <w:tc>
          <w:tcPr>
            <w:tcW w:w="3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需求规格说明书评审报告、概要（结构）设计评审报告、详细设计评审报告</w:t>
            </w:r>
          </w:p>
        </w:tc>
      </w:tr>
      <w:tr>
        <w:tblPrEx>
          <w:tblCellMar>
            <w:top w:w="0" w:type="dxa"/>
            <w:left w:w="108" w:type="dxa"/>
            <w:bottom w:w="0" w:type="dxa"/>
            <w:right w:w="108" w:type="dxa"/>
          </w:tblCellMar>
        </w:tblPrEx>
        <w:trPr>
          <w:trHeight w:val="436" w:hRule="atLeast"/>
          <w:jc w:val="center"/>
        </w:trPr>
        <w:tc>
          <w:tcPr>
            <w:tcW w:w="125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rPr>
                <w:rFonts w:ascii="宋体"/>
              </w:rPr>
            </w:pPr>
          </w:p>
        </w:tc>
        <w:tc>
          <w:tcPr>
            <w:tcW w:w="3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实施测试方案/计划审核监理意见、系统问题跟踪记录</w:t>
            </w:r>
          </w:p>
        </w:tc>
      </w:tr>
      <w:tr>
        <w:tblPrEx>
          <w:tblCellMar>
            <w:top w:w="0" w:type="dxa"/>
            <w:left w:w="108" w:type="dxa"/>
            <w:bottom w:w="0" w:type="dxa"/>
            <w:right w:w="108" w:type="dxa"/>
          </w:tblCellMar>
        </w:tblPrEx>
        <w:trPr>
          <w:trHeight w:val="432" w:hRule="atLeast"/>
          <w:jc w:val="center"/>
        </w:trPr>
        <w:tc>
          <w:tcPr>
            <w:tcW w:w="125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rPr>
                <w:rFonts w:ascii="宋体"/>
              </w:rPr>
            </w:pPr>
          </w:p>
        </w:tc>
        <w:tc>
          <w:tcPr>
            <w:tcW w:w="3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上线方案/计划审核监理意见</w:t>
            </w:r>
          </w:p>
        </w:tc>
      </w:tr>
      <w:tr>
        <w:tblPrEx>
          <w:tblCellMar>
            <w:top w:w="0" w:type="dxa"/>
            <w:left w:w="108" w:type="dxa"/>
            <w:bottom w:w="0" w:type="dxa"/>
            <w:right w:w="108" w:type="dxa"/>
          </w:tblCellMar>
        </w:tblPrEx>
        <w:trPr>
          <w:trHeight w:val="436" w:hRule="atLeast"/>
          <w:jc w:val="center"/>
        </w:trPr>
        <w:tc>
          <w:tcPr>
            <w:tcW w:w="125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rPr>
                <w:rFonts w:ascii="宋体"/>
              </w:rPr>
            </w:pPr>
          </w:p>
        </w:tc>
        <w:tc>
          <w:tcPr>
            <w:tcW w:w="3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培训方案/计划审核监理意见</w:t>
            </w:r>
          </w:p>
        </w:tc>
      </w:tr>
      <w:tr>
        <w:tblPrEx>
          <w:tblCellMar>
            <w:top w:w="0" w:type="dxa"/>
            <w:left w:w="108" w:type="dxa"/>
            <w:bottom w:w="0" w:type="dxa"/>
            <w:right w:w="108" w:type="dxa"/>
          </w:tblCellMar>
        </w:tblPrEx>
        <w:trPr>
          <w:trHeight w:val="494" w:hRule="atLeast"/>
          <w:jc w:val="center"/>
        </w:trPr>
        <w:tc>
          <w:tcPr>
            <w:tcW w:w="1252" w:type="pct"/>
            <w:vMerge w:val="restart"/>
            <w:tcBorders>
              <w:top w:val="single" w:color="000000" w:sz="4" w:space="0"/>
              <w:left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项目验收阶段</w:t>
            </w:r>
          </w:p>
        </w:tc>
        <w:tc>
          <w:tcPr>
            <w:tcW w:w="3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初验、终验方案审核监理意见，上线运行报告审核监理意见</w:t>
            </w:r>
          </w:p>
        </w:tc>
      </w:tr>
      <w:tr>
        <w:tblPrEx>
          <w:tblCellMar>
            <w:top w:w="0" w:type="dxa"/>
            <w:left w:w="108" w:type="dxa"/>
            <w:bottom w:w="0" w:type="dxa"/>
            <w:right w:w="108" w:type="dxa"/>
          </w:tblCellMar>
        </w:tblPrEx>
        <w:trPr>
          <w:trHeight w:val="436" w:hRule="atLeast"/>
          <w:jc w:val="center"/>
        </w:trPr>
        <w:tc>
          <w:tcPr>
            <w:tcW w:w="1252" w:type="pct"/>
            <w:vMerge w:val="continue"/>
            <w:tcBorders>
              <w:left w:val="single" w:color="000000" w:sz="4" w:space="0"/>
              <w:right w:val="single" w:color="000000" w:sz="4" w:space="0"/>
            </w:tcBorders>
            <w:shd w:val="clear" w:color="FFFFFF" w:fill="FFFFFF"/>
            <w:noWrap/>
            <w:vAlign w:val="center"/>
          </w:tcPr>
          <w:p>
            <w:pPr>
              <w:spacing w:line="360" w:lineRule="auto"/>
              <w:rPr>
                <w:rFonts w:ascii="宋体"/>
              </w:rPr>
            </w:pPr>
          </w:p>
        </w:tc>
        <w:tc>
          <w:tcPr>
            <w:tcW w:w="3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初验报告，终验报告</w:t>
            </w:r>
          </w:p>
        </w:tc>
      </w:tr>
      <w:tr>
        <w:tblPrEx>
          <w:tblCellMar>
            <w:top w:w="0" w:type="dxa"/>
            <w:left w:w="108" w:type="dxa"/>
            <w:bottom w:w="0" w:type="dxa"/>
            <w:right w:w="108" w:type="dxa"/>
          </w:tblCellMar>
        </w:tblPrEx>
        <w:trPr>
          <w:trHeight w:val="436" w:hRule="atLeast"/>
          <w:jc w:val="center"/>
        </w:trPr>
        <w:tc>
          <w:tcPr>
            <w:tcW w:w="1252" w:type="pct"/>
            <w:vMerge w:val="continue"/>
            <w:tcBorders>
              <w:left w:val="single" w:color="000000" w:sz="4" w:space="0"/>
              <w:bottom w:val="single" w:color="000000" w:sz="4" w:space="0"/>
              <w:right w:val="single" w:color="000000" w:sz="4" w:space="0"/>
            </w:tcBorders>
            <w:shd w:val="clear" w:color="FFFFFF" w:fill="FFFFFF"/>
            <w:vAlign w:val="center"/>
          </w:tcPr>
          <w:p>
            <w:pPr>
              <w:spacing w:line="360" w:lineRule="auto"/>
              <w:rPr>
                <w:rFonts w:ascii="宋体"/>
              </w:rPr>
            </w:pPr>
          </w:p>
        </w:tc>
        <w:tc>
          <w:tcPr>
            <w:tcW w:w="3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监理工作总结报告，移交清单</w:t>
            </w:r>
          </w:p>
        </w:tc>
      </w:tr>
      <w:tr>
        <w:tblPrEx>
          <w:tblCellMar>
            <w:top w:w="0" w:type="dxa"/>
            <w:left w:w="108" w:type="dxa"/>
            <w:bottom w:w="0" w:type="dxa"/>
            <w:right w:w="108" w:type="dxa"/>
          </w:tblCellMar>
        </w:tblPrEx>
        <w:trPr>
          <w:trHeight w:val="665" w:hRule="atLeast"/>
          <w:jc w:val="center"/>
        </w:trPr>
        <w:tc>
          <w:tcPr>
            <w:tcW w:w="125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rPr>
                <w:rFonts w:ascii="宋体"/>
              </w:rPr>
            </w:pPr>
            <w:r>
              <w:rPr>
                <w:rFonts w:hint="eastAsia" w:ascii="宋体"/>
              </w:rPr>
              <w:t>项目过程文件</w:t>
            </w:r>
          </w:p>
        </w:tc>
        <w:tc>
          <w:tcPr>
            <w:tcW w:w="3747"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360" w:lineRule="auto"/>
              <w:rPr>
                <w:rFonts w:ascii="宋体"/>
              </w:rPr>
            </w:pPr>
            <w:r>
              <w:rPr>
                <w:rFonts w:hint="eastAsia" w:ascii="宋体"/>
              </w:rPr>
              <w:t>监理周报、监理月报、会议纪要、监理通知单、支付意见书、监理费申请表，监理联系单、工程备忘录等</w:t>
            </w:r>
          </w:p>
        </w:tc>
      </w:tr>
    </w:tbl>
    <w:p>
      <w:pPr>
        <w:spacing w:line="360" w:lineRule="auto"/>
        <w:rPr>
          <w:rFonts w:ascii="宋体"/>
        </w:rPr>
      </w:pPr>
      <w:r>
        <w:rPr>
          <w:rFonts w:hint="eastAsia" w:ascii="宋体"/>
          <w:b/>
          <w:bCs/>
          <w:iCs/>
        </w:rPr>
        <w:t>3.9保密条款：</w:t>
      </w:r>
      <w:r>
        <w:rPr>
          <w:rFonts w:hint="eastAsia" w:ascii="宋体"/>
        </w:rPr>
        <w:t>中标方应有相关患者个人信息、就诊信息隐私、医院安全保护策略，以及应急预案，且符合相关法律法规。涉及患者个人隐私，中标方在合同内及合同终止后均应对其知悉或可能知悉的有关患者个人信息、就诊信息等内容负保密义务。不能以任何方式泄漏、转让、转移给第三方。</w:t>
      </w:r>
    </w:p>
    <w:p>
      <w:pPr>
        <w:spacing w:line="360" w:lineRule="auto"/>
        <w:rPr>
          <w:rFonts w:ascii="宋体"/>
          <w:b/>
          <w:bCs/>
          <w:iCs/>
        </w:rPr>
      </w:pPr>
      <w:r>
        <w:rPr>
          <w:rFonts w:hint="eastAsia" w:ascii="宋体"/>
          <w:b/>
          <w:bCs/>
          <w:iCs/>
        </w:rPr>
        <w:t>3.10其他要求：</w:t>
      </w:r>
    </w:p>
    <w:p>
      <w:pPr>
        <w:spacing w:line="360" w:lineRule="auto"/>
        <w:rPr>
          <w:rFonts w:ascii="宋体"/>
        </w:rPr>
      </w:pPr>
      <w:r>
        <w:rPr>
          <w:rFonts w:ascii="宋体"/>
        </w:rPr>
        <w:t>严格执行遵照国家相关法律与规定，维护采购人与承建方的合法权益：1</w:t>
      </w:r>
      <w:r>
        <w:rPr>
          <w:rFonts w:hint="eastAsia" w:ascii="宋体"/>
        </w:rPr>
        <w:t>.</w:t>
      </w:r>
      <w:r>
        <w:rPr>
          <w:rFonts w:ascii="宋体"/>
        </w:rPr>
        <w:t xml:space="preserve"> 执行有关项目建设的法律、法规、规范、标准和制度，履行监理合同规定的义务和职责。 2 </w:t>
      </w:r>
      <w:r>
        <w:rPr>
          <w:rFonts w:hint="eastAsia" w:ascii="宋体"/>
        </w:rPr>
        <w:t>.</w:t>
      </w:r>
      <w:r>
        <w:rPr>
          <w:rFonts w:ascii="宋体"/>
        </w:rPr>
        <w:t>不收受被监理人的任何礼金。 3</w:t>
      </w:r>
      <w:r>
        <w:rPr>
          <w:rFonts w:hint="eastAsia" w:ascii="宋体"/>
        </w:rPr>
        <w:t>.</w:t>
      </w:r>
      <w:r>
        <w:rPr>
          <w:rFonts w:ascii="宋体"/>
        </w:rPr>
        <w:t xml:space="preserve"> 不泄漏所监理项目需要保密的事项。 </w:t>
      </w:r>
      <w:r>
        <w:rPr>
          <w:rFonts w:hint="eastAsia" w:ascii="宋体"/>
        </w:rPr>
        <w:t>4.</w:t>
      </w:r>
      <w:r>
        <w:rPr>
          <w:rFonts w:ascii="宋体"/>
        </w:rPr>
        <w:t>遵守国家的法律和业主有关条例、规定和办法。</w:t>
      </w:r>
      <w:r>
        <w:rPr>
          <w:rFonts w:hint="eastAsia" w:ascii="宋体"/>
        </w:rPr>
        <w:t>5.</w:t>
      </w:r>
      <w:r>
        <w:rPr>
          <w:rFonts w:ascii="宋体"/>
        </w:rPr>
        <w:t>坚持公正的立场，独立、公正地处理有关各方的争议。</w:t>
      </w:r>
      <w:r>
        <w:rPr>
          <w:rFonts w:hint="eastAsia" w:ascii="宋体"/>
        </w:rPr>
        <w:t>6.</w:t>
      </w:r>
      <w:r>
        <w:rPr>
          <w:rFonts w:ascii="宋体"/>
        </w:rPr>
        <w:t xml:space="preserve"> 坚持科学的态度和实事求是的原则。</w:t>
      </w:r>
    </w:p>
    <w:p>
      <w:pPr>
        <w:spacing w:line="360" w:lineRule="auto"/>
        <w:rPr>
          <w:rFonts w:ascii="宋体"/>
        </w:rPr>
      </w:pPr>
    </w:p>
    <w:p>
      <w:pPr>
        <w:widowControl/>
        <w:jc w:val="left"/>
      </w:pPr>
      <w:r>
        <w:rPr>
          <w:rFonts w:hint="eastAsia"/>
        </w:rPr>
        <w:tab/>
      </w:r>
      <w: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73895658"/>
      <w:bookmarkStart w:id="24" w:name="_Toc180296788"/>
      <w:bookmarkStart w:id="25" w:name="_Toc173895846"/>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173895659"/>
      <w:bookmarkStart w:id="28" w:name="_Toc211679186"/>
      <w:bookmarkStart w:id="29" w:name="_Toc173895847"/>
      <w:bookmarkStart w:id="30" w:name="_Toc18029678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309"/>
        <w:gridCol w:w="1134"/>
        <w:gridCol w:w="1134"/>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46"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1309"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lang w:val="en-US" w:eastAsia="zh-CN"/>
              </w:rPr>
              <w:t>服务</w:t>
            </w:r>
            <w:r>
              <w:rPr>
                <w:rFonts w:hint="eastAsia" w:asciiTheme="majorEastAsia" w:hAnsiTheme="majorEastAsia" w:eastAsiaTheme="majorEastAsia"/>
              </w:rPr>
              <w:t>名称</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902"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46" w:type="dxa"/>
          </w:tcPr>
          <w:p>
            <w:pPr>
              <w:widowControl/>
              <w:spacing w:line="360" w:lineRule="atLeast"/>
              <w:ind w:firstLine="411" w:firstLineChars="196"/>
              <w:jc w:val="left"/>
              <w:rPr>
                <w:rFonts w:asciiTheme="majorEastAsia" w:hAnsiTheme="majorEastAsia" w:eastAsiaTheme="majorEastAsia"/>
              </w:rPr>
            </w:pPr>
          </w:p>
        </w:tc>
        <w:tc>
          <w:tcPr>
            <w:tcW w:w="1309"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46" w:type="dxa"/>
          </w:tcPr>
          <w:p>
            <w:pPr>
              <w:widowControl/>
              <w:spacing w:line="360" w:lineRule="atLeast"/>
              <w:ind w:firstLine="411" w:firstLineChars="196"/>
              <w:jc w:val="left"/>
              <w:rPr>
                <w:rFonts w:asciiTheme="majorEastAsia" w:hAnsiTheme="majorEastAsia" w:eastAsiaTheme="majorEastAsia"/>
              </w:rPr>
            </w:pPr>
          </w:p>
        </w:tc>
        <w:tc>
          <w:tcPr>
            <w:tcW w:w="1309"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hint="eastAsia" w:ascii="宋体" w:hAnsi="宋体"/>
          <w:kern w:val="0"/>
        </w:rPr>
      </w:pPr>
      <w:r>
        <w:rPr>
          <w:rFonts w:ascii="宋体" w:hAnsi="宋体"/>
          <w:kern w:val="0"/>
        </w:rPr>
        <w:t>4、</w:t>
      </w:r>
      <w:r>
        <w:rPr>
          <w:rFonts w:hint="eastAsia" w:ascii="宋体" w:hAnsi="宋体"/>
          <w:kern w:val="0"/>
        </w:rPr>
        <w:t>根据情况可增减表格行数，但不可随意更改表格样式。</w:t>
      </w:r>
    </w:p>
    <w:p>
      <w:pPr>
        <w:pStyle w:val="2"/>
        <w:rPr>
          <w:rFonts w:hint="default" w:eastAsia="宋体"/>
          <w:lang w:val="en-US" w:eastAsia="zh-CN"/>
        </w:rPr>
      </w:pPr>
      <w:r>
        <w:rPr>
          <w:rFonts w:hint="eastAsia" w:ascii="宋体" w:hAnsi="宋体"/>
          <w:kern w:val="0"/>
          <w:lang w:val="en-US" w:eastAsia="zh-CN"/>
        </w:rPr>
        <w:t xml:space="preserve">    5、按需进行二次报价。</w:t>
      </w:r>
    </w:p>
    <w:p>
      <w:pPr>
        <w:spacing w:line="360" w:lineRule="auto"/>
        <w:ind w:left="246" w:hanging="245" w:hangingChars="117"/>
        <w:jc w:val="left"/>
        <w:rPr>
          <w:rFonts w:ascii="宋体"/>
          <w:kern w:val="0"/>
        </w:rPr>
      </w:pPr>
      <w:bookmarkStart w:id="45" w:name="_GoBack"/>
      <w:bookmarkEnd w:id="45"/>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pPr>
        <w:pStyle w:val="16"/>
        <w:numPr>
          <w:ilvl w:val="0"/>
          <w:numId w:val="4"/>
        </w:numPr>
        <w:spacing w:line="360" w:lineRule="auto"/>
        <w:rPr>
          <w:rFonts w:hAnsi="宋体" w:cs="Times New Roman"/>
          <w:kern w:val="0"/>
        </w:rPr>
      </w:pPr>
      <w:r>
        <w:rPr>
          <w:rFonts w:hint="eastAsia" w:hAnsi="宋体"/>
          <w:kern w:val="0"/>
        </w:rPr>
        <w:t>法定代表人授权书；（原件，加盖鲜章）</w:t>
      </w:r>
    </w:p>
    <w:p>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pPr>
        <w:pStyle w:val="16"/>
        <w:numPr>
          <w:ilvl w:val="0"/>
          <w:numId w:val="4"/>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1" w:name="_Toc518397109"/>
      <w:bookmarkStart w:id="32" w:name="_Toc185047520"/>
      <w:bookmarkStart w:id="33" w:name="_Toc518397160"/>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kern w:val="0"/>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pPr>
        <w:pStyle w:val="16"/>
        <w:spacing w:line="360" w:lineRule="auto"/>
        <w:ind w:firstLine="420" w:firstLineChars="200"/>
        <w:rPr>
          <w:rFonts w:hAnsi="宋体" w:cs="Times New Roman"/>
          <w:kern w:val="0"/>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hAnsi="宋体" w:cs="Times New Roman"/>
          <w:kern w:val="0"/>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widowControl/>
        <w:jc w:val="left"/>
        <w:rPr>
          <w:rFonts w:ascii="宋体"/>
        </w:rPr>
      </w:pP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承诺时间：2024年   月   日</w:t>
      </w:r>
    </w:p>
    <w:p>
      <w:pPr>
        <w:pStyle w:val="2"/>
      </w:pPr>
    </w:p>
    <w:p/>
    <w:p>
      <w:pPr>
        <w:pStyle w:val="2"/>
      </w:pPr>
    </w:p>
    <w:p/>
    <w:p>
      <w:pPr>
        <w:pStyle w:val="2"/>
      </w:pPr>
    </w:p>
    <w:p/>
    <w:p>
      <w:pPr>
        <w:pStyle w:val="2"/>
      </w:pPr>
    </w:p>
    <w:p/>
    <w:p>
      <w:pPr>
        <w:pStyle w:val="2"/>
      </w:pPr>
    </w:p>
    <w:p/>
    <w:p>
      <w:pPr>
        <w:pStyle w:val="4"/>
        <w:numPr>
          <w:ilvl w:val="0"/>
          <w:numId w:val="0"/>
        </w:numPr>
        <w:spacing w:before="0" w:after="0" w:line="360" w:lineRule="auto"/>
        <w:jc w:val="center"/>
        <w:rPr>
          <w:rFonts w:cs="Times New Roman"/>
        </w:rPr>
      </w:pPr>
      <w:bookmarkStart w:id="34" w:name="_Toc361252259"/>
      <w:bookmarkStart w:id="35" w:name="_Toc365878703"/>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widowControl/>
        <w:jc w:val="left"/>
        <w:rPr>
          <w:rFonts w:ascii="宋体"/>
        </w:rPr>
      </w:pPr>
      <w:r>
        <w:rPr>
          <w:rFonts w:ascii="宋体"/>
        </w:rPr>
        <w:br w:type="page"/>
      </w:r>
    </w:p>
    <w:p>
      <w:pPr>
        <w:ind w:firstLine="614" w:firstLineChars="192"/>
        <w:jc w:val="center"/>
        <w:outlineLvl w:val="0"/>
        <w:rPr>
          <w:rFonts w:ascii="宋体" w:hAnsi="宋体" w:cs="宋体"/>
          <w:b/>
          <w:bCs/>
          <w:kern w:val="44"/>
          <w:sz w:val="32"/>
          <w:szCs w:val="32"/>
        </w:rPr>
      </w:pPr>
      <w:r>
        <w:rPr>
          <w:rFonts w:hint="eastAsia" w:ascii="宋体" w:hAnsi="宋体" w:cs="宋体"/>
          <w:b/>
          <w:bCs/>
          <w:kern w:val="44"/>
          <w:sz w:val="32"/>
          <w:szCs w:val="32"/>
        </w:rPr>
        <w:t>第五章采购合同</w:t>
      </w:r>
      <w:r>
        <w:rPr>
          <w:rFonts w:ascii="宋体" w:hAnsi="宋体" w:cs="宋体"/>
          <w:b/>
          <w:bCs/>
          <w:kern w:val="44"/>
          <w:sz w:val="32"/>
          <w:szCs w:val="32"/>
        </w:rPr>
        <w:t>模板</w:t>
      </w:r>
    </w:p>
    <w:p>
      <w:pPr>
        <w:pStyle w:val="2"/>
      </w:pP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签订时间：      年　月　日</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采购人（甲方）：资阳市第一人民医院</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供应商（乙方）：</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根据《中华人民共和国政府采购法》《中华人民共和国民法典》及资阳市第一人民医院</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bookmarkStart w:id="36" w:name="_Toc217446107"/>
    </w:p>
    <w:p>
      <w:pPr>
        <w:kinsoku w:val="0"/>
        <w:spacing w:after="160" w:line="400" w:lineRule="exact"/>
        <w:ind w:firstLine="480" w:firstLineChars="200"/>
        <w:rPr>
          <w:rFonts w:ascii="黑体" w:hAnsi="黑体" w:eastAsia="黑体" w:cs="黑体"/>
          <w:sz w:val="24"/>
          <w:szCs w:val="24"/>
        </w:rPr>
      </w:pPr>
      <w:r>
        <w:rPr>
          <w:rFonts w:hint="eastAsia" w:ascii="黑体" w:hAnsi="黑体" w:eastAsia="黑体" w:cs="黑体"/>
          <w:sz w:val="24"/>
          <w:szCs w:val="24"/>
        </w:rPr>
        <w:t>一、合同产品</w:t>
      </w:r>
      <w:bookmarkEnd w:id="36"/>
    </w:p>
    <w:tbl>
      <w:tblPr>
        <w:tblStyle w:val="2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672"/>
        <w:gridCol w:w="1227"/>
        <w:gridCol w:w="729"/>
        <w:gridCol w:w="1467"/>
        <w:gridCol w:w="1267"/>
        <w:gridCol w:w="181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dxa"/>
            <w:vAlign w:val="center"/>
          </w:tcPr>
          <w:p>
            <w:pPr>
              <w:kinsoku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672" w:type="dxa"/>
            <w:vAlign w:val="center"/>
          </w:tcPr>
          <w:p>
            <w:pPr>
              <w:kinsoku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产品名称</w:t>
            </w:r>
          </w:p>
        </w:tc>
        <w:tc>
          <w:tcPr>
            <w:tcW w:w="1227" w:type="dxa"/>
            <w:vAlign w:val="center"/>
          </w:tcPr>
          <w:p>
            <w:pPr>
              <w:kinsoku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规格型号</w:t>
            </w:r>
          </w:p>
        </w:tc>
        <w:tc>
          <w:tcPr>
            <w:tcW w:w="729" w:type="dxa"/>
            <w:vAlign w:val="center"/>
          </w:tcPr>
          <w:p>
            <w:pPr>
              <w:kinsoku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数量</w:t>
            </w:r>
          </w:p>
        </w:tc>
        <w:tc>
          <w:tcPr>
            <w:tcW w:w="1467" w:type="dxa"/>
            <w:vAlign w:val="center"/>
          </w:tcPr>
          <w:p>
            <w:pPr>
              <w:kinsoku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单价</w:t>
            </w:r>
          </w:p>
          <w:p>
            <w:pPr>
              <w:kinsoku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（元）</w:t>
            </w:r>
          </w:p>
        </w:tc>
        <w:tc>
          <w:tcPr>
            <w:tcW w:w="1267" w:type="dxa"/>
            <w:vAlign w:val="center"/>
          </w:tcPr>
          <w:p>
            <w:pPr>
              <w:kinsoku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金额</w:t>
            </w:r>
          </w:p>
          <w:p>
            <w:pPr>
              <w:kinsoku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（元）</w:t>
            </w:r>
          </w:p>
        </w:tc>
        <w:tc>
          <w:tcPr>
            <w:tcW w:w="1813" w:type="dxa"/>
            <w:vAlign w:val="center"/>
          </w:tcPr>
          <w:p>
            <w:pPr>
              <w:kinsoku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生产公司</w:t>
            </w:r>
          </w:p>
        </w:tc>
        <w:tc>
          <w:tcPr>
            <w:tcW w:w="1543" w:type="dxa"/>
            <w:vAlign w:val="center"/>
          </w:tcPr>
          <w:p>
            <w:pPr>
              <w:kinsoku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注册证号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67" w:type="dxa"/>
            <w:vAlign w:val="center"/>
          </w:tcPr>
          <w:p>
            <w:pPr>
              <w:kinsoku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672" w:type="dxa"/>
            <w:vAlign w:val="center"/>
          </w:tcPr>
          <w:p>
            <w:pPr>
              <w:kinsoku w:val="0"/>
              <w:jc w:val="center"/>
              <w:rPr>
                <w:rFonts w:ascii="仿宋_GB2312" w:hAnsi="仿宋_GB2312" w:eastAsia="仿宋_GB2312" w:cs="仿宋_GB2312"/>
                <w:sz w:val="24"/>
                <w:szCs w:val="24"/>
              </w:rPr>
            </w:pPr>
          </w:p>
        </w:tc>
        <w:tc>
          <w:tcPr>
            <w:tcW w:w="1227" w:type="dxa"/>
            <w:vAlign w:val="center"/>
          </w:tcPr>
          <w:p>
            <w:pPr>
              <w:kinsoku w:val="0"/>
              <w:jc w:val="center"/>
              <w:rPr>
                <w:rFonts w:ascii="仿宋_GB2312" w:hAnsi="仿宋_GB2312" w:eastAsia="仿宋_GB2312" w:cs="仿宋_GB2312"/>
                <w:sz w:val="24"/>
                <w:szCs w:val="24"/>
              </w:rPr>
            </w:pPr>
          </w:p>
        </w:tc>
        <w:tc>
          <w:tcPr>
            <w:tcW w:w="729" w:type="dxa"/>
            <w:vAlign w:val="center"/>
          </w:tcPr>
          <w:p>
            <w:pPr>
              <w:kinsoku w:val="0"/>
              <w:jc w:val="center"/>
              <w:rPr>
                <w:rFonts w:ascii="仿宋_GB2312" w:hAnsi="仿宋_GB2312" w:eastAsia="仿宋_GB2312" w:cs="仿宋_GB2312"/>
                <w:sz w:val="24"/>
                <w:szCs w:val="24"/>
              </w:rPr>
            </w:pPr>
          </w:p>
        </w:tc>
        <w:tc>
          <w:tcPr>
            <w:tcW w:w="1467" w:type="dxa"/>
            <w:vAlign w:val="center"/>
          </w:tcPr>
          <w:p>
            <w:pPr>
              <w:kinsoku w:val="0"/>
              <w:jc w:val="center"/>
              <w:rPr>
                <w:rFonts w:ascii="仿宋_GB2312" w:hAnsi="仿宋_GB2312" w:eastAsia="仿宋_GB2312" w:cs="仿宋_GB2312"/>
                <w:sz w:val="24"/>
                <w:szCs w:val="24"/>
              </w:rPr>
            </w:pPr>
          </w:p>
        </w:tc>
        <w:tc>
          <w:tcPr>
            <w:tcW w:w="1267" w:type="dxa"/>
            <w:vAlign w:val="center"/>
          </w:tcPr>
          <w:p>
            <w:pPr>
              <w:kinsoku w:val="0"/>
              <w:jc w:val="center"/>
              <w:rPr>
                <w:rFonts w:ascii="仿宋_GB2312" w:hAnsi="仿宋_GB2312" w:eastAsia="仿宋_GB2312" w:cs="仿宋_GB2312"/>
                <w:sz w:val="24"/>
                <w:szCs w:val="24"/>
              </w:rPr>
            </w:pPr>
          </w:p>
        </w:tc>
        <w:tc>
          <w:tcPr>
            <w:tcW w:w="1813" w:type="dxa"/>
            <w:vAlign w:val="center"/>
          </w:tcPr>
          <w:p>
            <w:pPr>
              <w:kinsoku w:val="0"/>
              <w:jc w:val="center"/>
              <w:rPr>
                <w:rFonts w:ascii="仿宋_GB2312" w:hAnsi="仿宋_GB2312" w:eastAsia="仿宋_GB2312" w:cs="仿宋_GB2312"/>
                <w:sz w:val="24"/>
                <w:szCs w:val="24"/>
              </w:rPr>
            </w:pPr>
          </w:p>
        </w:tc>
        <w:tc>
          <w:tcPr>
            <w:tcW w:w="1543" w:type="dxa"/>
            <w:vAlign w:val="center"/>
          </w:tcPr>
          <w:p>
            <w:pPr>
              <w:kinsoku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67" w:type="dxa"/>
            <w:vAlign w:val="center"/>
          </w:tcPr>
          <w:p>
            <w:pPr>
              <w:kinsoku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02</w:t>
            </w:r>
          </w:p>
        </w:tc>
        <w:tc>
          <w:tcPr>
            <w:tcW w:w="1672" w:type="dxa"/>
            <w:vAlign w:val="center"/>
          </w:tcPr>
          <w:p>
            <w:pPr>
              <w:tabs>
                <w:tab w:val="left" w:pos="353"/>
              </w:tabs>
              <w:kinsoku w:val="0"/>
              <w:jc w:val="center"/>
              <w:rPr>
                <w:rFonts w:ascii="仿宋_GB2312" w:hAnsi="仿宋_GB2312" w:eastAsia="仿宋_GB2312" w:cs="仿宋_GB2312"/>
                <w:sz w:val="24"/>
                <w:szCs w:val="24"/>
              </w:rPr>
            </w:pPr>
          </w:p>
        </w:tc>
        <w:tc>
          <w:tcPr>
            <w:tcW w:w="1227" w:type="dxa"/>
            <w:vAlign w:val="center"/>
          </w:tcPr>
          <w:p>
            <w:pPr>
              <w:kinsoku w:val="0"/>
              <w:jc w:val="center"/>
              <w:rPr>
                <w:rFonts w:ascii="仿宋_GB2312" w:hAnsi="仿宋_GB2312" w:eastAsia="仿宋_GB2312" w:cs="仿宋_GB2312"/>
                <w:sz w:val="24"/>
                <w:szCs w:val="24"/>
              </w:rPr>
            </w:pPr>
          </w:p>
        </w:tc>
        <w:tc>
          <w:tcPr>
            <w:tcW w:w="729" w:type="dxa"/>
            <w:vAlign w:val="center"/>
          </w:tcPr>
          <w:p>
            <w:pPr>
              <w:kinsoku w:val="0"/>
              <w:jc w:val="center"/>
              <w:rPr>
                <w:rFonts w:ascii="仿宋_GB2312" w:hAnsi="仿宋_GB2312" w:eastAsia="仿宋_GB2312" w:cs="仿宋_GB2312"/>
                <w:sz w:val="24"/>
                <w:szCs w:val="24"/>
              </w:rPr>
            </w:pPr>
          </w:p>
        </w:tc>
        <w:tc>
          <w:tcPr>
            <w:tcW w:w="1467" w:type="dxa"/>
            <w:vAlign w:val="center"/>
          </w:tcPr>
          <w:p>
            <w:pPr>
              <w:kinsoku w:val="0"/>
              <w:jc w:val="center"/>
              <w:rPr>
                <w:rFonts w:ascii="仿宋_GB2312" w:hAnsi="仿宋_GB2312" w:eastAsia="仿宋_GB2312" w:cs="仿宋_GB2312"/>
                <w:sz w:val="24"/>
                <w:szCs w:val="24"/>
              </w:rPr>
            </w:pPr>
          </w:p>
        </w:tc>
        <w:tc>
          <w:tcPr>
            <w:tcW w:w="1267" w:type="dxa"/>
            <w:vAlign w:val="center"/>
          </w:tcPr>
          <w:p>
            <w:pPr>
              <w:kinsoku w:val="0"/>
              <w:jc w:val="center"/>
              <w:rPr>
                <w:rFonts w:ascii="仿宋_GB2312" w:hAnsi="仿宋_GB2312" w:eastAsia="仿宋_GB2312" w:cs="仿宋_GB2312"/>
                <w:sz w:val="24"/>
                <w:szCs w:val="24"/>
              </w:rPr>
            </w:pPr>
          </w:p>
        </w:tc>
        <w:tc>
          <w:tcPr>
            <w:tcW w:w="1813" w:type="dxa"/>
            <w:vAlign w:val="center"/>
          </w:tcPr>
          <w:p>
            <w:pPr>
              <w:kinsoku w:val="0"/>
              <w:jc w:val="center"/>
              <w:rPr>
                <w:rFonts w:ascii="仿宋_GB2312" w:hAnsi="仿宋_GB2312" w:eastAsia="仿宋_GB2312" w:cs="仿宋_GB2312"/>
                <w:sz w:val="24"/>
                <w:szCs w:val="24"/>
              </w:rPr>
            </w:pPr>
          </w:p>
        </w:tc>
        <w:tc>
          <w:tcPr>
            <w:tcW w:w="1543" w:type="dxa"/>
            <w:vAlign w:val="center"/>
          </w:tcPr>
          <w:p>
            <w:pPr>
              <w:kinsoku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85" w:type="dxa"/>
            <w:gridSpan w:val="8"/>
            <w:vAlign w:val="center"/>
          </w:tcPr>
          <w:p>
            <w:pPr>
              <w:kinsoku w:val="0"/>
              <w:rPr>
                <w:rFonts w:ascii="仿宋_GB2312" w:hAnsi="仿宋_GB2312" w:eastAsia="仿宋_GB2312" w:cs="仿宋_GB2312"/>
                <w:sz w:val="24"/>
                <w:szCs w:val="24"/>
              </w:rPr>
            </w:pPr>
            <w:r>
              <w:rPr>
                <w:rFonts w:hint="eastAsia" w:ascii="仿宋_GB2312" w:hAnsi="仿宋_GB2312" w:eastAsia="仿宋_GB2312" w:cs="仿宋_GB2312"/>
                <w:sz w:val="24"/>
                <w:szCs w:val="24"/>
              </w:rPr>
              <w:t>合计：人民币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   （大写：人民币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p>
        </w:tc>
      </w:tr>
    </w:tbl>
    <w:p>
      <w:pPr>
        <w:kinsoku w:val="0"/>
        <w:spacing w:after="160" w:line="400" w:lineRule="exact"/>
        <w:ind w:firstLine="480" w:firstLineChars="200"/>
        <w:rPr>
          <w:rFonts w:ascii="黑体" w:hAnsi="黑体" w:eastAsia="黑体" w:cs="黑体"/>
          <w:sz w:val="24"/>
          <w:szCs w:val="24"/>
        </w:rPr>
      </w:pPr>
      <w:bookmarkStart w:id="37" w:name="_Toc217446108"/>
      <w:r>
        <w:rPr>
          <w:rFonts w:hint="eastAsia" w:ascii="黑体" w:hAnsi="黑体" w:eastAsia="黑体" w:cs="黑体"/>
          <w:sz w:val="24"/>
          <w:szCs w:val="24"/>
        </w:rPr>
        <w:t>二、合同总价</w:t>
      </w:r>
      <w:bookmarkEnd w:id="37"/>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合同总价为人民币大写：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元整，即RMB￥：</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该合同总价已包括产品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kinsoku w:val="0"/>
        <w:spacing w:after="160" w:line="400" w:lineRule="exact"/>
        <w:ind w:firstLine="480" w:firstLineChars="200"/>
        <w:rPr>
          <w:rFonts w:ascii="黑体" w:hAnsi="黑体" w:eastAsia="黑体" w:cs="黑体"/>
          <w:sz w:val="24"/>
          <w:szCs w:val="24"/>
        </w:rPr>
      </w:pPr>
      <w:bookmarkStart w:id="38" w:name="_Toc217446109"/>
      <w:r>
        <w:rPr>
          <w:rFonts w:hint="eastAsia" w:ascii="黑体" w:hAnsi="黑体" w:eastAsia="黑体" w:cs="黑体"/>
          <w:sz w:val="24"/>
          <w:szCs w:val="24"/>
        </w:rPr>
        <w:t>三、质量要求</w:t>
      </w:r>
      <w:bookmarkEnd w:id="38"/>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（一）乙方须提供全新的产品（含零部件、配件等），表面无划伤、无碰撞痕迹，且权属清楚，不得侵害他人的知识产权。</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（二）产品必须符合或优于国家（行业）标准，以及本项目招标文件的质量要求和技术指标与出厂标准。</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（三）乙方须在</w:t>
      </w:r>
      <w:r>
        <w:rPr>
          <w:rFonts w:hint="eastAsia" w:ascii="仿宋_GB2312" w:hAnsi="仿宋_GB2312" w:eastAsia="仿宋_GB2312" w:cs="仿宋_GB2312"/>
          <w:sz w:val="24"/>
          <w:szCs w:val="24"/>
          <w:u w:val="single"/>
        </w:rPr>
        <w:t>甲方通知之日</w:t>
      </w:r>
      <w:r>
        <w:rPr>
          <w:rFonts w:hint="eastAsia" w:ascii="仿宋_GB2312" w:hAnsi="仿宋_GB2312" w:eastAsia="仿宋_GB2312" w:cs="仿宋_GB2312"/>
          <w:sz w:val="24"/>
          <w:szCs w:val="24"/>
        </w:rPr>
        <w:t>起</w:t>
      </w:r>
      <w:r>
        <w:rPr>
          <w:rFonts w:ascii="仿宋_GB2312" w:hAnsi="仿宋_GB2312" w:eastAsia="仿宋_GB2312" w:cs="仿宋_GB2312"/>
          <w:sz w:val="24"/>
          <w:szCs w:val="24"/>
        </w:rPr>
        <w:t>30</w:t>
      </w:r>
      <w:r>
        <w:rPr>
          <w:rFonts w:hint="eastAsia" w:ascii="仿宋_GB2312" w:hAnsi="仿宋_GB2312" w:eastAsia="仿宋_GB2312" w:cs="仿宋_GB2312"/>
          <w:sz w:val="24"/>
          <w:szCs w:val="24"/>
        </w:rPr>
        <w:t>日内送交产品；每台产品上均应有产品质量检验合格标志。</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（四）产品制造质量出现问题，乙方应负责三包（包修、包换、包退），费用由乙方负担，甲方有权到乙方生产场地检查产品质量和生产进度。</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（五）货到现场后由于甲方保管不当造成的质量问题，乙方亦应负责修理，但费用由甲方负担。</w:t>
      </w:r>
    </w:p>
    <w:p>
      <w:pPr>
        <w:kinsoku w:val="0"/>
        <w:spacing w:after="160" w:line="400" w:lineRule="exact"/>
        <w:ind w:firstLine="480" w:firstLineChars="200"/>
        <w:rPr>
          <w:rFonts w:ascii="黑体" w:hAnsi="黑体" w:eastAsia="黑体" w:cs="黑体"/>
          <w:sz w:val="24"/>
          <w:szCs w:val="24"/>
        </w:rPr>
      </w:pPr>
      <w:r>
        <w:rPr>
          <w:rFonts w:hint="eastAsia" w:ascii="黑体" w:hAnsi="黑体" w:eastAsia="黑体" w:cs="黑体"/>
          <w:sz w:val="24"/>
          <w:szCs w:val="24"/>
        </w:rPr>
        <w:t>四、质量保证</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（一）整机设备质保期为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年。自设备安装调试完毕、设备运行正常、甲乙双方验收合格签名确认之日起计算质保期。</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质保期内乙方应免费负责设备维修及抢修，并承担修理调换的费用。如产品经乙方3次维修仍不能达到本合同约定的质量标准，视作乙方未能按时交货，甲方有权退货并追究乙方的违约责任。乙方保证年故障率小于或等于5％（365天/年计算），若大于5％则相应延长保修期，最少顺延30天，保修期内维修机器停机的时间，在保修期内扣除后延长保修时间。（人为因素或不可抗拒的自然现象所引起的故障或破损除外）。</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（三）提供终身服务、软件终身免费升级。提供</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年整机备件，已包含在合同价中，甲方无须另行付费。</w:t>
      </w:r>
    </w:p>
    <w:p>
      <w:pPr>
        <w:kinsoku w:val="0"/>
        <w:spacing w:after="160" w:line="400" w:lineRule="exact"/>
        <w:ind w:firstLine="480" w:firstLineChars="200"/>
        <w:rPr>
          <w:rFonts w:ascii="黑体" w:hAnsi="黑体" w:eastAsia="黑体" w:cs="黑体"/>
          <w:sz w:val="24"/>
          <w:szCs w:val="24"/>
        </w:rPr>
      </w:pPr>
      <w:r>
        <w:rPr>
          <w:rFonts w:hint="eastAsia" w:ascii="黑体" w:hAnsi="黑体" w:eastAsia="黑体" w:cs="黑体"/>
          <w:sz w:val="24"/>
          <w:szCs w:val="24"/>
        </w:rPr>
        <w:t>五、产品包装</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以适合远洋/铁路/航空/陆路运输及气候变化的经过熏蒸后的坚固木箱或集装箱包装，这类包装应采取防潮、防晒、防锈、防腐蚀、防震动及防止其它损坏的必要保护措施，从而保护产品能够经受多次搬运、装卸及远洋和内陆的长途运输、包装费用由乙方承担。乙方应承担由于其包装或其防护措施不妥而引起产品锈蚀、损坏和丢失的任何损失的责任或费用。对于境外供货的产品的木质包装材料，乙方应使用无任何昆虫侵害的木质包装，按SAIQ规定进行熏蒸和提供权威机构出具的熏蒸证明；非木质包装的，需出具《无木质包装声明》。</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（二）如果在目的港的检疫中发现昆虫侵害，由于熏蒸或更换包装问题而产生的相关费用应由乙方负担。</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（三）包装箱内和包装箱外应分别放置装箱单和质量凭证书各一份。</w:t>
      </w:r>
    </w:p>
    <w:p>
      <w:pPr>
        <w:kinsoku w:val="0"/>
        <w:spacing w:after="160" w:line="400" w:lineRule="exact"/>
        <w:ind w:firstLine="480" w:firstLineChars="200"/>
        <w:rPr>
          <w:rFonts w:ascii="黑体" w:hAnsi="黑体" w:eastAsia="黑体" w:cs="黑体"/>
          <w:sz w:val="24"/>
          <w:szCs w:val="24"/>
        </w:rPr>
      </w:pPr>
      <w:bookmarkStart w:id="39" w:name="_Toc217446110"/>
      <w:r>
        <w:rPr>
          <w:rFonts w:hint="eastAsia" w:ascii="黑体" w:hAnsi="黑体" w:eastAsia="黑体" w:cs="黑体"/>
          <w:sz w:val="24"/>
          <w:szCs w:val="24"/>
        </w:rPr>
        <w:t>六、</w:t>
      </w:r>
      <w:bookmarkEnd w:id="39"/>
      <w:r>
        <w:rPr>
          <w:rFonts w:hint="eastAsia" w:ascii="黑体" w:hAnsi="黑体" w:eastAsia="黑体" w:cs="黑体"/>
          <w:sz w:val="24"/>
          <w:szCs w:val="24"/>
        </w:rPr>
        <w:t>安装调试和验收培训</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（一）乙方提供机房设计及改造方案，设备安装、调试和培训由乙方免费提供。</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（二）乙方应派遣有丰富经验和相应能力的工程师对设备进行现场安装调试，并对安装调试错误所导致的设备损坏承担全部赔偿责任。</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（三）设备验收在甲方的安装地点进行。在产品抵达甲方指定地点后</w:t>
      </w:r>
      <w:r>
        <w:rPr>
          <w:rFonts w:ascii="仿宋_GB2312" w:hAnsi="仿宋_GB2312" w:eastAsia="仿宋_GB2312" w:cs="仿宋_GB2312"/>
          <w:sz w:val="24"/>
          <w:szCs w:val="24"/>
        </w:rPr>
        <w:t>7</w:t>
      </w:r>
      <w:r>
        <w:rPr>
          <w:rFonts w:hint="eastAsia" w:ascii="仿宋_GB2312" w:hAnsi="仿宋_GB2312" w:eastAsia="仿宋_GB2312" w:cs="仿宋_GB2312"/>
          <w:sz w:val="24"/>
          <w:szCs w:val="24"/>
        </w:rPr>
        <w:t>个工作日内，乙方应派人员抵达甲方指定地点，依据乙方提供的装箱清单、检验合格证书、使用说明书及质量标准等有关资料对产品进行安装、调试、验收，并对安装调试错误所导致的设备损坏承担全部赔偿责任，设备安装后须达到正常运行要求，保证甲方正常使用。如有短缺、规格质量不符、资料不全等，由乙方在30日内无偿给予更换、补齐，并承担由此产生的全部费用。到达现场组织安装所需的费用包括在投标总价格中。</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四）乙方应就设备的安装、调试、操作、维修、保养等对甲方维修技术人员进行免费培训。设备安装调试完毕后，乙方应对甲方操作人员进行现场培训，直至甲方的技术人员能独立操作，保证使用人员正常操作设备的各种功能,同时能完成一般常见故障的维修工作。</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（五）验收标准以招标文件技术参数及要求和相关行业标准为准。设备安装调试完毕后，按其标准进行验收，验收合格后，经双方代表签字有效。验收时甲方有权对乙方投标文件所提供的技术参数进行检查。</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（六）无论甲方是否要求和是否知道，乙方均有义务主动及时地向甲方提供合同设备制造过程中出现的较大质量缺陷和问题，不得隐瞒。</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（七）无论甲方人员是否参与见证及出厂检验或甲方代表参加了见证与检验，并且签了制造与检验报告，均不能视为乙方按合同规定应承担的质量保证责任的解除，也不能免除乙方对设备质量应负的责任。</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（八）其他未尽事宜应严格按照《四川省政府采购项目需求论证和履约验收管理办法》（川财采〔2015〕32号）的要求进行。</w:t>
      </w:r>
    </w:p>
    <w:p>
      <w:pPr>
        <w:kinsoku w:val="0"/>
        <w:spacing w:after="160" w:line="400" w:lineRule="exact"/>
        <w:ind w:firstLine="480" w:firstLineChars="200"/>
        <w:rPr>
          <w:rFonts w:ascii="黑体" w:hAnsi="黑体" w:eastAsia="黑体" w:cs="黑体"/>
          <w:sz w:val="24"/>
          <w:szCs w:val="24"/>
        </w:rPr>
      </w:pPr>
      <w:r>
        <w:rPr>
          <w:rFonts w:hint="eastAsia" w:ascii="黑体" w:hAnsi="黑体" w:eastAsia="黑体" w:cs="黑体"/>
          <w:sz w:val="24"/>
          <w:szCs w:val="24"/>
        </w:rPr>
        <w:t>七、资料提供</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（一）原产地证明书(由制造厂签发)；</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（二）提供主机及配套设备的安装图纸及说明；</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（三）提供主机及配套设备使用说明书、维护手册；</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（四）备件手册、零件及易损件的图纸及相关资料；</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（五）其它相关技术资料。</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（六）乙方提供的技术资料应使用国家法定单位制即国际单位制。</w:t>
      </w:r>
    </w:p>
    <w:p>
      <w:pPr>
        <w:kinsoku w:val="0"/>
        <w:spacing w:after="160" w:line="400" w:lineRule="exact"/>
        <w:ind w:firstLine="480" w:firstLineChars="200"/>
        <w:rPr>
          <w:rFonts w:ascii="黑体" w:hAnsi="黑体" w:eastAsia="黑体" w:cs="黑体"/>
          <w:sz w:val="24"/>
          <w:szCs w:val="24"/>
        </w:rPr>
      </w:pPr>
      <w:bookmarkStart w:id="40" w:name="_Toc217446111"/>
      <w:r>
        <w:rPr>
          <w:rFonts w:hint="eastAsia" w:ascii="黑体" w:hAnsi="黑体" w:eastAsia="黑体" w:cs="黑体"/>
          <w:sz w:val="24"/>
          <w:szCs w:val="24"/>
        </w:rPr>
        <w:t>八、付款方式</w:t>
      </w:r>
      <w:bookmarkEnd w:id="40"/>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（一）所有产品在甲方使用现场交付清点无误，安装、调试完毕、资料交接完毕，经验收合格后的次月内，付合同总金额的90%，即人民币：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元整），设备正常运行一年后的次月内支付合同总金额的10%，即人民币：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元整），付清合同全部款项。</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（二）乙方须向甲方出具合法有效的合同全额完税发票及凭证资料进行支付结算。</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（三）所有在中国境外发生的银行费用和在中国境内发生的银行费用由乙方承担。</w:t>
      </w:r>
    </w:p>
    <w:p>
      <w:pPr>
        <w:kinsoku w:val="0"/>
        <w:spacing w:after="160" w:line="400" w:lineRule="exact"/>
        <w:ind w:firstLine="480" w:firstLineChars="200"/>
        <w:rPr>
          <w:rFonts w:ascii="黑体" w:hAnsi="黑体" w:eastAsia="黑体" w:cs="黑体"/>
          <w:sz w:val="24"/>
          <w:szCs w:val="24"/>
        </w:rPr>
      </w:pPr>
      <w:bookmarkStart w:id="41" w:name="_Toc217446112"/>
      <w:r>
        <w:rPr>
          <w:rFonts w:hint="eastAsia" w:ascii="黑体" w:hAnsi="黑体" w:eastAsia="黑体" w:cs="黑体"/>
          <w:sz w:val="24"/>
          <w:szCs w:val="24"/>
        </w:rPr>
        <w:t>九、售后服务</w:t>
      </w:r>
      <w:bookmarkEnd w:id="41"/>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在国内和四川地区拥有固定维修站，提供详细地点及联系电话以及必须拥有专职的维修工程师并提供人数及提供维修工程师资质证明，应当提供国内电话维修系统的电话号码，并列出工程师名单、联系电话、通讯地址及备件库地址和备件的详细目录。</w:t>
      </w:r>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（二）提供有关资料及售后服务承诺。</w:t>
      </w:r>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（三）备件送达期限：在设备的使用寿命期内，乙方应保证国内不超过7天，国外不超过21天。</w:t>
      </w:r>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（四）终身零配件供应：乙方应保证设备停产后的备件供应保证10年，并以优惠的价格提供该设备所需的维修零配件。</w:t>
      </w:r>
    </w:p>
    <w:p>
      <w:pPr>
        <w:kinsoku w:val="0"/>
        <w:spacing w:line="400" w:lineRule="exact"/>
        <w:ind w:firstLine="480" w:firstLineChars="200"/>
        <w:rPr>
          <w:rFonts w:ascii="仿宋_GB2312" w:hAnsi="仿宋_GB2312" w:eastAsia="仿宋_GB2312" w:cs="仿宋_GB2312"/>
          <w:color w:val="FF0000"/>
          <w:sz w:val="24"/>
          <w:szCs w:val="24"/>
        </w:rPr>
      </w:pPr>
      <w:r>
        <w:rPr>
          <w:rFonts w:hint="eastAsia" w:ascii="仿宋_GB2312" w:hAnsi="仿宋_GB2312" w:eastAsia="仿宋_GB2312" w:cs="仿宋_GB2312"/>
          <w:sz w:val="24"/>
          <w:szCs w:val="24"/>
        </w:rPr>
        <w:t>（五）维修响应速度：设备在质保期内，乙方负责因设备本身缺陷导致的各种故障的免费技术服务和设备的维修，维修2小时响应，如48小时内未解决问题，每停机超过1天，质保期顺延1天。</w:t>
      </w:r>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（六）质量保证期后，乙方应保证设备生产商和/或其售后服务商在接到甲方通知后，及时派工程师到甲方现场，同时提供优质的技术服务和完整的备件供应。</w:t>
      </w:r>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（七）乙方应保证在投标文件中声明其或设备生产商终身售后服务方式和能力。</w:t>
      </w:r>
    </w:p>
    <w:p>
      <w:pPr>
        <w:kinsoku w:val="0"/>
        <w:spacing w:line="400" w:lineRule="exact"/>
        <w:ind w:firstLine="480" w:firstLineChars="200"/>
        <w:rPr>
          <w:rFonts w:ascii="黑体" w:hAnsi="黑体" w:eastAsia="黑体" w:cs="黑体"/>
          <w:sz w:val="24"/>
          <w:szCs w:val="24"/>
        </w:rPr>
      </w:pPr>
      <w:bookmarkStart w:id="42" w:name="_Toc217446113"/>
      <w:r>
        <w:rPr>
          <w:rFonts w:hint="eastAsia" w:ascii="黑体" w:hAnsi="黑体" w:eastAsia="黑体" w:cs="黑体"/>
          <w:sz w:val="24"/>
          <w:szCs w:val="24"/>
        </w:rPr>
        <w:t>十、违约责任</w:t>
      </w:r>
      <w:bookmarkEnd w:id="42"/>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（一）甲方违约责任</w:t>
      </w:r>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 甲方无正当理由拒收产品的，甲方应支付合同总价百分之二十的违约金；</w:t>
      </w:r>
    </w:p>
    <w:p>
      <w:pPr>
        <w:pStyle w:val="2"/>
      </w:pPr>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（二）乙方违约责任</w:t>
      </w:r>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 乙方交付的产品质量不符合本合同约定的，乙方应向甲方支付合同总价百分之二十的违约金，并须在本合同约定的交货时间内更换合格的产品给甲方，否则，视作乙方不能交付产品而违约，按本条本款下述第“（2）”项约定由乙方支付违约金支付给甲方。</w:t>
      </w:r>
    </w:p>
    <w:p>
      <w:pPr>
        <w:pStyle w:val="2"/>
      </w:pPr>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 乙方不能交付产品的应向甲方支付合同总价百分之二十的违约金，甲方有权终止合同。</w:t>
      </w:r>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 如果产品质量出现问题，根据情况甲方可送交具有法定资格的质量技术监督机构检测，如检测结果认定产品质量不符合本合同约定标准的，则视为乙方没有按时交货，乙方须在十日内无条件更换合格的产品，如逾期不能更换合格的产品，需方有权终止本合同，乙方应支付交付产品总价百分之二十的违约金给甲方。</w:t>
      </w:r>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 乙方保证本合同产品的权利无瑕疵，包括产品所有权及知识产权等。如任何第三方经法院（或仲裁机构）裁决有权对上述产品主张权利或国家机关依法对产品进行没收查处的，乙方除应在十日内向甲方返还已收款项外，还应按交付产品总价的百分之二十向甲方支付违约金并赔偿因此给甲方造成的一切损失。</w:t>
      </w:r>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 乙方支付的违约金不足以弥补甲方损失的，还应按甲方损失尚未弥补的部分进行赔偿。</w:t>
      </w:r>
    </w:p>
    <w:p>
      <w:pPr>
        <w:kinsoku w:val="0"/>
        <w:spacing w:after="160" w:line="400" w:lineRule="exact"/>
        <w:ind w:firstLine="480" w:firstLineChars="200"/>
        <w:rPr>
          <w:rFonts w:ascii="黑体" w:hAnsi="黑体" w:eastAsia="黑体" w:cs="黑体"/>
          <w:sz w:val="24"/>
          <w:szCs w:val="24"/>
        </w:rPr>
      </w:pPr>
      <w:bookmarkStart w:id="43" w:name="_Toc217446114"/>
      <w:r>
        <w:rPr>
          <w:rFonts w:hint="eastAsia" w:ascii="黑体" w:hAnsi="黑体" w:eastAsia="黑体" w:cs="黑体"/>
          <w:sz w:val="24"/>
          <w:szCs w:val="24"/>
        </w:rPr>
        <w:t>十一、争议解决办法</w:t>
      </w:r>
      <w:bookmarkEnd w:id="43"/>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（一）因产品的质量问题发生争议，由市场监督</w:t>
      </w:r>
      <w:r>
        <w:rPr>
          <w:rFonts w:ascii="仿宋_GB2312" w:hAnsi="仿宋_GB2312" w:eastAsia="仿宋_GB2312" w:cs="仿宋_GB2312"/>
          <w:sz w:val="24"/>
          <w:szCs w:val="24"/>
        </w:rPr>
        <w:t>管理部门</w:t>
      </w:r>
      <w:r>
        <w:rPr>
          <w:rFonts w:hint="eastAsia" w:ascii="仿宋_GB2312" w:hAnsi="仿宋_GB2312" w:eastAsia="仿宋_GB2312" w:cs="仿宋_GB2312"/>
          <w:sz w:val="24"/>
          <w:szCs w:val="24"/>
        </w:rPr>
        <w:t>或其指定的质量鉴定机构进行质量鉴定。产品符合标准的，鉴定费由甲方承担；产品不符合质量标准的，鉴定费由乙方承担。</w:t>
      </w:r>
    </w:p>
    <w:p>
      <w:pPr>
        <w:kinsoku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（二）合同履行期间,若双方发生争议，可协商或由有关部门调解解决，协商或调解不成的，争端应提交甲方所在地人民法院诉讼。</w:t>
      </w:r>
    </w:p>
    <w:p>
      <w:pPr>
        <w:kinsoku w:val="0"/>
        <w:spacing w:after="160" w:line="400" w:lineRule="exact"/>
        <w:ind w:firstLine="480" w:firstLineChars="200"/>
        <w:rPr>
          <w:rFonts w:ascii="黑体" w:hAnsi="黑体" w:eastAsia="黑体" w:cs="黑体"/>
          <w:sz w:val="24"/>
          <w:szCs w:val="24"/>
        </w:rPr>
      </w:pPr>
      <w:bookmarkStart w:id="44" w:name="_Toc217446115"/>
      <w:r>
        <w:rPr>
          <w:rFonts w:hint="eastAsia" w:ascii="黑体" w:hAnsi="黑体" w:eastAsia="黑体" w:cs="黑体"/>
          <w:sz w:val="24"/>
          <w:szCs w:val="24"/>
        </w:rPr>
        <w:t>十二、其他</w:t>
      </w:r>
      <w:bookmarkEnd w:id="44"/>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（一）如有未尽事宜，由甲乙双方协商解决或依法订立补充合同。</w:t>
      </w:r>
    </w:p>
    <w:p>
      <w:pPr>
        <w:kinsoku w:val="0"/>
        <w:spacing w:after="160"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（二）本合同一式六份，自双方签章之日起生效。甲方三份，乙方、政府采购管理部门、采购代理机构各一份。</w:t>
      </w:r>
    </w:p>
    <w:p>
      <w:pPr>
        <w:kinsoku w:val="0"/>
        <w:spacing w:after="160" w:line="480" w:lineRule="exact"/>
        <w:ind w:firstLine="480" w:firstLineChars="200"/>
        <w:rPr>
          <w:rFonts w:ascii="仿宋_GB2312" w:hAnsi="仿宋_GB2312" w:eastAsia="仿宋_GB2312" w:cs="仿宋_GB2312"/>
          <w:sz w:val="24"/>
          <w:szCs w:val="24"/>
        </w:rPr>
      </w:pPr>
    </w:p>
    <w:tbl>
      <w:tblPr>
        <w:tblStyle w:val="27"/>
        <w:tblW w:w="9956" w:type="dxa"/>
        <w:jc w:val="center"/>
        <w:tblLayout w:type="fixed"/>
        <w:tblCellMar>
          <w:top w:w="0" w:type="dxa"/>
          <w:left w:w="108" w:type="dxa"/>
          <w:bottom w:w="0" w:type="dxa"/>
          <w:right w:w="108" w:type="dxa"/>
        </w:tblCellMar>
      </w:tblPr>
      <w:tblGrid>
        <w:gridCol w:w="4919"/>
        <w:gridCol w:w="5037"/>
      </w:tblGrid>
      <w:tr>
        <w:tblPrEx>
          <w:tblCellMar>
            <w:top w:w="0" w:type="dxa"/>
            <w:left w:w="108" w:type="dxa"/>
            <w:bottom w:w="0" w:type="dxa"/>
            <w:right w:w="108" w:type="dxa"/>
          </w:tblCellMar>
        </w:tblPrEx>
        <w:trPr>
          <w:trHeight w:val="1406" w:hRule="atLeast"/>
          <w:jc w:val="center"/>
        </w:trPr>
        <w:tc>
          <w:tcPr>
            <w:tcW w:w="4919" w:type="dxa"/>
          </w:tcPr>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甲方：（章）资阳市第一人民医院</w:t>
            </w:r>
          </w:p>
          <w:p>
            <w:pPr>
              <w:kinsoku w:val="0"/>
              <w:spacing w:after="120" w:line="480" w:lineRule="exact"/>
              <w:rPr>
                <w:rFonts w:ascii="仿宋_GB2312" w:hAnsi="仿宋_GB2312" w:eastAsia="仿宋_GB2312" w:cs="仿宋_GB2312"/>
                <w:sz w:val="22"/>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2"/>
                <w:szCs w:val="24"/>
              </w:rPr>
              <w:t>资阳市雁江镇健康19号/仁德西路66号</w:t>
            </w:r>
          </w:p>
          <w:p>
            <w:pPr>
              <w:kinsoku w:val="0"/>
              <w:spacing w:after="120"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法定</w:t>
            </w:r>
            <w:r>
              <w:rPr>
                <w:rFonts w:ascii="仿宋_GB2312" w:hAnsi="仿宋_GB2312" w:eastAsia="仿宋_GB2312" w:cs="仿宋_GB2312"/>
                <w:sz w:val="24"/>
                <w:szCs w:val="24"/>
              </w:rPr>
              <w:t>代表人</w:t>
            </w:r>
            <w:r>
              <w:rPr>
                <w:rFonts w:hint="eastAsia" w:ascii="仿宋_GB2312" w:hAnsi="仿宋_GB2312" w:eastAsia="仿宋_GB2312" w:cs="仿宋_GB2312"/>
                <w:sz w:val="24"/>
                <w:szCs w:val="24"/>
              </w:rPr>
              <w:t>签字：</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统一社会信用代码：12511800451513294D</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开户行：建行资阳和平路支行</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账号：51001687367051500244 </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电话：028-26222538 </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传真：028-26229036 </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工作联系QQ：2448659267</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日期：2024年　月　日 </w:t>
            </w:r>
          </w:p>
        </w:tc>
        <w:tc>
          <w:tcPr>
            <w:tcW w:w="5037" w:type="dxa"/>
          </w:tcPr>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乙方：（章） </w:t>
            </w:r>
          </w:p>
          <w:p>
            <w:pPr>
              <w:kinsoku w:val="0"/>
              <w:spacing w:after="120" w:line="480" w:lineRule="exact"/>
              <w:ind w:left="960" w:hanging="960" w:hangingChars="4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地址： </w:t>
            </w:r>
          </w:p>
          <w:p>
            <w:pPr>
              <w:kinsoku w:val="0"/>
              <w:spacing w:after="120"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统一社会信用代码： </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开户行： </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账号： </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电话： </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传真：</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工作联系QQ: </w:t>
            </w:r>
          </w:p>
          <w:p>
            <w:pPr>
              <w:kinsoku w:val="0"/>
              <w:spacing w:after="156"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日期：2024年　月　日 </w:t>
            </w:r>
          </w:p>
        </w:tc>
      </w:tr>
    </w:tbl>
    <w:p>
      <w:pPr>
        <w:kinsoku w:val="0"/>
        <w:adjustRightInd w:val="0"/>
        <w:spacing w:after="160" w:line="560" w:lineRule="exact"/>
        <w:jc w:val="left"/>
        <w:rPr>
          <w:rFonts w:ascii="仿宋_GB2312" w:hAnsi="仿宋_GB2312" w:eastAsia="仿宋_GB2312" w:cs="仿宋_GB2312"/>
          <w:spacing w:val="-26"/>
          <w:kern w:val="0"/>
          <w:sz w:val="24"/>
          <w:szCs w:val="24"/>
        </w:rPr>
      </w:pPr>
    </w:p>
    <w:p>
      <w:pPr>
        <w:kinsoku w:val="0"/>
        <w:adjustRightInd w:val="0"/>
        <w:spacing w:after="160"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br w:type="page"/>
      </w:r>
    </w:p>
    <w:p>
      <w:pPr>
        <w:kinsoku w:val="0"/>
        <w:adjustRightInd w:val="0"/>
        <w:spacing w:after="160" w:line="560" w:lineRule="exact"/>
        <w:jc w:val="left"/>
        <w:rPr>
          <w:rFonts w:ascii="仿宋_GB2312" w:hAnsi="仿宋_GB2312" w:eastAsia="仿宋_GB2312" w:cs="仿宋_GB2312"/>
          <w:spacing w:val="-26"/>
          <w:kern w:val="0"/>
          <w:sz w:val="24"/>
          <w:szCs w:val="24"/>
        </w:rPr>
      </w:pPr>
      <w:r>
        <w:rPr>
          <w:rFonts w:hint="eastAsia" w:ascii="仿宋_GB2312" w:hAnsi="仿宋_GB2312" w:eastAsia="仿宋_GB2312" w:cs="仿宋_GB2312"/>
          <w:kern w:val="0"/>
          <w:sz w:val="24"/>
          <w:szCs w:val="24"/>
        </w:rPr>
        <w:t>合同附件一：</w:t>
      </w:r>
    </w:p>
    <w:p>
      <w:pPr>
        <w:kinsoku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设备零配件清单</w:t>
      </w:r>
    </w:p>
    <w:tbl>
      <w:tblPr>
        <w:tblStyle w:val="87"/>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033"/>
        <w:gridCol w:w="1984"/>
        <w:gridCol w:w="1625"/>
        <w:gridCol w:w="1237"/>
        <w:gridCol w:w="762"/>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4" w:type="dxa"/>
            <w:vAlign w:val="center"/>
          </w:tcPr>
          <w:p>
            <w:pPr>
              <w:kinsoku w:val="0"/>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33" w:type="dxa"/>
            <w:vAlign w:val="center"/>
          </w:tcPr>
          <w:p>
            <w:pPr>
              <w:kinsoku w:val="0"/>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1984" w:type="dxa"/>
            <w:vAlign w:val="center"/>
          </w:tcPr>
          <w:p>
            <w:pPr>
              <w:kinsoku w:val="0"/>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1625" w:type="dxa"/>
            <w:vAlign w:val="center"/>
          </w:tcPr>
          <w:p>
            <w:pPr>
              <w:kinsoku w:val="0"/>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生产公司</w:t>
            </w:r>
          </w:p>
        </w:tc>
        <w:tc>
          <w:tcPr>
            <w:tcW w:w="1237" w:type="dxa"/>
            <w:vAlign w:val="center"/>
          </w:tcPr>
          <w:p>
            <w:pPr>
              <w:kinsoku w:val="0"/>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注册证</w:t>
            </w:r>
          </w:p>
        </w:tc>
        <w:tc>
          <w:tcPr>
            <w:tcW w:w="762" w:type="dxa"/>
            <w:vAlign w:val="center"/>
          </w:tcPr>
          <w:p>
            <w:pPr>
              <w:kinsoku w:val="0"/>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501" w:type="dxa"/>
            <w:vAlign w:val="center"/>
          </w:tcPr>
          <w:p>
            <w:pPr>
              <w:kinsoku w:val="0"/>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4" w:type="dxa"/>
            <w:vAlign w:val="center"/>
          </w:tcPr>
          <w:p>
            <w:pPr>
              <w:kinsoku w:val="0"/>
              <w:ind w:firstLine="480" w:firstLineChars="200"/>
              <w:jc w:val="center"/>
              <w:rPr>
                <w:rFonts w:ascii="仿宋_GB2312" w:hAnsi="仿宋_GB2312" w:eastAsia="仿宋_GB2312" w:cs="仿宋_GB2312"/>
                <w:sz w:val="24"/>
                <w:szCs w:val="24"/>
              </w:rPr>
            </w:pPr>
          </w:p>
        </w:tc>
        <w:tc>
          <w:tcPr>
            <w:tcW w:w="2033" w:type="dxa"/>
            <w:vAlign w:val="center"/>
          </w:tcPr>
          <w:p>
            <w:pPr>
              <w:kinsoku w:val="0"/>
              <w:ind w:firstLine="480" w:firstLineChars="200"/>
              <w:jc w:val="center"/>
              <w:rPr>
                <w:rFonts w:ascii="仿宋_GB2312" w:hAnsi="仿宋_GB2312" w:eastAsia="仿宋_GB2312" w:cs="仿宋_GB2312"/>
                <w:sz w:val="24"/>
                <w:szCs w:val="24"/>
              </w:rPr>
            </w:pPr>
          </w:p>
        </w:tc>
        <w:tc>
          <w:tcPr>
            <w:tcW w:w="1984" w:type="dxa"/>
            <w:vAlign w:val="center"/>
          </w:tcPr>
          <w:p>
            <w:pPr>
              <w:kinsoku w:val="0"/>
              <w:ind w:firstLine="480" w:firstLineChars="200"/>
              <w:jc w:val="center"/>
              <w:rPr>
                <w:rFonts w:ascii="仿宋_GB2312" w:hAnsi="仿宋_GB2312" w:eastAsia="仿宋_GB2312" w:cs="仿宋_GB2312"/>
                <w:sz w:val="24"/>
                <w:szCs w:val="24"/>
              </w:rPr>
            </w:pPr>
          </w:p>
        </w:tc>
        <w:tc>
          <w:tcPr>
            <w:tcW w:w="1625" w:type="dxa"/>
            <w:vAlign w:val="center"/>
          </w:tcPr>
          <w:p>
            <w:pPr>
              <w:kinsoku w:val="0"/>
              <w:ind w:firstLine="480" w:firstLineChars="200"/>
              <w:jc w:val="center"/>
              <w:rPr>
                <w:rFonts w:ascii="仿宋_GB2312" w:hAnsi="仿宋_GB2312" w:eastAsia="仿宋_GB2312" w:cs="仿宋_GB2312"/>
                <w:sz w:val="24"/>
                <w:szCs w:val="24"/>
              </w:rPr>
            </w:pPr>
          </w:p>
        </w:tc>
        <w:tc>
          <w:tcPr>
            <w:tcW w:w="1237" w:type="dxa"/>
            <w:vAlign w:val="center"/>
          </w:tcPr>
          <w:p>
            <w:pPr>
              <w:kinsoku w:val="0"/>
              <w:ind w:firstLine="480" w:firstLineChars="200"/>
              <w:jc w:val="center"/>
              <w:rPr>
                <w:rFonts w:ascii="仿宋_GB2312" w:hAnsi="仿宋_GB2312" w:eastAsia="仿宋_GB2312" w:cs="仿宋_GB2312"/>
                <w:sz w:val="24"/>
                <w:szCs w:val="24"/>
              </w:rPr>
            </w:pPr>
          </w:p>
        </w:tc>
        <w:tc>
          <w:tcPr>
            <w:tcW w:w="762" w:type="dxa"/>
            <w:vAlign w:val="center"/>
          </w:tcPr>
          <w:p>
            <w:pPr>
              <w:kinsoku w:val="0"/>
              <w:ind w:firstLine="480" w:firstLineChars="200"/>
              <w:jc w:val="center"/>
              <w:rPr>
                <w:rFonts w:ascii="仿宋_GB2312" w:hAnsi="仿宋_GB2312" w:eastAsia="仿宋_GB2312" w:cs="仿宋_GB2312"/>
                <w:sz w:val="24"/>
                <w:szCs w:val="24"/>
              </w:rPr>
            </w:pPr>
          </w:p>
        </w:tc>
        <w:tc>
          <w:tcPr>
            <w:tcW w:w="1501" w:type="dxa"/>
            <w:vAlign w:val="center"/>
          </w:tcPr>
          <w:p>
            <w:pPr>
              <w:kinsoku w:val="0"/>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4" w:type="dxa"/>
            <w:vAlign w:val="center"/>
          </w:tcPr>
          <w:p>
            <w:pPr>
              <w:kinsoku w:val="0"/>
              <w:ind w:firstLine="480" w:firstLineChars="200"/>
              <w:jc w:val="center"/>
              <w:rPr>
                <w:rFonts w:ascii="仿宋_GB2312" w:hAnsi="仿宋_GB2312" w:eastAsia="仿宋_GB2312" w:cs="仿宋_GB2312"/>
                <w:sz w:val="24"/>
                <w:szCs w:val="24"/>
              </w:rPr>
            </w:pPr>
          </w:p>
        </w:tc>
        <w:tc>
          <w:tcPr>
            <w:tcW w:w="2033" w:type="dxa"/>
            <w:vAlign w:val="center"/>
          </w:tcPr>
          <w:p>
            <w:pPr>
              <w:kinsoku w:val="0"/>
              <w:ind w:firstLine="480" w:firstLineChars="200"/>
              <w:jc w:val="center"/>
              <w:rPr>
                <w:rFonts w:ascii="仿宋_GB2312" w:hAnsi="仿宋_GB2312" w:eastAsia="仿宋_GB2312" w:cs="仿宋_GB2312"/>
                <w:sz w:val="24"/>
                <w:szCs w:val="24"/>
              </w:rPr>
            </w:pPr>
          </w:p>
        </w:tc>
        <w:tc>
          <w:tcPr>
            <w:tcW w:w="1984" w:type="dxa"/>
            <w:vAlign w:val="center"/>
          </w:tcPr>
          <w:p>
            <w:pPr>
              <w:kinsoku w:val="0"/>
              <w:ind w:firstLine="480" w:firstLineChars="200"/>
              <w:jc w:val="center"/>
              <w:rPr>
                <w:rFonts w:ascii="仿宋_GB2312" w:hAnsi="仿宋_GB2312" w:eastAsia="仿宋_GB2312" w:cs="仿宋_GB2312"/>
                <w:sz w:val="24"/>
                <w:szCs w:val="24"/>
              </w:rPr>
            </w:pPr>
          </w:p>
        </w:tc>
        <w:tc>
          <w:tcPr>
            <w:tcW w:w="1625" w:type="dxa"/>
            <w:vAlign w:val="center"/>
          </w:tcPr>
          <w:p>
            <w:pPr>
              <w:kinsoku w:val="0"/>
              <w:ind w:firstLine="480" w:firstLineChars="200"/>
              <w:jc w:val="center"/>
              <w:rPr>
                <w:rFonts w:ascii="仿宋_GB2312" w:hAnsi="仿宋_GB2312" w:eastAsia="仿宋_GB2312" w:cs="仿宋_GB2312"/>
                <w:sz w:val="24"/>
                <w:szCs w:val="24"/>
              </w:rPr>
            </w:pPr>
          </w:p>
        </w:tc>
        <w:tc>
          <w:tcPr>
            <w:tcW w:w="1237" w:type="dxa"/>
            <w:vAlign w:val="center"/>
          </w:tcPr>
          <w:p>
            <w:pPr>
              <w:kinsoku w:val="0"/>
              <w:ind w:firstLine="480" w:firstLineChars="200"/>
              <w:jc w:val="center"/>
              <w:rPr>
                <w:rFonts w:ascii="仿宋_GB2312" w:hAnsi="仿宋_GB2312" w:eastAsia="仿宋_GB2312" w:cs="仿宋_GB2312"/>
                <w:sz w:val="24"/>
                <w:szCs w:val="24"/>
              </w:rPr>
            </w:pPr>
          </w:p>
        </w:tc>
        <w:tc>
          <w:tcPr>
            <w:tcW w:w="762" w:type="dxa"/>
            <w:vAlign w:val="center"/>
          </w:tcPr>
          <w:p>
            <w:pPr>
              <w:kinsoku w:val="0"/>
              <w:ind w:firstLine="480" w:firstLineChars="200"/>
              <w:jc w:val="center"/>
              <w:rPr>
                <w:rFonts w:ascii="仿宋_GB2312" w:hAnsi="仿宋_GB2312" w:eastAsia="仿宋_GB2312" w:cs="仿宋_GB2312"/>
                <w:sz w:val="24"/>
                <w:szCs w:val="24"/>
              </w:rPr>
            </w:pPr>
          </w:p>
        </w:tc>
        <w:tc>
          <w:tcPr>
            <w:tcW w:w="1501" w:type="dxa"/>
            <w:vAlign w:val="center"/>
          </w:tcPr>
          <w:p>
            <w:pPr>
              <w:kinsoku w:val="0"/>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4" w:type="dxa"/>
            <w:vAlign w:val="center"/>
          </w:tcPr>
          <w:p>
            <w:pPr>
              <w:kinsoku w:val="0"/>
              <w:ind w:firstLine="480" w:firstLineChars="200"/>
              <w:jc w:val="center"/>
              <w:rPr>
                <w:rFonts w:ascii="仿宋_GB2312" w:hAnsi="仿宋_GB2312" w:eastAsia="仿宋_GB2312" w:cs="仿宋_GB2312"/>
                <w:sz w:val="24"/>
                <w:szCs w:val="24"/>
              </w:rPr>
            </w:pPr>
          </w:p>
        </w:tc>
        <w:tc>
          <w:tcPr>
            <w:tcW w:w="2033" w:type="dxa"/>
            <w:vAlign w:val="center"/>
          </w:tcPr>
          <w:p>
            <w:pPr>
              <w:kinsoku w:val="0"/>
              <w:ind w:firstLine="480" w:firstLineChars="200"/>
              <w:jc w:val="center"/>
              <w:rPr>
                <w:rFonts w:ascii="仿宋_GB2312" w:hAnsi="仿宋_GB2312" w:eastAsia="仿宋_GB2312" w:cs="仿宋_GB2312"/>
                <w:sz w:val="24"/>
                <w:szCs w:val="24"/>
              </w:rPr>
            </w:pPr>
          </w:p>
        </w:tc>
        <w:tc>
          <w:tcPr>
            <w:tcW w:w="1984" w:type="dxa"/>
            <w:vAlign w:val="center"/>
          </w:tcPr>
          <w:p>
            <w:pPr>
              <w:kinsoku w:val="0"/>
              <w:ind w:firstLine="480" w:firstLineChars="200"/>
              <w:jc w:val="center"/>
              <w:rPr>
                <w:rFonts w:ascii="仿宋_GB2312" w:hAnsi="仿宋_GB2312" w:eastAsia="仿宋_GB2312" w:cs="仿宋_GB2312"/>
                <w:sz w:val="24"/>
                <w:szCs w:val="24"/>
              </w:rPr>
            </w:pPr>
          </w:p>
        </w:tc>
        <w:tc>
          <w:tcPr>
            <w:tcW w:w="1625" w:type="dxa"/>
            <w:vAlign w:val="center"/>
          </w:tcPr>
          <w:p>
            <w:pPr>
              <w:kinsoku w:val="0"/>
              <w:ind w:firstLine="480" w:firstLineChars="200"/>
              <w:jc w:val="center"/>
              <w:rPr>
                <w:rFonts w:ascii="仿宋_GB2312" w:hAnsi="仿宋_GB2312" w:eastAsia="仿宋_GB2312" w:cs="仿宋_GB2312"/>
                <w:sz w:val="24"/>
                <w:szCs w:val="24"/>
              </w:rPr>
            </w:pPr>
          </w:p>
        </w:tc>
        <w:tc>
          <w:tcPr>
            <w:tcW w:w="1237" w:type="dxa"/>
            <w:vAlign w:val="center"/>
          </w:tcPr>
          <w:p>
            <w:pPr>
              <w:kinsoku w:val="0"/>
              <w:ind w:firstLine="480" w:firstLineChars="200"/>
              <w:jc w:val="center"/>
              <w:rPr>
                <w:rFonts w:ascii="仿宋_GB2312" w:hAnsi="仿宋_GB2312" w:eastAsia="仿宋_GB2312" w:cs="仿宋_GB2312"/>
                <w:sz w:val="24"/>
                <w:szCs w:val="24"/>
              </w:rPr>
            </w:pPr>
          </w:p>
        </w:tc>
        <w:tc>
          <w:tcPr>
            <w:tcW w:w="762" w:type="dxa"/>
            <w:vAlign w:val="center"/>
          </w:tcPr>
          <w:p>
            <w:pPr>
              <w:kinsoku w:val="0"/>
              <w:ind w:firstLine="480" w:firstLineChars="200"/>
              <w:jc w:val="center"/>
              <w:rPr>
                <w:rFonts w:ascii="仿宋_GB2312" w:hAnsi="仿宋_GB2312" w:eastAsia="仿宋_GB2312" w:cs="仿宋_GB2312"/>
                <w:sz w:val="24"/>
                <w:szCs w:val="24"/>
              </w:rPr>
            </w:pPr>
          </w:p>
        </w:tc>
        <w:tc>
          <w:tcPr>
            <w:tcW w:w="1501" w:type="dxa"/>
            <w:vAlign w:val="center"/>
          </w:tcPr>
          <w:p>
            <w:pPr>
              <w:kinsoku w:val="0"/>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4" w:type="dxa"/>
            <w:vAlign w:val="center"/>
          </w:tcPr>
          <w:p>
            <w:pPr>
              <w:kinsoku w:val="0"/>
              <w:ind w:firstLine="480" w:firstLineChars="200"/>
              <w:jc w:val="center"/>
              <w:rPr>
                <w:rFonts w:ascii="仿宋_GB2312" w:hAnsi="仿宋_GB2312" w:eastAsia="仿宋_GB2312" w:cs="仿宋_GB2312"/>
                <w:sz w:val="24"/>
                <w:szCs w:val="24"/>
              </w:rPr>
            </w:pPr>
          </w:p>
        </w:tc>
        <w:tc>
          <w:tcPr>
            <w:tcW w:w="2033" w:type="dxa"/>
            <w:vAlign w:val="center"/>
          </w:tcPr>
          <w:p>
            <w:pPr>
              <w:kinsoku w:val="0"/>
              <w:ind w:firstLine="480" w:firstLineChars="200"/>
              <w:jc w:val="center"/>
              <w:rPr>
                <w:rFonts w:ascii="仿宋_GB2312" w:hAnsi="仿宋_GB2312" w:eastAsia="仿宋_GB2312" w:cs="仿宋_GB2312"/>
                <w:sz w:val="24"/>
                <w:szCs w:val="24"/>
              </w:rPr>
            </w:pPr>
          </w:p>
        </w:tc>
        <w:tc>
          <w:tcPr>
            <w:tcW w:w="1984" w:type="dxa"/>
            <w:vAlign w:val="center"/>
          </w:tcPr>
          <w:p>
            <w:pPr>
              <w:kinsoku w:val="0"/>
              <w:ind w:firstLine="480" w:firstLineChars="200"/>
              <w:jc w:val="center"/>
              <w:rPr>
                <w:rFonts w:ascii="仿宋_GB2312" w:hAnsi="仿宋_GB2312" w:eastAsia="仿宋_GB2312" w:cs="仿宋_GB2312"/>
                <w:sz w:val="24"/>
                <w:szCs w:val="24"/>
              </w:rPr>
            </w:pPr>
          </w:p>
        </w:tc>
        <w:tc>
          <w:tcPr>
            <w:tcW w:w="1625" w:type="dxa"/>
            <w:vAlign w:val="center"/>
          </w:tcPr>
          <w:p>
            <w:pPr>
              <w:kinsoku w:val="0"/>
              <w:ind w:firstLine="480" w:firstLineChars="200"/>
              <w:jc w:val="center"/>
              <w:rPr>
                <w:rFonts w:ascii="仿宋_GB2312" w:hAnsi="仿宋_GB2312" w:eastAsia="仿宋_GB2312" w:cs="仿宋_GB2312"/>
                <w:sz w:val="24"/>
                <w:szCs w:val="24"/>
              </w:rPr>
            </w:pPr>
          </w:p>
        </w:tc>
        <w:tc>
          <w:tcPr>
            <w:tcW w:w="1237" w:type="dxa"/>
            <w:vAlign w:val="center"/>
          </w:tcPr>
          <w:p>
            <w:pPr>
              <w:kinsoku w:val="0"/>
              <w:ind w:firstLine="480" w:firstLineChars="200"/>
              <w:jc w:val="center"/>
              <w:rPr>
                <w:rFonts w:ascii="仿宋_GB2312" w:hAnsi="仿宋_GB2312" w:eastAsia="仿宋_GB2312" w:cs="仿宋_GB2312"/>
                <w:sz w:val="24"/>
                <w:szCs w:val="24"/>
              </w:rPr>
            </w:pPr>
          </w:p>
        </w:tc>
        <w:tc>
          <w:tcPr>
            <w:tcW w:w="762" w:type="dxa"/>
            <w:vAlign w:val="center"/>
          </w:tcPr>
          <w:p>
            <w:pPr>
              <w:kinsoku w:val="0"/>
              <w:ind w:firstLine="480" w:firstLineChars="200"/>
              <w:jc w:val="center"/>
              <w:rPr>
                <w:rFonts w:ascii="仿宋_GB2312" w:hAnsi="仿宋_GB2312" w:eastAsia="仿宋_GB2312" w:cs="仿宋_GB2312"/>
                <w:sz w:val="24"/>
                <w:szCs w:val="24"/>
              </w:rPr>
            </w:pPr>
          </w:p>
        </w:tc>
        <w:tc>
          <w:tcPr>
            <w:tcW w:w="1501" w:type="dxa"/>
            <w:vAlign w:val="center"/>
          </w:tcPr>
          <w:p>
            <w:pPr>
              <w:kinsoku w:val="0"/>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4" w:type="dxa"/>
            <w:vAlign w:val="center"/>
          </w:tcPr>
          <w:p>
            <w:pPr>
              <w:kinsoku w:val="0"/>
              <w:ind w:firstLine="480" w:firstLineChars="200"/>
              <w:jc w:val="center"/>
              <w:rPr>
                <w:rFonts w:ascii="仿宋_GB2312" w:hAnsi="仿宋_GB2312" w:eastAsia="仿宋_GB2312" w:cs="仿宋_GB2312"/>
                <w:sz w:val="24"/>
                <w:szCs w:val="24"/>
              </w:rPr>
            </w:pPr>
          </w:p>
        </w:tc>
        <w:tc>
          <w:tcPr>
            <w:tcW w:w="2033" w:type="dxa"/>
            <w:vAlign w:val="center"/>
          </w:tcPr>
          <w:p>
            <w:pPr>
              <w:kinsoku w:val="0"/>
              <w:ind w:firstLine="480" w:firstLineChars="200"/>
              <w:jc w:val="center"/>
              <w:rPr>
                <w:rFonts w:ascii="仿宋_GB2312" w:hAnsi="仿宋_GB2312" w:eastAsia="仿宋_GB2312" w:cs="仿宋_GB2312"/>
                <w:sz w:val="24"/>
                <w:szCs w:val="24"/>
              </w:rPr>
            </w:pPr>
          </w:p>
        </w:tc>
        <w:tc>
          <w:tcPr>
            <w:tcW w:w="1984" w:type="dxa"/>
            <w:vAlign w:val="center"/>
          </w:tcPr>
          <w:p>
            <w:pPr>
              <w:kinsoku w:val="0"/>
              <w:ind w:firstLine="480" w:firstLineChars="200"/>
              <w:jc w:val="center"/>
              <w:rPr>
                <w:rFonts w:ascii="仿宋_GB2312" w:hAnsi="仿宋_GB2312" w:eastAsia="仿宋_GB2312" w:cs="仿宋_GB2312"/>
                <w:sz w:val="24"/>
                <w:szCs w:val="24"/>
              </w:rPr>
            </w:pPr>
          </w:p>
        </w:tc>
        <w:tc>
          <w:tcPr>
            <w:tcW w:w="1625" w:type="dxa"/>
            <w:vAlign w:val="center"/>
          </w:tcPr>
          <w:p>
            <w:pPr>
              <w:kinsoku w:val="0"/>
              <w:ind w:firstLine="480" w:firstLineChars="200"/>
              <w:jc w:val="center"/>
              <w:rPr>
                <w:rFonts w:ascii="仿宋_GB2312" w:hAnsi="仿宋_GB2312" w:eastAsia="仿宋_GB2312" w:cs="仿宋_GB2312"/>
                <w:sz w:val="24"/>
                <w:szCs w:val="24"/>
              </w:rPr>
            </w:pPr>
          </w:p>
        </w:tc>
        <w:tc>
          <w:tcPr>
            <w:tcW w:w="1237" w:type="dxa"/>
            <w:vAlign w:val="center"/>
          </w:tcPr>
          <w:p>
            <w:pPr>
              <w:kinsoku w:val="0"/>
              <w:ind w:firstLine="480" w:firstLineChars="200"/>
              <w:jc w:val="center"/>
              <w:rPr>
                <w:rFonts w:ascii="仿宋_GB2312" w:hAnsi="仿宋_GB2312" w:eastAsia="仿宋_GB2312" w:cs="仿宋_GB2312"/>
                <w:sz w:val="24"/>
                <w:szCs w:val="24"/>
              </w:rPr>
            </w:pPr>
          </w:p>
        </w:tc>
        <w:tc>
          <w:tcPr>
            <w:tcW w:w="762" w:type="dxa"/>
            <w:vAlign w:val="center"/>
          </w:tcPr>
          <w:p>
            <w:pPr>
              <w:kinsoku w:val="0"/>
              <w:ind w:firstLine="480" w:firstLineChars="200"/>
              <w:jc w:val="center"/>
              <w:rPr>
                <w:rFonts w:ascii="仿宋_GB2312" w:hAnsi="仿宋_GB2312" w:eastAsia="仿宋_GB2312" w:cs="仿宋_GB2312"/>
                <w:sz w:val="24"/>
                <w:szCs w:val="24"/>
              </w:rPr>
            </w:pPr>
          </w:p>
        </w:tc>
        <w:tc>
          <w:tcPr>
            <w:tcW w:w="1501" w:type="dxa"/>
            <w:vAlign w:val="center"/>
          </w:tcPr>
          <w:p>
            <w:pPr>
              <w:kinsoku w:val="0"/>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4" w:type="dxa"/>
            <w:vAlign w:val="center"/>
          </w:tcPr>
          <w:p>
            <w:pPr>
              <w:kinsoku w:val="0"/>
              <w:ind w:firstLine="480" w:firstLineChars="200"/>
              <w:jc w:val="center"/>
              <w:rPr>
                <w:rFonts w:ascii="仿宋_GB2312" w:hAnsi="仿宋_GB2312" w:eastAsia="仿宋_GB2312" w:cs="仿宋_GB2312"/>
                <w:sz w:val="24"/>
                <w:szCs w:val="24"/>
              </w:rPr>
            </w:pPr>
          </w:p>
        </w:tc>
        <w:tc>
          <w:tcPr>
            <w:tcW w:w="2033" w:type="dxa"/>
            <w:vAlign w:val="center"/>
          </w:tcPr>
          <w:p>
            <w:pPr>
              <w:kinsoku w:val="0"/>
              <w:ind w:firstLine="480" w:firstLineChars="200"/>
              <w:jc w:val="center"/>
              <w:rPr>
                <w:rFonts w:ascii="仿宋_GB2312" w:hAnsi="仿宋_GB2312" w:eastAsia="仿宋_GB2312" w:cs="仿宋_GB2312"/>
                <w:sz w:val="24"/>
                <w:szCs w:val="24"/>
              </w:rPr>
            </w:pPr>
          </w:p>
        </w:tc>
        <w:tc>
          <w:tcPr>
            <w:tcW w:w="1984" w:type="dxa"/>
            <w:vAlign w:val="center"/>
          </w:tcPr>
          <w:p>
            <w:pPr>
              <w:kinsoku w:val="0"/>
              <w:ind w:firstLine="480" w:firstLineChars="200"/>
              <w:jc w:val="center"/>
              <w:rPr>
                <w:rFonts w:ascii="仿宋_GB2312" w:hAnsi="仿宋_GB2312" w:eastAsia="仿宋_GB2312" w:cs="仿宋_GB2312"/>
                <w:sz w:val="24"/>
                <w:szCs w:val="24"/>
              </w:rPr>
            </w:pPr>
          </w:p>
        </w:tc>
        <w:tc>
          <w:tcPr>
            <w:tcW w:w="1625" w:type="dxa"/>
            <w:vAlign w:val="center"/>
          </w:tcPr>
          <w:p>
            <w:pPr>
              <w:kinsoku w:val="0"/>
              <w:ind w:firstLine="480" w:firstLineChars="200"/>
              <w:jc w:val="center"/>
              <w:rPr>
                <w:rFonts w:ascii="仿宋_GB2312" w:hAnsi="仿宋_GB2312" w:eastAsia="仿宋_GB2312" w:cs="仿宋_GB2312"/>
                <w:sz w:val="24"/>
                <w:szCs w:val="24"/>
              </w:rPr>
            </w:pPr>
          </w:p>
        </w:tc>
        <w:tc>
          <w:tcPr>
            <w:tcW w:w="1237" w:type="dxa"/>
            <w:vAlign w:val="center"/>
          </w:tcPr>
          <w:p>
            <w:pPr>
              <w:kinsoku w:val="0"/>
              <w:ind w:firstLine="480" w:firstLineChars="200"/>
              <w:jc w:val="center"/>
              <w:rPr>
                <w:rFonts w:ascii="仿宋_GB2312" w:hAnsi="仿宋_GB2312" w:eastAsia="仿宋_GB2312" w:cs="仿宋_GB2312"/>
                <w:sz w:val="24"/>
                <w:szCs w:val="24"/>
              </w:rPr>
            </w:pPr>
          </w:p>
        </w:tc>
        <w:tc>
          <w:tcPr>
            <w:tcW w:w="762" w:type="dxa"/>
            <w:vAlign w:val="center"/>
          </w:tcPr>
          <w:p>
            <w:pPr>
              <w:kinsoku w:val="0"/>
              <w:ind w:firstLine="480" w:firstLineChars="200"/>
              <w:jc w:val="center"/>
              <w:rPr>
                <w:rFonts w:ascii="仿宋_GB2312" w:hAnsi="仿宋_GB2312" w:eastAsia="仿宋_GB2312" w:cs="仿宋_GB2312"/>
                <w:sz w:val="24"/>
                <w:szCs w:val="24"/>
              </w:rPr>
            </w:pPr>
          </w:p>
        </w:tc>
        <w:tc>
          <w:tcPr>
            <w:tcW w:w="1501" w:type="dxa"/>
            <w:vAlign w:val="center"/>
          </w:tcPr>
          <w:p>
            <w:pPr>
              <w:kinsoku w:val="0"/>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4" w:type="dxa"/>
            <w:vAlign w:val="center"/>
          </w:tcPr>
          <w:p>
            <w:pPr>
              <w:kinsoku w:val="0"/>
              <w:ind w:firstLine="480" w:firstLineChars="200"/>
              <w:jc w:val="center"/>
              <w:rPr>
                <w:rFonts w:ascii="仿宋_GB2312" w:hAnsi="仿宋_GB2312" w:eastAsia="仿宋_GB2312" w:cs="仿宋_GB2312"/>
                <w:sz w:val="24"/>
                <w:szCs w:val="24"/>
              </w:rPr>
            </w:pPr>
          </w:p>
        </w:tc>
        <w:tc>
          <w:tcPr>
            <w:tcW w:w="2033" w:type="dxa"/>
            <w:vAlign w:val="center"/>
          </w:tcPr>
          <w:p>
            <w:pPr>
              <w:kinsoku w:val="0"/>
              <w:ind w:firstLine="480" w:firstLineChars="200"/>
              <w:jc w:val="center"/>
              <w:rPr>
                <w:rFonts w:ascii="仿宋_GB2312" w:hAnsi="仿宋_GB2312" w:eastAsia="仿宋_GB2312" w:cs="仿宋_GB2312"/>
                <w:sz w:val="24"/>
                <w:szCs w:val="24"/>
              </w:rPr>
            </w:pPr>
          </w:p>
        </w:tc>
        <w:tc>
          <w:tcPr>
            <w:tcW w:w="1984" w:type="dxa"/>
            <w:vAlign w:val="center"/>
          </w:tcPr>
          <w:p>
            <w:pPr>
              <w:kinsoku w:val="0"/>
              <w:ind w:firstLine="480" w:firstLineChars="200"/>
              <w:jc w:val="center"/>
              <w:rPr>
                <w:rFonts w:ascii="仿宋_GB2312" w:hAnsi="仿宋_GB2312" w:eastAsia="仿宋_GB2312" w:cs="仿宋_GB2312"/>
                <w:sz w:val="24"/>
                <w:szCs w:val="24"/>
              </w:rPr>
            </w:pPr>
          </w:p>
        </w:tc>
        <w:tc>
          <w:tcPr>
            <w:tcW w:w="1625" w:type="dxa"/>
            <w:vAlign w:val="center"/>
          </w:tcPr>
          <w:p>
            <w:pPr>
              <w:kinsoku w:val="0"/>
              <w:ind w:firstLine="480" w:firstLineChars="200"/>
              <w:jc w:val="center"/>
              <w:rPr>
                <w:rFonts w:ascii="仿宋_GB2312" w:hAnsi="仿宋_GB2312" w:eastAsia="仿宋_GB2312" w:cs="仿宋_GB2312"/>
                <w:sz w:val="24"/>
                <w:szCs w:val="24"/>
              </w:rPr>
            </w:pPr>
          </w:p>
        </w:tc>
        <w:tc>
          <w:tcPr>
            <w:tcW w:w="1237" w:type="dxa"/>
            <w:vAlign w:val="center"/>
          </w:tcPr>
          <w:p>
            <w:pPr>
              <w:kinsoku w:val="0"/>
              <w:ind w:firstLine="480" w:firstLineChars="200"/>
              <w:jc w:val="center"/>
              <w:rPr>
                <w:rFonts w:ascii="仿宋_GB2312" w:hAnsi="仿宋_GB2312" w:eastAsia="仿宋_GB2312" w:cs="仿宋_GB2312"/>
                <w:sz w:val="24"/>
                <w:szCs w:val="24"/>
              </w:rPr>
            </w:pPr>
          </w:p>
        </w:tc>
        <w:tc>
          <w:tcPr>
            <w:tcW w:w="762" w:type="dxa"/>
            <w:vAlign w:val="center"/>
          </w:tcPr>
          <w:p>
            <w:pPr>
              <w:kinsoku w:val="0"/>
              <w:ind w:firstLine="480" w:firstLineChars="200"/>
              <w:jc w:val="center"/>
              <w:rPr>
                <w:rFonts w:ascii="仿宋_GB2312" w:hAnsi="仿宋_GB2312" w:eastAsia="仿宋_GB2312" w:cs="仿宋_GB2312"/>
                <w:sz w:val="24"/>
                <w:szCs w:val="24"/>
              </w:rPr>
            </w:pPr>
          </w:p>
        </w:tc>
        <w:tc>
          <w:tcPr>
            <w:tcW w:w="1501" w:type="dxa"/>
            <w:vAlign w:val="center"/>
          </w:tcPr>
          <w:p>
            <w:pPr>
              <w:kinsoku w:val="0"/>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4" w:type="dxa"/>
            <w:vAlign w:val="center"/>
          </w:tcPr>
          <w:p>
            <w:pPr>
              <w:kinsoku w:val="0"/>
              <w:ind w:firstLine="480" w:firstLineChars="200"/>
              <w:jc w:val="center"/>
              <w:rPr>
                <w:rFonts w:ascii="仿宋_GB2312" w:hAnsi="仿宋_GB2312" w:eastAsia="仿宋_GB2312" w:cs="仿宋_GB2312"/>
                <w:sz w:val="24"/>
                <w:szCs w:val="24"/>
              </w:rPr>
            </w:pPr>
          </w:p>
        </w:tc>
        <w:tc>
          <w:tcPr>
            <w:tcW w:w="2033" w:type="dxa"/>
            <w:vAlign w:val="center"/>
          </w:tcPr>
          <w:p>
            <w:pPr>
              <w:kinsoku w:val="0"/>
              <w:ind w:firstLine="480" w:firstLineChars="200"/>
              <w:jc w:val="center"/>
              <w:rPr>
                <w:rFonts w:ascii="仿宋_GB2312" w:hAnsi="仿宋_GB2312" w:eastAsia="仿宋_GB2312" w:cs="仿宋_GB2312"/>
                <w:sz w:val="24"/>
                <w:szCs w:val="24"/>
              </w:rPr>
            </w:pPr>
          </w:p>
        </w:tc>
        <w:tc>
          <w:tcPr>
            <w:tcW w:w="1984" w:type="dxa"/>
            <w:vAlign w:val="center"/>
          </w:tcPr>
          <w:p>
            <w:pPr>
              <w:kinsoku w:val="0"/>
              <w:ind w:firstLine="480" w:firstLineChars="200"/>
              <w:jc w:val="center"/>
              <w:rPr>
                <w:rFonts w:ascii="仿宋_GB2312" w:hAnsi="仿宋_GB2312" w:eastAsia="仿宋_GB2312" w:cs="仿宋_GB2312"/>
                <w:sz w:val="24"/>
                <w:szCs w:val="24"/>
              </w:rPr>
            </w:pPr>
          </w:p>
        </w:tc>
        <w:tc>
          <w:tcPr>
            <w:tcW w:w="1625" w:type="dxa"/>
            <w:vAlign w:val="center"/>
          </w:tcPr>
          <w:p>
            <w:pPr>
              <w:kinsoku w:val="0"/>
              <w:ind w:firstLine="480" w:firstLineChars="200"/>
              <w:jc w:val="center"/>
              <w:rPr>
                <w:rFonts w:ascii="仿宋_GB2312" w:hAnsi="仿宋_GB2312" w:eastAsia="仿宋_GB2312" w:cs="仿宋_GB2312"/>
                <w:sz w:val="24"/>
                <w:szCs w:val="24"/>
              </w:rPr>
            </w:pPr>
          </w:p>
        </w:tc>
        <w:tc>
          <w:tcPr>
            <w:tcW w:w="1237" w:type="dxa"/>
            <w:vAlign w:val="center"/>
          </w:tcPr>
          <w:p>
            <w:pPr>
              <w:kinsoku w:val="0"/>
              <w:ind w:firstLine="480" w:firstLineChars="200"/>
              <w:jc w:val="center"/>
              <w:rPr>
                <w:rFonts w:ascii="仿宋_GB2312" w:hAnsi="仿宋_GB2312" w:eastAsia="仿宋_GB2312" w:cs="仿宋_GB2312"/>
                <w:sz w:val="24"/>
                <w:szCs w:val="24"/>
              </w:rPr>
            </w:pPr>
          </w:p>
        </w:tc>
        <w:tc>
          <w:tcPr>
            <w:tcW w:w="762" w:type="dxa"/>
            <w:vAlign w:val="center"/>
          </w:tcPr>
          <w:p>
            <w:pPr>
              <w:kinsoku w:val="0"/>
              <w:ind w:firstLine="480" w:firstLineChars="200"/>
              <w:jc w:val="center"/>
              <w:rPr>
                <w:rFonts w:ascii="仿宋_GB2312" w:hAnsi="仿宋_GB2312" w:eastAsia="仿宋_GB2312" w:cs="仿宋_GB2312"/>
                <w:sz w:val="24"/>
                <w:szCs w:val="24"/>
              </w:rPr>
            </w:pPr>
          </w:p>
        </w:tc>
        <w:tc>
          <w:tcPr>
            <w:tcW w:w="1501" w:type="dxa"/>
            <w:vAlign w:val="center"/>
          </w:tcPr>
          <w:p>
            <w:pPr>
              <w:kinsoku w:val="0"/>
              <w:ind w:firstLine="480" w:firstLineChars="200"/>
              <w:jc w:val="center"/>
              <w:rPr>
                <w:rFonts w:ascii="仿宋_GB2312" w:hAnsi="仿宋_GB2312" w:eastAsia="仿宋_GB2312" w:cs="仿宋_GB2312"/>
                <w:sz w:val="24"/>
                <w:szCs w:val="24"/>
              </w:rPr>
            </w:pPr>
          </w:p>
        </w:tc>
      </w:tr>
    </w:tbl>
    <w:p>
      <w:pPr>
        <w:pStyle w:val="16"/>
        <w:kinsoku w:val="0"/>
        <w:adjustRightInd w:val="0"/>
        <w:spacing w:line="560" w:lineRule="exact"/>
        <w:rPr>
          <w:rFonts w:ascii="仿宋_GB2312" w:hAnsi="仿宋_GB2312" w:eastAsia="仿宋_GB2312" w:cs="仿宋_GB2312"/>
          <w:sz w:val="24"/>
          <w:szCs w:val="24"/>
        </w:rPr>
      </w:pP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2</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73E038DE"/>
    <w:multiLevelType w:val="multilevel"/>
    <w:tmpl w:val="73E038DE"/>
    <w:lvl w:ilvl="0" w:tentative="0">
      <w:start w:val="1"/>
      <w:numFmt w:val="lowerLetter"/>
      <w:lvlText w:val="%1)"/>
      <w:lvlJc w:val="left"/>
      <w:pPr>
        <w:tabs>
          <w:tab w:val="left" w:pos="0"/>
        </w:tabs>
        <w:ind w:left="1140" w:hanging="42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4D58"/>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26BA"/>
    <w:rsid w:val="000C4C69"/>
    <w:rsid w:val="000C5D26"/>
    <w:rsid w:val="000C6B55"/>
    <w:rsid w:val="000D0EF6"/>
    <w:rsid w:val="000D1F31"/>
    <w:rsid w:val="000D4134"/>
    <w:rsid w:val="000D5314"/>
    <w:rsid w:val="000D69E4"/>
    <w:rsid w:val="000E4103"/>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572C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4FC"/>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2E52"/>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3E56"/>
    <w:rsid w:val="002842D5"/>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32D4"/>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1DB"/>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21C0"/>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5DF0"/>
    <w:rsid w:val="005F7C79"/>
    <w:rsid w:val="00600684"/>
    <w:rsid w:val="00600823"/>
    <w:rsid w:val="00602378"/>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34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63"/>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43D"/>
    <w:rsid w:val="0082574B"/>
    <w:rsid w:val="00826647"/>
    <w:rsid w:val="00826A1E"/>
    <w:rsid w:val="0082747E"/>
    <w:rsid w:val="00827BC5"/>
    <w:rsid w:val="00827FD5"/>
    <w:rsid w:val="00831042"/>
    <w:rsid w:val="00831DAD"/>
    <w:rsid w:val="00835365"/>
    <w:rsid w:val="00835F50"/>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C3A"/>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44D4"/>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DD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7AE"/>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45414"/>
    <w:rsid w:val="00A46C5A"/>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19DC"/>
    <w:rsid w:val="00BC5686"/>
    <w:rsid w:val="00BC6297"/>
    <w:rsid w:val="00BC6684"/>
    <w:rsid w:val="00BC709C"/>
    <w:rsid w:val="00BC74F0"/>
    <w:rsid w:val="00BC7C0A"/>
    <w:rsid w:val="00BD06C7"/>
    <w:rsid w:val="00BD2094"/>
    <w:rsid w:val="00BD3E2D"/>
    <w:rsid w:val="00BD66EE"/>
    <w:rsid w:val="00BD6BCB"/>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378A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3BF3"/>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BE2"/>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79E"/>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2BC1"/>
    <w:rsid w:val="00ED3FDD"/>
    <w:rsid w:val="00ED4947"/>
    <w:rsid w:val="00ED4FBA"/>
    <w:rsid w:val="00ED661B"/>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03E4F"/>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2B8"/>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0F2"/>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3BCA"/>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5235DDF"/>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0"/>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字符"/>
    <w:link w:val="3"/>
    <w:qFormat/>
    <w:uiPriority w:val="9"/>
    <w:rPr>
      <w:b/>
      <w:bCs/>
      <w:kern w:val="44"/>
      <w:sz w:val="44"/>
      <w:szCs w:val="44"/>
    </w:rPr>
  </w:style>
  <w:style w:type="character" w:customStyle="1" w:styleId="34">
    <w:name w:val="标题 2 字符"/>
    <w:link w:val="4"/>
    <w:semiHidden/>
    <w:qFormat/>
    <w:uiPriority w:val="9"/>
    <w:rPr>
      <w:rFonts w:ascii="Cambria" w:hAnsi="Cambria" w:eastAsia="宋体" w:cs="Times New Roman"/>
      <w:b/>
      <w:bCs/>
      <w:sz w:val="32"/>
      <w:szCs w:val="32"/>
    </w:rPr>
  </w:style>
  <w:style w:type="character" w:customStyle="1" w:styleId="35">
    <w:name w:val="标题 3 字符"/>
    <w:link w:val="5"/>
    <w:semiHidden/>
    <w:qFormat/>
    <w:uiPriority w:val="9"/>
    <w:rPr>
      <w:b/>
      <w:bCs/>
      <w:sz w:val="32"/>
      <w:szCs w:val="32"/>
    </w:rPr>
  </w:style>
  <w:style w:type="character" w:customStyle="1" w:styleId="36">
    <w:name w:val="标题 4 字符"/>
    <w:link w:val="6"/>
    <w:semiHidden/>
    <w:qFormat/>
    <w:uiPriority w:val="9"/>
    <w:rPr>
      <w:rFonts w:ascii="Cambria" w:hAnsi="Cambria" w:eastAsia="宋体" w:cs="Times New Roman"/>
      <w:b/>
      <w:bCs/>
      <w:sz w:val="28"/>
      <w:szCs w:val="28"/>
    </w:rPr>
  </w:style>
  <w:style w:type="character" w:customStyle="1" w:styleId="37">
    <w:name w:val="批注文字 字符"/>
    <w:link w:val="14"/>
    <w:qFormat/>
    <w:locked/>
    <w:uiPriority w:val="99"/>
    <w:rPr>
      <w:kern w:val="2"/>
      <w:sz w:val="24"/>
      <w:szCs w:val="24"/>
    </w:rPr>
  </w:style>
  <w:style w:type="character" w:customStyle="1" w:styleId="38">
    <w:name w:val="批注主题 字符"/>
    <w:link w:val="26"/>
    <w:qFormat/>
    <w:locked/>
    <w:uiPriority w:val="99"/>
    <w:rPr>
      <w:b/>
      <w:bCs/>
      <w:kern w:val="2"/>
      <w:sz w:val="24"/>
      <w:szCs w:val="24"/>
    </w:rPr>
  </w:style>
  <w:style w:type="character" w:customStyle="1" w:styleId="39">
    <w:name w:val="文档结构图 字符"/>
    <w:link w:val="13"/>
    <w:qFormat/>
    <w:locked/>
    <w:uiPriority w:val="99"/>
    <w:rPr>
      <w:rFonts w:ascii="宋体" w:cs="宋体"/>
      <w:kern w:val="2"/>
      <w:sz w:val="24"/>
      <w:szCs w:val="24"/>
    </w:rPr>
  </w:style>
  <w:style w:type="character" w:customStyle="1" w:styleId="40">
    <w:name w:val="正文文本 字符"/>
    <w:link w:val="2"/>
    <w:qFormat/>
    <w:locked/>
    <w:uiPriority w:val="99"/>
    <w:rPr>
      <w:kern w:val="2"/>
      <w:sz w:val="24"/>
      <w:szCs w:val="24"/>
    </w:rPr>
  </w:style>
  <w:style w:type="character" w:customStyle="1" w:styleId="41">
    <w:name w:val="正文文本缩进 字符"/>
    <w:link w:val="15"/>
    <w:qFormat/>
    <w:locked/>
    <w:uiPriority w:val="99"/>
    <w:rPr>
      <w:kern w:val="2"/>
      <w:sz w:val="24"/>
      <w:szCs w:val="24"/>
    </w:rPr>
  </w:style>
  <w:style w:type="character" w:customStyle="1" w:styleId="42">
    <w:name w:val="纯文本 字符"/>
    <w:link w:val="16"/>
    <w:qFormat/>
    <w:locked/>
    <w:uiPriority w:val="0"/>
    <w:rPr>
      <w:rFonts w:ascii="宋体" w:hAnsi="Courier New" w:cs="宋体"/>
      <w:kern w:val="2"/>
      <w:sz w:val="21"/>
      <w:szCs w:val="21"/>
    </w:rPr>
  </w:style>
  <w:style w:type="character" w:customStyle="1" w:styleId="43">
    <w:name w:val="日期 字符"/>
    <w:link w:val="17"/>
    <w:semiHidden/>
    <w:qFormat/>
    <w:uiPriority w:val="99"/>
    <w:rPr>
      <w:szCs w:val="21"/>
    </w:rPr>
  </w:style>
  <w:style w:type="character" w:customStyle="1" w:styleId="44">
    <w:name w:val="批注框文本 字符"/>
    <w:link w:val="18"/>
    <w:semiHidden/>
    <w:qFormat/>
    <w:uiPriority w:val="99"/>
    <w:rPr>
      <w:sz w:val="0"/>
      <w:szCs w:val="0"/>
    </w:rPr>
  </w:style>
  <w:style w:type="character" w:customStyle="1" w:styleId="45">
    <w:name w:val="页脚 字符"/>
    <w:link w:val="19"/>
    <w:qFormat/>
    <w:locked/>
    <w:uiPriority w:val="99"/>
    <w:rPr>
      <w:kern w:val="2"/>
      <w:sz w:val="18"/>
      <w:szCs w:val="18"/>
    </w:rPr>
  </w:style>
  <w:style w:type="character" w:customStyle="1" w:styleId="46">
    <w:name w:val="页眉 字符"/>
    <w:link w:val="20"/>
    <w:qFormat/>
    <w:locked/>
    <w:uiPriority w:val="99"/>
    <w:rPr>
      <w:kern w:val="2"/>
      <w:sz w:val="18"/>
      <w:szCs w:val="18"/>
    </w:rPr>
  </w:style>
  <w:style w:type="character" w:customStyle="1" w:styleId="47">
    <w:name w:val="正文文本缩进 3 字符"/>
    <w:link w:val="22"/>
    <w:semiHidden/>
    <w:qFormat/>
    <w:uiPriority w:val="99"/>
    <w:rPr>
      <w:sz w:val="16"/>
      <w:szCs w:val="16"/>
    </w:rPr>
  </w:style>
  <w:style w:type="character" w:customStyle="1" w:styleId="48">
    <w:name w:val="标题 字符"/>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0"/>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字符"/>
    <w:basedOn w:val="29"/>
    <w:link w:val="7"/>
    <w:qFormat/>
    <w:uiPriority w:val="0"/>
    <w:rPr>
      <w:rFonts w:ascii="宋体"/>
      <w:b/>
      <w:sz w:val="28"/>
    </w:rPr>
  </w:style>
  <w:style w:type="character" w:customStyle="1" w:styleId="79">
    <w:name w:val="标题 6 字符"/>
    <w:basedOn w:val="29"/>
    <w:link w:val="9"/>
    <w:qFormat/>
    <w:uiPriority w:val="0"/>
    <w:rPr>
      <w:rFonts w:ascii="Arial" w:hAnsi="Arial" w:eastAsia="黑体"/>
      <w:b/>
      <w:sz w:val="24"/>
    </w:rPr>
  </w:style>
  <w:style w:type="character" w:customStyle="1" w:styleId="80">
    <w:name w:val="标题 7 字符"/>
    <w:basedOn w:val="29"/>
    <w:link w:val="10"/>
    <w:qFormat/>
    <w:uiPriority w:val="0"/>
    <w:rPr>
      <w:rFonts w:ascii="宋体"/>
      <w:b/>
      <w:sz w:val="24"/>
    </w:rPr>
  </w:style>
  <w:style w:type="character" w:customStyle="1" w:styleId="81">
    <w:name w:val="标题 8 字符"/>
    <w:basedOn w:val="29"/>
    <w:link w:val="11"/>
    <w:qFormat/>
    <w:uiPriority w:val="0"/>
    <w:rPr>
      <w:rFonts w:ascii="Arial" w:hAnsi="Arial" w:eastAsia="黑体"/>
      <w:sz w:val="24"/>
    </w:rPr>
  </w:style>
  <w:style w:type="character" w:customStyle="1" w:styleId="82">
    <w:name w:val="标题 9 字符"/>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table" w:customStyle="1" w:styleId="87">
    <w:name w:val="网格型1"/>
    <w:basedOn w:val="2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BB0AC8A-5A4B-4A59-B02E-C8510B291B4F}">
  <ds:schemaRefs/>
</ds:datastoreItem>
</file>

<file path=customXml/itemProps10.xml><?xml version="1.0" encoding="utf-8"?>
<ds:datastoreItem xmlns:ds="http://schemas.openxmlformats.org/officeDocument/2006/customXml" ds:itemID="{A9243806-A4C0-4045-B5DD-79A15EBD02AE}">
  <ds:schemaRefs/>
</ds:datastoreItem>
</file>

<file path=customXml/itemProps2.xml><?xml version="1.0" encoding="utf-8"?>
<ds:datastoreItem xmlns:ds="http://schemas.openxmlformats.org/officeDocument/2006/customXml" ds:itemID="{FD45E89D-A0DE-4551-9350-70D7AE567CEA}">
  <ds:schemaRefs/>
</ds:datastoreItem>
</file>

<file path=customXml/itemProps3.xml><?xml version="1.0" encoding="utf-8"?>
<ds:datastoreItem xmlns:ds="http://schemas.openxmlformats.org/officeDocument/2006/customXml" ds:itemID="{B7248C3B-78D0-44F0-9720-FA5A211859DA}">
  <ds:schemaRefs/>
</ds:datastoreItem>
</file>

<file path=customXml/itemProps4.xml><?xml version="1.0" encoding="utf-8"?>
<ds:datastoreItem xmlns:ds="http://schemas.openxmlformats.org/officeDocument/2006/customXml" ds:itemID="{9BF88D6D-F5E3-4CCB-A9A8-4E8D524C1432}">
  <ds:schemaRefs/>
</ds:datastoreItem>
</file>

<file path=customXml/itemProps5.xml><?xml version="1.0" encoding="utf-8"?>
<ds:datastoreItem xmlns:ds="http://schemas.openxmlformats.org/officeDocument/2006/customXml" ds:itemID="{20C49218-227D-4540-927B-0D0C2BA2072F}">
  <ds:schemaRefs/>
</ds:datastoreItem>
</file>

<file path=customXml/itemProps6.xml><?xml version="1.0" encoding="utf-8"?>
<ds:datastoreItem xmlns:ds="http://schemas.openxmlformats.org/officeDocument/2006/customXml" ds:itemID="{1036DFC7-47BB-4BF2-BCA1-2435A1F0E088}">
  <ds:schemaRefs/>
</ds:datastoreItem>
</file>

<file path=customXml/itemProps7.xml><?xml version="1.0" encoding="utf-8"?>
<ds:datastoreItem xmlns:ds="http://schemas.openxmlformats.org/officeDocument/2006/customXml" ds:itemID="{413B0139-52E8-4402-A2C2-71F37D79D7A2}">
  <ds:schemaRefs/>
</ds:datastoreItem>
</file>

<file path=customXml/itemProps8.xml><?xml version="1.0" encoding="utf-8"?>
<ds:datastoreItem xmlns:ds="http://schemas.openxmlformats.org/officeDocument/2006/customXml" ds:itemID="{E6B7B0B0-B8EF-4EC9-9723-5338C0966185}">
  <ds:schemaRefs/>
</ds:datastoreItem>
</file>

<file path=customXml/itemProps9.xml><?xml version="1.0" encoding="utf-8"?>
<ds:datastoreItem xmlns:ds="http://schemas.openxmlformats.org/officeDocument/2006/customXml" ds:itemID="{8509FEF8-9AFB-4AE0-BC35-139F64AAF950}">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28</Pages>
  <Words>2027</Words>
  <Characters>11559</Characters>
  <Lines>96</Lines>
  <Paragraphs>27</Paragraphs>
  <TotalTime>1015</TotalTime>
  <ScaleCrop>false</ScaleCrop>
  <LinksUpToDate>false</LinksUpToDate>
  <CharactersWithSpaces>13559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胜哥哥</cp:lastModifiedBy>
  <cp:lastPrinted>2024-02-26T03:32:00Z</cp:lastPrinted>
  <dcterms:modified xsi:type="dcterms:W3CDTF">2024-03-04T09:28:00Z</dcterms:modified>
  <dc:title>询价通知书</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