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auto"/>
          <w:kern w:val="0"/>
          <w:sz w:val="36"/>
          <w:szCs w:val="36"/>
          <w:u w:val="none"/>
          <w:lang w:val="en-US" w:eastAsia="zh-CN" w:bidi="ar"/>
        </w:rPr>
      </w:pPr>
      <w:bookmarkStart w:id="0" w:name="OLE_LINK2"/>
      <w:r>
        <w:rPr>
          <w:rFonts w:hint="eastAsia" w:ascii="黑体" w:hAnsi="黑体" w:eastAsia="黑体" w:cs="黑体"/>
          <w:b w:val="0"/>
          <w:bCs w:val="0"/>
          <w:i w:val="0"/>
          <w:iCs w:val="0"/>
          <w:color w:val="auto"/>
          <w:kern w:val="0"/>
          <w:sz w:val="36"/>
          <w:szCs w:val="36"/>
          <w:u w:val="none"/>
          <w:lang w:val="en-US" w:eastAsia="zh-CN" w:bidi="ar"/>
        </w:rPr>
        <w:t>资阳市中心医院</w:t>
      </w:r>
      <w:r>
        <w:rPr>
          <w:rFonts w:hint="eastAsia" w:ascii="黑体" w:hAnsi="黑体" w:eastAsia="黑体" w:cs="黑体"/>
          <w:b w:val="0"/>
          <w:bCs w:val="0"/>
          <w:i w:val="0"/>
          <w:iCs w:val="0"/>
          <w:color w:val="auto"/>
          <w:kern w:val="0"/>
          <w:sz w:val="36"/>
          <w:szCs w:val="36"/>
          <w:u w:val="none"/>
          <w:lang w:val="en-US" w:eastAsia="zh-CN" w:bidi="ar"/>
        </w:rPr>
        <w:br w:type="textWrapping"/>
      </w:r>
      <w:r>
        <w:rPr>
          <w:rFonts w:hint="eastAsia" w:ascii="黑体" w:hAnsi="黑体" w:eastAsia="黑体" w:cs="黑体"/>
          <w:b w:val="0"/>
          <w:bCs w:val="0"/>
          <w:i w:val="0"/>
          <w:iCs w:val="0"/>
          <w:color w:val="auto"/>
          <w:kern w:val="0"/>
          <w:sz w:val="36"/>
          <w:szCs w:val="36"/>
          <w:u w:val="none"/>
          <w:lang w:val="en-US" w:eastAsia="zh-CN" w:bidi="ar"/>
        </w:rPr>
        <w:t>电子票据系统承接服务项目调研公告</w:t>
      </w:r>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对电子票据系统承接</w:t>
      </w:r>
      <w:r>
        <w:rPr>
          <w:rFonts w:hint="eastAsia" w:ascii="仿宋" w:hAnsi="仿宋" w:eastAsia="仿宋" w:cs="仿宋"/>
          <w:i w:val="0"/>
          <w:iCs w:val="0"/>
          <w:color w:val="auto"/>
          <w:sz w:val="28"/>
          <w:szCs w:val="28"/>
          <w:u w:val="none"/>
          <w:lang w:val="en-US" w:eastAsia="zh-CN"/>
        </w:rPr>
        <w:t>服务</w:t>
      </w:r>
      <w:r>
        <w:rPr>
          <w:rFonts w:hint="eastAsia" w:ascii="仿宋" w:hAnsi="仿宋" w:cs="仿宋"/>
          <w:i w:val="0"/>
          <w:iCs w:val="0"/>
          <w:color w:val="auto"/>
          <w:sz w:val="28"/>
          <w:szCs w:val="28"/>
          <w:u w:val="none"/>
          <w:lang w:val="en-US" w:eastAsia="zh-CN"/>
        </w:rPr>
        <w:t>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w:t>
      </w:r>
      <w:r>
        <w:rPr>
          <w:rFonts w:ascii="仿宋" w:hAnsi="仿宋" w:eastAsia="仿宋" w:cs="仿宋"/>
          <w:i w:val="0"/>
          <w:iCs w:val="0"/>
          <w:caps w:val="0"/>
          <w:color w:val="auto"/>
          <w:spacing w:val="0"/>
          <w:sz w:val="28"/>
          <w:szCs w:val="28"/>
          <w:shd w:val="clear" w:fill="FFFFFF"/>
        </w:rPr>
        <w:t>现将有关事宜公告如下：</w:t>
      </w:r>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41DB60BE">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本项目所涉及的系统为银医合作共建系统，医院将启动承接工作，承接享有本项目软件系统的永久使用权；所有用户资料、业务数据、诊疗数据、管理数据、统计数据等全部数据资产，均归医院独有，受相关规定保护。同时，结合财政电子票据跨省报销工作相关要求，我院需对现有电子票据系统进行升级改造并拓展配套功能，同步新增电子票据自动核销模块。一是完成系统功能拓展，实现财政电子票据跨省归集、状态查询、真伪鉴别、报销锁定和报销反馈，全面满足跨省报销运行要求，做到及时反馈报销结果、动态更新票据状态；二是严格遵照全国统一财政电子票据数据规范，改造业务系统与票据管理系统，保障电子票据开具信息完整、准确、规范，同步完善票据冲红锁定、状态查询等配套功能；三是支持结合本院实际业务量，自主选择 “接口查验” 或 “数字账户” 两种模式开展合规报销业务。此外，财政电子票据系统需增设电子票据自动核销功能，要求搭建标准化自动核销规则库、制定规范的自动核销流程，最终实现财政电子票据全流程自动核销。(具体需求详见附件)</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（一）报名时间：本公告自挂网公告日起，截止时间为自发布公告起第5个工作日（包含发布当天），公告截止日期后递交的报名资料无效。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三）1.报名资料按附件《报名须知》要求，将电子文档（盖章扫描件和可编辑版本）发送至zyszxyyxxb@163.com，并抄送至zyszxyyxxb001@163.com。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2.联系人：曾老师，报名资询：028-26219526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3.线上或线下集中调研需求论证时间及地点，另行通知，请参加调研会的各潜在供应商准备相应的纸质版报价表及汇报PPT等。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3BB0CD0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4AB5332">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271E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F0079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8FC93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FA4E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DFBA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1C98B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AA3AC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1507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FC475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EB718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2BC4B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65C85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95033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FA17DCF">
      <w:pPr>
        <w:pStyle w:val="14"/>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4"/>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4"/>
        <w:rPr>
          <w:color w:val="auto"/>
        </w:rPr>
      </w:pPr>
    </w:p>
    <w:p w14:paraId="1103D4C1">
      <w:pPr>
        <w:pStyle w:val="14"/>
        <w:rPr>
          <w:color w:val="auto"/>
        </w:rPr>
      </w:pPr>
    </w:p>
    <w:p w14:paraId="32CA48A2">
      <w:pPr>
        <w:pStyle w:val="14"/>
        <w:rPr>
          <w:color w:val="auto"/>
        </w:rPr>
      </w:pPr>
    </w:p>
    <w:p w14:paraId="1BD56027">
      <w:pPr>
        <w:pStyle w:val="14"/>
        <w:rPr>
          <w:color w:val="auto"/>
        </w:rPr>
      </w:pPr>
    </w:p>
    <w:p w14:paraId="642D0940">
      <w:pPr>
        <w:pStyle w:val="14"/>
        <w:rPr>
          <w:color w:val="auto"/>
        </w:rPr>
      </w:pPr>
    </w:p>
    <w:p w14:paraId="0FFA2F97">
      <w:pPr>
        <w:pStyle w:val="14"/>
        <w:rPr>
          <w:color w:val="auto"/>
        </w:rPr>
      </w:pPr>
    </w:p>
    <w:p w14:paraId="00D1C8D9">
      <w:pPr>
        <w:pStyle w:val="14"/>
        <w:rPr>
          <w:color w:val="auto"/>
        </w:rPr>
      </w:pPr>
    </w:p>
    <w:p w14:paraId="1B453A9C">
      <w:pPr>
        <w:pStyle w:val="14"/>
        <w:rPr>
          <w:color w:val="auto"/>
        </w:rPr>
      </w:pPr>
    </w:p>
    <w:p w14:paraId="792918CB">
      <w:pPr>
        <w:pStyle w:val="14"/>
        <w:rPr>
          <w:color w:val="auto"/>
        </w:rPr>
      </w:pPr>
    </w:p>
    <w:p w14:paraId="78E4D212">
      <w:pPr>
        <w:pStyle w:val="14"/>
        <w:rPr>
          <w:color w:val="auto"/>
        </w:rPr>
      </w:pPr>
    </w:p>
    <w:p w14:paraId="51BA36AF">
      <w:pPr>
        <w:pStyle w:val="14"/>
        <w:rPr>
          <w:color w:val="auto"/>
        </w:rPr>
      </w:pPr>
    </w:p>
    <w:p w14:paraId="02174CD7">
      <w:pPr>
        <w:pStyle w:val="14"/>
        <w:rPr>
          <w:color w:val="auto"/>
        </w:rPr>
      </w:pPr>
    </w:p>
    <w:p w14:paraId="19D2CB0C">
      <w:pPr>
        <w:pStyle w:val="14"/>
        <w:rPr>
          <w:color w:val="auto"/>
        </w:rPr>
      </w:pPr>
    </w:p>
    <w:p w14:paraId="69E2765E">
      <w:pPr>
        <w:pStyle w:val="14"/>
        <w:rPr>
          <w:color w:val="auto"/>
        </w:rPr>
      </w:pPr>
    </w:p>
    <w:p w14:paraId="1EB232D6">
      <w:pPr>
        <w:pStyle w:val="14"/>
        <w:rPr>
          <w:color w:val="auto"/>
        </w:rPr>
      </w:pPr>
    </w:p>
    <w:p w14:paraId="457D5CDA">
      <w:pPr>
        <w:pStyle w:val="14"/>
        <w:rPr>
          <w:color w:val="auto"/>
        </w:rPr>
      </w:pPr>
    </w:p>
    <w:p w14:paraId="7885D842">
      <w:pPr>
        <w:pStyle w:val="14"/>
        <w:rPr>
          <w:color w:val="auto"/>
        </w:rPr>
      </w:pPr>
    </w:p>
    <w:p w14:paraId="3F1559F6">
      <w:pPr>
        <w:pStyle w:val="14"/>
        <w:rPr>
          <w:rFonts w:hint="eastAsia"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10</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10</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10</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10</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10</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25232"/>
      <w:bookmarkStart w:id="2" w:name="_Toc247514300"/>
      <w:bookmarkStart w:id="3" w:name="_Toc247527848"/>
      <w:bookmarkStart w:id="4" w:name="_Toc427002393"/>
      <w:bookmarkStart w:id="5" w:name="_Toc10065"/>
      <w:bookmarkStart w:id="6" w:name="_Toc144974876"/>
      <w:bookmarkStart w:id="7" w:name="_Toc152042597"/>
      <w:bookmarkStart w:id="8" w:name="_Toc152045808"/>
      <w:bookmarkStart w:id="9" w:name="_Toc7415"/>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22588"/>
      <w:bookmarkStart w:id="18" w:name="_Toc17143"/>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6788"/>
      <w:bookmarkStart w:id="23" w:name="_Toc21787"/>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4"/>
        <w:rPr>
          <w:rFonts w:hint="eastAsia" w:ascii="宋体" w:hAnsi="宋体" w:eastAsia="宋体" w:cs="宋体"/>
          <w:color w:val="auto"/>
          <w:sz w:val="24"/>
          <w:szCs w:val="24"/>
        </w:rPr>
      </w:pPr>
    </w:p>
    <w:p w14:paraId="02A67424">
      <w:pPr>
        <w:pStyle w:val="14"/>
        <w:rPr>
          <w:rFonts w:hint="eastAsia" w:ascii="宋体" w:hAnsi="宋体" w:eastAsia="宋体" w:cs="宋体"/>
          <w:color w:val="auto"/>
          <w:sz w:val="24"/>
          <w:szCs w:val="24"/>
        </w:rPr>
      </w:pPr>
    </w:p>
    <w:p w14:paraId="15524A86">
      <w:pPr>
        <w:pStyle w:val="14"/>
        <w:rPr>
          <w:rFonts w:hint="eastAsia" w:ascii="宋体" w:hAnsi="宋体" w:eastAsia="宋体" w:cs="宋体"/>
          <w:color w:val="auto"/>
          <w:sz w:val="24"/>
          <w:szCs w:val="24"/>
        </w:rPr>
      </w:pPr>
    </w:p>
    <w:p w14:paraId="78A5D3B8">
      <w:pPr>
        <w:pStyle w:val="14"/>
        <w:rPr>
          <w:rFonts w:hint="eastAsia" w:ascii="宋体" w:hAnsi="宋体" w:eastAsia="宋体" w:cs="宋体"/>
          <w:color w:val="auto"/>
          <w:sz w:val="24"/>
          <w:szCs w:val="24"/>
        </w:rPr>
      </w:pPr>
    </w:p>
    <w:p w14:paraId="1FB906DD">
      <w:pPr>
        <w:pStyle w:val="14"/>
        <w:rPr>
          <w:rFonts w:hint="eastAsia" w:ascii="宋体" w:hAnsi="宋体" w:eastAsia="宋体" w:cs="宋体"/>
          <w:color w:val="auto"/>
          <w:sz w:val="24"/>
          <w:szCs w:val="24"/>
        </w:rPr>
      </w:pPr>
    </w:p>
    <w:p w14:paraId="6A6FCF73">
      <w:pPr>
        <w:pStyle w:val="14"/>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579850F1">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77BFBC6D">
      <w:pPr>
        <w:rPr>
          <w:rFonts w:hint="eastAsia"/>
          <w:lang w:val="en-US" w:eastAsia="zh-CN"/>
        </w:rPr>
      </w:pPr>
      <w:r>
        <w:rPr>
          <w:rFonts w:hint="eastAsia" w:ascii="仿宋" w:hAnsi="仿宋" w:eastAsia="仿宋" w:cs="仿宋"/>
          <w:b/>
          <w:bCs/>
          <w:i w:val="0"/>
          <w:iCs w:val="0"/>
          <w:color w:val="auto"/>
          <w:kern w:val="0"/>
          <w:sz w:val="28"/>
          <w:szCs w:val="28"/>
          <w:u w:val="none"/>
          <w:lang w:val="en-US" w:eastAsia="zh-CN" w:bidi="ar"/>
        </w:rPr>
        <w:t>（一）报价清单</w:t>
      </w:r>
    </w:p>
    <w:tbl>
      <w:tblPr>
        <w:tblStyle w:val="10"/>
        <w:tblW w:w="49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
        <w:gridCol w:w="1214"/>
        <w:gridCol w:w="2422"/>
        <w:gridCol w:w="958"/>
        <w:gridCol w:w="1129"/>
        <w:gridCol w:w="2116"/>
        <w:gridCol w:w="2228"/>
        <w:gridCol w:w="3947"/>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服务内容</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单位</w:t>
            </w:r>
          </w:p>
        </w:tc>
        <w:tc>
          <w:tcPr>
            <w:tcW w:w="7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预算单价（万元）</w:t>
            </w:r>
          </w:p>
        </w:tc>
        <w:tc>
          <w:tcPr>
            <w:tcW w:w="7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预算金额（万元）</w:t>
            </w:r>
          </w:p>
        </w:tc>
        <w:tc>
          <w:tcPr>
            <w:tcW w:w="1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w:t>
            </w:r>
            <w:r>
              <w:rPr>
                <w:rFonts w:hint="eastAsia" w:asciiTheme="minorEastAsia" w:hAnsiTheme="minorEastAsia" w:cstheme="minorEastAsia"/>
                <w:i w:val="0"/>
                <w:iCs w:val="0"/>
                <w:color w:val="auto"/>
                <w:kern w:val="0"/>
                <w:sz w:val="21"/>
                <w:szCs w:val="21"/>
                <w:u w:val="none"/>
                <w:lang w:val="en-US" w:eastAsia="zh-CN" w:bidi="ar"/>
              </w:rPr>
              <w:t>系统</w:t>
            </w:r>
            <w:r>
              <w:rPr>
                <w:rFonts w:hint="eastAsia" w:asciiTheme="minorEastAsia" w:hAnsiTheme="minorEastAsia" w:eastAsiaTheme="minorEastAsia" w:cstheme="minorEastAsia"/>
                <w:i w:val="0"/>
                <w:iCs w:val="0"/>
                <w:color w:val="auto"/>
                <w:kern w:val="0"/>
                <w:sz w:val="21"/>
                <w:szCs w:val="21"/>
                <w:u w:val="none"/>
                <w:lang w:val="en-US" w:eastAsia="zh-CN" w:bidi="ar"/>
              </w:rPr>
              <w:t>承接服务</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E91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电子票据系统运维服务</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年</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Theme="minorEastAsia" w:hAnsiTheme="minorEastAsia" w:eastAsiaTheme="minorEastAsia" w:cstheme="minorEastAsia"/>
                <w:i w:val="0"/>
                <w:iCs w:val="0"/>
                <w:color w:val="auto"/>
                <w:sz w:val="21"/>
                <w:szCs w:val="21"/>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Theme="minorEastAsia" w:hAnsiTheme="minorEastAsia" w:eastAsiaTheme="minorEastAsia" w:cstheme="minorEastAsia"/>
                <w:i w:val="0"/>
                <w:iCs w:val="0"/>
                <w:color w:val="auto"/>
                <w:sz w:val="21"/>
                <w:szCs w:val="21"/>
                <w:u w:val="none"/>
              </w:rPr>
            </w:pPr>
          </w:p>
        </w:tc>
        <w:tc>
          <w:tcPr>
            <w:tcW w:w="3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按实际服务期限据实结算</w:t>
            </w:r>
          </w:p>
        </w:tc>
      </w:tr>
      <w:tr w14:paraId="0AD4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C9F08">
            <w:pPr>
              <w:jc w:val="center"/>
              <w:rPr>
                <w:rFonts w:hint="eastAsia" w:asciiTheme="minorEastAsia" w:hAnsiTheme="minorEastAsia" w:eastAsiaTheme="minorEastAsia" w:cstheme="minorEastAsia"/>
                <w:i w:val="0"/>
                <w:iCs w:val="0"/>
                <w:color w:val="auto"/>
                <w:sz w:val="21"/>
                <w:szCs w:val="21"/>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A89E1">
            <w:pPr>
              <w:jc w:val="center"/>
              <w:rPr>
                <w:rFonts w:hint="eastAsia" w:asciiTheme="minorEastAsia" w:hAnsiTheme="minorEastAsia" w:eastAsiaTheme="minorEastAsia" w:cstheme="minorEastAsia"/>
                <w:i w:val="0"/>
                <w:iCs w:val="0"/>
                <w:color w:val="auto"/>
                <w:sz w:val="21"/>
                <w:szCs w:val="21"/>
                <w:u w:val="none"/>
              </w:rPr>
            </w:pP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C0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电子票据系统升级服务</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26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E7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1133">
            <w:pPr>
              <w:jc w:val="center"/>
              <w:rPr>
                <w:rFonts w:hint="eastAsia" w:asciiTheme="minorEastAsia" w:hAnsiTheme="minorEastAsia" w:eastAsiaTheme="minorEastAsia" w:cstheme="minorEastAsia"/>
                <w:i w:val="0"/>
                <w:iCs w:val="0"/>
                <w:color w:val="auto"/>
                <w:sz w:val="21"/>
                <w:szCs w:val="21"/>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95D4">
            <w:pPr>
              <w:jc w:val="center"/>
              <w:rPr>
                <w:rFonts w:hint="eastAsia" w:asciiTheme="minorEastAsia" w:hAnsiTheme="minorEastAsia" w:eastAsiaTheme="minorEastAsia" w:cstheme="minorEastAsia"/>
                <w:i w:val="0"/>
                <w:iCs w:val="0"/>
                <w:color w:val="auto"/>
                <w:sz w:val="21"/>
                <w:szCs w:val="21"/>
                <w:u w:val="none"/>
              </w:rPr>
            </w:pPr>
          </w:p>
        </w:tc>
        <w:tc>
          <w:tcPr>
            <w:tcW w:w="3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37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p w14:paraId="1671F18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须严格按照国家、省、市政策规定时限完成开发、测试、对接与上线。并配合</w:t>
            </w:r>
            <w:r>
              <w:rPr>
                <w:rFonts w:hint="eastAsia" w:asciiTheme="minorEastAsia" w:hAnsiTheme="minorEastAsia" w:cstheme="minorEastAsia"/>
                <w:i w:val="0"/>
                <w:iCs w:val="0"/>
                <w:color w:val="auto"/>
                <w:kern w:val="0"/>
                <w:sz w:val="21"/>
                <w:szCs w:val="21"/>
                <w:u w:val="none"/>
                <w:lang w:val="en-US" w:eastAsia="zh-CN" w:bidi="ar"/>
              </w:rPr>
              <w:t>医院</w:t>
            </w:r>
            <w:r>
              <w:rPr>
                <w:rFonts w:hint="eastAsia" w:asciiTheme="minorEastAsia" w:hAnsiTheme="minorEastAsia" w:eastAsiaTheme="minorEastAsia" w:cstheme="minorEastAsia"/>
                <w:i w:val="0"/>
                <w:iCs w:val="0"/>
                <w:color w:val="auto"/>
                <w:kern w:val="0"/>
                <w:sz w:val="21"/>
                <w:szCs w:val="21"/>
                <w:u w:val="none"/>
                <w:lang w:val="en-US" w:eastAsia="zh-CN" w:bidi="ar"/>
              </w:rPr>
              <w:t>组织项目分项验收。</w:t>
            </w:r>
          </w:p>
          <w:p w14:paraId="6CF65DD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14E15435">
      <w:pPr>
        <w:numPr>
          <w:ilvl w:val="0"/>
          <w:numId w:val="0"/>
        </w:numPr>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（二）服务要求</w:t>
      </w:r>
    </w:p>
    <w:tbl>
      <w:tblPr>
        <w:tblStyle w:val="10"/>
        <w:tblW w:w="0" w:type="auto"/>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139"/>
        <w:gridCol w:w="11757"/>
        <w:gridCol w:w="1118"/>
      </w:tblGrid>
      <w:tr w14:paraId="7871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1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3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Theme="minorEastAsia" w:hAnsiTheme="minorEastAsia" w:eastAsiaTheme="minorEastAsia" w:cstheme="minorEastAsia"/>
                <w:i w:val="0"/>
                <w:iCs w:val="0"/>
                <w:color w:val="auto"/>
                <w:kern w:val="0"/>
                <w:sz w:val="21"/>
                <w:szCs w:val="21"/>
                <w:u w:val="none"/>
                <w:lang w:val="en-US" w:eastAsia="zh-CN" w:bidi="ar"/>
              </w:rPr>
              <w:t>服务要求</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AE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00F9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6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EA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电子票据</w:t>
            </w:r>
            <w:r>
              <w:rPr>
                <w:rFonts w:hint="eastAsia" w:asciiTheme="minorEastAsia" w:hAnsiTheme="minorEastAsia" w:cstheme="minorEastAsia"/>
                <w:i w:val="0"/>
                <w:iCs w:val="0"/>
                <w:color w:val="auto"/>
                <w:kern w:val="0"/>
                <w:sz w:val="21"/>
                <w:szCs w:val="21"/>
                <w:u w:val="none"/>
                <w:lang w:val="en-US" w:eastAsia="zh-CN" w:bidi="ar"/>
              </w:rPr>
              <w:t>系统</w:t>
            </w:r>
            <w:r>
              <w:rPr>
                <w:rFonts w:hint="eastAsia" w:asciiTheme="minorEastAsia" w:hAnsiTheme="minorEastAsia" w:eastAsiaTheme="minorEastAsia" w:cstheme="minorEastAsia"/>
                <w:i w:val="0"/>
                <w:iCs w:val="0"/>
                <w:color w:val="auto"/>
                <w:kern w:val="0"/>
                <w:sz w:val="21"/>
                <w:szCs w:val="21"/>
                <w:u w:val="none"/>
                <w:lang w:val="en-US" w:eastAsia="zh-CN" w:bidi="ar"/>
              </w:rPr>
              <w:t>承接服务</w:t>
            </w:r>
          </w:p>
        </w:tc>
        <w:tc>
          <w:tcPr>
            <w:tcW w:w="1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345D">
            <w:pPr>
              <w:keepNext w:val="0"/>
              <w:keepLines w:val="0"/>
              <w:widowControl/>
              <w:suppressLineNumbers w:val="0"/>
              <w:jc w:val="left"/>
              <w:textAlignment w:val="center"/>
              <w:rPr>
                <w:rFonts w:hint="default" w:asciiTheme="minorEastAsia" w:hAnsiTheme="minorEastAsia" w:eastAsiaTheme="minorEastAsia" w:cstheme="minorEastAsia"/>
                <w:b/>
                <w:bCs/>
                <w:i w:val="0"/>
                <w:iCs w:val="0"/>
                <w:color w:val="auto"/>
                <w:kern w:val="0"/>
                <w:sz w:val="21"/>
                <w:szCs w:val="21"/>
                <w:u w:val="none"/>
                <w:lang w:val="en-US" w:eastAsia="zh-CN" w:bidi="ar"/>
              </w:rPr>
            </w:pPr>
            <w:r>
              <w:rPr>
                <w:rFonts w:hint="eastAsia" w:asciiTheme="minorEastAsia" w:hAnsiTheme="minorEastAsia" w:cstheme="minorEastAsia"/>
                <w:b/>
                <w:bCs/>
                <w:i w:val="0"/>
                <w:iCs w:val="0"/>
                <w:color w:val="auto"/>
                <w:kern w:val="0"/>
                <w:sz w:val="21"/>
                <w:szCs w:val="21"/>
                <w:u w:val="none"/>
                <w:lang w:val="en-US" w:eastAsia="zh-CN" w:bidi="ar"/>
              </w:rPr>
              <w:t>一.现有功能</w:t>
            </w:r>
            <w:r>
              <w:rPr>
                <w:rFonts w:hint="eastAsia" w:asciiTheme="minorEastAsia" w:hAnsiTheme="minorEastAsia" w:eastAsiaTheme="minorEastAsia" w:cstheme="minorEastAsia"/>
                <w:b/>
                <w:bCs/>
                <w:i w:val="0"/>
                <w:iCs w:val="0"/>
                <w:color w:val="auto"/>
                <w:kern w:val="0"/>
                <w:sz w:val="21"/>
                <w:szCs w:val="21"/>
                <w:u w:val="none"/>
                <w:lang w:val="en-US" w:eastAsia="zh-CN" w:bidi="ar"/>
              </w:rPr>
              <w:t>承接</w:t>
            </w:r>
            <w:r>
              <w:rPr>
                <w:rFonts w:hint="eastAsia" w:asciiTheme="minorEastAsia" w:hAnsiTheme="minorEastAsia" w:cstheme="minorEastAsia"/>
                <w:b/>
                <w:bCs/>
                <w:i w:val="0"/>
                <w:iCs w:val="0"/>
                <w:color w:val="auto"/>
                <w:kern w:val="0"/>
                <w:sz w:val="21"/>
                <w:szCs w:val="21"/>
                <w:u w:val="none"/>
                <w:lang w:val="en-US" w:eastAsia="zh-CN" w:bidi="ar"/>
              </w:rPr>
              <w:t>服务要求</w:t>
            </w:r>
          </w:p>
          <w:p w14:paraId="426E081E">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w:t>
            </w:r>
            <w:r>
              <w:rPr>
                <w:rFonts w:hint="eastAsia" w:asciiTheme="minorEastAsia" w:hAnsiTheme="minorEastAsia" w:cstheme="minorEastAsia"/>
                <w:i w:val="0"/>
                <w:iCs w:val="0"/>
                <w:color w:val="auto"/>
                <w:kern w:val="0"/>
                <w:sz w:val="21"/>
                <w:szCs w:val="21"/>
                <w:u w:val="none"/>
                <w:lang w:val="en-US" w:eastAsia="zh-CN" w:bidi="ar"/>
              </w:rPr>
              <w:t>完成本项目系统现有功能</w:t>
            </w:r>
            <w:r>
              <w:rPr>
                <w:rFonts w:hint="eastAsia" w:asciiTheme="minorEastAsia" w:hAnsiTheme="minorEastAsia" w:eastAsiaTheme="minorEastAsia" w:cstheme="minorEastAsia"/>
                <w:i w:val="0"/>
                <w:iCs w:val="0"/>
                <w:color w:val="auto"/>
                <w:kern w:val="0"/>
                <w:sz w:val="21"/>
                <w:szCs w:val="21"/>
                <w:u w:val="none"/>
                <w:lang w:val="en-US" w:eastAsia="zh-CN" w:bidi="ar"/>
              </w:rPr>
              <w:t>承接</w:t>
            </w:r>
            <w:r>
              <w:rPr>
                <w:rFonts w:hint="eastAsia" w:asciiTheme="minorEastAsia" w:hAnsiTheme="minorEastAsia" w:cstheme="minorEastAsia"/>
                <w:i w:val="0"/>
                <w:iCs w:val="0"/>
                <w:color w:val="auto"/>
                <w:kern w:val="0"/>
                <w:sz w:val="21"/>
                <w:szCs w:val="21"/>
                <w:u w:val="none"/>
                <w:lang w:val="en-US" w:eastAsia="zh-CN" w:bidi="ar"/>
              </w:rPr>
              <w:t>工作，并提供运维服务，</w:t>
            </w:r>
            <w:r>
              <w:rPr>
                <w:rFonts w:hint="eastAsia" w:asciiTheme="minorEastAsia" w:hAnsiTheme="minorEastAsia" w:eastAsiaTheme="minorEastAsia" w:cstheme="minorEastAsia"/>
                <w:i w:val="0"/>
                <w:iCs w:val="0"/>
                <w:color w:val="auto"/>
                <w:kern w:val="0"/>
                <w:sz w:val="21"/>
                <w:szCs w:val="21"/>
                <w:u w:val="none"/>
                <w:lang w:val="en-US" w:eastAsia="zh-CN" w:bidi="ar"/>
              </w:rPr>
              <w:t>在服务期间，为保障系统持续稳定运行，须严格履行以下核心保障义务：一是确保现有系统全部存量内容（含文字、图片、数据等）完整留存，无丢失、篡改风险；二是保障现有系统相关数据存储、接口服务等核心业务模块不间断延续运行，各项功能正常可用。</w:t>
            </w:r>
          </w:p>
          <w:p w14:paraId="3342E80F">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服务包括但不限于：提供系统维护、更新、升级、改版服务；需求优化、升级或改造；性能及功能故障排查、处理和维护；软件的功能增强性维护等应用软件系统扩充升级；系统日常问题故障处理、改正性维护、完善性维护、预防性维护、适应政策性修改、制作各类统计报表。提供因包含政策、医院规划等原因要求的系统及数据迁移；配合进行信创、密评相关改造等，费用均包含于项目总价中，不得再收取院方或第三方公司任何接口费。</w:t>
            </w:r>
          </w:p>
          <w:p w14:paraId="2478733E">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每季度提供一次软件维保服务项目工作报告，内容包括但不限于：培训、指导、商讨、修改、升级、更新、建议、要求、流程再造、设备接入、业务扩展（专指院内）等，以及医院提出的其他要求和落实情况等。</w:t>
            </w:r>
          </w:p>
          <w:p w14:paraId="5F3D6F21">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4.须指派专人负责与医院联系售后服务事宜：提供人员姓名、职务、联系电话（含座机、手机等）。</w:t>
            </w:r>
          </w:p>
          <w:p w14:paraId="242A89DF">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5.在进行软件升级、整改、发布等操作时，必须提前以书面形式告之甲方。包括但不仅限于：操作人员、操作时间、操作内容、后续影响等内容。征得甲方同意后方可进行操作。</w:t>
            </w:r>
          </w:p>
          <w:p w14:paraId="111791FB">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做好业务数据的日常备份，若监测到备份有问题，需及时修复。在系统运行过程中，因操作、系统Bug因素或者其他不可控的原因造成数据不正常，在医院确认后进行数据修复，在修复过程中要求采用必要的技术及管理流程以确保数据安全，并将整个修复过程记录备案。</w:t>
            </w:r>
          </w:p>
          <w:p w14:paraId="6BADF0FB">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7.在医院目前运行系统的版本基础上，根据医院的业务需求不断完善其功能，提升其可操作性和用户体验，从而提升业务办理过程中的效率。</w:t>
            </w:r>
          </w:p>
          <w:p w14:paraId="3BC0DE84">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8.因卫健、医保、人社、药监、疾控、财政、审计等各级行政管理部门的政策性要求，导致现有软件模块功能不能满足要求，需进行相应软件模块功能的修改、完善。</w:t>
            </w:r>
          </w:p>
          <w:p w14:paraId="50D5319A">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9.根据医院的要求协助医院接受检查、审计或其他重大工作中给予技术支持服务，包含数据提取、核对等工作。应积极配合完成因院方接受检查、巡察、评审、复审而提出的信息化相关要求。</w:t>
            </w:r>
          </w:p>
          <w:p w14:paraId="415B46E4">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10.重大技术问题处理:对重大的技术问题，应协调组织技术专家小组进行会诊解决，以确保系统的正常运行。</w:t>
            </w:r>
          </w:p>
          <w:p w14:paraId="4EDA3C7D">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11.对医院信息部技术人员进行培训指导，熟悉系统内部设计逻辑、表名、字段等，以及系统运维过程中需要重点关注的事项，确保相关系统管理员能够独立处理问题。</w:t>
            </w:r>
          </w:p>
          <w:p w14:paraId="4CE5D997">
            <w:pPr>
              <w:keepNext w:val="0"/>
              <w:keepLines w:val="0"/>
              <w:widowControl/>
              <w:suppressLineNumbers w:val="0"/>
              <w:ind w:left="10" w:leftChars="0" w:firstLine="409" w:firstLineChars="195"/>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p w14:paraId="5A4594E5">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210" w:leftChars="0" w:hanging="210" w:hangingChars="100"/>
              <w:jc w:val="left"/>
              <w:textAlignment w:val="center"/>
              <w:rPr>
                <w:rFonts w:hint="eastAsia" w:asciiTheme="minorEastAsia" w:hAnsiTheme="minorEastAsia" w:cstheme="minorEastAsia"/>
                <w:b/>
                <w:bCs/>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lang w:val="en-US" w:eastAsia="zh-CN" w:bidi="ar"/>
              </w:rPr>
              <w:t>二.</w:t>
            </w:r>
            <w:r>
              <w:rPr>
                <w:rFonts w:hint="eastAsia" w:asciiTheme="minorEastAsia" w:hAnsiTheme="minorEastAsia" w:cstheme="minorEastAsia"/>
                <w:b/>
                <w:bCs/>
                <w:i w:val="0"/>
                <w:iCs w:val="0"/>
                <w:color w:val="auto"/>
                <w:kern w:val="0"/>
                <w:sz w:val="21"/>
                <w:szCs w:val="21"/>
                <w:u w:val="none"/>
                <w:lang w:val="en-US" w:eastAsia="zh-CN" w:bidi="ar"/>
              </w:rPr>
              <w:t>升级服务要求</w:t>
            </w:r>
          </w:p>
          <w:p w14:paraId="6D9EC486">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须严格按照国家、省、市政策规定时限完成开发、测试、对接与上线，重点对医疗电子票据开具接口（涵盖门诊、住院、挂号、体检等）进行升级，通过优化医疗单位开票管理流程，实现开票单位电子票据系统的数据规范全面升级，确保票据编码规则与数据标准符合全国统一要求，满足全国范围内财政电子票据互认及跨省报销业务的各项需求。</w:t>
            </w:r>
          </w:p>
          <w:p w14:paraId="3E397239">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20" w:firstLine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2.新增电子票据自动核销功能，要求达到：建立自动核销规则库、有规范的自动核销流程，从而实现财政电子票据自动核销功能。</w:t>
            </w:r>
          </w:p>
          <w:p w14:paraId="393FA3F2">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Chars="-20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B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75F3249C">
      <w:pPr>
        <w:rPr>
          <w:rFonts w:hint="eastAsia"/>
          <w:color w:val="auto"/>
          <w:lang w:val="en-US" w:eastAsia="zh-CN"/>
        </w:rPr>
      </w:pPr>
    </w:p>
    <w:p w14:paraId="76488CAE">
      <w:pPr>
        <w:rPr>
          <w:rFonts w:hint="eastAsia"/>
          <w:color w:val="auto"/>
          <w:lang w:val="en-US" w:eastAsia="zh-CN"/>
        </w:rPr>
      </w:pPr>
    </w:p>
    <w:p w14:paraId="6F605664">
      <w:pPr>
        <w:rPr>
          <w:b/>
          <w:bCs/>
          <w:color w:val="auto"/>
          <w:sz w:val="28"/>
          <w:szCs w:val="28"/>
        </w:rPr>
      </w:pPr>
      <w:r>
        <w:rPr>
          <w:rFonts w:hint="eastAsia"/>
          <w:b/>
          <w:bCs/>
          <w:color w:val="auto"/>
          <w:sz w:val="28"/>
          <w:szCs w:val="28"/>
          <w:lang w:eastAsia="zh-CN"/>
        </w:rPr>
        <w:t>（</w:t>
      </w:r>
      <w:r>
        <w:rPr>
          <w:rFonts w:hint="eastAsia"/>
          <w:b/>
          <w:bCs/>
          <w:color w:val="auto"/>
          <w:sz w:val="28"/>
          <w:szCs w:val="28"/>
          <w:lang w:val="en-US" w:eastAsia="zh-CN"/>
        </w:rPr>
        <w:t>三</w:t>
      </w:r>
      <w:r>
        <w:rPr>
          <w:rFonts w:hint="eastAsia"/>
          <w:b/>
          <w:bCs/>
          <w:color w:val="auto"/>
          <w:sz w:val="28"/>
          <w:szCs w:val="28"/>
          <w:lang w:eastAsia="zh-CN"/>
        </w:rPr>
        <w:t>）</w:t>
      </w:r>
      <w:r>
        <w:rPr>
          <w:rFonts w:hint="eastAsia"/>
          <w:b/>
          <w:bCs/>
          <w:color w:val="auto"/>
          <w:sz w:val="28"/>
          <w:szCs w:val="28"/>
        </w:rPr>
        <w:t>总体服务要求</w:t>
      </w:r>
    </w:p>
    <w:p w14:paraId="2695D583">
      <w:pPr>
        <w:numPr>
          <w:ilvl w:val="0"/>
          <w:numId w:val="2"/>
        </w:numPr>
        <w:ind w:firstLine="420" w:firstLineChars="200"/>
        <w:rPr>
          <w:strike w:val="0"/>
          <w:dstrike w:val="0"/>
          <w:color w:val="auto"/>
        </w:rPr>
      </w:pPr>
      <w:r>
        <w:rPr>
          <w:rFonts w:hint="eastAsia"/>
          <w:b w:val="0"/>
          <w:bCs w:val="0"/>
          <w:strike w:val="0"/>
          <w:dstrike w:val="0"/>
          <w:color w:val="auto"/>
          <w:lang w:val="en-US" w:eastAsia="zh-CN"/>
        </w:rPr>
        <w:t>项目交付要求。</w:t>
      </w:r>
      <w:r>
        <w:rPr>
          <w:rFonts w:hint="eastAsia"/>
          <w:strike w:val="0"/>
          <w:dstrike w:val="0"/>
          <w:color w:val="auto"/>
        </w:rPr>
        <w:t>本项目为交钥匙</w:t>
      </w:r>
      <w:r>
        <w:rPr>
          <w:rFonts w:hint="eastAsia"/>
          <w:strike w:val="0"/>
          <w:dstrike w:val="0"/>
          <w:color w:val="auto"/>
          <w:lang w:val="en-US" w:eastAsia="zh-CN"/>
        </w:rPr>
        <w:t>工程</w:t>
      </w:r>
      <w:r>
        <w:rPr>
          <w:rFonts w:hint="eastAsia"/>
          <w:strike w:val="0"/>
          <w:dstrike w:val="0"/>
          <w:color w:val="auto"/>
        </w:rPr>
        <w:t>，</w:t>
      </w:r>
      <w:r>
        <w:rPr>
          <w:rFonts w:hint="eastAsia"/>
          <w:strike w:val="0"/>
          <w:dstrike w:val="0"/>
          <w:color w:val="auto"/>
          <w:lang w:eastAsia="zh-CN"/>
        </w:rPr>
        <w:t>供应商</w:t>
      </w:r>
      <w:r>
        <w:rPr>
          <w:rFonts w:hint="eastAsia"/>
          <w:strike w:val="0"/>
          <w:dstrike w:val="0"/>
          <w:color w:val="auto"/>
        </w:rPr>
        <w:t>作为责任主体，</w:t>
      </w:r>
      <w:r>
        <w:rPr>
          <w:strike w:val="0"/>
          <w:dstrike w:val="0"/>
          <w:color w:val="auto"/>
        </w:rPr>
        <w:t>需完成系统调试、数据适配、用户培训</w:t>
      </w:r>
      <w:r>
        <w:rPr>
          <w:rFonts w:hint="eastAsia"/>
          <w:strike w:val="0"/>
          <w:dstrike w:val="0"/>
          <w:color w:val="auto"/>
          <w:lang w:val="en-US" w:eastAsia="zh-CN"/>
        </w:rPr>
        <w:t>等</w:t>
      </w:r>
      <w:r>
        <w:rPr>
          <w:strike w:val="0"/>
          <w:dstrike w:val="0"/>
          <w:color w:val="auto"/>
        </w:rPr>
        <w:t>全链条交付</w:t>
      </w:r>
      <w:r>
        <w:rPr>
          <w:rFonts w:hint="eastAsia"/>
          <w:strike w:val="0"/>
          <w:dstrike w:val="0"/>
          <w:color w:val="auto"/>
        </w:rPr>
        <w:t>。</w:t>
      </w:r>
    </w:p>
    <w:p w14:paraId="68D48454">
      <w:pPr>
        <w:numPr>
          <w:ilvl w:val="0"/>
          <w:numId w:val="2"/>
        </w:numPr>
        <w:ind w:firstLine="420" w:firstLineChars="200"/>
        <w:rPr>
          <w:rFonts w:hint="eastAsia"/>
          <w:color w:val="auto"/>
        </w:rPr>
      </w:pPr>
      <w:r>
        <w:rPr>
          <w:rFonts w:hint="eastAsia"/>
          <w:b w:val="0"/>
          <w:bCs w:val="0"/>
          <w:color w:val="auto"/>
          <w:lang w:val="en-US" w:eastAsia="zh-CN"/>
        </w:rPr>
        <w:t>评审配合要求。</w:t>
      </w:r>
      <w:r>
        <w:rPr>
          <w:rFonts w:hint="eastAsia"/>
          <w:color w:val="auto"/>
          <w:lang w:val="en-US" w:eastAsia="zh-CN"/>
        </w:rPr>
        <w:t>供应商须长期无条件配合、协助医院，确保涉及本项目系统的相关联条款要求全部通过以下评审及测评：国家卫生健康委员会电子病历系统应用水平分级评价5级（若后期国家正式公布更新标准替代本标准，须按最新标准对应同级达标，如智慧医疗分级评价5级）、国家卫生健康委员会医疗健康信息互联互通成熟度四级甲等测评、《四川省智慧医院评价标准》五星评审要求，以及公立医院绩效考核、三级医院评审标准中的相关关联条款。供应商提供的配合服务至少涵盖：评审政策咨询及宣讲培训、对标评级标准的差距梳理与分析、针对性系统改造建设、评审文审资料编制整理、现场查验全程技术支持，以及相关报审、质证、实证等资料的筹备与制作等全流程工作。同时，所有涉及系统优化改造、接口调整的相关费用，均已包含在投标总价中，供应商不得以任何形式向医院或第三方收取额外费用。</w:t>
      </w:r>
    </w:p>
    <w:p w14:paraId="1F3B5B61">
      <w:pPr>
        <w:numPr>
          <w:ilvl w:val="0"/>
          <w:numId w:val="2"/>
        </w:numPr>
        <w:ind w:firstLine="420" w:firstLineChars="200"/>
        <w:rPr>
          <w:rFonts w:hint="eastAsia"/>
          <w:color w:val="auto"/>
          <w:lang w:val="en-US" w:eastAsia="zh-CN"/>
        </w:rPr>
      </w:pPr>
      <w:r>
        <w:rPr>
          <w:rFonts w:hint="eastAsia"/>
          <w:b w:val="0"/>
          <w:bCs w:val="0"/>
          <w:color w:val="auto"/>
          <w:lang w:val="en-US" w:eastAsia="zh-CN"/>
        </w:rPr>
        <w:t>迁移、灾备要求。</w:t>
      </w:r>
      <w:r>
        <w:rPr>
          <w:rFonts w:hint="eastAsia"/>
          <w:color w:val="auto"/>
          <w:lang w:val="en-US" w:eastAsia="zh-CN"/>
        </w:rPr>
        <w:t>项目服务期内，若因国家政策调整、医院业务需求变化，需对本项目系统进行服务调整、数据迁移，或需按医院要求将业务系统及数据灾备部署至其他云环境、本地环境、异地环境的，供应商须无条件承接并实施相关工作。实施过程中须严格控制业务中断时长，确保业务中断时间≤24小时，保障医院业务连续稳定开展。</w:t>
      </w:r>
      <w:r>
        <w:rPr>
          <w:rFonts w:hint="eastAsia"/>
          <w:color w:val="auto"/>
        </w:rPr>
        <w:t>投标产品须满足</w:t>
      </w:r>
      <w:r>
        <w:rPr>
          <w:rFonts w:hint="eastAsia"/>
          <w:color w:val="auto"/>
          <w:lang w:eastAsia="zh-CN"/>
        </w:rPr>
        <w:t>医院</w:t>
      </w:r>
      <w:r>
        <w:rPr>
          <w:rFonts w:hint="eastAsia"/>
          <w:color w:val="auto"/>
        </w:rPr>
        <w:t>统一灾备适配需求，自带灾备机制，且兼容</w:t>
      </w:r>
      <w:r>
        <w:rPr>
          <w:rFonts w:hint="eastAsia"/>
          <w:color w:val="auto"/>
          <w:lang w:eastAsia="zh-CN"/>
        </w:rPr>
        <w:t>医院</w:t>
      </w:r>
      <w:r>
        <w:rPr>
          <w:rFonts w:hint="eastAsia"/>
          <w:color w:val="auto"/>
        </w:rPr>
        <w:t>现有及未来可能采用的灾备策略（如多云灾备、灾备一体机接入等），确保系统运行的连续性与高可用性。所有涉及的数据接口均须采用加密方式传输，保障数据传输安全。</w:t>
      </w:r>
      <w:r>
        <w:rPr>
          <w:rFonts w:hint="eastAsia"/>
          <w:color w:val="auto"/>
          <w:lang w:val="en-US" w:eastAsia="zh-CN"/>
        </w:rPr>
        <w:t>所有数据迁移、系统改造、配合实施、应急响应及灾备部署相关工作，供应商不得向医院或第三方收取任何费用，相关费用已包含在投标总价中。</w:t>
      </w:r>
    </w:p>
    <w:p w14:paraId="7D7BA174">
      <w:pPr>
        <w:numPr>
          <w:ilvl w:val="0"/>
          <w:numId w:val="2"/>
        </w:numPr>
        <w:ind w:firstLine="420" w:firstLineChars="200"/>
        <w:rPr>
          <w:rFonts w:hint="eastAsia"/>
          <w:color w:val="auto"/>
        </w:rPr>
      </w:pPr>
      <w:r>
        <w:rPr>
          <w:rFonts w:hint="eastAsia"/>
          <w:b w:val="0"/>
          <w:bCs w:val="0"/>
          <w:color w:val="auto"/>
        </w:rPr>
        <w:t>环境及信创要求</w:t>
      </w:r>
      <w:r>
        <w:rPr>
          <w:rFonts w:hint="eastAsia"/>
          <w:b w:val="0"/>
          <w:bCs w:val="0"/>
          <w:color w:val="auto"/>
          <w:lang w:eastAsia="zh-CN"/>
        </w:rPr>
        <w:t>。</w:t>
      </w:r>
      <w:r>
        <w:rPr>
          <w:rFonts w:hint="eastAsia"/>
          <w:color w:val="auto"/>
        </w:rPr>
        <w:t>按</w:t>
      </w:r>
      <w:r>
        <w:rPr>
          <w:rFonts w:hint="eastAsia"/>
          <w:color w:val="auto"/>
          <w:lang w:eastAsia="zh-CN"/>
        </w:rPr>
        <w:t>医院</w:t>
      </w:r>
      <w:r>
        <w:rPr>
          <w:rFonts w:hint="eastAsia"/>
          <w:color w:val="auto"/>
        </w:rPr>
        <w:t>要求，若系统部署于政务云，由</w:t>
      </w:r>
      <w:r>
        <w:rPr>
          <w:rFonts w:hint="eastAsia"/>
          <w:color w:val="auto"/>
          <w:lang w:eastAsia="zh-CN"/>
        </w:rPr>
        <w:t>医院</w:t>
      </w:r>
      <w:r>
        <w:rPr>
          <w:rFonts w:hint="eastAsia"/>
          <w:color w:val="auto"/>
        </w:rPr>
        <w:t>统一申请计算资源。软件服务器端须至少兼容CentOS7.1～7.9、openEuler20.03、openEuler22.03、Ubuntu22.04、欧拉2.0操作系统中的一种，支持断电恢复后服务自动启动；若因政策要求需迁移至资阳信创云，</w:t>
      </w:r>
      <w:r>
        <w:rPr>
          <w:rFonts w:hint="eastAsia"/>
          <w:color w:val="auto"/>
          <w:lang w:eastAsia="zh-CN"/>
        </w:rPr>
        <w:t>供应商</w:t>
      </w:r>
      <w:r>
        <w:rPr>
          <w:rFonts w:hint="eastAsia"/>
          <w:color w:val="auto"/>
        </w:rPr>
        <w:t>须无条件配合完成信创迁移及相关信创改造工作，所有相关费用已包含在投标总价中。</w:t>
      </w:r>
    </w:p>
    <w:p w14:paraId="4604629F">
      <w:pPr>
        <w:numPr>
          <w:ilvl w:val="0"/>
          <w:numId w:val="2"/>
        </w:numPr>
        <w:ind w:firstLine="420" w:firstLineChars="200"/>
        <w:rPr>
          <w:rFonts w:hint="eastAsia"/>
          <w:color w:val="auto"/>
        </w:rPr>
      </w:pPr>
      <w:r>
        <w:rPr>
          <w:rFonts w:hint="eastAsia"/>
          <w:b w:val="0"/>
          <w:bCs w:val="0"/>
          <w:color w:val="auto"/>
        </w:rPr>
        <w:t>标准架构要求</w:t>
      </w:r>
      <w:r>
        <w:rPr>
          <w:rFonts w:hint="eastAsia"/>
          <w:b w:val="0"/>
          <w:bCs w:val="0"/>
          <w:color w:val="auto"/>
          <w:lang w:eastAsia="zh-CN"/>
        </w:rPr>
        <w:t>。</w:t>
      </w:r>
      <w:r>
        <w:rPr>
          <w:rFonts w:hint="eastAsia"/>
          <w:color w:val="auto"/>
        </w:rPr>
        <w:t>系统须支持国际、国内相关医疗标准，包括HL7、XML、DICOM3等；符合《信息安全技术网络安全等级保护基本要求》（GB/T22239-2019）三级等保2.0标准。系统采用浏览器/服务器（B/S）架构，兼容Chromium内核主流版本浏览器，数据传输采用HTTPS加密方式保障安全。</w:t>
      </w:r>
      <w:r>
        <w:rPr>
          <w:rFonts w:hint="eastAsia"/>
          <w:color w:val="auto"/>
          <w:lang w:eastAsia="zh-CN"/>
        </w:rPr>
        <w:t>供应商</w:t>
      </w:r>
      <w:r>
        <w:rPr>
          <w:rFonts w:hint="eastAsia"/>
          <w:color w:val="auto"/>
        </w:rPr>
        <w:t>提供的系统不受授权使用限制，即</w:t>
      </w:r>
      <w:r>
        <w:rPr>
          <w:rFonts w:hint="eastAsia"/>
          <w:color w:val="auto"/>
          <w:lang w:eastAsia="zh-CN"/>
        </w:rPr>
        <w:t>服务期</w:t>
      </w:r>
      <w:r>
        <w:rPr>
          <w:rFonts w:hint="eastAsia"/>
          <w:color w:val="auto"/>
        </w:rPr>
        <w:t>到期后仍可正常运行使用。</w:t>
      </w:r>
    </w:p>
    <w:p w14:paraId="487591E8">
      <w:pPr>
        <w:numPr>
          <w:ilvl w:val="0"/>
          <w:numId w:val="2"/>
        </w:numPr>
        <w:ind w:firstLine="420" w:firstLineChars="200"/>
        <w:rPr>
          <w:rFonts w:hint="eastAsia"/>
          <w:color w:val="auto"/>
        </w:rPr>
      </w:pPr>
      <w:r>
        <w:rPr>
          <w:rFonts w:hint="eastAsia"/>
          <w:b w:val="0"/>
          <w:bCs w:val="0"/>
          <w:color w:val="auto"/>
        </w:rPr>
        <w:t>软件兼容性要求</w:t>
      </w:r>
      <w:r>
        <w:rPr>
          <w:rFonts w:hint="eastAsia"/>
          <w:b w:val="0"/>
          <w:bCs w:val="0"/>
          <w:color w:val="auto"/>
          <w:lang w:eastAsia="zh-CN"/>
        </w:rPr>
        <w:t>。</w:t>
      </w:r>
      <w:r>
        <w:rPr>
          <w:rFonts w:hint="eastAsia"/>
          <w:color w:val="auto"/>
          <w:lang w:eastAsia="zh-CN"/>
        </w:rPr>
        <w:t>供应商</w:t>
      </w:r>
      <w:r>
        <w:rPr>
          <w:rFonts w:hint="eastAsia"/>
          <w:color w:val="auto"/>
        </w:rPr>
        <w:t>提供的软件产品须具备良好兼容性，保障</w:t>
      </w:r>
      <w:r>
        <w:rPr>
          <w:rFonts w:hint="eastAsia"/>
          <w:color w:val="auto"/>
          <w:lang w:eastAsia="zh-CN"/>
        </w:rPr>
        <w:t>医院</w:t>
      </w:r>
      <w:r>
        <w:rPr>
          <w:rFonts w:hint="eastAsia"/>
          <w:color w:val="auto"/>
        </w:rPr>
        <w:t>可长期正常使用。若因</w:t>
      </w:r>
      <w:r>
        <w:rPr>
          <w:rFonts w:hint="eastAsia"/>
          <w:color w:val="auto"/>
          <w:lang w:eastAsia="zh-CN"/>
        </w:rPr>
        <w:t>医院</w:t>
      </w:r>
      <w:r>
        <w:rPr>
          <w:rFonts w:hint="eastAsia"/>
          <w:color w:val="auto"/>
        </w:rPr>
        <w:t>服务器或终端设备操作系统升级，导致本项目软件无法兼容运行，无论是否在</w:t>
      </w:r>
      <w:r>
        <w:rPr>
          <w:rFonts w:hint="eastAsia"/>
          <w:color w:val="auto"/>
          <w:lang w:eastAsia="zh-CN"/>
        </w:rPr>
        <w:t>服务期</w:t>
      </w:r>
      <w:r>
        <w:rPr>
          <w:rFonts w:hint="eastAsia"/>
          <w:color w:val="auto"/>
        </w:rPr>
        <w:t>内，</w:t>
      </w:r>
      <w:r>
        <w:rPr>
          <w:rFonts w:hint="eastAsia"/>
          <w:color w:val="auto"/>
          <w:lang w:eastAsia="zh-CN"/>
        </w:rPr>
        <w:t>供应商</w:t>
      </w:r>
      <w:r>
        <w:rPr>
          <w:rFonts w:hint="eastAsia"/>
          <w:color w:val="auto"/>
        </w:rPr>
        <w:t>均须无条件向</w:t>
      </w:r>
      <w:r>
        <w:rPr>
          <w:rFonts w:hint="eastAsia"/>
          <w:color w:val="auto"/>
          <w:lang w:eastAsia="zh-CN"/>
        </w:rPr>
        <w:t>医院</w:t>
      </w:r>
      <w:r>
        <w:rPr>
          <w:rFonts w:hint="eastAsia"/>
          <w:color w:val="auto"/>
        </w:rPr>
        <w:t>提供可兼容运行的软件升级版本，且不得收取任何升级费用。</w:t>
      </w:r>
    </w:p>
    <w:p w14:paraId="1D10CBDF">
      <w:pPr>
        <w:numPr>
          <w:ilvl w:val="0"/>
          <w:numId w:val="2"/>
        </w:numPr>
        <w:ind w:firstLine="420" w:firstLineChars="200"/>
        <w:rPr>
          <w:rFonts w:hint="eastAsia"/>
          <w:color w:val="auto"/>
        </w:rPr>
      </w:pPr>
      <w:r>
        <w:rPr>
          <w:rFonts w:hint="eastAsia"/>
          <w:b w:val="0"/>
          <w:bCs w:val="0"/>
          <w:color w:val="auto"/>
          <w:lang w:val="en-US" w:eastAsia="zh-CN"/>
        </w:rPr>
        <w:t>互联互通及接口开</w:t>
      </w:r>
      <w:bookmarkStart w:id="34" w:name="_GoBack"/>
      <w:bookmarkEnd w:id="34"/>
      <w:r>
        <w:rPr>
          <w:rFonts w:hint="eastAsia"/>
          <w:b w:val="0"/>
          <w:bCs w:val="0"/>
          <w:color w:val="auto"/>
          <w:lang w:val="en-US" w:eastAsia="zh-CN"/>
        </w:rPr>
        <w:t>放要求。</w:t>
      </w:r>
      <w:r>
        <w:rPr>
          <w:rFonts w:hint="eastAsia"/>
          <w:color w:val="auto"/>
          <w:lang w:val="en-US" w:eastAsia="zh-CN"/>
        </w:rPr>
        <w:t>本项目系统须具备数据互联互通能力，并提供永久开放的接口服务。在项目服务期间，</w:t>
      </w:r>
      <w:r>
        <w:rPr>
          <w:rFonts w:hint="eastAsia"/>
          <w:color w:val="auto"/>
        </w:rPr>
        <w:t>免费提供以下接口开发及对接服务：第三方系统对接、政策性接口对接、检验/检查/治疗等设备接入接口开发、领办单位及医联体/医共体等医疗机构数据对接</w:t>
      </w:r>
      <w:r>
        <w:rPr>
          <w:rFonts w:hint="eastAsia"/>
          <w:color w:val="auto"/>
          <w:lang w:val="en-US" w:eastAsia="zh-CN"/>
        </w:rPr>
        <w:t>，所有涉及接口开发、系统改造费用，均包含在投标总价中，供应商不得额外收取任何费用。</w:t>
      </w:r>
      <w:r>
        <w:rPr>
          <w:rFonts w:hint="eastAsia"/>
          <w:color w:val="auto"/>
        </w:rPr>
        <w:t>若院内其他关联系统发生更换、升级，</w:t>
      </w:r>
      <w:r>
        <w:rPr>
          <w:rFonts w:hint="eastAsia"/>
          <w:color w:val="auto"/>
          <w:lang w:eastAsia="zh-CN"/>
        </w:rPr>
        <w:t>供应商</w:t>
      </w:r>
      <w:r>
        <w:rPr>
          <w:rFonts w:hint="eastAsia"/>
          <w:color w:val="auto"/>
        </w:rPr>
        <w:t>须无条件开放、开发相关接口，全程配合对接调试，保障系统稳定运行，不得向</w:t>
      </w:r>
      <w:r>
        <w:rPr>
          <w:rFonts w:hint="eastAsia"/>
          <w:color w:val="auto"/>
          <w:lang w:eastAsia="zh-CN"/>
        </w:rPr>
        <w:t>医院</w:t>
      </w:r>
      <w:r>
        <w:rPr>
          <w:rFonts w:hint="eastAsia"/>
          <w:color w:val="auto"/>
        </w:rPr>
        <w:t>或第三方收取任何接口费用，相关成本已包含在投标总价中。</w:t>
      </w:r>
    </w:p>
    <w:tbl>
      <w:tblPr>
        <w:tblStyle w:val="11"/>
        <w:tblpPr w:leftFromText="180" w:rightFromText="180" w:vertAnchor="text" w:horzAnchor="page" w:tblpX="1296" w:tblpY="174"/>
        <w:tblOverlap w:val="never"/>
        <w:tblW w:w="14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6562"/>
        <w:gridCol w:w="7080"/>
      </w:tblGrid>
      <w:tr w14:paraId="377C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23" w:type="dxa"/>
            <w:vAlign w:val="center"/>
          </w:tcPr>
          <w:p w14:paraId="1B242B76">
            <w:pPr>
              <w:numPr>
                <w:ilvl w:val="0"/>
                <w:numId w:val="0"/>
              </w:numPr>
              <w:jc w:val="center"/>
              <w:rPr>
                <w:rFonts w:hint="eastAsia" w:eastAsiaTheme="minorEastAsia"/>
                <w:color w:val="auto"/>
                <w:vertAlign w:val="baseline"/>
                <w:lang w:val="en-US" w:eastAsia="zh-CN"/>
              </w:rPr>
            </w:pPr>
            <w:r>
              <w:rPr>
                <w:rFonts w:hint="eastAsia"/>
                <w:color w:val="auto"/>
                <w:vertAlign w:val="baseline"/>
                <w:lang w:val="en-US" w:eastAsia="zh-CN"/>
              </w:rPr>
              <w:t>序号</w:t>
            </w:r>
          </w:p>
        </w:tc>
        <w:tc>
          <w:tcPr>
            <w:tcW w:w="6562" w:type="dxa"/>
            <w:vAlign w:val="center"/>
          </w:tcPr>
          <w:p w14:paraId="5D95E64D">
            <w:pPr>
              <w:numPr>
                <w:ilvl w:val="0"/>
                <w:numId w:val="0"/>
              </w:numPr>
              <w:jc w:val="center"/>
              <w:rPr>
                <w:rFonts w:hint="default" w:eastAsiaTheme="minorEastAsia"/>
                <w:color w:val="auto"/>
                <w:vertAlign w:val="baseline"/>
                <w:lang w:val="en-US" w:eastAsia="zh-CN"/>
              </w:rPr>
            </w:pPr>
            <w:r>
              <w:rPr>
                <w:rFonts w:hint="eastAsia"/>
                <w:color w:val="auto"/>
                <w:vertAlign w:val="baseline"/>
                <w:lang w:val="en-US" w:eastAsia="zh-CN"/>
              </w:rPr>
              <w:t>在用系统名称</w:t>
            </w:r>
          </w:p>
        </w:tc>
        <w:tc>
          <w:tcPr>
            <w:tcW w:w="7080" w:type="dxa"/>
            <w:vAlign w:val="center"/>
          </w:tcPr>
          <w:p w14:paraId="12CE795C">
            <w:pPr>
              <w:numPr>
                <w:ilvl w:val="0"/>
                <w:numId w:val="0"/>
              </w:numPr>
              <w:jc w:val="center"/>
              <w:rPr>
                <w:rFonts w:hint="default"/>
                <w:color w:val="auto"/>
                <w:vertAlign w:val="baseline"/>
                <w:lang w:val="en-US" w:eastAsia="zh-CN"/>
              </w:rPr>
            </w:pPr>
            <w:r>
              <w:rPr>
                <w:rFonts w:hint="eastAsia"/>
                <w:color w:val="auto"/>
                <w:vertAlign w:val="baseline"/>
                <w:lang w:val="en-US" w:eastAsia="zh-CN"/>
              </w:rPr>
              <w:t>产品公司名称</w:t>
            </w:r>
          </w:p>
        </w:tc>
      </w:tr>
      <w:tr w14:paraId="2D97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23" w:type="dxa"/>
            <w:vAlign w:val="center"/>
          </w:tcPr>
          <w:p w14:paraId="52D263AF">
            <w:pPr>
              <w:numPr>
                <w:ilvl w:val="0"/>
                <w:numId w:val="0"/>
              </w:numPr>
              <w:jc w:val="center"/>
              <w:rPr>
                <w:rFonts w:hint="eastAsia" w:eastAsiaTheme="minorEastAsia"/>
                <w:color w:val="auto"/>
                <w:vertAlign w:val="baseline"/>
                <w:lang w:val="en-US" w:eastAsia="zh-CN"/>
              </w:rPr>
            </w:pPr>
            <w:r>
              <w:rPr>
                <w:rFonts w:hint="eastAsia"/>
                <w:color w:val="auto"/>
                <w:vertAlign w:val="baseline"/>
                <w:lang w:val="en-US" w:eastAsia="zh-CN"/>
              </w:rPr>
              <w:t>1</w:t>
            </w:r>
          </w:p>
        </w:tc>
        <w:tc>
          <w:tcPr>
            <w:tcW w:w="6562" w:type="dxa"/>
            <w:vAlign w:val="center"/>
          </w:tcPr>
          <w:p w14:paraId="38054F14">
            <w:pPr>
              <w:numPr>
                <w:ilvl w:val="0"/>
                <w:numId w:val="0"/>
              </w:numPr>
              <w:jc w:val="both"/>
              <w:rPr>
                <w:rFonts w:hint="default" w:eastAsiaTheme="minorEastAsia"/>
                <w:color w:val="auto"/>
                <w:vertAlign w:val="baseline"/>
                <w:lang w:val="en-US" w:eastAsia="zh-CN"/>
              </w:rPr>
            </w:pPr>
            <w:r>
              <w:rPr>
                <w:rFonts w:hint="eastAsia"/>
                <w:color w:val="auto"/>
                <w:vertAlign w:val="baseline"/>
                <w:lang w:val="en-US" w:eastAsia="zh-CN"/>
              </w:rPr>
              <w:t>HIS、LIS、PACS、手麻系统、输血系统、大数据中心</w:t>
            </w:r>
          </w:p>
        </w:tc>
        <w:tc>
          <w:tcPr>
            <w:tcW w:w="7080" w:type="dxa"/>
            <w:vAlign w:val="center"/>
          </w:tcPr>
          <w:p w14:paraId="712943AE">
            <w:pPr>
              <w:numPr>
                <w:ilvl w:val="0"/>
                <w:numId w:val="0"/>
              </w:numPr>
              <w:jc w:val="center"/>
              <w:rPr>
                <w:color w:val="auto"/>
                <w:vertAlign w:val="baseline"/>
              </w:rPr>
            </w:pPr>
            <w:r>
              <w:rPr>
                <w:rFonts w:hint="eastAsia"/>
                <w:color w:val="auto"/>
              </w:rPr>
              <w:t>成都信通网易医疗科技发展有限公司</w:t>
            </w:r>
          </w:p>
        </w:tc>
      </w:tr>
      <w:tr w14:paraId="7AFE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23" w:type="dxa"/>
            <w:vAlign w:val="center"/>
          </w:tcPr>
          <w:p w14:paraId="27C2DA3A">
            <w:pPr>
              <w:numPr>
                <w:ilvl w:val="0"/>
                <w:numId w:val="0"/>
              </w:numPr>
              <w:jc w:val="center"/>
              <w:rPr>
                <w:rFonts w:hint="eastAsia" w:eastAsiaTheme="minorEastAsia"/>
                <w:color w:val="auto"/>
                <w:vertAlign w:val="baseline"/>
                <w:lang w:val="en-US" w:eastAsia="zh-CN"/>
              </w:rPr>
            </w:pPr>
            <w:r>
              <w:rPr>
                <w:rFonts w:hint="eastAsia"/>
                <w:color w:val="auto"/>
                <w:vertAlign w:val="baseline"/>
                <w:lang w:val="en-US" w:eastAsia="zh-CN"/>
              </w:rPr>
              <w:t>2</w:t>
            </w:r>
          </w:p>
        </w:tc>
        <w:tc>
          <w:tcPr>
            <w:tcW w:w="6562" w:type="dxa"/>
            <w:vAlign w:val="center"/>
          </w:tcPr>
          <w:p w14:paraId="68985D81">
            <w:pPr>
              <w:numPr>
                <w:ilvl w:val="0"/>
                <w:numId w:val="0"/>
              </w:numPr>
              <w:jc w:val="both"/>
              <w:rPr>
                <w:rFonts w:hint="eastAsia" w:eastAsiaTheme="minorEastAsia"/>
                <w:color w:val="auto"/>
                <w:vertAlign w:val="baseline"/>
                <w:lang w:val="en-US" w:eastAsia="zh-CN"/>
              </w:rPr>
            </w:pPr>
            <w:r>
              <w:rPr>
                <w:rFonts w:hint="eastAsia"/>
                <w:color w:val="auto"/>
              </w:rPr>
              <w:t>集成平台、EMR</w:t>
            </w:r>
            <w:r>
              <w:rPr>
                <w:rFonts w:hint="eastAsia"/>
                <w:color w:val="auto"/>
                <w:lang w:val="en-US" w:eastAsia="zh-CN"/>
              </w:rPr>
              <w:t>系统</w:t>
            </w:r>
            <w:r>
              <w:rPr>
                <w:rFonts w:hint="eastAsia"/>
                <w:color w:val="auto"/>
              </w:rPr>
              <w:t>、单病种、VTE</w:t>
            </w:r>
            <w:r>
              <w:rPr>
                <w:rFonts w:hint="eastAsia"/>
                <w:color w:val="auto"/>
                <w:lang w:val="en-US" w:eastAsia="zh-CN"/>
              </w:rPr>
              <w:t>系统</w:t>
            </w:r>
          </w:p>
        </w:tc>
        <w:tc>
          <w:tcPr>
            <w:tcW w:w="7080" w:type="dxa"/>
            <w:vAlign w:val="center"/>
          </w:tcPr>
          <w:p w14:paraId="7D3AB179">
            <w:pPr>
              <w:numPr>
                <w:ilvl w:val="0"/>
                <w:numId w:val="0"/>
              </w:numPr>
              <w:jc w:val="center"/>
              <w:rPr>
                <w:rFonts w:hint="eastAsia"/>
                <w:color w:val="auto"/>
              </w:rPr>
            </w:pPr>
            <w:r>
              <w:rPr>
                <w:rFonts w:hint="eastAsia"/>
                <w:color w:val="auto"/>
              </w:rPr>
              <w:t>北京嘉和美康信息技术有限公司</w:t>
            </w:r>
          </w:p>
        </w:tc>
      </w:tr>
    </w:tbl>
    <w:p w14:paraId="3F87ACCC">
      <w:pPr>
        <w:numPr>
          <w:ilvl w:val="0"/>
          <w:numId w:val="0"/>
        </w:numPr>
        <w:ind w:leftChars="200"/>
        <w:jc w:val="left"/>
        <w:rPr>
          <w:rFonts w:hint="eastAsia"/>
          <w:color w:val="auto"/>
        </w:rPr>
      </w:pPr>
    </w:p>
    <w:p w14:paraId="03B1CF0E">
      <w:pPr>
        <w:numPr>
          <w:ilvl w:val="0"/>
          <w:numId w:val="2"/>
        </w:numPr>
        <w:ind w:firstLine="420" w:firstLineChars="200"/>
        <w:rPr>
          <w:color w:val="auto"/>
        </w:rPr>
      </w:pPr>
      <w:bookmarkStart w:id="26" w:name="_Hlk217680737"/>
      <w:r>
        <w:rPr>
          <w:rFonts w:hint="eastAsia"/>
          <w:b w:val="0"/>
          <w:bCs w:val="0"/>
          <w:color w:val="auto"/>
        </w:rPr>
        <w:t>接口管理要求</w:t>
      </w:r>
      <w:r>
        <w:rPr>
          <w:rFonts w:hint="eastAsia"/>
          <w:b w:val="0"/>
          <w:bCs w:val="0"/>
          <w:color w:val="auto"/>
          <w:lang w:eastAsia="zh-CN"/>
        </w:rPr>
        <w:t>。</w:t>
      </w:r>
      <w:r>
        <w:rPr>
          <w:rFonts w:hint="eastAsia"/>
          <w:b w:val="0"/>
          <w:bCs w:val="0"/>
          <w:color w:val="auto"/>
        </w:rPr>
        <w:t>本项目系统通过集成平台实现交互，数据推送及接收的通信标准以</w:t>
      </w:r>
      <w:r>
        <w:rPr>
          <w:rFonts w:hint="eastAsia"/>
          <w:b w:val="0"/>
          <w:bCs w:val="0"/>
          <w:color w:val="auto"/>
          <w:lang w:eastAsia="zh-CN"/>
        </w:rPr>
        <w:t>医院</w:t>
      </w:r>
      <w:r>
        <w:rPr>
          <w:rFonts w:hint="eastAsia"/>
          <w:b w:val="0"/>
          <w:bCs w:val="0"/>
          <w:color w:val="auto"/>
        </w:rPr>
        <w:t>要求为准。若存在2种及以上接口方式，</w:t>
      </w:r>
      <w:r>
        <w:rPr>
          <w:rFonts w:hint="eastAsia"/>
          <w:b w:val="0"/>
          <w:bCs w:val="0"/>
          <w:color w:val="auto"/>
          <w:lang w:eastAsia="zh-CN"/>
        </w:rPr>
        <w:t>供应商</w:t>
      </w:r>
      <w:r>
        <w:rPr>
          <w:rFonts w:hint="eastAsia"/>
          <w:b w:val="0"/>
          <w:bCs w:val="0"/>
          <w:color w:val="auto"/>
        </w:rPr>
        <w:t>可提供建议方案，最终对接方式由</w:t>
      </w:r>
      <w:r>
        <w:rPr>
          <w:rFonts w:hint="eastAsia"/>
          <w:b w:val="0"/>
          <w:bCs w:val="0"/>
          <w:color w:val="auto"/>
          <w:lang w:eastAsia="zh-CN"/>
        </w:rPr>
        <w:t>医院</w:t>
      </w:r>
      <w:r>
        <w:rPr>
          <w:rFonts w:hint="eastAsia"/>
          <w:b w:val="0"/>
          <w:bCs w:val="0"/>
          <w:color w:val="auto"/>
        </w:rPr>
        <w:t>确定。若</w:t>
      </w:r>
      <w:r>
        <w:rPr>
          <w:rFonts w:hint="eastAsia"/>
          <w:b w:val="0"/>
          <w:bCs w:val="0"/>
          <w:color w:val="auto"/>
          <w:lang w:eastAsia="zh-CN"/>
        </w:rPr>
        <w:t>医院</w:t>
      </w:r>
      <w:r>
        <w:rPr>
          <w:rFonts w:hint="eastAsia"/>
          <w:b w:val="0"/>
          <w:bCs w:val="0"/>
          <w:color w:val="auto"/>
        </w:rPr>
        <w:t>后续新建系统需与本项目系统进行接口交互，</w:t>
      </w:r>
      <w:r>
        <w:rPr>
          <w:rFonts w:hint="eastAsia"/>
          <w:b w:val="0"/>
          <w:bCs w:val="0"/>
          <w:color w:val="auto"/>
          <w:lang w:eastAsia="zh-CN"/>
        </w:rPr>
        <w:t>供应商</w:t>
      </w:r>
      <w:r>
        <w:rPr>
          <w:rFonts w:hint="eastAsia"/>
          <w:b w:val="0"/>
          <w:bCs w:val="0"/>
          <w:color w:val="auto"/>
        </w:rPr>
        <w:t>须协助配合完成相关改造，且不收取任何接口费用。</w:t>
      </w:r>
    </w:p>
    <w:bookmarkEnd w:id="26"/>
    <w:p w14:paraId="11043216">
      <w:pPr>
        <w:numPr>
          <w:ilvl w:val="0"/>
          <w:numId w:val="2"/>
        </w:numPr>
        <w:ind w:firstLine="420" w:firstLineChars="200"/>
        <w:rPr>
          <w:rFonts w:hint="eastAsia"/>
          <w:color w:val="auto"/>
          <w:lang w:val="en-US" w:eastAsia="zh-CN"/>
        </w:rPr>
      </w:pPr>
      <w:r>
        <w:rPr>
          <w:rFonts w:hint="eastAsia"/>
          <w:color w:val="auto"/>
          <w:lang w:val="en-US" w:eastAsia="zh-CN"/>
        </w:rPr>
        <w:t>数据管理要求。</w:t>
      </w:r>
      <w:r>
        <w:rPr>
          <w:rFonts w:hint="eastAsia"/>
          <w:color w:val="auto"/>
        </w:rPr>
        <w:t>项目</w:t>
      </w:r>
      <w:r>
        <w:rPr>
          <w:rFonts w:hint="eastAsia"/>
          <w:color w:val="auto"/>
          <w:lang w:eastAsia="zh-CN"/>
        </w:rPr>
        <w:t>服务期</w:t>
      </w:r>
      <w:r>
        <w:rPr>
          <w:rFonts w:hint="eastAsia"/>
          <w:color w:val="auto"/>
        </w:rPr>
        <w:t>内</w:t>
      </w:r>
      <w:r>
        <w:rPr>
          <w:rFonts w:hint="eastAsia"/>
          <w:color w:val="auto"/>
          <w:lang w:val="en-US" w:eastAsia="zh-CN"/>
        </w:rPr>
        <w:t>，供应商须无条件配合完成本项目系统与医院大数据中心的数据对接，实现全量数据按需获取（支持实时或异步数据传输模式）。为保障数据对接的精准性、一致性与可持续性，供应商须提供完整清晰的数据表结构说明；针对业务指标统计，须以书面形式明确统计口径、计算公式、数据来源字段，并详细阐述过滤条件、去重规则等具体处理逻辑。涉及接口层面的，须负责开放现有接口、开发所需接口，全程配合对接调试，保障系统稳定运行，且不得以任何形式收取额外接口费用，相关费用包含在投标总价中。此外，若供应商系统的数据结构、接口规范或指标定义发生变更，须提前书面通知医院，同步更新所有相关技术文档，并积极配合大数据中心完成调整，确保数据对接连续性及数据服务可靠性。</w:t>
      </w:r>
    </w:p>
    <w:p w14:paraId="18535C0E">
      <w:pPr>
        <w:numPr>
          <w:ilvl w:val="0"/>
          <w:numId w:val="2"/>
        </w:numPr>
        <w:ind w:firstLine="420" w:firstLineChars="200"/>
        <w:rPr>
          <w:rFonts w:hint="eastAsia"/>
          <w:color w:val="auto"/>
        </w:rPr>
      </w:pPr>
      <w:r>
        <w:rPr>
          <w:rFonts w:hint="eastAsia"/>
          <w:color w:val="auto"/>
          <w:lang w:val="en-US" w:eastAsia="zh-CN"/>
        </w:rPr>
        <w:t>著作权要求</w:t>
      </w:r>
      <w:r>
        <w:rPr>
          <w:rFonts w:hint="eastAsia"/>
          <w:b w:val="0"/>
          <w:bCs w:val="0"/>
          <w:color w:val="auto"/>
          <w:lang w:val="en-US" w:eastAsia="zh-CN"/>
        </w:rPr>
        <w:t>。</w:t>
      </w:r>
      <w:r>
        <w:rPr>
          <w:rFonts w:hint="eastAsia"/>
          <w:color w:val="auto"/>
        </w:rPr>
        <w:t>针对</w:t>
      </w:r>
      <w:r>
        <w:rPr>
          <w:rFonts w:hint="eastAsia"/>
          <w:color w:val="auto"/>
          <w:lang w:eastAsia="zh-CN"/>
        </w:rPr>
        <w:t>医院</w:t>
      </w:r>
      <w:r>
        <w:rPr>
          <w:rFonts w:hint="eastAsia"/>
          <w:color w:val="auto"/>
        </w:rPr>
        <w:t>重大需求进行二次开发形成的子产品或子系统（“重大需求”定义为单次开发工作量超过8人/天或涉及核心功能模块调整的需求），</w:t>
      </w:r>
      <w:r>
        <w:rPr>
          <w:rFonts w:hint="eastAsia"/>
          <w:color w:val="auto"/>
          <w:lang w:eastAsia="zh-CN"/>
        </w:rPr>
        <w:t>医院</w:t>
      </w:r>
      <w:r>
        <w:rPr>
          <w:rFonts w:hint="eastAsia"/>
          <w:color w:val="auto"/>
        </w:rPr>
        <w:t>与</w:t>
      </w:r>
      <w:r>
        <w:rPr>
          <w:rFonts w:hint="eastAsia"/>
          <w:color w:val="auto"/>
          <w:lang w:eastAsia="zh-CN"/>
        </w:rPr>
        <w:t>供应商</w:t>
      </w:r>
      <w:r>
        <w:rPr>
          <w:rFonts w:hint="eastAsia"/>
          <w:color w:val="auto"/>
        </w:rPr>
        <w:t>共同享有该产品/系统的软件著作权。</w:t>
      </w:r>
      <w:r>
        <w:rPr>
          <w:rFonts w:hint="eastAsia"/>
          <w:color w:val="auto"/>
          <w:lang w:eastAsia="zh-CN"/>
        </w:rPr>
        <w:t>供应商</w:t>
      </w:r>
      <w:r>
        <w:rPr>
          <w:rFonts w:hint="eastAsia"/>
          <w:color w:val="auto"/>
        </w:rPr>
        <w:t>有义务协助</w:t>
      </w:r>
      <w:r>
        <w:rPr>
          <w:rFonts w:hint="eastAsia"/>
          <w:color w:val="auto"/>
          <w:lang w:eastAsia="zh-CN"/>
        </w:rPr>
        <w:t>医院</w:t>
      </w:r>
      <w:r>
        <w:rPr>
          <w:rFonts w:hint="eastAsia"/>
          <w:color w:val="auto"/>
        </w:rPr>
        <w:t>办理相关软件著作权登记、科研项目申报等工作。</w:t>
      </w:r>
    </w:p>
    <w:p w14:paraId="37333E4B">
      <w:pPr>
        <w:numPr>
          <w:ilvl w:val="0"/>
          <w:numId w:val="2"/>
        </w:numPr>
        <w:ind w:firstLine="420" w:firstLineChars="200"/>
        <w:rPr>
          <w:color w:val="auto"/>
        </w:rPr>
      </w:pPr>
      <w:r>
        <w:rPr>
          <w:rFonts w:hint="eastAsia"/>
          <w:color w:val="auto"/>
          <w:lang w:val="en-US" w:eastAsia="zh-CN"/>
        </w:rPr>
        <w:t>正版化要求。</w:t>
      </w:r>
      <w:r>
        <w:rPr>
          <w:rFonts w:hint="eastAsia"/>
          <w:color w:val="auto"/>
        </w:rPr>
        <w:t>系统须同时支持Windows平台与国产化平台，配合后期国产化适配改造工作。产品运行所需的操作系统、浏览器、数据库、中间件、容器等软件，均须为正版软件，中标后须提供授权给</w:t>
      </w:r>
      <w:r>
        <w:rPr>
          <w:rFonts w:hint="eastAsia"/>
          <w:color w:val="auto"/>
          <w:lang w:eastAsia="zh-CN"/>
        </w:rPr>
        <w:t>医院</w:t>
      </w:r>
      <w:r>
        <w:rPr>
          <w:rFonts w:hint="eastAsia"/>
          <w:color w:val="auto"/>
        </w:rPr>
        <w:t>的佐证资料，</w:t>
      </w:r>
      <w:r>
        <w:rPr>
          <w:rFonts w:hint="eastAsia"/>
          <w:color w:val="auto"/>
          <w:lang w:eastAsia="zh-CN"/>
        </w:rPr>
        <w:t>医院</w:t>
      </w:r>
      <w:r>
        <w:rPr>
          <w:rFonts w:hint="eastAsia"/>
          <w:color w:val="auto"/>
        </w:rPr>
        <w:t>有权核查，若发现虚假授权，将纳入违约条款处理。</w:t>
      </w:r>
      <w:r>
        <w:rPr>
          <w:rFonts w:hint="eastAsia"/>
          <w:color w:val="auto"/>
          <w:lang w:eastAsia="zh-CN"/>
        </w:rPr>
        <w:t>供应商</w:t>
      </w:r>
      <w:r>
        <w:rPr>
          <w:rFonts w:hint="eastAsia"/>
          <w:color w:val="auto"/>
        </w:rPr>
        <w:t>负责正版软件的升级、更换、调试及安装工作。所投产品须支持国产软硬件（含服务器、办公电脑、移动终端、国产操作系统、国产数据库），并可按</w:t>
      </w:r>
      <w:r>
        <w:rPr>
          <w:rFonts w:hint="eastAsia"/>
          <w:color w:val="auto"/>
          <w:lang w:eastAsia="zh-CN"/>
        </w:rPr>
        <w:t>医院</w:t>
      </w:r>
      <w:r>
        <w:rPr>
          <w:rFonts w:hint="eastAsia"/>
          <w:color w:val="auto"/>
        </w:rPr>
        <w:t>要求迁移至国产化硬件、操作系统及数据库中，所有相关费用包含在投标总价中。</w:t>
      </w:r>
    </w:p>
    <w:p w14:paraId="3AB59780">
      <w:pPr>
        <w:numPr>
          <w:ilvl w:val="0"/>
          <w:numId w:val="2"/>
        </w:numPr>
        <w:ind w:left="0" w:leftChars="0" w:firstLine="420" w:firstLineChars="200"/>
        <w:rPr>
          <w:rFonts w:hint="eastAsia"/>
          <w:color w:val="auto"/>
          <w:lang w:eastAsia="zh-CN"/>
        </w:rPr>
      </w:pPr>
      <w:r>
        <w:rPr>
          <w:rFonts w:hint="eastAsia"/>
          <w:color w:val="auto"/>
          <w:lang w:val="en-US" w:eastAsia="zh-CN"/>
        </w:rPr>
        <w:t>安全保障要求。</w:t>
      </w:r>
      <w:r>
        <w:rPr>
          <w:rFonts w:hint="eastAsia"/>
          <w:color w:val="auto"/>
        </w:rPr>
        <w:t>项目</w:t>
      </w:r>
      <w:r>
        <w:rPr>
          <w:rFonts w:hint="eastAsia"/>
          <w:color w:val="auto"/>
          <w:lang w:eastAsia="zh-CN"/>
        </w:rPr>
        <w:t>服务期</w:t>
      </w:r>
      <w:r>
        <w:rPr>
          <w:rFonts w:hint="eastAsia"/>
          <w:color w:val="auto"/>
        </w:rPr>
        <w:t>及</w:t>
      </w:r>
      <w:r>
        <w:rPr>
          <w:rFonts w:hint="eastAsia"/>
          <w:color w:val="auto"/>
          <w:lang w:eastAsia="zh-CN"/>
        </w:rPr>
        <w:t>服务期</w:t>
      </w:r>
      <w:r>
        <w:rPr>
          <w:rFonts w:hint="eastAsia"/>
          <w:color w:val="auto"/>
        </w:rPr>
        <w:t>满后，</w:t>
      </w:r>
      <w:r>
        <w:rPr>
          <w:rFonts w:hint="eastAsia"/>
          <w:color w:val="auto"/>
          <w:lang w:eastAsia="zh-CN"/>
        </w:rPr>
        <w:t>供应商</w:t>
      </w:r>
      <w:r>
        <w:rPr>
          <w:rFonts w:hint="eastAsia"/>
          <w:color w:val="auto"/>
        </w:rPr>
        <w:t>须严格按照国家、四川省、资阳市网络安全标准及政策要求，支持密码应用防护，完成本项目密码应用对接及密评相关工作，满足</w:t>
      </w:r>
      <w:r>
        <w:rPr>
          <w:rFonts w:hint="eastAsia"/>
          <w:color w:val="auto"/>
          <w:lang w:eastAsia="zh-CN"/>
        </w:rPr>
        <w:t>医院</w:t>
      </w:r>
      <w:r>
        <w:rPr>
          <w:rFonts w:hint="eastAsia"/>
          <w:color w:val="auto"/>
        </w:rPr>
        <w:t>自行或委托第三方开展的三级网络安全等级保护测评、商用密码应用安全性评估相关要求。对测评及上级部门、</w:t>
      </w:r>
      <w:r>
        <w:rPr>
          <w:rFonts w:hint="eastAsia"/>
          <w:color w:val="auto"/>
          <w:lang w:eastAsia="zh-CN"/>
        </w:rPr>
        <w:t>医院</w:t>
      </w:r>
      <w:r>
        <w:rPr>
          <w:rFonts w:hint="eastAsia"/>
          <w:color w:val="auto"/>
        </w:rPr>
        <w:t>检查发现的软硬件安全漏洞，须在规定期限内无条件修复、改造，并按要求提供第三方测评机构出具的功能、性能、安全等专项测评报告，所有相关费用均包含在投标总价中。系统上线后须持续符合国家、省、市信息系统安全相关要求，在各类安全检测中发现的安全隐患须无条件完成整改，</w:t>
      </w:r>
      <w:r>
        <w:rPr>
          <w:rFonts w:hint="eastAsia"/>
          <w:color w:val="auto"/>
          <w:lang w:val="en-US" w:eastAsia="zh-CN"/>
        </w:rPr>
        <w:t>所有整改及相关费用均包含在投标总价中，供应商不得额外收取任何费用。</w:t>
      </w:r>
    </w:p>
    <w:p w14:paraId="4BF8D82E">
      <w:pPr>
        <w:numPr>
          <w:ilvl w:val="0"/>
          <w:numId w:val="2"/>
        </w:numPr>
        <w:ind w:left="0" w:leftChars="0" w:firstLine="420" w:firstLineChars="200"/>
        <w:rPr>
          <w:rFonts w:hint="eastAsia"/>
          <w:color w:val="auto"/>
          <w:lang w:val="en-US" w:eastAsia="zh-CN"/>
        </w:rPr>
      </w:pPr>
      <w:r>
        <w:rPr>
          <w:rFonts w:hint="eastAsia"/>
          <w:color w:val="auto"/>
          <w:lang w:val="en-US" w:eastAsia="zh-CN"/>
        </w:rPr>
        <w:t>软件供应链与安全管理要求。供应商须严格遵守国家、四川省及资阳市关于软件供应链安全、网络安全、数据安全、密码应用等相关规定，全面落实软件供应链安全源头管控、安全审计、漏洞修复、源代码管理等要求，确保所提供产品与服务安全可控。供应商须配合医院无条件接受上级主管部门组织的软件供应链安全专项评估、源代码安全审计等各类安全检查工作。供应商应具备良好的安全开发能力与漏洞应急响应能力，近3年内无重大网络安全事件、无严重失信记录。须提供7×24小时漏洞修复响应服务：一般漏洞24小时内响应、7 个工作日内完成修复；高危漏洞4小时内响应、3 个工作日内完成修复。因供应商原因造成整改不力、逾期未整改或存在重大安全隐患的，医院有权拒绝验收、拒绝支付款项、追究违约责任，并上报行业主管部门。所有整改及相关费用均包含在投标总价中，供应商不得额外收取任何费用。</w:t>
      </w:r>
    </w:p>
    <w:p w14:paraId="730E20FC">
      <w:pPr>
        <w:numPr>
          <w:ilvl w:val="0"/>
          <w:numId w:val="2"/>
        </w:numPr>
        <w:ind w:left="0" w:leftChars="0" w:firstLine="420" w:firstLineChars="200"/>
        <w:rPr>
          <w:rFonts w:hint="default"/>
          <w:color w:val="auto"/>
          <w:lang w:val="en-US" w:eastAsia="zh-CN"/>
        </w:rPr>
      </w:pPr>
      <w:r>
        <w:rPr>
          <w:rFonts w:hint="default"/>
          <w:color w:val="auto"/>
          <w:lang w:val="en-US" w:eastAsia="zh-CN"/>
        </w:rPr>
        <w:t>弱口令安全管理要求</w:t>
      </w:r>
      <w:r>
        <w:rPr>
          <w:rFonts w:hint="eastAsia"/>
          <w:color w:val="auto"/>
          <w:lang w:val="en-US" w:eastAsia="zh-CN"/>
        </w:rPr>
        <w:t>。供应商须依据网络安全相关政策，对本项目系统开展全面排查，重点核查登录认证方式、口令复杂度策略、更新机制、弱口令校验、防暴力破解、口令加密传输存储及跨境登录管控等内容，建立台账并实施闭环整改。系统须落实多因子认证，不得采用单一认证方式；须严格执行口令复杂度与定期更新策略，具备弱口令自动校验及防暴力破解能力；口令传输、存储须全程加密，严禁跨境登录。对排查发现的风险隐患，供应商须无条件完成技术改造与整改，从源头消除弱口令风险。因弱口令问题导致安全事件、通报批评或测评不通过的，由供应商承担全部责任及费用，医院有权拒绝验收、拒付合同款项并追究违约责任。所有整改及相关费用均包含在投标总价中，供应商不得额外收取任何费用。</w:t>
      </w:r>
    </w:p>
    <w:p w14:paraId="6E85C71B">
      <w:pPr>
        <w:numPr>
          <w:ilvl w:val="0"/>
          <w:numId w:val="2"/>
        </w:numPr>
        <w:ind w:left="0" w:leftChars="0" w:firstLine="420" w:firstLineChars="200"/>
        <w:rPr>
          <w:rFonts w:hint="default"/>
          <w:color w:val="auto"/>
          <w:lang w:val="en-US" w:eastAsia="zh-CN"/>
        </w:rPr>
      </w:pPr>
      <w:r>
        <w:rPr>
          <w:rFonts w:hint="default"/>
          <w:color w:val="auto"/>
          <w:lang w:val="en-US" w:eastAsia="zh-CN"/>
        </w:rPr>
        <w:t>移交要求</w:t>
      </w:r>
      <w:r>
        <w:rPr>
          <w:rFonts w:hint="eastAsia"/>
          <w:color w:val="auto"/>
          <w:lang w:val="en-US" w:eastAsia="zh-CN"/>
        </w:rPr>
        <w:t>。</w:t>
      </w:r>
      <w:r>
        <w:rPr>
          <w:rFonts w:hint="eastAsia"/>
          <w:b/>
          <w:bCs/>
          <w:color w:val="auto"/>
          <w:lang w:val="en-US" w:eastAsia="zh-CN"/>
        </w:rPr>
        <w:t>供应商</w:t>
      </w:r>
      <w:r>
        <w:rPr>
          <w:rFonts w:hint="default"/>
          <w:b/>
          <w:bCs/>
          <w:color w:val="auto"/>
          <w:lang w:val="en-US" w:eastAsia="zh-CN"/>
        </w:rPr>
        <w:t>须在项目服务终止、退出</w:t>
      </w:r>
      <w:r>
        <w:rPr>
          <w:rFonts w:hint="eastAsia"/>
          <w:b/>
          <w:bCs/>
          <w:color w:val="auto"/>
          <w:lang w:val="en-US" w:eastAsia="zh-CN"/>
        </w:rPr>
        <w:t>等情形</w:t>
      </w:r>
      <w:r>
        <w:rPr>
          <w:rFonts w:hint="default"/>
          <w:b/>
          <w:bCs/>
          <w:color w:val="auto"/>
          <w:lang w:val="en-US" w:eastAsia="zh-CN"/>
        </w:rPr>
        <w:t>，</w:t>
      </w:r>
      <w:r>
        <w:rPr>
          <w:rFonts w:hint="default"/>
          <w:color w:val="auto"/>
          <w:lang w:val="en-US" w:eastAsia="zh-CN"/>
        </w:rPr>
        <w:t>向</w:t>
      </w:r>
      <w:r>
        <w:rPr>
          <w:rFonts w:hint="eastAsia"/>
          <w:color w:val="auto"/>
          <w:lang w:val="en-US" w:eastAsia="zh-CN"/>
        </w:rPr>
        <w:t>医院</w:t>
      </w:r>
      <w:r>
        <w:rPr>
          <w:rFonts w:hint="default"/>
          <w:color w:val="auto"/>
          <w:lang w:val="en-US" w:eastAsia="zh-CN"/>
        </w:rPr>
        <w:t>完整交付本项目相关技术资料，包括但不限于：接口规范、数据交互说明等；运维支撑材料，并同步移交系统后台、数据库、服务器及相关第三方对接平台的管理员权限与账号密码。</w:t>
      </w:r>
      <w:r>
        <w:rPr>
          <w:rFonts w:hint="eastAsia"/>
          <w:color w:val="auto"/>
          <w:lang w:val="en-US" w:eastAsia="zh-CN"/>
        </w:rPr>
        <w:t>医院</w:t>
      </w:r>
      <w:r>
        <w:rPr>
          <w:rFonts w:hint="default"/>
          <w:color w:val="auto"/>
          <w:lang w:val="en-US" w:eastAsia="zh-CN"/>
        </w:rPr>
        <w:t>对上述技术资料及系统数据享有使用权、复制权、修改权及处置权，可自行或委托第三方开展系统运维、升级改造、功能适配及数据迁移等工作，</w:t>
      </w:r>
      <w:r>
        <w:rPr>
          <w:rFonts w:hint="eastAsia"/>
          <w:color w:val="auto"/>
          <w:lang w:val="en-US" w:eastAsia="zh-CN"/>
        </w:rPr>
        <w:t>供应商</w:t>
      </w:r>
      <w:r>
        <w:rPr>
          <w:rFonts w:hint="default"/>
          <w:color w:val="auto"/>
          <w:lang w:val="en-US" w:eastAsia="zh-CN"/>
        </w:rPr>
        <w:t>不得设置任何技术限制或附加约束条件。</w:t>
      </w:r>
      <w:r>
        <w:rPr>
          <w:rFonts w:hint="eastAsia"/>
          <w:color w:val="auto"/>
          <w:lang w:val="en-US" w:eastAsia="zh-CN"/>
        </w:rPr>
        <w:t>供应商</w:t>
      </w:r>
      <w:r>
        <w:rPr>
          <w:rFonts w:hint="default"/>
          <w:color w:val="auto"/>
          <w:lang w:val="en-US" w:eastAsia="zh-CN"/>
        </w:rPr>
        <w:t>保证所提供成果不存在知识产权瑕疵，不侵犯任何第三方合法权益。 如</w:t>
      </w:r>
      <w:r>
        <w:rPr>
          <w:rFonts w:hint="eastAsia"/>
          <w:color w:val="auto"/>
          <w:lang w:val="en-US" w:eastAsia="zh-CN"/>
        </w:rPr>
        <w:t>供应商</w:t>
      </w:r>
      <w:r>
        <w:rPr>
          <w:rFonts w:hint="default"/>
          <w:color w:val="auto"/>
          <w:lang w:val="en-US" w:eastAsia="zh-CN"/>
        </w:rPr>
        <w:t>未按约定完整交付</w:t>
      </w:r>
      <w:r>
        <w:rPr>
          <w:rFonts w:hint="eastAsia"/>
          <w:color w:val="auto"/>
          <w:lang w:val="en-US" w:eastAsia="zh-CN"/>
        </w:rPr>
        <w:t>资料</w:t>
      </w:r>
      <w:r>
        <w:rPr>
          <w:rFonts w:hint="default"/>
          <w:color w:val="auto"/>
          <w:lang w:val="en-US" w:eastAsia="zh-CN"/>
        </w:rPr>
        <w:t>、存在权属瑕疵或拒绝配合移交工作，</w:t>
      </w:r>
      <w:r>
        <w:rPr>
          <w:rFonts w:hint="eastAsia"/>
          <w:color w:val="auto"/>
          <w:lang w:val="en-US" w:eastAsia="zh-CN"/>
        </w:rPr>
        <w:t>医院</w:t>
      </w:r>
      <w:r>
        <w:rPr>
          <w:rFonts w:hint="default"/>
          <w:color w:val="auto"/>
          <w:lang w:val="en-US" w:eastAsia="zh-CN"/>
        </w:rPr>
        <w:t>有权暂缓验收、暂停支付款项。</w:t>
      </w:r>
    </w:p>
    <w:p w14:paraId="7C3C386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5D587B4B">
      <w:pPr>
        <w:pStyle w:val="14"/>
        <w:rPr>
          <w:rFonts w:hint="eastAsia"/>
          <w:color w:val="auto"/>
          <w:lang w:val="en-US" w:eastAsia="zh-CN"/>
        </w:rPr>
      </w:pPr>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7" w:name="_Toc17565"/>
      <w:r>
        <w:rPr>
          <w:rFonts w:hint="eastAsia"/>
          <w:color w:val="auto"/>
          <w:lang w:val="en-US" w:eastAsia="zh-CN"/>
        </w:rPr>
        <w:t>五、三甲综合医院同类项目案例</w:t>
      </w:r>
      <w:bookmarkEnd w:id="27"/>
    </w:p>
    <w:p w14:paraId="075950E2">
      <w:pPr>
        <w:pStyle w:val="3"/>
        <w:bidi w:val="0"/>
        <w:ind w:firstLine="482" w:firstLineChars="200"/>
        <w:rPr>
          <w:rFonts w:hint="eastAsia"/>
          <w:color w:val="auto"/>
          <w:lang w:val="en-US" w:eastAsia="zh-CN"/>
        </w:rPr>
      </w:pPr>
      <w:bookmarkStart w:id="28" w:name="_Toc29430"/>
      <w:r>
        <w:rPr>
          <w:rFonts w:hint="eastAsia"/>
          <w:color w:val="auto"/>
          <w:lang w:val="en-US" w:eastAsia="zh-CN"/>
        </w:rPr>
        <w:t>4.1四川省内（）家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2"/>
        <w:ind w:firstLine="0" w:firstLineChars="0"/>
        <w:rPr>
          <w:rFonts w:hint="eastAsia" w:ascii="仿宋" w:hAnsi="仿宋" w:eastAsia="仿宋" w:cs="仿宋"/>
          <w:color w:val="auto"/>
          <w:sz w:val="30"/>
          <w:szCs w:val="30"/>
        </w:rPr>
      </w:pPr>
    </w:p>
    <w:p w14:paraId="62CB2C95">
      <w:pPr>
        <w:pStyle w:val="14"/>
        <w:rPr>
          <w:rFonts w:hint="eastAsia" w:ascii="仿宋" w:hAnsi="仿宋" w:eastAsia="仿宋" w:cs="仿宋"/>
          <w:color w:val="auto"/>
          <w:kern w:val="2"/>
          <w:sz w:val="30"/>
          <w:szCs w:val="30"/>
        </w:rPr>
      </w:pPr>
    </w:p>
    <w:p w14:paraId="6FFD4938">
      <w:pPr>
        <w:pStyle w:val="14"/>
        <w:rPr>
          <w:rFonts w:hint="eastAsia" w:ascii="仿宋" w:hAnsi="仿宋" w:eastAsia="仿宋" w:cs="仿宋"/>
          <w:color w:val="auto"/>
          <w:kern w:val="2"/>
          <w:sz w:val="30"/>
          <w:szCs w:val="30"/>
        </w:rPr>
      </w:pPr>
    </w:p>
    <w:p w14:paraId="54849A12">
      <w:pPr>
        <w:pStyle w:val="14"/>
        <w:rPr>
          <w:rFonts w:hint="eastAsia" w:ascii="仿宋" w:hAnsi="仿宋" w:eastAsia="仿宋" w:cs="仿宋"/>
          <w:color w:val="auto"/>
          <w:kern w:val="2"/>
          <w:sz w:val="30"/>
          <w:szCs w:val="30"/>
        </w:rPr>
      </w:pPr>
    </w:p>
    <w:p w14:paraId="73DB42E5">
      <w:pPr>
        <w:pStyle w:val="14"/>
        <w:rPr>
          <w:rFonts w:hint="eastAsia" w:ascii="仿宋" w:hAnsi="仿宋" w:eastAsia="仿宋" w:cs="仿宋"/>
          <w:color w:val="auto"/>
          <w:kern w:val="2"/>
          <w:sz w:val="30"/>
          <w:szCs w:val="30"/>
        </w:rPr>
      </w:pPr>
    </w:p>
    <w:p w14:paraId="3B4BCB70">
      <w:pPr>
        <w:pStyle w:val="14"/>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9" w:name="_Toc8493"/>
      <w:r>
        <w:rPr>
          <w:rFonts w:hint="eastAsia"/>
          <w:color w:val="auto"/>
          <w:lang w:val="en-US" w:eastAsia="zh-CN"/>
        </w:rPr>
        <w:t>4.1四川省外（）家</w:t>
      </w:r>
      <w:bookmarkEnd w:id="29"/>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30" w:name="_Toc138151651"/>
      <w:bookmarkStart w:id="31" w:name="_Toc7986"/>
      <w:r>
        <w:rPr>
          <w:rFonts w:hint="eastAsia"/>
          <w:color w:val="auto"/>
          <w:lang w:val="en-US" w:eastAsia="zh-CN"/>
        </w:rPr>
        <w:t>4.3三甲综合医院同类项目案例合同及验收佐证</w:t>
      </w:r>
      <w:bookmarkEnd w:id="30"/>
      <w:bookmarkEnd w:id="31"/>
    </w:p>
    <w:p w14:paraId="37ACC053">
      <w:pPr>
        <w:pStyle w:val="14"/>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2" w:name="_Toc11734"/>
      <w:r>
        <w:rPr>
          <w:rFonts w:hint="eastAsia"/>
          <w:color w:val="auto"/>
          <w:lang w:val="en-US" w:eastAsia="zh-CN"/>
        </w:rPr>
        <w:t>六、服务方案</w:t>
      </w:r>
      <w:bookmarkEnd w:id="32"/>
    </w:p>
    <w:p w14:paraId="684FC671">
      <w:pPr>
        <w:bidi w:val="0"/>
        <w:rPr>
          <w:rFonts w:hint="eastAsia"/>
          <w:color w:val="auto"/>
          <w:lang w:val="en-US" w:eastAsia="zh-CN"/>
        </w:rPr>
      </w:pPr>
      <w:bookmarkStart w:id="33" w:name="_Toc138151653"/>
      <w:r>
        <w:rPr>
          <w:rFonts w:hint="eastAsia"/>
          <w:color w:val="auto"/>
          <w:lang w:val="en-US" w:eastAsia="zh-CN"/>
        </w:rPr>
        <w:t>（包含以上内容，其他内容自拟）</w:t>
      </w:r>
    </w:p>
    <w:bookmarkEnd w:id="33"/>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0A5056-D463-4BC2-A182-F4B17C3561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680DF5A-D8EF-4E9A-B962-F78D82D79AF4}"/>
  </w:font>
  <w:font w:name="仿宋">
    <w:panose1 w:val="02010609060101010101"/>
    <w:charset w:val="86"/>
    <w:family w:val="auto"/>
    <w:pitch w:val="default"/>
    <w:sig w:usb0="800002BF" w:usb1="38CF7CFA" w:usb2="00000016" w:usb3="00000000" w:csb0="00040001" w:csb1="00000000"/>
    <w:embedRegular r:id="rId3" w:fontKey="{9BC8617A-C88F-4B65-8C3E-DC5481013A82}"/>
  </w:font>
  <w:font w:name="方正小标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embedRegular r:id="rId4" w:fontKey="{BCE849B0-F345-4D04-866B-7D2AA610AE89}"/>
  </w:font>
  <w:font w:name="WPSEMBED8">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9B2F1"/>
    <w:multiLevelType w:val="singleLevel"/>
    <w:tmpl w:val="A9D9B2F1"/>
    <w:lvl w:ilvl="0" w:tentative="0">
      <w:start w:val="1"/>
      <w:numFmt w:val="decimal"/>
      <w:suff w:val="nothing"/>
      <w:lvlText w:val="%1．"/>
      <w:lvlJc w:val="left"/>
      <w:pPr>
        <w:ind w:left="0" w:firstLine="400"/>
      </w:pPr>
      <w:rPr>
        <w:rFonts w:hint="default"/>
        <w:color w:val="7030A0"/>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0885B23"/>
    <w:rsid w:val="01CB5422"/>
    <w:rsid w:val="01D52A58"/>
    <w:rsid w:val="0224038E"/>
    <w:rsid w:val="02CE7139"/>
    <w:rsid w:val="03157A96"/>
    <w:rsid w:val="03163E1D"/>
    <w:rsid w:val="03530F6F"/>
    <w:rsid w:val="03552A08"/>
    <w:rsid w:val="03675EC4"/>
    <w:rsid w:val="03D3104E"/>
    <w:rsid w:val="04275A22"/>
    <w:rsid w:val="04593878"/>
    <w:rsid w:val="052B1309"/>
    <w:rsid w:val="067C1B91"/>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056A05"/>
    <w:rsid w:val="0E154AB8"/>
    <w:rsid w:val="0E236E8B"/>
    <w:rsid w:val="0E266744"/>
    <w:rsid w:val="0EA93CA3"/>
    <w:rsid w:val="0F7C3008"/>
    <w:rsid w:val="0FE60171"/>
    <w:rsid w:val="10AE73EC"/>
    <w:rsid w:val="11111FC4"/>
    <w:rsid w:val="1118101A"/>
    <w:rsid w:val="11DA6532"/>
    <w:rsid w:val="121A3D4C"/>
    <w:rsid w:val="126B2BAF"/>
    <w:rsid w:val="12B91B6C"/>
    <w:rsid w:val="134306AA"/>
    <w:rsid w:val="134A6465"/>
    <w:rsid w:val="135A02D0"/>
    <w:rsid w:val="13712447"/>
    <w:rsid w:val="137E6021"/>
    <w:rsid w:val="139D7869"/>
    <w:rsid w:val="13EC5F71"/>
    <w:rsid w:val="147A721A"/>
    <w:rsid w:val="14E013D0"/>
    <w:rsid w:val="14F31935"/>
    <w:rsid w:val="152A0AFF"/>
    <w:rsid w:val="15B825AF"/>
    <w:rsid w:val="15CF1F26"/>
    <w:rsid w:val="15E02221"/>
    <w:rsid w:val="16207B77"/>
    <w:rsid w:val="16B36D4D"/>
    <w:rsid w:val="183258F7"/>
    <w:rsid w:val="18342516"/>
    <w:rsid w:val="18552DB3"/>
    <w:rsid w:val="189E2676"/>
    <w:rsid w:val="18C17DE5"/>
    <w:rsid w:val="18D92EBD"/>
    <w:rsid w:val="1A44658D"/>
    <w:rsid w:val="1AAF2DD5"/>
    <w:rsid w:val="1AC716B0"/>
    <w:rsid w:val="1AE31E7C"/>
    <w:rsid w:val="1B46204F"/>
    <w:rsid w:val="1B99074F"/>
    <w:rsid w:val="1B9B7856"/>
    <w:rsid w:val="1BB8428A"/>
    <w:rsid w:val="1BBC5511"/>
    <w:rsid w:val="1CFC6AF6"/>
    <w:rsid w:val="1DBE13B8"/>
    <w:rsid w:val="1DD609E7"/>
    <w:rsid w:val="1DE303E5"/>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2C11246"/>
    <w:rsid w:val="236C2324"/>
    <w:rsid w:val="23E16FFF"/>
    <w:rsid w:val="23E3036F"/>
    <w:rsid w:val="249266C1"/>
    <w:rsid w:val="25333A00"/>
    <w:rsid w:val="25380CA0"/>
    <w:rsid w:val="257D0110"/>
    <w:rsid w:val="25C63BAB"/>
    <w:rsid w:val="25C67C05"/>
    <w:rsid w:val="25D70354"/>
    <w:rsid w:val="263578BE"/>
    <w:rsid w:val="263D04BC"/>
    <w:rsid w:val="264D0C78"/>
    <w:rsid w:val="26A70C65"/>
    <w:rsid w:val="26E1123A"/>
    <w:rsid w:val="27026A05"/>
    <w:rsid w:val="270C409F"/>
    <w:rsid w:val="27415819"/>
    <w:rsid w:val="274F108A"/>
    <w:rsid w:val="2777374E"/>
    <w:rsid w:val="28001FD3"/>
    <w:rsid w:val="283860D8"/>
    <w:rsid w:val="287560DE"/>
    <w:rsid w:val="28C11323"/>
    <w:rsid w:val="29C00667"/>
    <w:rsid w:val="29D6511A"/>
    <w:rsid w:val="29FF496C"/>
    <w:rsid w:val="2A1F28C7"/>
    <w:rsid w:val="2B8925CC"/>
    <w:rsid w:val="2BA328F5"/>
    <w:rsid w:val="2C6F6170"/>
    <w:rsid w:val="2C8B2374"/>
    <w:rsid w:val="2C9F6F43"/>
    <w:rsid w:val="2D5664DE"/>
    <w:rsid w:val="2D755A60"/>
    <w:rsid w:val="2DCB175A"/>
    <w:rsid w:val="2E4C744E"/>
    <w:rsid w:val="2E8E10D4"/>
    <w:rsid w:val="2F62381D"/>
    <w:rsid w:val="305F1B4D"/>
    <w:rsid w:val="30C93B1B"/>
    <w:rsid w:val="311A3CC6"/>
    <w:rsid w:val="316E7B6E"/>
    <w:rsid w:val="31C92F18"/>
    <w:rsid w:val="32024D28"/>
    <w:rsid w:val="32094F70"/>
    <w:rsid w:val="335F5D78"/>
    <w:rsid w:val="337511B1"/>
    <w:rsid w:val="337D4C69"/>
    <w:rsid w:val="33935522"/>
    <w:rsid w:val="343B467F"/>
    <w:rsid w:val="34535875"/>
    <w:rsid w:val="34A915E9"/>
    <w:rsid w:val="34AF257B"/>
    <w:rsid w:val="34B66051"/>
    <w:rsid w:val="36C21BE7"/>
    <w:rsid w:val="36C267C0"/>
    <w:rsid w:val="36C450EA"/>
    <w:rsid w:val="372B5D93"/>
    <w:rsid w:val="375B0AE1"/>
    <w:rsid w:val="386C41A1"/>
    <w:rsid w:val="38761053"/>
    <w:rsid w:val="38A804E3"/>
    <w:rsid w:val="390E232D"/>
    <w:rsid w:val="39106763"/>
    <w:rsid w:val="3A116084"/>
    <w:rsid w:val="3A763162"/>
    <w:rsid w:val="3A985554"/>
    <w:rsid w:val="3AAB598F"/>
    <w:rsid w:val="3B020707"/>
    <w:rsid w:val="3B9C785C"/>
    <w:rsid w:val="3C2F2831"/>
    <w:rsid w:val="3D4435C6"/>
    <w:rsid w:val="3D8E5A8D"/>
    <w:rsid w:val="3DCC00F6"/>
    <w:rsid w:val="3E6D1D46"/>
    <w:rsid w:val="3E924036"/>
    <w:rsid w:val="3EBE4976"/>
    <w:rsid w:val="3EF73899"/>
    <w:rsid w:val="3F282526"/>
    <w:rsid w:val="400101C3"/>
    <w:rsid w:val="405F16F6"/>
    <w:rsid w:val="40842F0A"/>
    <w:rsid w:val="40F732B0"/>
    <w:rsid w:val="4195297C"/>
    <w:rsid w:val="41957568"/>
    <w:rsid w:val="41F10082"/>
    <w:rsid w:val="41F702EE"/>
    <w:rsid w:val="420704CD"/>
    <w:rsid w:val="428970E4"/>
    <w:rsid w:val="42B83DC2"/>
    <w:rsid w:val="42BD668F"/>
    <w:rsid w:val="42D82436"/>
    <w:rsid w:val="43161672"/>
    <w:rsid w:val="43241EF6"/>
    <w:rsid w:val="43431778"/>
    <w:rsid w:val="4394151F"/>
    <w:rsid w:val="44084F35"/>
    <w:rsid w:val="44806E09"/>
    <w:rsid w:val="44BE1658"/>
    <w:rsid w:val="45B45D7E"/>
    <w:rsid w:val="46205483"/>
    <w:rsid w:val="46241EA6"/>
    <w:rsid w:val="46C53FAB"/>
    <w:rsid w:val="46D544C0"/>
    <w:rsid w:val="46DB13AA"/>
    <w:rsid w:val="47823284"/>
    <w:rsid w:val="47CF4028"/>
    <w:rsid w:val="47E67906"/>
    <w:rsid w:val="485431F5"/>
    <w:rsid w:val="485E35F8"/>
    <w:rsid w:val="49550899"/>
    <w:rsid w:val="49BA2D04"/>
    <w:rsid w:val="49BB0786"/>
    <w:rsid w:val="4A167183"/>
    <w:rsid w:val="4A733A58"/>
    <w:rsid w:val="4AD8713A"/>
    <w:rsid w:val="4B46773A"/>
    <w:rsid w:val="4B643ABC"/>
    <w:rsid w:val="4B6E7B09"/>
    <w:rsid w:val="4B9F639D"/>
    <w:rsid w:val="4BA5341F"/>
    <w:rsid w:val="4BB76564"/>
    <w:rsid w:val="4BC230D9"/>
    <w:rsid w:val="4C9358A6"/>
    <w:rsid w:val="4CA34014"/>
    <w:rsid w:val="4CE52F83"/>
    <w:rsid w:val="4D696680"/>
    <w:rsid w:val="4F437CCA"/>
    <w:rsid w:val="4F4F10AC"/>
    <w:rsid w:val="4F5F64BA"/>
    <w:rsid w:val="4F90667E"/>
    <w:rsid w:val="4FB545D4"/>
    <w:rsid w:val="4FDD301E"/>
    <w:rsid w:val="502E58AD"/>
    <w:rsid w:val="506E0570"/>
    <w:rsid w:val="50B25872"/>
    <w:rsid w:val="50F327CB"/>
    <w:rsid w:val="51B47BC2"/>
    <w:rsid w:val="51D146FE"/>
    <w:rsid w:val="524D13AE"/>
    <w:rsid w:val="52B471BF"/>
    <w:rsid w:val="52C32D67"/>
    <w:rsid w:val="52FD5CE8"/>
    <w:rsid w:val="5339476F"/>
    <w:rsid w:val="536B2A7D"/>
    <w:rsid w:val="53DE59A8"/>
    <w:rsid w:val="53E51F5E"/>
    <w:rsid w:val="541505F1"/>
    <w:rsid w:val="54230D52"/>
    <w:rsid w:val="54400E09"/>
    <w:rsid w:val="54707AC1"/>
    <w:rsid w:val="54CB6F02"/>
    <w:rsid w:val="55B6522E"/>
    <w:rsid w:val="55EA6E3F"/>
    <w:rsid w:val="56A06471"/>
    <w:rsid w:val="56EB682C"/>
    <w:rsid w:val="5715646F"/>
    <w:rsid w:val="57626D08"/>
    <w:rsid w:val="57E56101"/>
    <w:rsid w:val="581F4351"/>
    <w:rsid w:val="58286EBC"/>
    <w:rsid w:val="585E1C89"/>
    <w:rsid w:val="58AB2CC4"/>
    <w:rsid w:val="59410223"/>
    <w:rsid w:val="596F2EE5"/>
    <w:rsid w:val="59723D50"/>
    <w:rsid w:val="59814033"/>
    <w:rsid w:val="5A864B12"/>
    <w:rsid w:val="5A920D49"/>
    <w:rsid w:val="5B4B35D6"/>
    <w:rsid w:val="5BB10EFE"/>
    <w:rsid w:val="5C682BA7"/>
    <w:rsid w:val="5D6D7971"/>
    <w:rsid w:val="5D762C66"/>
    <w:rsid w:val="5DD11B6F"/>
    <w:rsid w:val="5DEA79AF"/>
    <w:rsid w:val="5E2F3B42"/>
    <w:rsid w:val="5EEA2239"/>
    <w:rsid w:val="5F035078"/>
    <w:rsid w:val="5F4131D6"/>
    <w:rsid w:val="5F6F0822"/>
    <w:rsid w:val="5F744CAA"/>
    <w:rsid w:val="5F957CDE"/>
    <w:rsid w:val="5FD2383A"/>
    <w:rsid w:val="5FDD7E71"/>
    <w:rsid w:val="6108231E"/>
    <w:rsid w:val="614754E2"/>
    <w:rsid w:val="620F48D2"/>
    <w:rsid w:val="62143C96"/>
    <w:rsid w:val="62561308"/>
    <w:rsid w:val="62927E29"/>
    <w:rsid w:val="62DD052C"/>
    <w:rsid w:val="62E054D8"/>
    <w:rsid w:val="637335B7"/>
    <w:rsid w:val="638251B1"/>
    <w:rsid w:val="63BC0B4D"/>
    <w:rsid w:val="640D6CAC"/>
    <w:rsid w:val="64105038"/>
    <w:rsid w:val="644B199A"/>
    <w:rsid w:val="64D6157E"/>
    <w:rsid w:val="653C3FD8"/>
    <w:rsid w:val="65815AE7"/>
    <w:rsid w:val="65B14764"/>
    <w:rsid w:val="66180254"/>
    <w:rsid w:val="66936F5E"/>
    <w:rsid w:val="67CB7B5D"/>
    <w:rsid w:val="687304EE"/>
    <w:rsid w:val="68783C73"/>
    <w:rsid w:val="68866F70"/>
    <w:rsid w:val="68EC7555"/>
    <w:rsid w:val="690B4CB3"/>
    <w:rsid w:val="693862AF"/>
    <w:rsid w:val="6A515C4D"/>
    <w:rsid w:val="6A961A6F"/>
    <w:rsid w:val="6A987C6E"/>
    <w:rsid w:val="6C300DB3"/>
    <w:rsid w:val="6C8D73F3"/>
    <w:rsid w:val="6CFB4623"/>
    <w:rsid w:val="6D4B29EE"/>
    <w:rsid w:val="6D6D71FE"/>
    <w:rsid w:val="6E891670"/>
    <w:rsid w:val="6EC06CA8"/>
    <w:rsid w:val="6EED01BE"/>
    <w:rsid w:val="6F057177"/>
    <w:rsid w:val="6F593B69"/>
    <w:rsid w:val="6F64269F"/>
    <w:rsid w:val="6FCD7A7D"/>
    <w:rsid w:val="70230A50"/>
    <w:rsid w:val="70457313"/>
    <w:rsid w:val="70690760"/>
    <w:rsid w:val="709E1F5D"/>
    <w:rsid w:val="70C1323B"/>
    <w:rsid w:val="70C85336"/>
    <w:rsid w:val="70E10E55"/>
    <w:rsid w:val="712612D9"/>
    <w:rsid w:val="718B036D"/>
    <w:rsid w:val="718F390E"/>
    <w:rsid w:val="71B2000E"/>
    <w:rsid w:val="72307267"/>
    <w:rsid w:val="725577F4"/>
    <w:rsid w:val="73593BFF"/>
    <w:rsid w:val="73A103C3"/>
    <w:rsid w:val="740C7A72"/>
    <w:rsid w:val="744F23F4"/>
    <w:rsid w:val="749F1AE5"/>
    <w:rsid w:val="74BE1DD0"/>
    <w:rsid w:val="74F6547D"/>
    <w:rsid w:val="75AA5052"/>
    <w:rsid w:val="75BE2C2C"/>
    <w:rsid w:val="764010A6"/>
    <w:rsid w:val="765F4A43"/>
    <w:rsid w:val="76EB7264"/>
    <w:rsid w:val="7769462C"/>
    <w:rsid w:val="77AB4A55"/>
    <w:rsid w:val="77C35AEB"/>
    <w:rsid w:val="77F5610B"/>
    <w:rsid w:val="78B15C5E"/>
    <w:rsid w:val="79175759"/>
    <w:rsid w:val="79C773E8"/>
    <w:rsid w:val="7B035A20"/>
    <w:rsid w:val="7B224A66"/>
    <w:rsid w:val="7BBE620D"/>
    <w:rsid w:val="7BF07693"/>
    <w:rsid w:val="7BFB064C"/>
    <w:rsid w:val="7C785E63"/>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81"/>
    <w:basedOn w:val="12"/>
    <w:qFormat/>
    <w:uiPriority w:val="0"/>
    <w:rPr>
      <w:rFonts w:hint="eastAsia" w:ascii="仿宋" w:hAnsi="仿宋" w:eastAsia="仿宋" w:cs="仿宋"/>
      <w:color w:val="FF0000"/>
      <w:sz w:val="24"/>
      <w:szCs w:val="24"/>
      <w:u w:val="none"/>
    </w:rPr>
  </w:style>
  <w:style w:type="character" w:customStyle="1" w:styleId="16">
    <w:name w:val="font61"/>
    <w:basedOn w:val="12"/>
    <w:qFormat/>
    <w:uiPriority w:val="0"/>
    <w:rPr>
      <w:rFonts w:hint="eastAsia" w:ascii="仿宋" w:hAnsi="仿宋" w:eastAsia="仿宋" w:cs="仿宋"/>
      <w:color w:val="000000"/>
      <w:sz w:val="24"/>
      <w:szCs w:val="24"/>
      <w:u w:val="none"/>
    </w:rPr>
  </w:style>
  <w:style w:type="character" w:customStyle="1" w:styleId="17">
    <w:name w:val="font41"/>
    <w:basedOn w:val="12"/>
    <w:qFormat/>
    <w:uiPriority w:val="0"/>
    <w:rPr>
      <w:rFonts w:hint="eastAsia" w:ascii="仿宋" w:hAnsi="仿宋" w:eastAsia="仿宋" w:cs="仿宋"/>
      <w:color w:val="000000"/>
      <w:sz w:val="24"/>
      <w:szCs w:val="24"/>
      <w:u w:val="none"/>
    </w:rPr>
  </w:style>
  <w:style w:type="character" w:customStyle="1" w:styleId="18">
    <w:name w:val="font71"/>
    <w:basedOn w:val="12"/>
    <w:qFormat/>
    <w:uiPriority w:val="0"/>
    <w:rPr>
      <w:rFonts w:hint="eastAsia" w:ascii="仿宋" w:hAnsi="仿宋" w:eastAsia="仿宋" w:cs="仿宋"/>
      <w:color w:val="0070C0"/>
      <w:sz w:val="24"/>
      <w:szCs w:val="24"/>
      <w:u w:val="none"/>
    </w:rPr>
  </w:style>
  <w:style w:type="character" w:customStyle="1" w:styleId="19">
    <w:name w:val="font51"/>
    <w:basedOn w:val="12"/>
    <w:qFormat/>
    <w:uiPriority w:val="0"/>
    <w:rPr>
      <w:rFonts w:hint="eastAsia" w:ascii="宋体" w:hAnsi="宋体" w:eastAsia="宋体" w:cs="宋体"/>
      <w:color w:val="000000"/>
      <w:sz w:val="24"/>
      <w:szCs w:val="24"/>
      <w:u w:val="none"/>
    </w:rPr>
  </w:style>
  <w:style w:type="character" w:customStyle="1" w:styleId="20">
    <w:name w:val="font2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eastAsia" w:ascii="宋体" w:hAnsi="宋体" w:eastAsia="宋体" w:cs="宋体"/>
      <w:b/>
      <w:bCs/>
      <w:color w:val="000000"/>
      <w:sz w:val="24"/>
      <w:szCs w:val="24"/>
      <w:u w:val="none"/>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3">
    <w:name w:val="font31"/>
    <w:basedOn w:val="12"/>
    <w:qFormat/>
    <w:uiPriority w:val="0"/>
    <w:rPr>
      <w:rFonts w:hint="eastAsia" w:ascii="宋体" w:hAnsi="宋体" w:eastAsia="宋体" w:cs="宋体"/>
      <w:color w:val="000000"/>
      <w:sz w:val="24"/>
      <w:szCs w:val="24"/>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4724</Words>
  <Characters>4959</Characters>
  <Lines>0</Lines>
  <Paragraphs>0</Paragraphs>
  <TotalTime>7</TotalTime>
  <ScaleCrop>false</ScaleCrop>
  <LinksUpToDate>false</LinksUpToDate>
  <CharactersWithSpaces>5074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2026-06-16T09:03:12Z</cp:lastPrinted>
  <dcterms:modified xsi:type="dcterms:W3CDTF">2026-06-16T09:14:47Z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