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D25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auto"/>
          <w:kern w:val="0"/>
          <w:sz w:val="36"/>
          <w:szCs w:val="36"/>
          <w:u w:val="none"/>
          <w:lang w:val="en-US" w:eastAsia="zh-CN" w:bidi="ar"/>
        </w:rPr>
      </w:pPr>
      <w:bookmarkStart w:id="0" w:name="OLE_LINK2"/>
      <w:r>
        <w:rPr>
          <w:rFonts w:hint="eastAsia" w:ascii="黑体" w:hAnsi="黑体" w:eastAsia="黑体" w:cs="黑体"/>
          <w:b w:val="0"/>
          <w:bCs w:val="0"/>
          <w:i w:val="0"/>
          <w:iCs w:val="0"/>
          <w:color w:val="auto"/>
          <w:kern w:val="0"/>
          <w:sz w:val="36"/>
          <w:szCs w:val="36"/>
          <w:u w:val="none"/>
          <w:lang w:val="en-US" w:eastAsia="zh-CN" w:bidi="ar"/>
        </w:rPr>
        <w:t>资阳市中心医院</w:t>
      </w:r>
      <w:r>
        <w:rPr>
          <w:rFonts w:hint="eastAsia" w:ascii="黑体" w:hAnsi="黑体" w:eastAsia="黑体" w:cs="黑体"/>
          <w:b w:val="0"/>
          <w:bCs w:val="0"/>
          <w:i w:val="0"/>
          <w:iCs w:val="0"/>
          <w:color w:val="auto"/>
          <w:kern w:val="0"/>
          <w:sz w:val="36"/>
          <w:szCs w:val="36"/>
          <w:u w:val="none"/>
          <w:lang w:val="en-US" w:eastAsia="zh-CN" w:bidi="ar"/>
        </w:rPr>
        <w:br w:type="textWrapping"/>
      </w:r>
      <w:r>
        <w:rPr>
          <w:rFonts w:hint="eastAsia" w:ascii="黑体" w:hAnsi="黑体" w:eastAsia="黑体" w:cs="黑体"/>
          <w:b w:val="0"/>
          <w:bCs w:val="0"/>
          <w:i w:val="0"/>
          <w:iCs w:val="0"/>
          <w:color w:val="auto"/>
          <w:kern w:val="0"/>
          <w:sz w:val="36"/>
          <w:szCs w:val="36"/>
          <w:u w:val="none"/>
          <w:lang w:val="en-US" w:eastAsia="zh-CN" w:bidi="ar"/>
        </w:rPr>
        <w:t>电子票据系统承接服务项目调研公告（第三次）</w:t>
      </w:r>
    </w:p>
    <w:p w14:paraId="1E929F61">
      <w:pPr>
        <w:pStyle w:val="5"/>
        <w:keepNext w:val="0"/>
        <w:keepLines w:val="0"/>
        <w:pageBreakBefore w:val="0"/>
        <w:kinsoku/>
        <w:wordWrap/>
        <w:overflowPunct/>
        <w:topLinePunct w:val="0"/>
        <w:autoSpaceDE/>
        <w:autoSpaceDN/>
        <w:bidi w:val="0"/>
        <w:adjustRightInd/>
        <w:snapToGrid/>
        <w:spacing w:line="400" w:lineRule="exact"/>
        <w:ind w:firstLine="560" w:firstLineChars="200"/>
        <w:rPr>
          <w:rFonts w:hint="eastAsia" w:ascii="仿宋" w:hAnsi="仿宋" w:eastAsia="仿宋" w:cs="仿宋"/>
          <w:i w:val="0"/>
          <w:iCs w:val="0"/>
          <w:color w:val="auto"/>
          <w:sz w:val="28"/>
          <w:szCs w:val="28"/>
          <w:u w:val="none"/>
          <w:lang w:val="en-US" w:eastAsia="zh-CN"/>
        </w:rPr>
      </w:pPr>
    </w:p>
    <w:p w14:paraId="09E78C9C">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因医院业务</w:t>
      </w:r>
      <w:r>
        <w:rPr>
          <w:rFonts w:hint="eastAsia" w:ascii="仿宋" w:hAnsi="仿宋" w:cs="仿宋"/>
          <w:i w:val="0"/>
          <w:iCs w:val="0"/>
          <w:color w:val="auto"/>
          <w:sz w:val="28"/>
          <w:szCs w:val="28"/>
          <w:u w:val="none"/>
          <w:lang w:val="en-US" w:eastAsia="zh-CN"/>
        </w:rPr>
        <w:t>发展</w:t>
      </w:r>
      <w:r>
        <w:rPr>
          <w:rFonts w:hint="eastAsia" w:ascii="仿宋" w:hAnsi="仿宋" w:eastAsia="仿宋" w:cs="仿宋"/>
          <w:i w:val="0"/>
          <w:iCs w:val="0"/>
          <w:color w:val="auto"/>
          <w:sz w:val="28"/>
          <w:szCs w:val="28"/>
          <w:u w:val="none"/>
          <w:lang w:val="en-US" w:eastAsia="zh-CN"/>
        </w:rPr>
        <w:t>需要，</w:t>
      </w:r>
      <w:r>
        <w:rPr>
          <w:rFonts w:hint="eastAsia" w:ascii="仿宋" w:hAnsi="仿宋" w:cs="仿宋"/>
          <w:i w:val="0"/>
          <w:iCs w:val="0"/>
          <w:color w:val="auto"/>
          <w:sz w:val="28"/>
          <w:szCs w:val="28"/>
          <w:u w:val="none"/>
          <w:lang w:val="en-US" w:eastAsia="zh-CN"/>
        </w:rPr>
        <w:t>对电子票据系统承接</w:t>
      </w:r>
      <w:r>
        <w:rPr>
          <w:rFonts w:hint="eastAsia" w:ascii="仿宋" w:hAnsi="仿宋" w:eastAsia="仿宋" w:cs="仿宋"/>
          <w:i w:val="0"/>
          <w:iCs w:val="0"/>
          <w:color w:val="auto"/>
          <w:sz w:val="28"/>
          <w:szCs w:val="28"/>
          <w:u w:val="none"/>
          <w:lang w:val="en-US" w:eastAsia="zh-CN"/>
        </w:rPr>
        <w:t>服务</w:t>
      </w:r>
      <w:r>
        <w:rPr>
          <w:rFonts w:hint="eastAsia" w:ascii="仿宋" w:hAnsi="仿宋" w:cs="仿宋"/>
          <w:i w:val="0"/>
          <w:iCs w:val="0"/>
          <w:color w:val="auto"/>
          <w:sz w:val="28"/>
          <w:szCs w:val="28"/>
          <w:u w:val="none"/>
          <w:lang w:val="en-US" w:eastAsia="zh-CN"/>
        </w:rPr>
        <w:t>项目</w:t>
      </w:r>
      <w:r>
        <w:rPr>
          <w:rFonts w:hint="eastAsia" w:ascii="仿宋" w:hAnsi="仿宋" w:eastAsia="仿宋" w:cs="仿宋"/>
          <w:i w:val="0"/>
          <w:iCs w:val="0"/>
          <w:color w:val="auto"/>
          <w:sz w:val="28"/>
          <w:szCs w:val="28"/>
          <w:u w:val="none"/>
          <w:lang w:val="en-US" w:eastAsia="zh-CN"/>
        </w:rPr>
        <w:t>进行市场调研</w:t>
      </w:r>
      <w:r>
        <w:rPr>
          <w:rFonts w:ascii="仿宋" w:hAnsi="仿宋" w:eastAsia="仿宋" w:cs="仿宋"/>
          <w:i w:val="0"/>
          <w:iCs w:val="0"/>
          <w:caps w:val="0"/>
          <w:color w:val="auto"/>
          <w:spacing w:val="0"/>
          <w:sz w:val="28"/>
          <w:szCs w:val="28"/>
          <w:shd w:val="clear" w:fill="FFFFFF"/>
        </w:rPr>
        <w:t>，</w:t>
      </w:r>
      <w:r>
        <w:rPr>
          <w:rFonts w:ascii="仿宋" w:hAnsi="仿宋" w:eastAsia="仿宋" w:cs="仿宋"/>
          <w:i w:val="0"/>
          <w:iCs w:val="0"/>
          <w:caps w:val="0"/>
          <w:color w:val="000000"/>
          <w:spacing w:val="0"/>
          <w:sz w:val="28"/>
          <w:szCs w:val="28"/>
          <w:shd w:val="clear" w:fill="FFFFFF"/>
        </w:rPr>
        <w:t>诚邀</w:t>
      </w:r>
      <w:r>
        <w:rPr>
          <w:rFonts w:hint="eastAsia" w:ascii="仿宋" w:hAnsi="仿宋" w:cs="仿宋"/>
          <w:i w:val="0"/>
          <w:iCs w:val="0"/>
          <w:caps w:val="0"/>
          <w:color w:val="000000"/>
          <w:spacing w:val="0"/>
          <w:sz w:val="28"/>
          <w:szCs w:val="28"/>
          <w:shd w:val="clear" w:fill="FFFFFF"/>
          <w:lang w:val="en-US" w:eastAsia="zh-CN"/>
        </w:rPr>
        <w:t>各</w:t>
      </w:r>
      <w:r>
        <w:rPr>
          <w:rFonts w:ascii="仿宋" w:hAnsi="仿宋" w:eastAsia="仿宋" w:cs="仿宋"/>
          <w:i w:val="0"/>
          <w:iCs w:val="0"/>
          <w:caps w:val="0"/>
          <w:color w:val="000000"/>
          <w:spacing w:val="0"/>
          <w:sz w:val="28"/>
          <w:szCs w:val="28"/>
          <w:shd w:val="clear" w:fill="FFFFFF"/>
        </w:rPr>
        <w:t>潜在供应商报名，</w:t>
      </w:r>
      <w:r>
        <w:rPr>
          <w:rFonts w:ascii="仿宋" w:hAnsi="仿宋" w:eastAsia="仿宋" w:cs="仿宋"/>
          <w:i w:val="0"/>
          <w:iCs w:val="0"/>
          <w:caps w:val="0"/>
          <w:color w:val="auto"/>
          <w:spacing w:val="0"/>
          <w:sz w:val="28"/>
          <w:szCs w:val="28"/>
          <w:shd w:val="clear" w:fill="FFFFFF"/>
        </w:rPr>
        <w:t>现将有关事宜公告如下：</w:t>
      </w:r>
    </w:p>
    <w:p w14:paraId="3BC16C1A">
      <w:pPr>
        <w:keepNext w:val="0"/>
        <w:keepLines w:val="0"/>
        <w:pageBreakBefore w:val="0"/>
        <w:numPr>
          <w:ilvl w:val="0"/>
          <w:numId w:val="0"/>
        </w:numPr>
        <w:kinsoku/>
        <w:wordWrap/>
        <w:overflowPunct/>
        <w:topLinePunct w:val="0"/>
        <w:autoSpaceDE/>
        <w:autoSpaceDN/>
        <w:bidi w:val="0"/>
        <w:adjustRightInd/>
        <w:snapToGrid/>
        <w:spacing w:line="360" w:lineRule="exact"/>
        <w:ind w:leftChars="0" w:firstLine="560" w:firstLineChars="200"/>
        <w:rPr>
          <w:rFonts w:hint="eastAsia" w:ascii="方正黑体简体" w:hAnsi="方正黑体简体" w:eastAsia="方正黑体简体" w:cs="方正黑体简体"/>
          <w:i w:val="0"/>
          <w:iCs w:val="0"/>
          <w:color w:val="auto"/>
          <w:kern w:val="0"/>
          <w:sz w:val="28"/>
          <w:szCs w:val="28"/>
          <w:u w:val="none"/>
          <w:lang w:val="en-US" w:eastAsia="zh-CN" w:bidi="ar"/>
        </w:rPr>
      </w:pPr>
      <w:r>
        <w:rPr>
          <w:rFonts w:hint="eastAsia" w:ascii="方正黑体简体" w:hAnsi="方正黑体简体" w:eastAsia="方正黑体简体" w:cs="方正黑体简体"/>
          <w:i w:val="0"/>
          <w:iCs w:val="0"/>
          <w:color w:val="auto"/>
          <w:kern w:val="0"/>
          <w:sz w:val="28"/>
          <w:szCs w:val="28"/>
          <w:u w:val="none"/>
          <w:lang w:val="en-US" w:eastAsia="zh-CN" w:bidi="ar"/>
        </w:rPr>
        <w:t>一、项目概述</w:t>
      </w:r>
    </w:p>
    <w:p w14:paraId="41DB60BE">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560" w:firstLineChars="200"/>
        <w:textAlignment w:val="auto"/>
        <w:rPr>
          <w:rFonts w:hint="default"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本项目所涉及的系统为银医合作共建系统，医院将启动承接工作，承接享有本项目软件系统的永久使用权；所有用户资料、业务数据、诊疗数据、管理数据、统计数据等全部数据资产，均归医院独有，受相关规定保护。同时，结合财政电子票据跨省报销工作相关要求，我院需对现有电子票据系统进行升级改造并拓展配套功能，同步新增电子票据自动核销模块。一是完成系统功能拓展，实现财政电子票据跨省归集、状态查询、真伪鉴别、报销锁定和报销反馈，全面满足跨省报销运行要求，做到及时反馈报销结果、动态更新票据状态；二是严格遵照全国统一财政电子票据数据规范，改造业务系统与票据管理系统，保障电子票据开具信息完整、准确、规范，同步完善票据冲红锁定、状态查询等配套功能；三是支持结合本院实际业务量，自主选择 “接口查验” 或 “数字账户” 两种模式开展合规报销业务。此外，财政电子票据系统需增设电子票据自动核销功能，要求搭建标准化自动核销规则库、制定规范的自动核销流程，最终实现财政电子票据全流程自动核销。(具体需求详见附件)</w:t>
      </w:r>
    </w:p>
    <w:p w14:paraId="5681129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eastAsia"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二、报名时间、方式</w:t>
      </w:r>
      <w:bookmarkStart w:id="33" w:name="_GoBack"/>
      <w:bookmarkEnd w:id="33"/>
    </w:p>
    <w:p w14:paraId="463FB069">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（一）报名时间：本公告自挂网公告日起，截止时间为自发布公告起第5个工作日（包含发布当天），公告截止日期后递交的报名资料无效。</w:t>
      </w:r>
    </w:p>
    <w:p w14:paraId="3896E83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（二）报名方式:本次市场调研活动采用邮箱报名，不接受现场报名。</w:t>
      </w:r>
    </w:p>
    <w:p w14:paraId="45D1EBEA">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left"/>
        <w:textAlignment w:val="center"/>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三）1.报名资料按附件《报名须知》要求，将电子文档（盖章扫描件和可编辑版本）发送至zyszxyyxxb@163.com，并抄送至zyszxyyxxb001@163.com。邮件名称：“XXXX项目名称+公司名称+联系人+联系电话）”报名资料目录见附件。</w:t>
      </w:r>
    </w:p>
    <w:p w14:paraId="509EDDF0">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2.联系人：</w:t>
      </w:r>
      <w:r>
        <w:rPr>
          <w:rFonts w:hint="eastAsia" w:ascii="仿宋" w:hAnsi="仿宋" w:cs="仿宋"/>
          <w:i w:val="0"/>
          <w:iCs w:val="0"/>
          <w:color w:val="auto"/>
          <w:kern w:val="2"/>
          <w:sz w:val="28"/>
          <w:szCs w:val="28"/>
          <w:u w:val="none"/>
          <w:lang w:val="en-US" w:eastAsia="zh-CN" w:bidi="ar-SA"/>
        </w:rPr>
        <w:t>肖</w:t>
      </w:r>
      <w:r>
        <w:rPr>
          <w:rFonts w:hint="eastAsia" w:ascii="仿宋" w:hAnsi="仿宋" w:eastAsia="仿宋" w:cs="仿宋"/>
          <w:i w:val="0"/>
          <w:iCs w:val="0"/>
          <w:color w:val="auto"/>
          <w:kern w:val="2"/>
          <w:sz w:val="28"/>
          <w:szCs w:val="28"/>
          <w:u w:val="none"/>
          <w:lang w:val="en-US" w:eastAsia="zh-CN" w:bidi="ar-SA"/>
        </w:rPr>
        <w:t>老师，报名</w:t>
      </w:r>
      <w:r>
        <w:rPr>
          <w:rFonts w:hint="eastAsia" w:ascii="仿宋" w:hAnsi="仿宋" w:cs="仿宋"/>
          <w:i w:val="0"/>
          <w:iCs w:val="0"/>
          <w:color w:val="auto"/>
          <w:kern w:val="2"/>
          <w:sz w:val="28"/>
          <w:szCs w:val="28"/>
          <w:u w:val="none"/>
          <w:lang w:val="en-US" w:eastAsia="zh-CN" w:bidi="ar-SA"/>
        </w:rPr>
        <w:t>咨询</w:t>
      </w:r>
      <w:r>
        <w:rPr>
          <w:rFonts w:hint="eastAsia" w:ascii="仿宋" w:hAnsi="仿宋" w:eastAsia="仿宋" w:cs="仿宋"/>
          <w:i w:val="0"/>
          <w:iCs w:val="0"/>
          <w:color w:val="auto"/>
          <w:kern w:val="2"/>
          <w:sz w:val="28"/>
          <w:szCs w:val="28"/>
          <w:u w:val="none"/>
          <w:lang w:val="en-US" w:eastAsia="zh-CN" w:bidi="ar-SA"/>
        </w:rPr>
        <w:t>：028-26219526</w:t>
      </w:r>
    </w:p>
    <w:p w14:paraId="0B359B7B">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3.线上或线下集中调研需求论证时间及地点，另行通知，请参加调研会的各潜在供应商准备相应的纸质版报价表及汇报PPT等。</w:t>
      </w:r>
    </w:p>
    <w:p w14:paraId="74F72DE8">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default"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三、其他说明</w:t>
      </w:r>
    </w:p>
    <w:p w14:paraId="5CCB385B">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1.本次公开市场调研内容因市场了解的局限性，仅作为医院市场调研参考使用，我院有权使用所征集技术指标中的相关内容，不作为正式采购依据，无任何针对性，如有不全之处，敬请理解，并请供应商详实介绍推荐产品，本项目最终配置和技术参数以采购时为准。对未公告配置及技术性能的，请供应商自行提供。</w:t>
      </w:r>
    </w:p>
    <w:p w14:paraId="3BB0CD0B">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2.本次市场调研需提供项目参考价格和配置清单，配置清单范围包括但不限于本公告所提供的配置需求内容，各供应商可依据本公司提供的具体方案对配置清单进行合理调整。所谓参考价格是指按照与我院项目相似或体量相当的建设方案计算的参考价格，如果项目中集成有硬件，请在配置清单中罗列，硬件配置的参考报价仅用于医院后期采购参考，并不一定集成在本项目之中。</w:t>
      </w:r>
    </w:p>
    <w:p w14:paraId="24AB5332">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3.参加供应商保证拟推荐货物应为合法、全新、未使用过的原装正品，配置应为出厂标准配置，如有选配件需单独注明；如需使用单一来源的耗材也需单独注明。</w:t>
      </w:r>
    </w:p>
    <w:p w14:paraId="42390850">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4.参与本次市场调研活动的供应商，我院不作任何承诺。因参与市场调研所产生的一切费用由报名供应商自行承担，我院不支付任何相关费用。本次市场调研的后续工作及结果，我院不做任何解释。本次市场调研的解释权归院方。</w:t>
      </w:r>
    </w:p>
    <w:p w14:paraId="4364A259">
      <w:pPr>
        <w:rPr>
          <w:rFonts w:hint="eastAsia"/>
          <w:color w:val="auto"/>
          <w:lang w:val="en-US" w:eastAsia="zh-CN"/>
        </w:rPr>
      </w:pPr>
    </w:p>
    <w:p w14:paraId="3F529A3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1EFB456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61271EB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1F00799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48FC933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02FA4ED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3DFBA46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31C98B0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0AA3AC3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71507E3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5FC4753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7EB7189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42BC4B4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565C85F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3950334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0FA17DCF">
      <w:pPr>
        <w:pStyle w:val="14"/>
        <w:keepNext w:val="0"/>
        <w:keepLines w:val="0"/>
        <w:pageBreakBefore w:val="0"/>
        <w:widowControl w:val="0"/>
        <w:kinsoku/>
        <w:wordWrap/>
        <w:overflowPunct/>
        <w:topLinePunct w:val="0"/>
        <w:bidi w:val="0"/>
        <w:snapToGrid/>
        <w:spacing w:line="360" w:lineRule="auto"/>
        <w:ind w:right="0" w:rightChars="0"/>
        <w:jc w:val="center"/>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报名注意事项</w:t>
      </w:r>
    </w:p>
    <w:p w14:paraId="324D4D0D">
      <w:pPr>
        <w:numPr>
          <w:ilvl w:val="0"/>
          <w:numId w:val="0"/>
        </w:numPr>
        <w:spacing w:line="500" w:lineRule="exact"/>
        <w:textAlignment w:val="baseline"/>
        <w:outlineLvl w:val="1"/>
        <w:rPr>
          <w:rFonts w:hint="eastAsia" w:ascii="仿宋" w:hAnsi="仿宋" w:eastAsia="仿宋" w:cs="仿宋"/>
          <w:b w:val="0"/>
          <w:bCs w:val="0"/>
          <w:color w:val="auto"/>
          <w:sz w:val="30"/>
          <w:szCs w:val="30"/>
          <w:lang w:val="en-US" w:eastAsia="zh-CN"/>
        </w:rPr>
      </w:pPr>
    </w:p>
    <w:p w14:paraId="59BBC968">
      <w:pPr>
        <w:pStyle w:val="14"/>
        <w:keepNext w:val="0"/>
        <w:keepLines w:val="0"/>
        <w:pageBreakBefore w:val="0"/>
        <w:widowControl w:val="0"/>
        <w:kinsoku/>
        <w:wordWrap/>
        <w:overflowPunct/>
        <w:topLinePunct w:val="0"/>
        <w:bidi w:val="0"/>
        <w:snapToGrid/>
        <w:spacing w:line="360" w:lineRule="auto"/>
        <w:ind w:left="0" w:leftChars="0" w:right="0" w:rightChars="0" w:firstLine="6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1.请参与报名的各潜在供应商在准备报名资料时，按照报名资料目录顺序和模板提交，若其中某项资料不需提供，请勿删除页面，自动跳过当前页即可。</w:t>
      </w:r>
    </w:p>
    <w:p w14:paraId="2310D6F0">
      <w:pPr>
        <w:pStyle w:val="14"/>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2.可根据项目方案内容通过PPT重点介绍产品功能、亮点及落地案例，15分钟。</w:t>
      </w:r>
    </w:p>
    <w:p w14:paraId="22BC656B">
      <w:pPr>
        <w:pStyle w:val="14"/>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3.报名资料电子文档（盖章扫描件和可编辑版本）发送至zyszxyyxxb@163.com。邮件名称：“XXXX项目名称（公司名称+联系人+联系电话）”</w:t>
      </w:r>
    </w:p>
    <w:p w14:paraId="2AA7B7F7">
      <w:pPr>
        <w:pStyle w:val="14"/>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4.收到您的邮件即报名成功。特殊情况，我们会通过电话与您联系，请注意保持电话畅通。感谢您的积极参与！</w:t>
      </w:r>
    </w:p>
    <w:bookmarkEnd w:id="0"/>
    <w:p w14:paraId="45BFCED6">
      <w:pPr>
        <w:pStyle w:val="14"/>
        <w:rPr>
          <w:color w:val="auto"/>
        </w:rPr>
      </w:pPr>
    </w:p>
    <w:p w14:paraId="1103D4C1">
      <w:pPr>
        <w:pStyle w:val="14"/>
        <w:rPr>
          <w:color w:val="auto"/>
        </w:rPr>
      </w:pPr>
    </w:p>
    <w:p w14:paraId="32CA48A2">
      <w:pPr>
        <w:pStyle w:val="14"/>
        <w:rPr>
          <w:color w:val="auto"/>
        </w:rPr>
      </w:pPr>
    </w:p>
    <w:p w14:paraId="1BD56027">
      <w:pPr>
        <w:pStyle w:val="14"/>
        <w:rPr>
          <w:color w:val="auto"/>
        </w:rPr>
      </w:pPr>
    </w:p>
    <w:p w14:paraId="642D0940">
      <w:pPr>
        <w:pStyle w:val="14"/>
        <w:rPr>
          <w:color w:val="auto"/>
        </w:rPr>
      </w:pPr>
    </w:p>
    <w:p w14:paraId="0FFA2F97">
      <w:pPr>
        <w:pStyle w:val="14"/>
        <w:rPr>
          <w:color w:val="auto"/>
        </w:rPr>
      </w:pPr>
    </w:p>
    <w:p w14:paraId="00D1C8D9">
      <w:pPr>
        <w:pStyle w:val="14"/>
        <w:rPr>
          <w:color w:val="auto"/>
        </w:rPr>
      </w:pPr>
    </w:p>
    <w:p w14:paraId="1B453A9C">
      <w:pPr>
        <w:pStyle w:val="14"/>
        <w:rPr>
          <w:color w:val="auto"/>
        </w:rPr>
      </w:pPr>
    </w:p>
    <w:p w14:paraId="792918CB">
      <w:pPr>
        <w:pStyle w:val="14"/>
        <w:rPr>
          <w:color w:val="auto"/>
        </w:rPr>
      </w:pPr>
    </w:p>
    <w:p w14:paraId="78E4D212">
      <w:pPr>
        <w:pStyle w:val="14"/>
        <w:rPr>
          <w:color w:val="auto"/>
        </w:rPr>
      </w:pPr>
    </w:p>
    <w:p w14:paraId="51BA36AF">
      <w:pPr>
        <w:pStyle w:val="14"/>
        <w:rPr>
          <w:color w:val="auto"/>
        </w:rPr>
      </w:pPr>
    </w:p>
    <w:p w14:paraId="02174CD7">
      <w:pPr>
        <w:pStyle w:val="14"/>
        <w:rPr>
          <w:color w:val="auto"/>
        </w:rPr>
      </w:pPr>
    </w:p>
    <w:p w14:paraId="19D2CB0C">
      <w:pPr>
        <w:pStyle w:val="14"/>
        <w:rPr>
          <w:color w:val="auto"/>
        </w:rPr>
      </w:pPr>
    </w:p>
    <w:p w14:paraId="69E2765E">
      <w:pPr>
        <w:pStyle w:val="14"/>
        <w:rPr>
          <w:color w:val="auto"/>
        </w:rPr>
      </w:pPr>
    </w:p>
    <w:p w14:paraId="1EB232D6">
      <w:pPr>
        <w:pStyle w:val="14"/>
        <w:rPr>
          <w:color w:val="auto"/>
        </w:rPr>
      </w:pPr>
    </w:p>
    <w:p w14:paraId="457D5CDA">
      <w:pPr>
        <w:pStyle w:val="14"/>
        <w:rPr>
          <w:color w:val="auto"/>
        </w:rPr>
      </w:pPr>
    </w:p>
    <w:p w14:paraId="7885D842">
      <w:pPr>
        <w:pStyle w:val="14"/>
        <w:rPr>
          <w:color w:val="auto"/>
        </w:rPr>
      </w:pPr>
    </w:p>
    <w:p w14:paraId="3F1559F6">
      <w:pPr>
        <w:pStyle w:val="14"/>
        <w:rPr>
          <w:rFonts w:hint="eastAsia" w:eastAsia="宋体"/>
          <w:color w:val="auto"/>
          <w:lang w:val="en-US" w:eastAsia="zh-CN"/>
        </w:rPr>
      </w:pPr>
      <w:r>
        <w:rPr>
          <w:rFonts w:hint="eastAsia"/>
          <w:color w:val="auto"/>
          <w:lang w:val="en-US" w:eastAsia="zh-CN"/>
        </w:rPr>
        <w:t>附件：</w:t>
      </w:r>
    </w:p>
    <w:sdt>
      <w:sdtPr>
        <w:rPr>
          <w:rFonts w:ascii="宋体" w:hAnsi="宋体" w:eastAsia="宋体" w:cstheme="minorBidi"/>
          <w:color w:val="auto"/>
          <w:kern w:val="2"/>
          <w:sz w:val="28"/>
          <w:szCs w:val="36"/>
          <w:lang w:val="en-US" w:eastAsia="zh-CN" w:bidi="ar-SA"/>
        </w:rPr>
        <w:id w:val="147450881"/>
        <w15:color w:val="DBDBDB"/>
        <w:docPartObj>
          <w:docPartGallery w:val="Table of Contents"/>
          <w:docPartUnique/>
        </w:docPartObj>
      </w:sdtPr>
      <w:sdtEndPr>
        <w:rPr>
          <w:rFonts w:asciiTheme="minorHAnsi" w:hAnsiTheme="minorHAnsi" w:eastAsiaTheme="minorEastAsia" w:cstheme="minorBidi"/>
          <w:color w:val="auto"/>
          <w:kern w:val="2"/>
          <w:sz w:val="21"/>
          <w:szCs w:val="24"/>
          <w:lang w:val="en-US" w:eastAsia="zh-CN" w:bidi="ar-SA"/>
        </w:rPr>
      </w:sdtEndPr>
      <w:sdtContent>
        <w:p w14:paraId="12D91C66">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color w:val="auto"/>
              <w:sz w:val="40"/>
              <w:szCs w:val="40"/>
            </w:rPr>
          </w:pPr>
          <w:r>
            <w:rPr>
              <w:rFonts w:hint="eastAsia" w:asciiTheme="minorEastAsia" w:hAnsiTheme="minorEastAsia" w:eastAsiaTheme="minorEastAsia" w:cstheme="minorEastAsia"/>
              <w:b/>
              <w:bCs/>
              <w:color w:val="auto"/>
              <w:kern w:val="2"/>
              <w:sz w:val="40"/>
              <w:szCs w:val="40"/>
              <w:lang w:val="en-US" w:eastAsia="zh-CN" w:bidi="ar-SA"/>
            </w:rPr>
            <w:t>调研报名</w:t>
          </w:r>
          <w:r>
            <w:rPr>
              <w:rFonts w:hint="eastAsia" w:asciiTheme="minorEastAsia" w:hAnsiTheme="minorEastAsia" w:eastAsiaTheme="minorEastAsia" w:cstheme="minorEastAsia"/>
              <w:b/>
              <w:bCs/>
              <w:color w:val="auto"/>
              <w:sz w:val="40"/>
              <w:szCs w:val="40"/>
            </w:rPr>
            <w:t>目录</w:t>
          </w:r>
        </w:p>
        <w:p w14:paraId="54AEFE61">
          <w:pPr>
            <w:spacing w:before="0" w:beforeLines="0" w:after="0" w:afterLines="0" w:line="240" w:lineRule="auto"/>
            <w:ind w:left="0" w:leftChars="0" w:right="0" w:rightChars="0" w:firstLine="0" w:firstLineChars="0"/>
            <w:jc w:val="center"/>
            <w:rPr>
              <w:color w:val="auto"/>
            </w:rPr>
          </w:pPr>
        </w:p>
        <w:p w14:paraId="7F0FCA1E">
          <w:pPr>
            <w:pStyle w:val="7"/>
            <w:tabs>
              <w:tab w:val="right" w:leader="dot" w:pos="8306"/>
            </w:tabs>
            <w:rPr>
              <w:color w:val="auto"/>
            </w:rPr>
          </w:pPr>
          <w:r>
            <w:rPr>
              <w:color w:val="auto"/>
            </w:rPr>
            <w:fldChar w:fldCharType="begin"/>
          </w:r>
          <w:r>
            <w:rPr>
              <w:color w:val="auto"/>
            </w:rPr>
            <w:instrText xml:space="preserve">TOC \o "1-3" \h \u </w:instrText>
          </w:r>
          <w:r>
            <w:rPr>
              <w:color w:val="auto"/>
            </w:rPr>
            <w:fldChar w:fldCharType="separate"/>
          </w:r>
          <w:r>
            <w:rPr>
              <w:color w:val="auto"/>
            </w:rPr>
            <w:fldChar w:fldCharType="begin"/>
          </w:r>
          <w:r>
            <w:rPr>
              <w:color w:val="auto"/>
            </w:rPr>
            <w:instrText xml:space="preserve"> HYPERLINK \l _Toc25232 </w:instrText>
          </w:r>
          <w:r>
            <w:rPr>
              <w:color w:val="auto"/>
            </w:rPr>
            <w:fldChar w:fldCharType="separate"/>
          </w:r>
          <w:r>
            <w:rPr>
              <w:rFonts w:hint="eastAsia"/>
              <w:color w:val="auto"/>
            </w:rPr>
            <w:t>一、 报名</w:t>
          </w:r>
          <w:r>
            <w:rPr>
              <w:rFonts w:hint="eastAsia"/>
              <w:color w:val="auto"/>
              <w:lang w:eastAsia="zh-CN"/>
            </w:rPr>
            <w:t>登记</w:t>
          </w:r>
          <w:r>
            <w:rPr>
              <w:rFonts w:hint="eastAsia"/>
              <w:color w:val="auto"/>
            </w:rPr>
            <w:t>表</w:t>
          </w:r>
          <w:r>
            <w:rPr>
              <w:color w:val="auto"/>
            </w:rPr>
            <w:tab/>
          </w:r>
          <w:r>
            <w:rPr>
              <w:color w:val="auto"/>
            </w:rPr>
            <w:fldChar w:fldCharType="begin"/>
          </w:r>
          <w:r>
            <w:rPr>
              <w:color w:val="auto"/>
            </w:rPr>
            <w:instrText xml:space="preserve"> PAGEREF _Toc25232 \h </w:instrText>
          </w:r>
          <w:r>
            <w:rPr>
              <w:color w:val="auto"/>
            </w:rPr>
            <w:fldChar w:fldCharType="separate"/>
          </w:r>
          <w:r>
            <w:rPr>
              <w:color w:val="auto"/>
            </w:rPr>
            <w:t>5</w:t>
          </w:r>
          <w:r>
            <w:rPr>
              <w:color w:val="auto"/>
            </w:rPr>
            <w:fldChar w:fldCharType="end"/>
          </w:r>
          <w:r>
            <w:rPr>
              <w:color w:val="auto"/>
            </w:rPr>
            <w:fldChar w:fldCharType="end"/>
          </w:r>
        </w:p>
        <w:p w14:paraId="68D3AE78">
          <w:pPr>
            <w:pStyle w:val="7"/>
            <w:tabs>
              <w:tab w:val="right" w:leader="dot" w:pos="8306"/>
            </w:tabs>
            <w:rPr>
              <w:color w:val="auto"/>
            </w:rPr>
          </w:pPr>
          <w:r>
            <w:rPr>
              <w:color w:val="auto"/>
            </w:rPr>
            <w:fldChar w:fldCharType="begin"/>
          </w:r>
          <w:r>
            <w:rPr>
              <w:color w:val="auto"/>
            </w:rPr>
            <w:instrText xml:space="preserve"> HYPERLINK \l _Toc2616 </w:instrText>
          </w:r>
          <w:r>
            <w:rPr>
              <w:color w:val="auto"/>
            </w:rPr>
            <w:fldChar w:fldCharType="separate"/>
          </w:r>
          <w:r>
            <w:rPr>
              <w:rFonts w:hint="eastAsia"/>
              <w:color w:val="auto"/>
              <w:lang w:val="en-US" w:eastAsia="zh-CN"/>
            </w:rPr>
            <w:t>二、资质：</w:t>
          </w:r>
          <w:r>
            <w:rPr>
              <w:color w:val="auto"/>
            </w:rPr>
            <w:tab/>
          </w:r>
          <w:r>
            <w:rPr>
              <w:color w:val="auto"/>
            </w:rPr>
            <w:fldChar w:fldCharType="begin"/>
          </w:r>
          <w:r>
            <w:rPr>
              <w:color w:val="auto"/>
            </w:rPr>
            <w:instrText xml:space="preserve"> PAGEREF _Toc2616 \h </w:instrText>
          </w:r>
          <w:r>
            <w:rPr>
              <w:color w:val="auto"/>
            </w:rPr>
            <w:fldChar w:fldCharType="separate"/>
          </w:r>
          <w:r>
            <w:rPr>
              <w:color w:val="auto"/>
            </w:rPr>
            <w:t>5</w:t>
          </w:r>
          <w:r>
            <w:rPr>
              <w:color w:val="auto"/>
            </w:rPr>
            <w:fldChar w:fldCharType="end"/>
          </w:r>
          <w:r>
            <w:rPr>
              <w:color w:val="auto"/>
            </w:rPr>
            <w:fldChar w:fldCharType="end"/>
          </w:r>
        </w:p>
        <w:p w14:paraId="13E67527">
          <w:pPr>
            <w:pStyle w:val="8"/>
            <w:tabs>
              <w:tab w:val="right" w:leader="dot" w:pos="8306"/>
            </w:tabs>
            <w:rPr>
              <w:color w:val="auto"/>
            </w:rPr>
          </w:pPr>
          <w:r>
            <w:rPr>
              <w:color w:val="auto"/>
            </w:rPr>
            <w:fldChar w:fldCharType="begin"/>
          </w:r>
          <w:r>
            <w:rPr>
              <w:color w:val="auto"/>
            </w:rPr>
            <w:instrText xml:space="preserve"> HYPERLINK \l _Toc21365 </w:instrText>
          </w:r>
          <w:r>
            <w:rPr>
              <w:color w:val="auto"/>
            </w:rPr>
            <w:fldChar w:fldCharType="separate"/>
          </w:r>
          <w:r>
            <w:rPr>
              <w:rFonts w:hint="eastAsia"/>
              <w:color w:val="auto"/>
              <w:lang w:val="en-US" w:eastAsia="zh-CN"/>
            </w:rPr>
            <w:t>1.1</w:t>
          </w:r>
          <w:r>
            <w:rPr>
              <w:rFonts w:hint="eastAsia"/>
              <w:color w:val="auto"/>
            </w:rPr>
            <w:t>营业执照</w:t>
          </w:r>
          <w:r>
            <w:rPr>
              <w:color w:val="auto"/>
            </w:rPr>
            <w:tab/>
          </w:r>
          <w:r>
            <w:rPr>
              <w:color w:val="auto"/>
            </w:rPr>
            <w:fldChar w:fldCharType="begin"/>
          </w:r>
          <w:r>
            <w:rPr>
              <w:color w:val="auto"/>
            </w:rPr>
            <w:instrText xml:space="preserve"> PAGEREF _Toc21365 \h </w:instrText>
          </w:r>
          <w:r>
            <w:rPr>
              <w:color w:val="auto"/>
            </w:rPr>
            <w:fldChar w:fldCharType="separate"/>
          </w:r>
          <w:r>
            <w:rPr>
              <w:color w:val="auto"/>
            </w:rPr>
            <w:t>5</w:t>
          </w:r>
          <w:r>
            <w:rPr>
              <w:color w:val="auto"/>
            </w:rPr>
            <w:fldChar w:fldCharType="end"/>
          </w:r>
          <w:r>
            <w:rPr>
              <w:color w:val="auto"/>
            </w:rPr>
            <w:fldChar w:fldCharType="end"/>
          </w:r>
        </w:p>
        <w:p w14:paraId="463BF1FA">
          <w:pPr>
            <w:pStyle w:val="8"/>
            <w:tabs>
              <w:tab w:val="right" w:leader="dot" w:pos="8306"/>
            </w:tabs>
            <w:rPr>
              <w:color w:val="auto"/>
            </w:rPr>
          </w:pPr>
          <w:r>
            <w:rPr>
              <w:color w:val="auto"/>
            </w:rPr>
            <w:fldChar w:fldCharType="begin"/>
          </w:r>
          <w:r>
            <w:rPr>
              <w:color w:val="auto"/>
            </w:rPr>
            <w:instrText xml:space="preserve"> HYPERLINK \l _Toc15889 </w:instrText>
          </w:r>
          <w:r>
            <w:rPr>
              <w:color w:val="auto"/>
            </w:rPr>
            <w:fldChar w:fldCharType="separate"/>
          </w:r>
          <w:r>
            <w:rPr>
              <w:rFonts w:hint="eastAsia"/>
              <w:color w:val="auto"/>
              <w:lang w:val="en-US" w:eastAsia="zh-CN"/>
            </w:rPr>
            <w:t>1.1</w:t>
          </w:r>
          <w:r>
            <w:rPr>
              <w:rFonts w:hint="eastAsia"/>
              <w:color w:val="auto"/>
              <w:lang w:eastAsia="zh-CN"/>
            </w:rPr>
            <w:t>法定代表人授权书</w:t>
          </w:r>
          <w:r>
            <w:rPr>
              <w:color w:val="auto"/>
            </w:rPr>
            <w:tab/>
          </w:r>
          <w:r>
            <w:rPr>
              <w:color w:val="auto"/>
            </w:rPr>
            <w:fldChar w:fldCharType="begin"/>
          </w:r>
          <w:r>
            <w:rPr>
              <w:color w:val="auto"/>
            </w:rPr>
            <w:instrText xml:space="preserve"> PAGEREF _Toc15889 \h </w:instrText>
          </w:r>
          <w:r>
            <w:rPr>
              <w:color w:val="auto"/>
            </w:rPr>
            <w:fldChar w:fldCharType="separate"/>
          </w:r>
          <w:r>
            <w:rPr>
              <w:color w:val="auto"/>
            </w:rPr>
            <w:t>5</w:t>
          </w:r>
          <w:r>
            <w:rPr>
              <w:color w:val="auto"/>
            </w:rPr>
            <w:fldChar w:fldCharType="end"/>
          </w:r>
          <w:r>
            <w:rPr>
              <w:color w:val="auto"/>
            </w:rPr>
            <w:fldChar w:fldCharType="end"/>
          </w:r>
        </w:p>
        <w:p w14:paraId="0D9DD14E">
          <w:pPr>
            <w:pStyle w:val="8"/>
            <w:tabs>
              <w:tab w:val="right" w:leader="dot" w:pos="8306"/>
            </w:tabs>
            <w:rPr>
              <w:color w:val="auto"/>
            </w:rPr>
          </w:pPr>
          <w:r>
            <w:rPr>
              <w:color w:val="auto"/>
            </w:rPr>
            <w:fldChar w:fldCharType="begin"/>
          </w:r>
          <w:r>
            <w:rPr>
              <w:color w:val="auto"/>
            </w:rPr>
            <w:instrText xml:space="preserve"> HYPERLINK \l _Toc22138 </w:instrText>
          </w:r>
          <w:r>
            <w:rPr>
              <w:color w:val="auto"/>
            </w:rPr>
            <w:fldChar w:fldCharType="separate"/>
          </w:r>
          <w:r>
            <w:rPr>
              <w:rFonts w:hint="eastAsia"/>
              <w:color w:val="auto"/>
              <w:lang w:val="en-US" w:eastAsia="zh-CN"/>
            </w:rPr>
            <w:t>1.3</w:t>
          </w:r>
          <w:r>
            <w:rPr>
              <w:rFonts w:hint="eastAsia"/>
              <w:color w:val="auto"/>
              <w:lang w:eastAsia="zh-CN"/>
            </w:rPr>
            <w:t>法人及被授权人身份证</w:t>
          </w:r>
          <w:r>
            <w:rPr>
              <w:color w:val="auto"/>
            </w:rPr>
            <w:tab/>
          </w:r>
          <w:r>
            <w:rPr>
              <w:color w:val="auto"/>
            </w:rPr>
            <w:fldChar w:fldCharType="begin"/>
          </w:r>
          <w:r>
            <w:rPr>
              <w:color w:val="auto"/>
            </w:rPr>
            <w:instrText xml:space="preserve"> PAGEREF _Toc22138 \h </w:instrText>
          </w:r>
          <w:r>
            <w:rPr>
              <w:color w:val="auto"/>
            </w:rPr>
            <w:fldChar w:fldCharType="separate"/>
          </w:r>
          <w:r>
            <w:rPr>
              <w:color w:val="auto"/>
            </w:rPr>
            <w:t>5</w:t>
          </w:r>
          <w:r>
            <w:rPr>
              <w:color w:val="auto"/>
            </w:rPr>
            <w:fldChar w:fldCharType="end"/>
          </w:r>
          <w:r>
            <w:rPr>
              <w:color w:val="auto"/>
            </w:rPr>
            <w:fldChar w:fldCharType="end"/>
          </w:r>
        </w:p>
        <w:p w14:paraId="0D66A70C">
          <w:pPr>
            <w:pStyle w:val="8"/>
            <w:tabs>
              <w:tab w:val="right" w:leader="dot" w:pos="8306"/>
            </w:tabs>
            <w:rPr>
              <w:color w:val="auto"/>
            </w:rPr>
          </w:pPr>
          <w:r>
            <w:rPr>
              <w:color w:val="auto"/>
            </w:rPr>
            <w:fldChar w:fldCharType="begin"/>
          </w:r>
          <w:r>
            <w:rPr>
              <w:color w:val="auto"/>
            </w:rPr>
            <w:instrText xml:space="preserve"> HYPERLINK \l _Toc17143 </w:instrText>
          </w:r>
          <w:r>
            <w:rPr>
              <w:color w:val="auto"/>
            </w:rPr>
            <w:fldChar w:fldCharType="separate"/>
          </w:r>
          <w:r>
            <w:rPr>
              <w:rFonts w:hint="eastAsia"/>
              <w:color w:val="auto"/>
              <w:lang w:val="en-US" w:eastAsia="zh-CN"/>
            </w:rPr>
            <w:t>1.4</w:t>
          </w:r>
          <w:r>
            <w:rPr>
              <w:rFonts w:hint="eastAsia"/>
              <w:color w:val="auto"/>
              <w:lang w:eastAsia="zh-CN"/>
            </w:rPr>
            <w:t>公司资质</w:t>
          </w:r>
          <w:r>
            <w:rPr>
              <w:color w:val="auto"/>
            </w:rPr>
            <w:tab/>
          </w:r>
          <w:r>
            <w:rPr>
              <w:color w:val="auto"/>
            </w:rPr>
            <w:fldChar w:fldCharType="begin"/>
          </w:r>
          <w:r>
            <w:rPr>
              <w:color w:val="auto"/>
            </w:rPr>
            <w:instrText xml:space="preserve"> PAGEREF _Toc17143 \h </w:instrText>
          </w:r>
          <w:r>
            <w:rPr>
              <w:color w:val="auto"/>
            </w:rPr>
            <w:fldChar w:fldCharType="separate"/>
          </w:r>
          <w:r>
            <w:rPr>
              <w:color w:val="auto"/>
            </w:rPr>
            <w:t>5</w:t>
          </w:r>
          <w:r>
            <w:rPr>
              <w:color w:val="auto"/>
            </w:rPr>
            <w:fldChar w:fldCharType="end"/>
          </w:r>
          <w:r>
            <w:rPr>
              <w:color w:val="auto"/>
            </w:rPr>
            <w:fldChar w:fldCharType="end"/>
          </w:r>
        </w:p>
        <w:p w14:paraId="12E95791">
          <w:pPr>
            <w:pStyle w:val="8"/>
            <w:tabs>
              <w:tab w:val="right" w:leader="dot" w:pos="8306"/>
            </w:tabs>
            <w:rPr>
              <w:color w:val="auto"/>
            </w:rPr>
          </w:pPr>
          <w:r>
            <w:rPr>
              <w:color w:val="auto"/>
            </w:rPr>
            <w:fldChar w:fldCharType="begin"/>
          </w:r>
          <w:r>
            <w:rPr>
              <w:color w:val="auto"/>
            </w:rPr>
            <w:instrText xml:space="preserve"> HYPERLINK \l _Toc24835 </w:instrText>
          </w:r>
          <w:r>
            <w:rPr>
              <w:color w:val="auto"/>
            </w:rPr>
            <w:fldChar w:fldCharType="separate"/>
          </w:r>
          <w:r>
            <w:rPr>
              <w:rFonts w:hint="eastAsia"/>
              <w:color w:val="auto"/>
              <w:lang w:val="en-US" w:eastAsia="zh-CN"/>
            </w:rPr>
            <w:t>1.5软件资质</w:t>
          </w:r>
          <w:r>
            <w:rPr>
              <w:color w:val="auto"/>
            </w:rPr>
            <w:tab/>
          </w:r>
          <w:r>
            <w:rPr>
              <w:color w:val="auto"/>
            </w:rPr>
            <w:fldChar w:fldCharType="begin"/>
          </w:r>
          <w:r>
            <w:rPr>
              <w:color w:val="auto"/>
            </w:rPr>
            <w:instrText xml:space="preserve"> PAGEREF _Toc24835 \h </w:instrText>
          </w:r>
          <w:r>
            <w:rPr>
              <w:color w:val="auto"/>
            </w:rPr>
            <w:fldChar w:fldCharType="separate"/>
          </w:r>
          <w:r>
            <w:rPr>
              <w:color w:val="auto"/>
            </w:rPr>
            <w:t>5</w:t>
          </w:r>
          <w:r>
            <w:rPr>
              <w:color w:val="auto"/>
            </w:rPr>
            <w:fldChar w:fldCharType="end"/>
          </w:r>
          <w:r>
            <w:rPr>
              <w:color w:val="auto"/>
            </w:rPr>
            <w:fldChar w:fldCharType="end"/>
          </w:r>
        </w:p>
        <w:p w14:paraId="126F140D">
          <w:pPr>
            <w:pStyle w:val="8"/>
            <w:tabs>
              <w:tab w:val="right" w:leader="dot" w:pos="8306"/>
            </w:tabs>
            <w:rPr>
              <w:color w:val="auto"/>
            </w:rPr>
          </w:pPr>
          <w:r>
            <w:rPr>
              <w:color w:val="auto"/>
            </w:rPr>
            <w:fldChar w:fldCharType="begin"/>
          </w:r>
          <w:r>
            <w:rPr>
              <w:color w:val="auto"/>
            </w:rPr>
            <w:instrText xml:space="preserve"> HYPERLINK \l _Toc3652 </w:instrText>
          </w:r>
          <w:r>
            <w:rPr>
              <w:color w:val="auto"/>
            </w:rPr>
            <w:fldChar w:fldCharType="separate"/>
          </w:r>
          <w:r>
            <w:rPr>
              <w:rFonts w:hint="eastAsia"/>
              <w:color w:val="auto"/>
              <w:lang w:val="en-US" w:eastAsia="zh-CN"/>
            </w:rPr>
            <w:t>1.6本项目涉及</w:t>
          </w:r>
          <w:r>
            <w:rPr>
              <w:rFonts w:hint="eastAsia"/>
              <w:color w:val="auto"/>
              <w:lang w:eastAsia="zh-CN"/>
            </w:rPr>
            <w:t>资质</w:t>
          </w:r>
          <w:r>
            <w:rPr>
              <w:color w:val="auto"/>
            </w:rPr>
            <w:tab/>
          </w:r>
          <w:r>
            <w:rPr>
              <w:color w:val="auto"/>
            </w:rPr>
            <w:fldChar w:fldCharType="begin"/>
          </w:r>
          <w:r>
            <w:rPr>
              <w:color w:val="auto"/>
            </w:rPr>
            <w:instrText xml:space="preserve"> PAGEREF _Toc3652 \h </w:instrText>
          </w:r>
          <w:r>
            <w:rPr>
              <w:color w:val="auto"/>
            </w:rPr>
            <w:fldChar w:fldCharType="separate"/>
          </w:r>
          <w:r>
            <w:rPr>
              <w:color w:val="auto"/>
            </w:rPr>
            <w:t>5</w:t>
          </w:r>
          <w:r>
            <w:rPr>
              <w:color w:val="auto"/>
            </w:rPr>
            <w:fldChar w:fldCharType="end"/>
          </w:r>
          <w:r>
            <w:rPr>
              <w:color w:val="auto"/>
            </w:rPr>
            <w:fldChar w:fldCharType="end"/>
          </w:r>
        </w:p>
        <w:p w14:paraId="7A915B24">
          <w:pPr>
            <w:pStyle w:val="8"/>
            <w:tabs>
              <w:tab w:val="right" w:leader="dot" w:pos="8306"/>
            </w:tabs>
            <w:rPr>
              <w:color w:val="auto"/>
            </w:rPr>
          </w:pPr>
          <w:r>
            <w:rPr>
              <w:color w:val="auto"/>
            </w:rPr>
            <w:fldChar w:fldCharType="begin"/>
          </w:r>
          <w:r>
            <w:rPr>
              <w:color w:val="auto"/>
            </w:rPr>
            <w:instrText xml:space="preserve"> HYPERLINK \l _Toc6788 </w:instrText>
          </w:r>
          <w:r>
            <w:rPr>
              <w:color w:val="auto"/>
            </w:rPr>
            <w:fldChar w:fldCharType="separate"/>
          </w:r>
          <w:r>
            <w:rPr>
              <w:rFonts w:hint="eastAsia"/>
              <w:color w:val="auto"/>
              <w:lang w:val="en-US" w:eastAsia="zh-CN"/>
            </w:rPr>
            <w:t>1.7开发商委托销售授权函</w:t>
          </w:r>
          <w:r>
            <w:rPr>
              <w:color w:val="auto"/>
            </w:rPr>
            <w:tab/>
          </w:r>
          <w:r>
            <w:rPr>
              <w:color w:val="auto"/>
            </w:rPr>
            <w:fldChar w:fldCharType="begin"/>
          </w:r>
          <w:r>
            <w:rPr>
              <w:color w:val="auto"/>
            </w:rPr>
            <w:instrText xml:space="preserve"> PAGEREF _Toc6788 \h </w:instrText>
          </w:r>
          <w:r>
            <w:rPr>
              <w:color w:val="auto"/>
            </w:rPr>
            <w:fldChar w:fldCharType="separate"/>
          </w:r>
          <w:r>
            <w:rPr>
              <w:color w:val="auto"/>
            </w:rPr>
            <w:t>5</w:t>
          </w:r>
          <w:r>
            <w:rPr>
              <w:color w:val="auto"/>
            </w:rPr>
            <w:fldChar w:fldCharType="end"/>
          </w:r>
          <w:r>
            <w:rPr>
              <w:color w:val="auto"/>
            </w:rPr>
            <w:fldChar w:fldCharType="end"/>
          </w:r>
        </w:p>
        <w:p w14:paraId="35457391">
          <w:pPr>
            <w:pStyle w:val="7"/>
            <w:tabs>
              <w:tab w:val="right" w:leader="dot" w:pos="8306"/>
            </w:tabs>
            <w:rPr>
              <w:color w:val="auto"/>
            </w:rPr>
          </w:pPr>
          <w:r>
            <w:rPr>
              <w:color w:val="auto"/>
            </w:rPr>
            <w:fldChar w:fldCharType="begin"/>
          </w:r>
          <w:r>
            <w:rPr>
              <w:color w:val="auto"/>
            </w:rPr>
            <w:instrText xml:space="preserve"> HYPERLINK \l _Toc20019 </w:instrText>
          </w:r>
          <w:r>
            <w:rPr>
              <w:color w:val="auto"/>
            </w:rPr>
            <w:fldChar w:fldCharType="separate"/>
          </w:r>
          <w:r>
            <w:rPr>
              <w:rFonts w:hint="eastAsia"/>
              <w:color w:val="auto"/>
              <w:lang w:val="en-US" w:eastAsia="zh-CN"/>
            </w:rPr>
            <w:t>三、单一来源说明及佐证材料</w:t>
          </w:r>
          <w:r>
            <w:rPr>
              <w:color w:val="auto"/>
            </w:rPr>
            <w:tab/>
          </w:r>
          <w:r>
            <w:rPr>
              <w:color w:val="auto"/>
            </w:rPr>
            <w:fldChar w:fldCharType="begin"/>
          </w:r>
          <w:r>
            <w:rPr>
              <w:color w:val="auto"/>
            </w:rPr>
            <w:instrText xml:space="preserve"> PAGEREF _Toc20019 \h </w:instrText>
          </w:r>
          <w:r>
            <w:rPr>
              <w:color w:val="auto"/>
            </w:rPr>
            <w:fldChar w:fldCharType="separate"/>
          </w:r>
          <w:r>
            <w:rPr>
              <w:color w:val="auto"/>
            </w:rPr>
            <w:t>5</w:t>
          </w:r>
          <w:r>
            <w:rPr>
              <w:color w:val="auto"/>
            </w:rPr>
            <w:fldChar w:fldCharType="end"/>
          </w:r>
          <w:r>
            <w:rPr>
              <w:color w:val="auto"/>
            </w:rPr>
            <w:fldChar w:fldCharType="end"/>
          </w:r>
        </w:p>
        <w:p w14:paraId="5DFF25C1">
          <w:pPr>
            <w:pStyle w:val="7"/>
            <w:tabs>
              <w:tab w:val="right" w:leader="dot" w:pos="8306"/>
            </w:tabs>
            <w:rPr>
              <w:color w:val="auto"/>
            </w:rPr>
          </w:pPr>
          <w:r>
            <w:rPr>
              <w:color w:val="auto"/>
            </w:rPr>
            <w:fldChar w:fldCharType="begin"/>
          </w:r>
          <w:r>
            <w:rPr>
              <w:color w:val="auto"/>
            </w:rPr>
            <w:instrText xml:space="preserve"> HYPERLINK \l _Toc31535 </w:instrText>
          </w:r>
          <w:r>
            <w:rPr>
              <w:color w:val="auto"/>
            </w:rPr>
            <w:fldChar w:fldCharType="separate"/>
          </w:r>
          <w:r>
            <w:rPr>
              <w:rFonts w:hint="eastAsia"/>
              <w:color w:val="auto"/>
              <w:lang w:val="en-US" w:eastAsia="zh-CN"/>
            </w:rPr>
            <w:t>四、项目调研情况一览汇总表</w:t>
          </w:r>
          <w:r>
            <w:rPr>
              <w:color w:val="auto"/>
            </w:rPr>
            <w:tab/>
          </w:r>
          <w:r>
            <w:rPr>
              <w:color w:val="auto"/>
            </w:rPr>
            <w:fldChar w:fldCharType="begin"/>
          </w:r>
          <w:r>
            <w:rPr>
              <w:color w:val="auto"/>
            </w:rPr>
            <w:instrText xml:space="preserve"> PAGEREF _Toc31535 \h </w:instrText>
          </w:r>
          <w:r>
            <w:rPr>
              <w:color w:val="auto"/>
            </w:rPr>
            <w:fldChar w:fldCharType="separate"/>
          </w:r>
          <w:r>
            <w:rPr>
              <w:color w:val="auto"/>
            </w:rPr>
            <w:t>6</w:t>
          </w:r>
          <w:r>
            <w:rPr>
              <w:color w:val="auto"/>
            </w:rPr>
            <w:fldChar w:fldCharType="end"/>
          </w:r>
          <w:r>
            <w:rPr>
              <w:color w:val="auto"/>
            </w:rPr>
            <w:fldChar w:fldCharType="end"/>
          </w:r>
        </w:p>
        <w:p w14:paraId="656650C0">
          <w:pPr>
            <w:pStyle w:val="7"/>
            <w:tabs>
              <w:tab w:val="right" w:leader="dot" w:pos="8306"/>
            </w:tabs>
            <w:rPr>
              <w:color w:val="auto"/>
            </w:rPr>
          </w:pPr>
          <w:r>
            <w:rPr>
              <w:color w:val="auto"/>
            </w:rPr>
            <w:fldChar w:fldCharType="begin"/>
          </w:r>
          <w:r>
            <w:rPr>
              <w:color w:val="auto"/>
            </w:rPr>
            <w:instrText xml:space="preserve"> HYPERLINK \l _Toc17565 </w:instrText>
          </w:r>
          <w:r>
            <w:rPr>
              <w:color w:val="auto"/>
            </w:rPr>
            <w:fldChar w:fldCharType="separate"/>
          </w:r>
          <w:r>
            <w:rPr>
              <w:rFonts w:hint="eastAsia"/>
              <w:color w:val="auto"/>
              <w:lang w:val="en-US" w:eastAsia="zh-CN"/>
            </w:rPr>
            <w:t>五、三甲综合医院同类项目案例</w:t>
          </w:r>
          <w:r>
            <w:rPr>
              <w:color w:val="auto"/>
            </w:rPr>
            <w:tab/>
          </w:r>
          <w:r>
            <w:rPr>
              <w:color w:val="auto"/>
            </w:rPr>
            <w:fldChar w:fldCharType="begin"/>
          </w:r>
          <w:r>
            <w:rPr>
              <w:color w:val="auto"/>
            </w:rPr>
            <w:instrText xml:space="preserve"> PAGEREF _Toc17565 \h </w:instrText>
          </w:r>
          <w:r>
            <w:rPr>
              <w:color w:val="auto"/>
            </w:rPr>
            <w:fldChar w:fldCharType="separate"/>
          </w:r>
          <w:r>
            <w:rPr>
              <w:color w:val="auto"/>
            </w:rPr>
            <w:t>10</w:t>
          </w:r>
          <w:r>
            <w:rPr>
              <w:color w:val="auto"/>
            </w:rPr>
            <w:fldChar w:fldCharType="end"/>
          </w:r>
          <w:r>
            <w:rPr>
              <w:color w:val="auto"/>
            </w:rPr>
            <w:fldChar w:fldCharType="end"/>
          </w:r>
        </w:p>
        <w:p w14:paraId="4CE2DCED">
          <w:pPr>
            <w:pStyle w:val="8"/>
            <w:tabs>
              <w:tab w:val="right" w:leader="dot" w:pos="8306"/>
            </w:tabs>
            <w:rPr>
              <w:color w:val="auto"/>
            </w:rPr>
          </w:pPr>
          <w:r>
            <w:rPr>
              <w:color w:val="auto"/>
            </w:rPr>
            <w:fldChar w:fldCharType="begin"/>
          </w:r>
          <w:r>
            <w:rPr>
              <w:color w:val="auto"/>
            </w:rPr>
            <w:instrText xml:space="preserve"> HYPERLINK \l _Toc29430 </w:instrText>
          </w:r>
          <w:r>
            <w:rPr>
              <w:color w:val="auto"/>
            </w:rPr>
            <w:fldChar w:fldCharType="separate"/>
          </w:r>
          <w:r>
            <w:rPr>
              <w:rFonts w:hint="eastAsia"/>
              <w:color w:val="auto"/>
              <w:lang w:val="en-US" w:eastAsia="zh-CN"/>
            </w:rPr>
            <w:t>4.1四川省内（）家</w:t>
          </w:r>
          <w:r>
            <w:rPr>
              <w:color w:val="auto"/>
            </w:rPr>
            <w:tab/>
          </w:r>
          <w:r>
            <w:rPr>
              <w:color w:val="auto"/>
            </w:rPr>
            <w:fldChar w:fldCharType="begin"/>
          </w:r>
          <w:r>
            <w:rPr>
              <w:color w:val="auto"/>
            </w:rPr>
            <w:instrText xml:space="preserve"> PAGEREF _Toc29430 \h </w:instrText>
          </w:r>
          <w:r>
            <w:rPr>
              <w:color w:val="auto"/>
            </w:rPr>
            <w:fldChar w:fldCharType="separate"/>
          </w:r>
          <w:r>
            <w:rPr>
              <w:color w:val="auto"/>
            </w:rPr>
            <w:t>10</w:t>
          </w:r>
          <w:r>
            <w:rPr>
              <w:color w:val="auto"/>
            </w:rPr>
            <w:fldChar w:fldCharType="end"/>
          </w:r>
          <w:r>
            <w:rPr>
              <w:color w:val="auto"/>
            </w:rPr>
            <w:fldChar w:fldCharType="end"/>
          </w:r>
        </w:p>
        <w:p w14:paraId="4D3E0FFA">
          <w:pPr>
            <w:pStyle w:val="8"/>
            <w:tabs>
              <w:tab w:val="right" w:leader="dot" w:pos="8306"/>
            </w:tabs>
            <w:rPr>
              <w:color w:val="auto"/>
            </w:rPr>
          </w:pPr>
          <w:r>
            <w:rPr>
              <w:color w:val="auto"/>
            </w:rPr>
            <w:fldChar w:fldCharType="begin"/>
          </w:r>
          <w:r>
            <w:rPr>
              <w:color w:val="auto"/>
            </w:rPr>
            <w:instrText xml:space="preserve"> HYPERLINK \l _Toc8493 </w:instrText>
          </w:r>
          <w:r>
            <w:rPr>
              <w:color w:val="auto"/>
            </w:rPr>
            <w:fldChar w:fldCharType="separate"/>
          </w:r>
          <w:r>
            <w:rPr>
              <w:rFonts w:hint="eastAsia"/>
              <w:color w:val="auto"/>
              <w:lang w:val="en-US" w:eastAsia="zh-CN"/>
            </w:rPr>
            <w:t>4.1四川省外（）家</w:t>
          </w:r>
          <w:r>
            <w:rPr>
              <w:color w:val="auto"/>
            </w:rPr>
            <w:tab/>
          </w:r>
          <w:r>
            <w:rPr>
              <w:color w:val="auto"/>
            </w:rPr>
            <w:fldChar w:fldCharType="begin"/>
          </w:r>
          <w:r>
            <w:rPr>
              <w:color w:val="auto"/>
            </w:rPr>
            <w:instrText xml:space="preserve"> PAGEREF _Toc8493 \h </w:instrText>
          </w:r>
          <w:r>
            <w:rPr>
              <w:color w:val="auto"/>
            </w:rPr>
            <w:fldChar w:fldCharType="separate"/>
          </w:r>
          <w:r>
            <w:rPr>
              <w:color w:val="auto"/>
            </w:rPr>
            <w:t>10</w:t>
          </w:r>
          <w:r>
            <w:rPr>
              <w:color w:val="auto"/>
            </w:rPr>
            <w:fldChar w:fldCharType="end"/>
          </w:r>
          <w:r>
            <w:rPr>
              <w:color w:val="auto"/>
            </w:rPr>
            <w:fldChar w:fldCharType="end"/>
          </w:r>
        </w:p>
        <w:p w14:paraId="16B5F3C0">
          <w:pPr>
            <w:pStyle w:val="8"/>
            <w:tabs>
              <w:tab w:val="right" w:leader="dot" w:pos="8306"/>
            </w:tabs>
            <w:rPr>
              <w:color w:val="auto"/>
            </w:rPr>
          </w:pPr>
          <w:r>
            <w:rPr>
              <w:color w:val="auto"/>
            </w:rPr>
            <w:fldChar w:fldCharType="begin"/>
          </w:r>
          <w:r>
            <w:rPr>
              <w:color w:val="auto"/>
            </w:rPr>
            <w:instrText xml:space="preserve"> HYPERLINK \l _Toc7986 </w:instrText>
          </w:r>
          <w:r>
            <w:rPr>
              <w:color w:val="auto"/>
            </w:rPr>
            <w:fldChar w:fldCharType="separate"/>
          </w:r>
          <w:r>
            <w:rPr>
              <w:rFonts w:hint="eastAsia"/>
              <w:color w:val="auto"/>
              <w:lang w:val="en-US" w:eastAsia="zh-CN"/>
            </w:rPr>
            <w:t>4.3三甲综合医院同类项目案例合同及验收佐证</w:t>
          </w:r>
          <w:r>
            <w:rPr>
              <w:color w:val="auto"/>
            </w:rPr>
            <w:tab/>
          </w:r>
          <w:r>
            <w:rPr>
              <w:color w:val="auto"/>
            </w:rPr>
            <w:fldChar w:fldCharType="begin"/>
          </w:r>
          <w:r>
            <w:rPr>
              <w:color w:val="auto"/>
            </w:rPr>
            <w:instrText xml:space="preserve"> PAGEREF _Toc7986 \h </w:instrText>
          </w:r>
          <w:r>
            <w:rPr>
              <w:color w:val="auto"/>
            </w:rPr>
            <w:fldChar w:fldCharType="separate"/>
          </w:r>
          <w:r>
            <w:rPr>
              <w:color w:val="auto"/>
            </w:rPr>
            <w:t>10</w:t>
          </w:r>
          <w:r>
            <w:rPr>
              <w:color w:val="auto"/>
            </w:rPr>
            <w:fldChar w:fldCharType="end"/>
          </w:r>
          <w:r>
            <w:rPr>
              <w:color w:val="auto"/>
            </w:rPr>
            <w:fldChar w:fldCharType="end"/>
          </w:r>
        </w:p>
        <w:p w14:paraId="79F2F0E6">
          <w:pPr>
            <w:pStyle w:val="7"/>
            <w:tabs>
              <w:tab w:val="right" w:leader="dot" w:pos="8306"/>
            </w:tabs>
            <w:rPr>
              <w:color w:val="auto"/>
            </w:rPr>
          </w:pPr>
          <w:r>
            <w:rPr>
              <w:color w:val="auto"/>
            </w:rPr>
            <w:fldChar w:fldCharType="begin"/>
          </w:r>
          <w:r>
            <w:rPr>
              <w:color w:val="auto"/>
            </w:rPr>
            <w:instrText xml:space="preserve"> HYPERLINK \l _Toc11734 </w:instrText>
          </w:r>
          <w:r>
            <w:rPr>
              <w:color w:val="auto"/>
            </w:rPr>
            <w:fldChar w:fldCharType="separate"/>
          </w:r>
          <w:r>
            <w:rPr>
              <w:rFonts w:hint="eastAsia"/>
              <w:color w:val="auto"/>
              <w:lang w:val="en-US" w:eastAsia="zh-CN"/>
            </w:rPr>
            <w:t>六、服务方案</w:t>
          </w:r>
          <w:r>
            <w:rPr>
              <w:color w:val="auto"/>
            </w:rPr>
            <w:tab/>
          </w:r>
          <w:r>
            <w:rPr>
              <w:color w:val="auto"/>
            </w:rPr>
            <w:fldChar w:fldCharType="begin"/>
          </w:r>
          <w:r>
            <w:rPr>
              <w:color w:val="auto"/>
            </w:rPr>
            <w:instrText xml:space="preserve"> PAGEREF _Toc11734 \h </w:instrText>
          </w:r>
          <w:r>
            <w:rPr>
              <w:color w:val="auto"/>
            </w:rPr>
            <w:fldChar w:fldCharType="separate"/>
          </w:r>
          <w:r>
            <w:rPr>
              <w:color w:val="auto"/>
            </w:rPr>
            <w:t>10</w:t>
          </w:r>
          <w:r>
            <w:rPr>
              <w:color w:val="auto"/>
            </w:rPr>
            <w:fldChar w:fldCharType="end"/>
          </w:r>
          <w:r>
            <w:rPr>
              <w:color w:val="auto"/>
            </w:rPr>
            <w:fldChar w:fldCharType="end"/>
          </w:r>
        </w:p>
        <w:p w14:paraId="38BE21BE">
          <w:pPr>
            <w:rPr>
              <w:color w:val="auto"/>
            </w:rPr>
          </w:pPr>
          <w:r>
            <w:rPr>
              <w:color w:val="auto"/>
            </w:rPr>
            <w:fldChar w:fldCharType="end"/>
          </w:r>
        </w:p>
      </w:sdtContent>
    </w:sdt>
    <w:p w14:paraId="2E5D1581">
      <w:pPr>
        <w:rPr>
          <w:color w:val="auto"/>
        </w:rPr>
      </w:pPr>
    </w:p>
    <w:p w14:paraId="6938E4CD">
      <w:pPr>
        <w:rPr>
          <w:color w:val="auto"/>
        </w:rPr>
      </w:pPr>
    </w:p>
    <w:p w14:paraId="3E7DB8D0">
      <w:pPr>
        <w:rPr>
          <w:color w:val="auto"/>
        </w:rPr>
      </w:pPr>
    </w:p>
    <w:p w14:paraId="220B98ED">
      <w:pPr>
        <w:rPr>
          <w:color w:val="auto"/>
        </w:rPr>
      </w:pPr>
    </w:p>
    <w:p w14:paraId="1EE74401">
      <w:pPr>
        <w:rPr>
          <w:color w:val="auto"/>
        </w:rPr>
      </w:pPr>
    </w:p>
    <w:p w14:paraId="6F4D08CE">
      <w:pPr>
        <w:rPr>
          <w:color w:val="auto"/>
        </w:rPr>
      </w:pPr>
    </w:p>
    <w:p w14:paraId="7CFEB6C7">
      <w:pPr>
        <w:rPr>
          <w:color w:val="auto"/>
        </w:rPr>
      </w:pPr>
    </w:p>
    <w:p w14:paraId="0D767778">
      <w:pPr>
        <w:rPr>
          <w:color w:val="auto"/>
        </w:rPr>
      </w:pPr>
    </w:p>
    <w:p w14:paraId="07BCC5F4">
      <w:pPr>
        <w:rPr>
          <w:color w:val="auto"/>
        </w:rPr>
      </w:pPr>
    </w:p>
    <w:p w14:paraId="1182D410">
      <w:pPr>
        <w:rPr>
          <w:color w:val="auto"/>
        </w:rPr>
      </w:pPr>
    </w:p>
    <w:p w14:paraId="3C415913">
      <w:pPr>
        <w:rPr>
          <w:color w:val="auto"/>
        </w:rPr>
        <w:sectPr>
          <w:pgSz w:w="11906" w:h="16838"/>
          <w:pgMar w:top="2098" w:right="1474" w:bottom="1984" w:left="1587" w:header="851" w:footer="992" w:gutter="0"/>
          <w:cols w:space="425" w:num="1"/>
          <w:docGrid w:type="lines" w:linePitch="312" w:charSpace="0"/>
        </w:sectPr>
      </w:pPr>
    </w:p>
    <w:p w14:paraId="4FF2292F">
      <w:pPr>
        <w:pStyle w:val="2"/>
        <w:keepNext/>
        <w:keepLines/>
        <w:pageBreakBefore w:val="0"/>
        <w:widowControl w:val="0"/>
        <w:numPr>
          <w:ilvl w:val="0"/>
          <w:numId w:val="1"/>
        </w:numPr>
        <w:kinsoku/>
        <w:wordWrap/>
        <w:overflowPunct/>
        <w:topLinePunct w:val="0"/>
        <w:autoSpaceDE/>
        <w:autoSpaceDN/>
        <w:bidi w:val="0"/>
        <w:adjustRightInd/>
        <w:snapToGrid/>
        <w:spacing w:before="100" w:after="100"/>
        <w:jc w:val="both"/>
        <w:textAlignment w:val="auto"/>
        <w:rPr>
          <w:rFonts w:hint="eastAsia"/>
          <w:color w:val="auto"/>
        </w:rPr>
      </w:pPr>
      <w:bookmarkStart w:id="1" w:name="_Toc247527848"/>
      <w:bookmarkStart w:id="2" w:name="_Toc247514300"/>
      <w:bookmarkStart w:id="3" w:name="_Toc152045808"/>
      <w:bookmarkStart w:id="4" w:name="_Toc25232"/>
      <w:bookmarkStart w:id="5" w:name="_Toc152042597"/>
      <w:bookmarkStart w:id="6" w:name="_Toc7415"/>
      <w:bookmarkStart w:id="7" w:name="_Toc144974876"/>
      <w:bookmarkStart w:id="8" w:name="_Toc427002393"/>
      <w:bookmarkStart w:id="9" w:name="_Toc10065"/>
      <w:r>
        <w:rPr>
          <w:rFonts w:hint="eastAsia"/>
          <w:color w:val="auto"/>
        </w:rPr>
        <w:t>报名</w:t>
      </w:r>
      <w:r>
        <w:rPr>
          <w:rFonts w:hint="eastAsia"/>
          <w:color w:val="auto"/>
          <w:lang w:eastAsia="zh-CN"/>
        </w:rPr>
        <w:t>登记</w:t>
      </w:r>
      <w:r>
        <w:rPr>
          <w:rFonts w:hint="eastAsia"/>
          <w:color w:val="auto"/>
        </w:rPr>
        <w:t>表</w:t>
      </w:r>
      <w:bookmarkEnd w:id="1"/>
      <w:bookmarkEnd w:id="2"/>
      <w:bookmarkEnd w:id="3"/>
      <w:bookmarkEnd w:id="4"/>
      <w:bookmarkEnd w:id="5"/>
      <w:bookmarkEnd w:id="6"/>
      <w:bookmarkEnd w:id="7"/>
      <w:bookmarkEnd w:id="8"/>
      <w:bookmarkEnd w:id="9"/>
    </w:p>
    <w:tbl>
      <w:tblPr>
        <w:tblStyle w:val="10"/>
        <w:tblW w:w="546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9"/>
        <w:gridCol w:w="1511"/>
        <w:gridCol w:w="1026"/>
        <w:gridCol w:w="1282"/>
        <w:gridCol w:w="2254"/>
        <w:gridCol w:w="1108"/>
        <w:gridCol w:w="1568"/>
      </w:tblGrid>
      <w:tr w14:paraId="12EFC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00" w:type="pct"/>
            <w:tcBorders>
              <w:top w:val="single" w:color="000000" w:sz="8" w:space="0"/>
              <w:left w:val="single" w:color="000000" w:sz="8" w:space="0"/>
              <w:bottom w:val="single" w:color="000000" w:sz="4" w:space="0"/>
              <w:right w:val="single" w:color="000000" w:sz="4" w:space="0"/>
            </w:tcBorders>
            <w:shd w:val="clear" w:color="auto" w:fill="auto"/>
            <w:vAlign w:val="center"/>
          </w:tcPr>
          <w:p w14:paraId="0A5DAE5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81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4B641D5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各潜在供应商名称</w:t>
            </w:r>
          </w:p>
        </w:tc>
        <w:tc>
          <w:tcPr>
            <w:tcW w:w="55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2C227A2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联系人</w:t>
            </w:r>
          </w:p>
        </w:tc>
        <w:tc>
          <w:tcPr>
            <w:tcW w:w="688" w:type="pct"/>
            <w:tcBorders>
              <w:top w:val="single" w:color="000000" w:sz="8" w:space="0"/>
              <w:left w:val="single" w:color="000000" w:sz="4" w:space="0"/>
              <w:bottom w:val="single" w:color="000000" w:sz="4" w:space="0"/>
              <w:right w:val="single" w:color="000000" w:sz="4" w:space="0"/>
            </w:tcBorders>
            <w:shd w:val="clear" w:color="auto" w:fill="auto"/>
            <w:vAlign w:val="center"/>
          </w:tcPr>
          <w:p w14:paraId="1F66339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联系电话</w:t>
            </w:r>
          </w:p>
        </w:tc>
        <w:tc>
          <w:tcPr>
            <w:tcW w:w="1210" w:type="pct"/>
            <w:tcBorders>
              <w:top w:val="single" w:color="000000" w:sz="8" w:space="0"/>
              <w:left w:val="single" w:color="000000" w:sz="4" w:space="0"/>
              <w:bottom w:val="single" w:color="000000" w:sz="4" w:space="0"/>
              <w:right w:val="single" w:color="000000" w:sz="4" w:space="0"/>
            </w:tcBorders>
            <w:shd w:val="clear" w:color="auto" w:fill="auto"/>
            <w:vAlign w:val="center"/>
          </w:tcPr>
          <w:p w14:paraId="08376722">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联系邮箱</w:t>
            </w:r>
          </w:p>
          <w:p w14:paraId="5808F8F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（与报名邮箱一致）</w:t>
            </w:r>
          </w:p>
        </w:tc>
        <w:tc>
          <w:tcPr>
            <w:tcW w:w="595" w:type="pct"/>
            <w:tcBorders>
              <w:top w:val="single" w:color="000000" w:sz="8" w:space="0"/>
              <w:left w:val="single" w:color="000000" w:sz="4" w:space="0"/>
              <w:bottom w:val="single" w:color="000000" w:sz="4" w:space="0"/>
              <w:right w:val="single" w:color="000000" w:sz="8" w:space="0"/>
            </w:tcBorders>
            <w:shd w:val="clear" w:color="auto" w:fill="auto"/>
            <w:vAlign w:val="center"/>
          </w:tcPr>
          <w:p w14:paraId="7E8A6167">
            <w:pPr>
              <w:jc w:val="center"/>
              <w:rPr>
                <w:rFonts w:hint="eastAsia"/>
                <w:color w:val="auto"/>
              </w:rPr>
            </w:pPr>
            <w:r>
              <w:rPr>
                <w:rFonts w:hint="eastAsia" w:ascii="宋体" w:hAnsi="宋体" w:eastAsia="宋体" w:cs="宋体"/>
                <w:i w:val="0"/>
                <w:iCs w:val="0"/>
                <w:color w:val="auto"/>
                <w:kern w:val="0"/>
                <w:sz w:val="24"/>
                <w:szCs w:val="24"/>
                <w:u w:val="none"/>
                <w:lang w:val="en-US" w:eastAsia="zh-CN" w:bidi="ar"/>
              </w:rPr>
              <w:t>是否为中小企业</w:t>
            </w:r>
          </w:p>
        </w:tc>
        <w:tc>
          <w:tcPr>
            <w:tcW w:w="842" w:type="pct"/>
            <w:tcBorders>
              <w:top w:val="single" w:color="000000" w:sz="8" w:space="0"/>
              <w:left w:val="single" w:color="000000" w:sz="4" w:space="0"/>
              <w:bottom w:val="single" w:color="000000" w:sz="4" w:space="0"/>
              <w:right w:val="single" w:color="000000" w:sz="8" w:space="0"/>
            </w:tcBorders>
            <w:shd w:val="clear" w:color="auto" w:fill="auto"/>
            <w:vAlign w:val="center"/>
          </w:tcPr>
          <w:p w14:paraId="62E5DDF6">
            <w:pPr>
              <w:jc w:val="center"/>
              <w:rPr>
                <w:rFonts w:hint="default"/>
                <w:color w:val="auto"/>
                <w:lang w:val="en-US" w:eastAsia="zh-CN"/>
              </w:rPr>
            </w:pPr>
            <w:r>
              <w:rPr>
                <w:rFonts w:hint="eastAsia" w:ascii="宋体" w:hAnsi="宋体" w:eastAsia="宋体" w:cs="宋体"/>
                <w:i w:val="0"/>
                <w:iCs w:val="0"/>
                <w:color w:val="auto"/>
                <w:kern w:val="0"/>
                <w:sz w:val="24"/>
                <w:szCs w:val="24"/>
                <w:u w:val="none"/>
                <w:lang w:val="en-US" w:eastAsia="zh-CN" w:bidi="ar"/>
              </w:rPr>
              <w:t>备注</w:t>
            </w:r>
          </w:p>
        </w:tc>
      </w:tr>
      <w:tr w14:paraId="3EA31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300" w:type="pct"/>
            <w:tcBorders>
              <w:top w:val="single" w:color="000000" w:sz="4" w:space="0"/>
              <w:left w:val="single" w:color="000000" w:sz="8" w:space="0"/>
              <w:bottom w:val="single" w:color="000000" w:sz="8" w:space="0"/>
              <w:right w:val="single" w:color="000000" w:sz="4" w:space="0"/>
            </w:tcBorders>
            <w:shd w:val="clear" w:color="auto" w:fill="auto"/>
            <w:vAlign w:val="center"/>
          </w:tcPr>
          <w:p w14:paraId="72FCE37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81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65EAFBC">
            <w:pPr>
              <w:jc w:val="center"/>
              <w:rPr>
                <w:rFonts w:hint="eastAsia" w:ascii="宋体" w:hAnsi="宋体" w:eastAsia="宋体" w:cs="宋体"/>
                <w:i w:val="0"/>
                <w:iCs w:val="0"/>
                <w:color w:val="auto"/>
                <w:sz w:val="24"/>
                <w:szCs w:val="24"/>
                <w:u w:val="none"/>
              </w:rPr>
            </w:pPr>
          </w:p>
        </w:tc>
        <w:tc>
          <w:tcPr>
            <w:tcW w:w="55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05DA0612">
            <w:pPr>
              <w:jc w:val="center"/>
              <w:rPr>
                <w:rFonts w:hint="eastAsia" w:ascii="宋体" w:hAnsi="宋体" w:eastAsia="宋体" w:cs="宋体"/>
                <w:i w:val="0"/>
                <w:iCs w:val="0"/>
                <w:color w:val="auto"/>
                <w:sz w:val="24"/>
                <w:szCs w:val="24"/>
                <w:u w:val="none"/>
              </w:rPr>
            </w:pPr>
          </w:p>
        </w:tc>
        <w:tc>
          <w:tcPr>
            <w:tcW w:w="688"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820933A">
            <w:pPr>
              <w:jc w:val="center"/>
              <w:rPr>
                <w:rFonts w:hint="eastAsia" w:ascii="宋体" w:hAnsi="宋体" w:eastAsia="宋体" w:cs="宋体"/>
                <w:i w:val="0"/>
                <w:iCs w:val="0"/>
                <w:color w:val="auto"/>
                <w:sz w:val="24"/>
                <w:szCs w:val="24"/>
                <w:u w:val="none"/>
              </w:rPr>
            </w:pPr>
          </w:p>
        </w:tc>
        <w:tc>
          <w:tcPr>
            <w:tcW w:w="1210"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6B782C9">
            <w:pPr>
              <w:jc w:val="center"/>
              <w:rPr>
                <w:rFonts w:hint="eastAsia" w:ascii="宋体" w:hAnsi="宋体" w:eastAsia="宋体" w:cs="宋体"/>
                <w:i w:val="0"/>
                <w:iCs w:val="0"/>
                <w:color w:val="auto"/>
                <w:sz w:val="24"/>
                <w:szCs w:val="24"/>
                <w:u w:val="none"/>
              </w:rPr>
            </w:pPr>
          </w:p>
        </w:tc>
        <w:tc>
          <w:tcPr>
            <w:tcW w:w="595"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685406CE">
            <w:pPr>
              <w:jc w:val="center"/>
              <w:rPr>
                <w:rFonts w:hint="eastAsia" w:ascii="宋体" w:hAnsi="宋体" w:eastAsia="宋体" w:cs="宋体"/>
                <w:i w:val="0"/>
                <w:iCs w:val="0"/>
                <w:color w:val="auto"/>
                <w:sz w:val="24"/>
                <w:szCs w:val="24"/>
                <w:u w:val="none"/>
              </w:rPr>
            </w:pPr>
          </w:p>
        </w:tc>
        <w:tc>
          <w:tcPr>
            <w:tcW w:w="842"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591B3249">
            <w:pPr>
              <w:jc w:val="center"/>
              <w:rPr>
                <w:rFonts w:hint="eastAsia" w:ascii="宋体" w:hAnsi="宋体" w:eastAsia="宋体" w:cs="宋体"/>
                <w:i w:val="0"/>
                <w:iCs w:val="0"/>
                <w:color w:val="auto"/>
                <w:sz w:val="24"/>
                <w:szCs w:val="24"/>
                <w:u w:val="none"/>
              </w:rPr>
            </w:pPr>
          </w:p>
        </w:tc>
      </w:tr>
    </w:tbl>
    <w:p w14:paraId="156D1238">
      <w:pPr>
        <w:numPr>
          <w:ilvl w:val="0"/>
          <w:numId w:val="0"/>
        </w:numPr>
        <w:rPr>
          <w:rFonts w:hint="eastAsia"/>
          <w:color w:val="auto"/>
        </w:rPr>
      </w:pPr>
    </w:p>
    <w:p w14:paraId="6243BC17">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10" w:name="_Toc2616"/>
      <w:bookmarkStart w:id="11" w:name="_Toc2669"/>
      <w:r>
        <w:rPr>
          <w:rFonts w:hint="eastAsia"/>
          <w:color w:val="auto"/>
          <w:lang w:val="en-US" w:eastAsia="zh-CN"/>
        </w:rPr>
        <w:t>二、资质：</w:t>
      </w:r>
      <w:bookmarkEnd w:id="10"/>
    </w:p>
    <w:p w14:paraId="00A9358C">
      <w:pPr>
        <w:pStyle w:val="3"/>
        <w:bidi w:val="0"/>
        <w:rPr>
          <w:rFonts w:hint="eastAsia"/>
          <w:color w:val="auto"/>
        </w:rPr>
      </w:pPr>
      <w:bookmarkStart w:id="12" w:name="_Toc21365"/>
      <w:r>
        <w:rPr>
          <w:rFonts w:hint="eastAsia"/>
          <w:color w:val="auto"/>
          <w:lang w:val="en-US" w:eastAsia="zh-CN"/>
        </w:rPr>
        <w:t>1.1</w:t>
      </w:r>
      <w:r>
        <w:rPr>
          <w:rFonts w:hint="eastAsia"/>
          <w:color w:val="auto"/>
        </w:rPr>
        <w:t>营业执照</w:t>
      </w:r>
      <w:bookmarkEnd w:id="11"/>
      <w:bookmarkEnd w:id="12"/>
      <w:bookmarkStart w:id="13" w:name="_Toc3036"/>
    </w:p>
    <w:p w14:paraId="24C0CCC9">
      <w:pPr>
        <w:pStyle w:val="3"/>
        <w:bidi w:val="0"/>
        <w:rPr>
          <w:rFonts w:hint="eastAsia"/>
          <w:color w:val="auto"/>
          <w:lang w:val="en-US" w:eastAsia="zh-CN"/>
        </w:rPr>
      </w:pPr>
      <w:bookmarkStart w:id="14" w:name="_Toc15889"/>
      <w:r>
        <w:rPr>
          <w:rFonts w:hint="eastAsia"/>
          <w:color w:val="auto"/>
          <w:lang w:val="en-US" w:eastAsia="zh-CN"/>
        </w:rPr>
        <w:t>1.1</w:t>
      </w:r>
      <w:r>
        <w:rPr>
          <w:rFonts w:hint="eastAsia"/>
          <w:color w:val="auto"/>
          <w:lang w:eastAsia="zh-CN"/>
        </w:rPr>
        <w:t>法定代表人授权书</w:t>
      </w:r>
      <w:bookmarkEnd w:id="13"/>
      <w:bookmarkEnd w:id="14"/>
    </w:p>
    <w:p w14:paraId="0B774947">
      <w:pPr>
        <w:pStyle w:val="3"/>
        <w:bidi w:val="0"/>
        <w:rPr>
          <w:rFonts w:hint="eastAsia"/>
          <w:color w:val="auto"/>
          <w:lang w:eastAsia="zh-CN"/>
        </w:rPr>
      </w:pPr>
      <w:bookmarkStart w:id="15" w:name="_Toc5131"/>
      <w:bookmarkStart w:id="16" w:name="_Toc22138"/>
      <w:r>
        <w:rPr>
          <w:rFonts w:hint="eastAsia"/>
          <w:color w:val="auto"/>
          <w:lang w:val="en-US" w:eastAsia="zh-CN"/>
        </w:rPr>
        <w:t>1.3</w:t>
      </w:r>
      <w:r>
        <w:rPr>
          <w:rFonts w:hint="eastAsia"/>
          <w:color w:val="auto"/>
          <w:lang w:eastAsia="zh-CN"/>
        </w:rPr>
        <w:t>法人及被授权人身份证</w:t>
      </w:r>
      <w:bookmarkEnd w:id="15"/>
      <w:bookmarkEnd w:id="16"/>
    </w:p>
    <w:p w14:paraId="0EE4FDF7">
      <w:pPr>
        <w:pStyle w:val="3"/>
        <w:bidi w:val="0"/>
        <w:rPr>
          <w:rFonts w:hint="eastAsia"/>
          <w:color w:val="auto"/>
          <w:lang w:eastAsia="zh-CN"/>
        </w:rPr>
      </w:pPr>
      <w:bookmarkStart w:id="17" w:name="_Toc17143"/>
      <w:bookmarkStart w:id="18" w:name="_Toc22588"/>
      <w:r>
        <w:rPr>
          <w:rFonts w:hint="eastAsia"/>
          <w:color w:val="auto"/>
          <w:lang w:val="en-US" w:eastAsia="zh-CN"/>
        </w:rPr>
        <w:t>1.4</w:t>
      </w:r>
      <w:r>
        <w:rPr>
          <w:rFonts w:hint="eastAsia"/>
          <w:color w:val="auto"/>
          <w:lang w:eastAsia="zh-CN"/>
        </w:rPr>
        <w:t>公司资质</w:t>
      </w:r>
      <w:bookmarkEnd w:id="17"/>
      <w:bookmarkEnd w:id="18"/>
    </w:p>
    <w:p w14:paraId="11524558">
      <w:pPr>
        <w:pStyle w:val="3"/>
        <w:bidi w:val="0"/>
        <w:rPr>
          <w:rFonts w:hint="default"/>
          <w:color w:val="auto"/>
          <w:lang w:val="en-US" w:eastAsia="zh-CN"/>
        </w:rPr>
      </w:pPr>
      <w:bookmarkStart w:id="19" w:name="_Toc24835"/>
      <w:r>
        <w:rPr>
          <w:rFonts w:hint="eastAsia"/>
          <w:color w:val="auto"/>
          <w:lang w:val="en-US" w:eastAsia="zh-CN"/>
        </w:rPr>
        <w:t>1.5软件资质</w:t>
      </w:r>
      <w:bookmarkEnd w:id="19"/>
    </w:p>
    <w:p w14:paraId="14205E1B">
      <w:pPr>
        <w:pStyle w:val="3"/>
        <w:bidi w:val="0"/>
        <w:rPr>
          <w:rFonts w:hint="eastAsia"/>
          <w:color w:val="auto"/>
          <w:lang w:eastAsia="zh-CN"/>
        </w:rPr>
      </w:pPr>
      <w:bookmarkStart w:id="20" w:name="_Toc11995"/>
      <w:bookmarkStart w:id="21" w:name="_Toc3652"/>
      <w:r>
        <w:rPr>
          <w:rFonts w:hint="eastAsia"/>
          <w:color w:val="auto"/>
          <w:lang w:val="en-US" w:eastAsia="zh-CN"/>
        </w:rPr>
        <w:t>1.6本项目涉及</w:t>
      </w:r>
      <w:r>
        <w:rPr>
          <w:rFonts w:hint="eastAsia"/>
          <w:color w:val="auto"/>
          <w:lang w:eastAsia="zh-CN"/>
        </w:rPr>
        <w:t>资质</w:t>
      </w:r>
      <w:bookmarkEnd w:id="20"/>
      <w:bookmarkEnd w:id="21"/>
    </w:p>
    <w:p w14:paraId="7465D186">
      <w:pPr>
        <w:pStyle w:val="3"/>
        <w:bidi w:val="0"/>
        <w:rPr>
          <w:rFonts w:hint="eastAsia" w:ascii="宋体" w:hAnsi="宋体" w:eastAsia="宋体" w:cs="宋体"/>
          <w:color w:val="auto"/>
          <w:sz w:val="24"/>
          <w:szCs w:val="24"/>
        </w:rPr>
      </w:pPr>
      <w:bookmarkStart w:id="22" w:name="_Toc6788"/>
      <w:bookmarkStart w:id="23" w:name="_Toc21787"/>
      <w:r>
        <w:rPr>
          <w:rFonts w:hint="eastAsia"/>
          <w:b/>
          <w:color w:val="auto"/>
          <w:lang w:val="en-US" w:eastAsia="zh-CN"/>
        </w:rPr>
        <w:t>1.7开发商委托销售授权函</w:t>
      </w:r>
      <w:bookmarkEnd w:id="22"/>
      <w:bookmarkEnd w:id="23"/>
    </w:p>
    <w:p w14:paraId="4AB46103">
      <w:pPr>
        <w:pStyle w:val="2"/>
        <w:keepNext/>
        <w:keepLines/>
        <w:pageBreakBefore w:val="0"/>
        <w:widowControl w:val="0"/>
        <w:numPr>
          <w:ilvl w:val="0"/>
          <w:numId w:val="0"/>
        </w:numPr>
        <w:kinsoku/>
        <w:wordWrap/>
        <w:overflowPunct/>
        <w:topLinePunct w:val="0"/>
        <w:autoSpaceDE/>
        <w:autoSpaceDN/>
        <w:bidi w:val="0"/>
        <w:adjustRightInd/>
        <w:snapToGrid/>
        <w:spacing w:before="100" w:after="100"/>
        <w:jc w:val="both"/>
        <w:textAlignment w:val="auto"/>
        <w:rPr>
          <w:rFonts w:hint="default"/>
          <w:color w:val="auto"/>
          <w:lang w:val="en-US" w:eastAsia="zh-CN"/>
        </w:rPr>
      </w:pPr>
      <w:bookmarkStart w:id="24" w:name="_Toc20019"/>
      <w:r>
        <w:rPr>
          <w:rFonts w:hint="eastAsia"/>
          <w:color w:val="auto"/>
          <w:lang w:val="en-US" w:eastAsia="zh-CN"/>
        </w:rPr>
        <w:t>三、单一来源说明及佐证材料</w:t>
      </w:r>
      <w:bookmarkEnd w:id="24"/>
    </w:p>
    <w:p w14:paraId="24E5603C">
      <w:pPr>
        <w:pStyle w:val="14"/>
        <w:rPr>
          <w:rFonts w:hint="eastAsia" w:ascii="宋体" w:hAnsi="宋体" w:eastAsia="宋体" w:cs="宋体"/>
          <w:color w:val="auto"/>
          <w:sz w:val="24"/>
          <w:szCs w:val="24"/>
        </w:rPr>
      </w:pPr>
    </w:p>
    <w:p w14:paraId="02A67424">
      <w:pPr>
        <w:pStyle w:val="14"/>
        <w:rPr>
          <w:rFonts w:hint="eastAsia" w:ascii="宋体" w:hAnsi="宋体" w:eastAsia="宋体" w:cs="宋体"/>
          <w:color w:val="auto"/>
          <w:sz w:val="24"/>
          <w:szCs w:val="24"/>
        </w:rPr>
      </w:pPr>
    </w:p>
    <w:p w14:paraId="15524A86">
      <w:pPr>
        <w:pStyle w:val="14"/>
        <w:rPr>
          <w:rFonts w:hint="eastAsia" w:ascii="宋体" w:hAnsi="宋体" w:eastAsia="宋体" w:cs="宋体"/>
          <w:color w:val="auto"/>
          <w:sz w:val="24"/>
          <w:szCs w:val="24"/>
        </w:rPr>
      </w:pPr>
    </w:p>
    <w:p w14:paraId="78A5D3B8">
      <w:pPr>
        <w:pStyle w:val="14"/>
        <w:rPr>
          <w:rFonts w:hint="eastAsia" w:ascii="宋体" w:hAnsi="宋体" w:eastAsia="宋体" w:cs="宋体"/>
          <w:color w:val="auto"/>
          <w:sz w:val="24"/>
          <w:szCs w:val="24"/>
        </w:rPr>
      </w:pPr>
    </w:p>
    <w:p w14:paraId="1FB906DD">
      <w:pPr>
        <w:pStyle w:val="14"/>
        <w:rPr>
          <w:rFonts w:hint="eastAsia" w:ascii="宋体" w:hAnsi="宋体" w:eastAsia="宋体" w:cs="宋体"/>
          <w:color w:val="auto"/>
          <w:sz w:val="24"/>
          <w:szCs w:val="24"/>
        </w:rPr>
      </w:pPr>
    </w:p>
    <w:p w14:paraId="6A6FCF73">
      <w:pPr>
        <w:pStyle w:val="14"/>
        <w:rPr>
          <w:rFonts w:hint="eastAsia" w:ascii="宋体" w:hAnsi="宋体" w:eastAsia="宋体" w:cs="宋体"/>
          <w:color w:val="auto"/>
          <w:sz w:val="24"/>
          <w:szCs w:val="24"/>
        </w:rPr>
      </w:pPr>
    </w:p>
    <w:p w14:paraId="193DC50C">
      <w:pPr>
        <w:rPr>
          <w:rFonts w:hint="eastAsia"/>
          <w:color w:val="auto"/>
          <w:lang w:val="en-US" w:eastAsia="zh-CN"/>
        </w:rPr>
        <w:sectPr>
          <w:pgSz w:w="11906" w:h="16838"/>
          <w:pgMar w:top="1440" w:right="1800" w:bottom="1440" w:left="1800" w:header="851" w:footer="992" w:gutter="0"/>
          <w:cols w:space="425" w:num="1"/>
          <w:docGrid w:type="lines" w:linePitch="312" w:charSpace="0"/>
        </w:sectPr>
      </w:pPr>
    </w:p>
    <w:p w14:paraId="386B4170">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5" w:name="_Toc31535"/>
      <w:r>
        <w:rPr>
          <w:rFonts w:hint="eastAsia"/>
          <w:color w:val="auto"/>
          <w:lang w:val="en-US" w:eastAsia="zh-CN"/>
        </w:rPr>
        <w:t>四、项目调研情况一览汇总表</w:t>
      </w:r>
      <w:bookmarkEnd w:id="25"/>
    </w:p>
    <w:p w14:paraId="08955908">
      <w:pPr>
        <w:pStyle w:val="5"/>
        <w:spacing w:line="360" w:lineRule="auto"/>
        <w:ind w:firstLine="720" w:firstLineChars="300"/>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项目名称：</w:t>
      </w:r>
      <w:r>
        <w:rPr>
          <w:rFonts w:hint="eastAsia" w:ascii="仿宋" w:hAnsi="仿宋" w:cs="仿宋"/>
          <w:i w:val="0"/>
          <w:iCs w:val="0"/>
          <w:color w:val="auto"/>
          <w:kern w:val="0"/>
          <w:sz w:val="24"/>
          <w:szCs w:val="24"/>
          <w:u w:val="none"/>
          <w:lang w:val="en-US" w:eastAsia="zh-CN" w:bidi="ar"/>
        </w:rPr>
        <w:t xml:space="preserve">                                                   </w:t>
      </w:r>
      <w:r>
        <w:rPr>
          <w:rFonts w:hint="eastAsia" w:ascii="仿宋" w:hAnsi="仿宋" w:eastAsia="仿宋" w:cs="仿宋"/>
          <w:i w:val="0"/>
          <w:iCs w:val="0"/>
          <w:color w:val="auto"/>
          <w:kern w:val="0"/>
          <w:sz w:val="24"/>
          <w:szCs w:val="24"/>
          <w:u w:val="none"/>
          <w:lang w:val="en-US" w:eastAsia="zh-CN" w:bidi="ar"/>
        </w:rPr>
        <w:t>采购品目分类名称：</w:t>
      </w:r>
    </w:p>
    <w:p w14:paraId="579850F1">
      <w:pPr>
        <w:pStyle w:val="5"/>
        <w:spacing w:line="360" w:lineRule="auto"/>
        <w:ind w:firstLine="720" w:firstLineChars="300"/>
        <w:rPr>
          <w:rFonts w:hint="eastAsia" w:ascii="仿宋" w:hAnsi="仿宋" w:eastAsia="仿宋" w:cs="仿宋"/>
          <w:i w:val="0"/>
          <w:iCs w:val="0"/>
          <w:color w:val="auto"/>
          <w:kern w:val="0"/>
          <w:sz w:val="24"/>
          <w:szCs w:val="24"/>
          <w:u w:val="none"/>
          <w:lang w:val="en-US" w:eastAsia="zh-CN" w:bidi="ar"/>
        </w:rPr>
      </w:pPr>
      <w:r>
        <w:rPr>
          <w:rFonts w:hint="eastAsia" w:ascii="仿宋" w:hAnsi="仿宋" w:cs="仿宋"/>
          <w:i w:val="0"/>
          <w:iCs w:val="0"/>
          <w:color w:val="auto"/>
          <w:kern w:val="0"/>
          <w:sz w:val="24"/>
          <w:szCs w:val="24"/>
          <w:u w:val="none"/>
          <w:lang w:val="en-US" w:eastAsia="zh-CN" w:bidi="ar"/>
        </w:rPr>
        <w:t>各潜在供应商</w:t>
      </w:r>
      <w:r>
        <w:rPr>
          <w:rFonts w:hint="eastAsia" w:ascii="仿宋" w:hAnsi="仿宋" w:eastAsia="仿宋" w:cs="仿宋"/>
          <w:i w:val="0"/>
          <w:iCs w:val="0"/>
          <w:color w:val="auto"/>
          <w:kern w:val="0"/>
          <w:sz w:val="24"/>
          <w:szCs w:val="24"/>
          <w:u w:val="none"/>
          <w:lang w:val="en-US" w:eastAsia="zh-CN" w:bidi="ar"/>
        </w:rPr>
        <w:t>名称：</w:t>
      </w:r>
      <w:r>
        <w:rPr>
          <w:rFonts w:hint="eastAsia" w:ascii="仿宋" w:hAnsi="仿宋" w:cs="仿宋"/>
          <w:i w:val="0"/>
          <w:iCs w:val="0"/>
          <w:color w:val="auto"/>
          <w:kern w:val="0"/>
          <w:sz w:val="24"/>
          <w:szCs w:val="24"/>
          <w:u w:val="none"/>
          <w:lang w:val="en-US" w:eastAsia="zh-CN" w:bidi="ar"/>
        </w:rPr>
        <w:t xml:space="preserve">                                           </w:t>
      </w:r>
      <w:r>
        <w:rPr>
          <w:rFonts w:hint="eastAsia" w:ascii="仿宋" w:hAnsi="仿宋" w:eastAsia="仿宋" w:cs="仿宋"/>
          <w:i w:val="0"/>
          <w:iCs w:val="0"/>
          <w:color w:val="auto"/>
          <w:kern w:val="0"/>
          <w:sz w:val="24"/>
          <w:szCs w:val="24"/>
          <w:u w:val="none"/>
          <w:lang w:val="en-US" w:eastAsia="zh-CN" w:bidi="ar"/>
        </w:rPr>
        <w:t>联系人及联系电话：</w:t>
      </w:r>
    </w:p>
    <w:p w14:paraId="77BFBC6D">
      <w:pPr>
        <w:rPr>
          <w:rFonts w:hint="eastAsia"/>
          <w:lang w:val="en-US" w:eastAsia="zh-CN"/>
        </w:rPr>
      </w:pPr>
      <w:r>
        <w:rPr>
          <w:rFonts w:hint="eastAsia" w:ascii="仿宋" w:hAnsi="仿宋" w:eastAsia="仿宋" w:cs="仿宋"/>
          <w:b/>
          <w:bCs/>
          <w:i w:val="0"/>
          <w:iCs w:val="0"/>
          <w:color w:val="auto"/>
          <w:kern w:val="0"/>
          <w:sz w:val="28"/>
          <w:szCs w:val="28"/>
          <w:u w:val="none"/>
          <w:lang w:val="en-US" w:eastAsia="zh-CN" w:bidi="ar"/>
        </w:rPr>
        <w:t>（一）报价清单</w:t>
      </w:r>
    </w:p>
    <w:tbl>
      <w:tblPr>
        <w:tblStyle w:val="10"/>
        <w:tblW w:w="496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6"/>
        <w:gridCol w:w="1214"/>
        <w:gridCol w:w="2422"/>
        <w:gridCol w:w="958"/>
        <w:gridCol w:w="1129"/>
        <w:gridCol w:w="2116"/>
        <w:gridCol w:w="2228"/>
        <w:gridCol w:w="3947"/>
      </w:tblGrid>
      <w:tr w14:paraId="0CC12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375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序号</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32B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项目名称</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357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服务内容</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513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数量</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C11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计量</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单位</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E0F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预算单价（万元）</w:t>
            </w:r>
          </w:p>
        </w:tc>
        <w:tc>
          <w:tcPr>
            <w:tcW w:w="7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FEC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预算金额（万元）</w:t>
            </w:r>
          </w:p>
        </w:tc>
        <w:tc>
          <w:tcPr>
            <w:tcW w:w="1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013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备注</w:t>
            </w:r>
          </w:p>
        </w:tc>
      </w:tr>
      <w:tr w14:paraId="56FFA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5" w:hRule="atLeast"/>
        </w:trPr>
        <w:tc>
          <w:tcPr>
            <w:tcW w:w="2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4087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w:t>
            </w:r>
          </w:p>
        </w:tc>
        <w:tc>
          <w:tcPr>
            <w:tcW w:w="4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7D7E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电子票据</w:t>
            </w:r>
            <w:r>
              <w:rPr>
                <w:rFonts w:hint="eastAsia" w:asciiTheme="minorEastAsia" w:hAnsiTheme="minorEastAsia" w:cstheme="minorEastAsia"/>
                <w:i w:val="0"/>
                <w:iCs w:val="0"/>
                <w:color w:val="auto"/>
                <w:kern w:val="0"/>
                <w:sz w:val="21"/>
                <w:szCs w:val="21"/>
                <w:u w:val="none"/>
                <w:lang w:val="en-US" w:eastAsia="zh-CN" w:bidi="ar"/>
              </w:rPr>
              <w:t>系统</w:t>
            </w:r>
            <w:r>
              <w:rPr>
                <w:rFonts w:hint="eastAsia" w:asciiTheme="minorEastAsia" w:hAnsiTheme="minorEastAsia" w:eastAsiaTheme="minorEastAsia" w:cstheme="minorEastAsia"/>
                <w:i w:val="0"/>
                <w:iCs w:val="0"/>
                <w:color w:val="auto"/>
                <w:kern w:val="0"/>
                <w:sz w:val="21"/>
                <w:szCs w:val="21"/>
                <w:u w:val="none"/>
                <w:lang w:val="en-US" w:eastAsia="zh-CN" w:bidi="ar"/>
              </w:rPr>
              <w:t>承接服务</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1E91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电子票据系统运维服务</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1B3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3</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4C0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年</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A09CD">
            <w:pPr>
              <w:jc w:val="center"/>
              <w:rPr>
                <w:rFonts w:hint="eastAsia" w:asciiTheme="minorEastAsia" w:hAnsiTheme="minorEastAsia" w:eastAsiaTheme="minorEastAsia" w:cstheme="minorEastAsia"/>
                <w:i w:val="0"/>
                <w:iCs w:val="0"/>
                <w:color w:val="auto"/>
                <w:sz w:val="21"/>
                <w:szCs w:val="21"/>
                <w:u w:val="none"/>
              </w:rPr>
            </w:pP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CDE37">
            <w:pPr>
              <w:jc w:val="center"/>
              <w:rPr>
                <w:rFonts w:hint="eastAsia" w:asciiTheme="minorEastAsia" w:hAnsiTheme="minorEastAsia" w:eastAsiaTheme="minorEastAsia" w:cstheme="minorEastAsia"/>
                <w:i w:val="0"/>
                <w:iCs w:val="0"/>
                <w:color w:val="auto"/>
                <w:sz w:val="21"/>
                <w:szCs w:val="21"/>
                <w:u w:val="none"/>
              </w:rPr>
            </w:pPr>
          </w:p>
        </w:tc>
        <w:tc>
          <w:tcPr>
            <w:tcW w:w="3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77E1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按实际服务期限据实结算</w:t>
            </w:r>
          </w:p>
        </w:tc>
      </w:tr>
      <w:tr w14:paraId="0AD45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C9F08">
            <w:pPr>
              <w:jc w:val="center"/>
              <w:rPr>
                <w:rFonts w:hint="eastAsia" w:asciiTheme="minorEastAsia" w:hAnsiTheme="minorEastAsia" w:eastAsiaTheme="minorEastAsia" w:cstheme="minorEastAsia"/>
                <w:i w:val="0"/>
                <w:iCs w:val="0"/>
                <w:color w:val="auto"/>
                <w:sz w:val="21"/>
                <w:szCs w:val="21"/>
                <w:u w:val="none"/>
              </w:rPr>
            </w:pPr>
          </w:p>
        </w:tc>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A89E1">
            <w:pPr>
              <w:jc w:val="center"/>
              <w:rPr>
                <w:rFonts w:hint="eastAsia" w:asciiTheme="minorEastAsia" w:hAnsiTheme="minorEastAsia" w:eastAsiaTheme="minorEastAsia" w:cstheme="minorEastAsia"/>
                <w:i w:val="0"/>
                <w:iCs w:val="0"/>
                <w:color w:val="auto"/>
                <w:sz w:val="21"/>
                <w:szCs w:val="21"/>
                <w:u w:val="none"/>
              </w:rPr>
            </w:pP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7C07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电子票据系统升级服务</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926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FE7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项</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91133">
            <w:pPr>
              <w:jc w:val="center"/>
              <w:rPr>
                <w:rFonts w:hint="eastAsia" w:asciiTheme="minorEastAsia" w:hAnsiTheme="minorEastAsia" w:eastAsiaTheme="minorEastAsia" w:cstheme="minorEastAsia"/>
                <w:i w:val="0"/>
                <w:iCs w:val="0"/>
                <w:color w:val="auto"/>
                <w:sz w:val="21"/>
                <w:szCs w:val="21"/>
                <w:u w:val="none"/>
              </w:rPr>
            </w:pP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E95D4">
            <w:pPr>
              <w:jc w:val="center"/>
              <w:rPr>
                <w:rFonts w:hint="eastAsia" w:asciiTheme="minorEastAsia" w:hAnsiTheme="minorEastAsia" w:eastAsiaTheme="minorEastAsia" w:cstheme="minorEastAsia"/>
                <w:i w:val="0"/>
                <w:iCs w:val="0"/>
                <w:color w:val="auto"/>
                <w:sz w:val="21"/>
                <w:szCs w:val="21"/>
                <w:u w:val="none"/>
              </w:rPr>
            </w:pPr>
          </w:p>
        </w:tc>
        <w:tc>
          <w:tcPr>
            <w:tcW w:w="3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A376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p>
          <w:p w14:paraId="1671F18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须严格按照国家、省、市政策规定时限完成开发、测试、对接与上线。并配合</w:t>
            </w:r>
            <w:r>
              <w:rPr>
                <w:rFonts w:hint="eastAsia" w:asciiTheme="minorEastAsia" w:hAnsiTheme="minorEastAsia" w:cstheme="minorEastAsia"/>
                <w:i w:val="0"/>
                <w:iCs w:val="0"/>
                <w:color w:val="auto"/>
                <w:kern w:val="0"/>
                <w:sz w:val="21"/>
                <w:szCs w:val="21"/>
                <w:u w:val="none"/>
                <w:lang w:val="en-US" w:eastAsia="zh-CN" w:bidi="ar"/>
              </w:rPr>
              <w:t>医院</w:t>
            </w:r>
            <w:r>
              <w:rPr>
                <w:rFonts w:hint="eastAsia" w:asciiTheme="minorEastAsia" w:hAnsiTheme="minorEastAsia" w:eastAsiaTheme="minorEastAsia" w:cstheme="minorEastAsia"/>
                <w:i w:val="0"/>
                <w:iCs w:val="0"/>
                <w:color w:val="auto"/>
                <w:kern w:val="0"/>
                <w:sz w:val="21"/>
                <w:szCs w:val="21"/>
                <w:u w:val="none"/>
                <w:lang w:val="en-US" w:eastAsia="zh-CN" w:bidi="ar"/>
              </w:rPr>
              <w:t>组织项目分项验收。</w:t>
            </w:r>
          </w:p>
          <w:p w14:paraId="6CF65DD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p>
        </w:tc>
      </w:tr>
    </w:tbl>
    <w:p w14:paraId="14E15435">
      <w:pPr>
        <w:numPr>
          <w:ilvl w:val="0"/>
          <w:numId w:val="0"/>
        </w:numPr>
        <w:rPr>
          <w:rFonts w:hint="default" w:ascii="仿宋" w:hAnsi="仿宋" w:eastAsia="仿宋" w:cs="仿宋"/>
          <w:b/>
          <w:bCs/>
          <w:i w:val="0"/>
          <w:iCs w:val="0"/>
          <w:color w:val="auto"/>
          <w:kern w:val="0"/>
          <w:sz w:val="28"/>
          <w:szCs w:val="28"/>
          <w:u w:val="none"/>
          <w:lang w:val="en-US" w:eastAsia="zh-CN" w:bidi="ar"/>
        </w:rPr>
      </w:pPr>
      <w:r>
        <w:rPr>
          <w:rFonts w:hint="eastAsia" w:ascii="仿宋" w:hAnsi="仿宋" w:eastAsia="仿宋" w:cs="仿宋"/>
          <w:b/>
          <w:bCs/>
          <w:i w:val="0"/>
          <w:iCs w:val="0"/>
          <w:color w:val="auto"/>
          <w:kern w:val="0"/>
          <w:sz w:val="28"/>
          <w:szCs w:val="28"/>
          <w:u w:val="none"/>
          <w:lang w:val="en-US" w:eastAsia="zh-CN" w:bidi="ar"/>
        </w:rPr>
        <w:t>（二）服务要求</w:t>
      </w:r>
    </w:p>
    <w:tbl>
      <w:tblPr>
        <w:tblStyle w:val="10"/>
        <w:tblW w:w="0" w:type="auto"/>
        <w:tblInd w:w="-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8"/>
        <w:gridCol w:w="1139"/>
        <w:gridCol w:w="11757"/>
        <w:gridCol w:w="1118"/>
      </w:tblGrid>
      <w:tr w14:paraId="7871E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662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序号</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011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lang w:val="en-US"/>
              </w:rPr>
            </w:pPr>
            <w:r>
              <w:rPr>
                <w:rFonts w:hint="eastAsia" w:asciiTheme="minorEastAsia" w:hAnsiTheme="minorEastAsia" w:eastAsiaTheme="minorEastAsia" w:cstheme="minorEastAsia"/>
                <w:i w:val="0"/>
                <w:iCs w:val="0"/>
                <w:color w:val="auto"/>
                <w:kern w:val="0"/>
                <w:sz w:val="21"/>
                <w:szCs w:val="21"/>
                <w:u w:val="none"/>
                <w:lang w:val="en-US" w:eastAsia="zh-CN" w:bidi="ar"/>
              </w:rPr>
              <w:t>项目名称</w:t>
            </w:r>
          </w:p>
        </w:tc>
        <w:tc>
          <w:tcPr>
            <w:tcW w:w="1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63A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lang w:val="en-US"/>
              </w:rPr>
            </w:pPr>
            <w:r>
              <w:rPr>
                <w:rFonts w:hint="eastAsia" w:asciiTheme="minorEastAsia" w:hAnsiTheme="minorEastAsia" w:eastAsiaTheme="minorEastAsia" w:cstheme="minorEastAsia"/>
                <w:i w:val="0"/>
                <w:iCs w:val="0"/>
                <w:color w:val="auto"/>
                <w:kern w:val="0"/>
                <w:sz w:val="21"/>
                <w:szCs w:val="21"/>
                <w:u w:val="none"/>
                <w:lang w:val="en-US" w:eastAsia="zh-CN" w:bidi="ar"/>
              </w:rPr>
              <w:t>服务要求</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5AE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备注</w:t>
            </w:r>
          </w:p>
        </w:tc>
      </w:tr>
      <w:tr w14:paraId="00F9E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B6F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FEA0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电子票据</w:t>
            </w:r>
            <w:r>
              <w:rPr>
                <w:rFonts w:hint="eastAsia" w:asciiTheme="minorEastAsia" w:hAnsiTheme="minorEastAsia" w:cstheme="minorEastAsia"/>
                <w:i w:val="0"/>
                <w:iCs w:val="0"/>
                <w:color w:val="auto"/>
                <w:kern w:val="0"/>
                <w:sz w:val="21"/>
                <w:szCs w:val="21"/>
                <w:u w:val="none"/>
                <w:lang w:val="en-US" w:eastAsia="zh-CN" w:bidi="ar"/>
              </w:rPr>
              <w:t>系统</w:t>
            </w:r>
            <w:r>
              <w:rPr>
                <w:rFonts w:hint="eastAsia" w:asciiTheme="minorEastAsia" w:hAnsiTheme="minorEastAsia" w:eastAsiaTheme="minorEastAsia" w:cstheme="minorEastAsia"/>
                <w:i w:val="0"/>
                <w:iCs w:val="0"/>
                <w:color w:val="auto"/>
                <w:kern w:val="0"/>
                <w:sz w:val="21"/>
                <w:szCs w:val="21"/>
                <w:u w:val="none"/>
                <w:lang w:val="en-US" w:eastAsia="zh-CN" w:bidi="ar"/>
              </w:rPr>
              <w:t>承接服务</w:t>
            </w:r>
          </w:p>
        </w:tc>
        <w:tc>
          <w:tcPr>
            <w:tcW w:w="1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7345D">
            <w:pPr>
              <w:keepNext w:val="0"/>
              <w:keepLines w:val="0"/>
              <w:widowControl/>
              <w:suppressLineNumbers w:val="0"/>
              <w:jc w:val="left"/>
              <w:textAlignment w:val="center"/>
              <w:rPr>
                <w:rFonts w:hint="default" w:asciiTheme="minorEastAsia" w:hAnsiTheme="minorEastAsia" w:eastAsiaTheme="minorEastAsia" w:cstheme="minorEastAsia"/>
                <w:b/>
                <w:bCs/>
                <w:i w:val="0"/>
                <w:iCs w:val="0"/>
                <w:color w:val="auto"/>
                <w:kern w:val="0"/>
                <w:sz w:val="21"/>
                <w:szCs w:val="21"/>
                <w:u w:val="none"/>
                <w:lang w:val="en-US" w:eastAsia="zh-CN" w:bidi="ar"/>
              </w:rPr>
            </w:pPr>
            <w:r>
              <w:rPr>
                <w:rFonts w:hint="eastAsia" w:asciiTheme="minorEastAsia" w:hAnsiTheme="minorEastAsia" w:cstheme="minorEastAsia"/>
                <w:b/>
                <w:bCs/>
                <w:i w:val="0"/>
                <w:iCs w:val="0"/>
                <w:color w:val="auto"/>
                <w:kern w:val="0"/>
                <w:sz w:val="21"/>
                <w:szCs w:val="21"/>
                <w:u w:val="none"/>
                <w:lang w:val="en-US" w:eastAsia="zh-CN" w:bidi="ar"/>
              </w:rPr>
              <w:t>一.现有功能</w:t>
            </w:r>
            <w:r>
              <w:rPr>
                <w:rFonts w:hint="eastAsia" w:asciiTheme="minorEastAsia" w:hAnsiTheme="minorEastAsia" w:eastAsiaTheme="minorEastAsia" w:cstheme="minorEastAsia"/>
                <w:b/>
                <w:bCs/>
                <w:i w:val="0"/>
                <w:iCs w:val="0"/>
                <w:color w:val="auto"/>
                <w:kern w:val="0"/>
                <w:sz w:val="21"/>
                <w:szCs w:val="21"/>
                <w:u w:val="none"/>
                <w:lang w:val="en-US" w:eastAsia="zh-CN" w:bidi="ar"/>
              </w:rPr>
              <w:t>承接</w:t>
            </w:r>
            <w:r>
              <w:rPr>
                <w:rFonts w:hint="eastAsia" w:asciiTheme="minorEastAsia" w:hAnsiTheme="minorEastAsia" w:cstheme="minorEastAsia"/>
                <w:b/>
                <w:bCs/>
                <w:i w:val="0"/>
                <w:iCs w:val="0"/>
                <w:color w:val="auto"/>
                <w:kern w:val="0"/>
                <w:sz w:val="21"/>
                <w:szCs w:val="21"/>
                <w:u w:val="none"/>
                <w:lang w:val="en-US" w:eastAsia="zh-CN" w:bidi="ar"/>
              </w:rPr>
              <w:t>服务要求</w:t>
            </w:r>
          </w:p>
          <w:p w14:paraId="426E081E">
            <w:pPr>
              <w:keepNext w:val="0"/>
              <w:keepLines w:val="0"/>
              <w:widowControl/>
              <w:suppressLineNumbers w:val="0"/>
              <w:ind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w:t>
            </w:r>
            <w:r>
              <w:rPr>
                <w:rFonts w:hint="eastAsia" w:asciiTheme="minorEastAsia" w:hAnsiTheme="minorEastAsia" w:cstheme="minorEastAsia"/>
                <w:i w:val="0"/>
                <w:iCs w:val="0"/>
                <w:color w:val="auto"/>
                <w:kern w:val="0"/>
                <w:sz w:val="21"/>
                <w:szCs w:val="21"/>
                <w:u w:val="none"/>
                <w:lang w:val="en-US" w:eastAsia="zh-CN" w:bidi="ar"/>
              </w:rPr>
              <w:t>完成本项目系统现有功能</w:t>
            </w:r>
            <w:r>
              <w:rPr>
                <w:rFonts w:hint="eastAsia" w:asciiTheme="minorEastAsia" w:hAnsiTheme="minorEastAsia" w:eastAsiaTheme="minorEastAsia" w:cstheme="minorEastAsia"/>
                <w:i w:val="0"/>
                <w:iCs w:val="0"/>
                <w:color w:val="auto"/>
                <w:kern w:val="0"/>
                <w:sz w:val="21"/>
                <w:szCs w:val="21"/>
                <w:u w:val="none"/>
                <w:lang w:val="en-US" w:eastAsia="zh-CN" w:bidi="ar"/>
              </w:rPr>
              <w:t>承接</w:t>
            </w:r>
            <w:r>
              <w:rPr>
                <w:rFonts w:hint="eastAsia" w:asciiTheme="minorEastAsia" w:hAnsiTheme="minorEastAsia" w:cstheme="minorEastAsia"/>
                <w:i w:val="0"/>
                <w:iCs w:val="0"/>
                <w:color w:val="auto"/>
                <w:kern w:val="0"/>
                <w:sz w:val="21"/>
                <w:szCs w:val="21"/>
                <w:u w:val="none"/>
                <w:lang w:val="en-US" w:eastAsia="zh-CN" w:bidi="ar"/>
              </w:rPr>
              <w:t>工作，并提供运维服务，</w:t>
            </w:r>
            <w:r>
              <w:rPr>
                <w:rFonts w:hint="eastAsia" w:asciiTheme="minorEastAsia" w:hAnsiTheme="minorEastAsia" w:eastAsiaTheme="minorEastAsia" w:cstheme="minorEastAsia"/>
                <w:i w:val="0"/>
                <w:iCs w:val="0"/>
                <w:color w:val="auto"/>
                <w:kern w:val="0"/>
                <w:sz w:val="21"/>
                <w:szCs w:val="21"/>
                <w:u w:val="none"/>
                <w:lang w:val="en-US" w:eastAsia="zh-CN" w:bidi="ar"/>
              </w:rPr>
              <w:t>在服务期间，为保障系统持续稳定运行，须严格履行以下核心保障义务：一是确保现有系统全部存量内容（含文字、图片、数据等）完整留存，无丢失、篡改风险；二是保障现有系统相关数据存储、接口服务等核心业务模块不间断延续运行，各项功能正常可用。</w:t>
            </w:r>
          </w:p>
          <w:p w14:paraId="3342E80F">
            <w:pPr>
              <w:keepNext w:val="0"/>
              <w:keepLines w:val="0"/>
              <w:widowControl/>
              <w:suppressLineNumbers w:val="0"/>
              <w:ind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服务包括但不限于：提供系统维护、更新、升级、改版服务；需求优化、升级或改造；性能及功能故障排查、处理和维护；软件的功能增强性维护等应用软件系统扩充升级；系统日常问题故障处理、改正性维护、完善性维护、预防性维护、制作各类统计报表。</w:t>
            </w:r>
          </w:p>
          <w:p w14:paraId="2478733E">
            <w:pPr>
              <w:keepNext w:val="0"/>
              <w:keepLines w:val="0"/>
              <w:widowControl/>
              <w:suppressLineNumbers w:val="0"/>
              <w:ind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每季度提供一次软件维保服务项目工作报告，内容包括但不限于：培训、指导、商讨、修改、升级、更新、建议、要求、流程再造、设备接入、业务扩展（专指院内）等，以及医院提出的其他要求和落实情况等。</w:t>
            </w:r>
          </w:p>
          <w:p w14:paraId="5F3D6F21">
            <w:pPr>
              <w:keepNext w:val="0"/>
              <w:keepLines w:val="0"/>
              <w:widowControl/>
              <w:suppressLineNumbers w:val="0"/>
              <w:ind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4.须指派专人负责与医院联系售后服务事宜：提供人员姓名、职务、联系电话（含座机、手机等）。</w:t>
            </w:r>
          </w:p>
          <w:p w14:paraId="242A89DF">
            <w:pPr>
              <w:keepNext w:val="0"/>
              <w:keepLines w:val="0"/>
              <w:widowControl/>
              <w:suppressLineNumbers w:val="0"/>
              <w:ind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5.在进行软件升级、整改、发布等操作时，必须提前以书面形式告之甲方。包括但不仅限于：操作人员、操作时间、操作内容、后续影响等内容。征得甲方同意后方可进行操作。</w:t>
            </w:r>
          </w:p>
          <w:p w14:paraId="111791FB">
            <w:pPr>
              <w:keepNext w:val="0"/>
              <w:keepLines w:val="0"/>
              <w:widowControl/>
              <w:suppressLineNumbers w:val="0"/>
              <w:ind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6.做好业务数据的日常备份，若监测到备份有问题，需及时修复。在系统运行过程中，因操作、系统Bug因素或者其他不可控的原因造成数据不正常，在医院确认后进行数据修复，在修复过程中要求采用必要的技术及管理流程以确保数据安全，并将整个修复过程记录备案。</w:t>
            </w:r>
          </w:p>
          <w:p w14:paraId="3BC0DE84">
            <w:pPr>
              <w:keepNext w:val="0"/>
              <w:keepLines w:val="0"/>
              <w:widowControl/>
              <w:suppressLineNumbers w:val="0"/>
              <w:ind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7.在医院目前运行系统的版本基础上，根据医院的业务需求不断完善其功能，提升其可操作性和用户体验，从而提升业务办理过程中的效率。</w:t>
            </w:r>
          </w:p>
          <w:p w14:paraId="50D5319A">
            <w:pPr>
              <w:keepNext w:val="0"/>
              <w:keepLines w:val="0"/>
              <w:widowControl/>
              <w:suppressLineNumbers w:val="0"/>
              <w:ind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8</w:t>
            </w:r>
            <w:r>
              <w:rPr>
                <w:rFonts w:hint="eastAsia" w:asciiTheme="minorEastAsia" w:hAnsiTheme="minorEastAsia" w:eastAsiaTheme="minorEastAsia" w:cstheme="minorEastAsia"/>
                <w:i w:val="0"/>
                <w:iCs w:val="0"/>
                <w:color w:val="auto"/>
                <w:kern w:val="0"/>
                <w:sz w:val="21"/>
                <w:szCs w:val="21"/>
                <w:u w:val="none"/>
                <w:lang w:val="en-US" w:eastAsia="zh-CN" w:bidi="ar"/>
              </w:rPr>
              <w:t>.根据医院的要求协助医院接受检查、审计或其他重大工作中给予技术支持服务，包含数据提取、核对等工作。应积极配合完成因院方接受检查、巡察、评审、复审而提出的信息化相关要求。</w:t>
            </w:r>
          </w:p>
          <w:p w14:paraId="415B46E4">
            <w:pPr>
              <w:keepNext w:val="0"/>
              <w:keepLines w:val="0"/>
              <w:widowControl/>
              <w:suppressLineNumbers w:val="0"/>
              <w:ind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9</w:t>
            </w:r>
            <w:r>
              <w:rPr>
                <w:rFonts w:hint="eastAsia" w:asciiTheme="minorEastAsia" w:hAnsiTheme="minorEastAsia" w:eastAsiaTheme="minorEastAsia" w:cstheme="minorEastAsia"/>
                <w:i w:val="0"/>
                <w:iCs w:val="0"/>
                <w:color w:val="auto"/>
                <w:kern w:val="0"/>
                <w:sz w:val="21"/>
                <w:szCs w:val="21"/>
                <w:u w:val="none"/>
                <w:lang w:val="en-US" w:eastAsia="zh-CN" w:bidi="ar"/>
              </w:rPr>
              <w:t>.重大技术问题处理:对重大的技术问题，应协调组织技术专家小组进行会诊解决，以确保系统的正常运行。</w:t>
            </w:r>
          </w:p>
          <w:p w14:paraId="4EDA3C7D">
            <w:pPr>
              <w:keepNext w:val="0"/>
              <w:keepLines w:val="0"/>
              <w:widowControl/>
              <w:suppressLineNumbers w:val="0"/>
              <w:ind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w:t>
            </w:r>
            <w:r>
              <w:rPr>
                <w:rFonts w:hint="eastAsia" w:asciiTheme="minorEastAsia" w:hAnsiTheme="minorEastAsia" w:cstheme="minorEastAsia"/>
                <w:i w:val="0"/>
                <w:iCs w:val="0"/>
                <w:color w:val="auto"/>
                <w:kern w:val="0"/>
                <w:sz w:val="21"/>
                <w:szCs w:val="21"/>
                <w:u w:val="none"/>
                <w:lang w:val="en-US" w:eastAsia="zh-CN" w:bidi="ar"/>
              </w:rPr>
              <w:t>0</w:t>
            </w:r>
            <w:r>
              <w:rPr>
                <w:rFonts w:hint="eastAsia" w:asciiTheme="minorEastAsia" w:hAnsiTheme="minorEastAsia" w:eastAsiaTheme="minorEastAsia" w:cstheme="minorEastAsia"/>
                <w:i w:val="0"/>
                <w:iCs w:val="0"/>
                <w:color w:val="auto"/>
                <w:kern w:val="0"/>
                <w:sz w:val="21"/>
                <w:szCs w:val="21"/>
                <w:u w:val="none"/>
                <w:lang w:val="en-US" w:eastAsia="zh-CN" w:bidi="ar"/>
              </w:rPr>
              <w:t>.对医院信息部技术人员进行培训指导，熟悉系统内部设计逻辑、表名、字段等，以及系统运维过程中需要重点关注的事项，确保相关系统管理员能够独立处理问题。</w:t>
            </w:r>
          </w:p>
          <w:p w14:paraId="4CE5D997">
            <w:pPr>
              <w:keepNext w:val="0"/>
              <w:keepLines w:val="0"/>
              <w:widowControl/>
              <w:suppressLineNumbers w:val="0"/>
              <w:ind w:left="10" w:leftChars="0" w:firstLine="409" w:firstLineChars="195"/>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p>
          <w:p w14:paraId="5A4594E5">
            <w:pPr>
              <w:keepNext w:val="0"/>
              <w:keepLines w:val="0"/>
              <w:pageBreakBefore w:val="0"/>
              <w:widowControl/>
              <w:numPr>
                <w:ilvl w:val="0"/>
                <w:numId w:val="0"/>
              </w:numPr>
              <w:suppressLineNumbers w:val="0"/>
              <w:kinsoku/>
              <w:wordWrap/>
              <w:overflowPunct/>
              <w:topLinePunct w:val="0"/>
              <w:autoSpaceDE/>
              <w:autoSpaceDN/>
              <w:bidi w:val="0"/>
              <w:adjustRightInd w:val="0"/>
              <w:snapToGrid w:val="0"/>
              <w:ind w:left="210" w:leftChars="0" w:hanging="210" w:hangingChars="100"/>
              <w:jc w:val="left"/>
              <w:textAlignment w:val="center"/>
              <w:rPr>
                <w:rFonts w:hint="eastAsia" w:asciiTheme="minorEastAsia" w:hAnsiTheme="minorEastAsia" w:cstheme="minorEastAsia"/>
                <w:b/>
                <w:bCs/>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lang w:val="en-US" w:eastAsia="zh-CN" w:bidi="ar"/>
              </w:rPr>
              <w:t>二.</w:t>
            </w:r>
            <w:r>
              <w:rPr>
                <w:rFonts w:hint="eastAsia" w:asciiTheme="minorEastAsia" w:hAnsiTheme="minorEastAsia" w:cstheme="minorEastAsia"/>
                <w:b/>
                <w:bCs/>
                <w:i w:val="0"/>
                <w:iCs w:val="0"/>
                <w:color w:val="auto"/>
                <w:kern w:val="0"/>
                <w:sz w:val="21"/>
                <w:szCs w:val="21"/>
                <w:u w:val="none"/>
                <w:lang w:val="en-US" w:eastAsia="zh-CN" w:bidi="ar"/>
              </w:rPr>
              <w:t>升级服务要求</w:t>
            </w:r>
          </w:p>
          <w:p w14:paraId="6D9EC486">
            <w:pPr>
              <w:keepNext w:val="0"/>
              <w:keepLines w:val="0"/>
              <w:pageBreakBefore w:val="0"/>
              <w:widowControl/>
              <w:numPr>
                <w:ilvl w:val="0"/>
                <w:numId w:val="0"/>
              </w:numPr>
              <w:suppressLineNumbers w:val="0"/>
              <w:kinsoku/>
              <w:wordWrap/>
              <w:overflowPunct/>
              <w:topLinePunct w:val="0"/>
              <w:autoSpaceDE/>
              <w:autoSpaceDN/>
              <w:bidi w:val="0"/>
              <w:adjustRightInd w:val="0"/>
              <w:snapToGrid w:val="0"/>
              <w:ind w:left="0" w:leftChars="0"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须严格按照国家、省、市政策规定时限完成开发、测试、对接与上线，重点对医疗电子票据开具接口（涵盖门诊、住院、挂号、体检等）进行升级，通过优化医疗单位开票管理流程，实现开票单位电子票据系统的数据规范全面升级，确保票据编码规则与数据标准符合全国统一要求，满足全国范围内财政电子票据互认及跨省报销业务的各项需求。</w:t>
            </w:r>
          </w:p>
          <w:p w14:paraId="3E397239">
            <w:pPr>
              <w:keepNext w:val="0"/>
              <w:keepLines w:val="0"/>
              <w:pageBreakBefore w:val="0"/>
              <w:widowControl/>
              <w:numPr>
                <w:ilvl w:val="0"/>
                <w:numId w:val="0"/>
              </w:numPr>
              <w:suppressLineNumbers w:val="0"/>
              <w:kinsoku/>
              <w:wordWrap/>
              <w:overflowPunct/>
              <w:topLinePunct w:val="0"/>
              <w:autoSpaceDE/>
              <w:autoSpaceDN/>
              <w:bidi w:val="0"/>
              <w:adjustRightInd w:val="0"/>
              <w:snapToGrid w:val="0"/>
              <w:ind w:left="0" w:leftChars="0"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2.新增电子票据自动核销功能，要求达到：建立自动核销规则库、有规范的自动核销流程，从而实现财政电子票据自动核销功能。</w:t>
            </w:r>
          </w:p>
          <w:p w14:paraId="393FA3F2">
            <w:pPr>
              <w:keepNext w:val="0"/>
              <w:keepLines w:val="0"/>
              <w:pageBreakBefore w:val="0"/>
              <w:widowControl/>
              <w:numPr>
                <w:ilvl w:val="0"/>
                <w:numId w:val="0"/>
              </w:numPr>
              <w:suppressLineNumbers w:val="0"/>
              <w:kinsoku/>
              <w:wordWrap/>
              <w:overflowPunct/>
              <w:topLinePunct w:val="0"/>
              <w:autoSpaceDE/>
              <w:autoSpaceDN/>
              <w:bidi w:val="0"/>
              <w:adjustRightInd w:val="0"/>
              <w:snapToGrid w:val="0"/>
              <w:ind w:left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2</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CB7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p>
        </w:tc>
      </w:tr>
    </w:tbl>
    <w:p w14:paraId="75F3249C">
      <w:pPr>
        <w:rPr>
          <w:rFonts w:hint="eastAsia"/>
          <w:color w:val="auto"/>
          <w:lang w:val="en-US" w:eastAsia="zh-CN"/>
        </w:rPr>
      </w:pPr>
    </w:p>
    <w:p w14:paraId="7C3C386B">
      <w:pPr>
        <w:rPr>
          <w:rFonts w:hint="eastAsia"/>
          <w:color w:val="auto"/>
          <w:lang w:val="en-US" w:eastAsia="zh-CN"/>
        </w:rPr>
        <w:sectPr>
          <w:pgSz w:w="16838" w:h="11906" w:orient="landscape"/>
          <w:pgMar w:top="1134" w:right="1134" w:bottom="567" w:left="1134" w:header="851" w:footer="992" w:gutter="0"/>
          <w:cols w:space="425" w:num="1"/>
          <w:docGrid w:type="lines" w:linePitch="312" w:charSpace="0"/>
        </w:sectPr>
      </w:pPr>
    </w:p>
    <w:p w14:paraId="5D587B4B">
      <w:pPr>
        <w:pStyle w:val="14"/>
        <w:rPr>
          <w:rFonts w:hint="eastAsia"/>
          <w:color w:val="auto"/>
          <w:lang w:val="en-US" w:eastAsia="zh-CN"/>
        </w:rPr>
      </w:pPr>
    </w:p>
    <w:p w14:paraId="6017D881">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6" w:name="_Toc17565"/>
      <w:r>
        <w:rPr>
          <w:rFonts w:hint="eastAsia"/>
          <w:color w:val="auto"/>
          <w:lang w:val="en-US" w:eastAsia="zh-CN"/>
        </w:rPr>
        <w:t>五、三甲综合医院同类项目案例</w:t>
      </w:r>
      <w:bookmarkEnd w:id="26"/>
    </w:p>
    <w:p w14:paraId="075950E2">
      <w:pPr>
        <w:pStyle w:val="3"/>
        <w:bidi w:val="0"/>
        <w:ind w:firstLine="482" w:firstLineChars="200"/>
        <w:rPr>
          <w:rFonts w:hint="eastAsia"/>
          <w:color w:val="auto"/>
          <w:lang w:val="en-US" w:eastAsia="zh-CN"/>
        </w:rPr>
      </w:pPr>
      <w:bookmarkStart w:id="27" w:name="_Toc29430"/>
      <w:r>
        <w:rPr>
          <w:rFonts w:hint="eastAsia"/>
          <w:color w:val="auto"/>
          <w:lang w:val="en-US" w:eastAsia="zh-CN"/>
        </w:rPr>
        <w:t>4.1四川省内（）家</w:t>
      </w:r>
      <w:bookmarkEnd w:id="27"/>
    </w:p>
    <w:tbl>
      <w:tblPr>
        <w:tblStyle w:val="10"/>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014E7BA4">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200167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5A397C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4564CB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519617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7D3313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1A4366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18858F15">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EF57D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0CD13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573942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2C9E73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5C32F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5DE5D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0E78D98F">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68F777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5AE11A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397F69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6FA6A9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8FE9E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ED539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3876902C">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23CAF7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23086A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9EE58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373EE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391A81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08854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190D4FA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0AB0FA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35CA16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7CB0CA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429E3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69CA8A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708377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02C7985D">
      <w:pPr>
        <w:pStyle w:val="22"/>
        <w:ind w:firstLine="0" w:firstLineChars="0"/>
        <w:rPr>
          <w:rFonts w:hint="eastAsia" w:ascii="仿宋" w:hAnsi="仿宋" w:eastAsia="仿宋" w:cs="仿宋"/>
          <w:color w:val="auto"/>
          <w:sz w:val="30"/>
          <w:szCs w:val="30"/>
        </w:rPr>
      </w:pPr>
    </w:p>
    <w:p w14:paraId="62CB2C95">
      <w:pPr>
        <w:pStyle w:val="14"/>
        <w:rPr>
          <w:rFonts w:hint="eastAsia" w:ascii="仿宋" w:hAnsi="仿宋" w:eastAsia="仿宋" w:cs="仿宋"/>
          <w:color w:val="auto"/>
          <w:kern w:val="2"/>
          <w:sz w:val="30"/>
          <w:szCs w:val="30"/>
        </w:rPr>
      </w:pPr>
    </w:p>
    <w:p w14:paraId="6FFD4938">
      <w:pPr>
        <w:pStyle w:val="14"/>
        <w:rPr>
          <w:rFonts w:hint="eastAsia" w:ascii="仿宋" w:hAnsi="仿宋" w:eastAsia="仿宋" w:cs="仿宋"/>
          <w:color w:val="auto"/>
          <w:kern w:val="2"/>
          <w:sz w:val="30"/>
          <w:szCs w:val="30"/>
        </w:rPr>
      </w:pPr>
    </w:p>
    <w:p w14:paraId="54849A12">
      <w:pPr>
        <w:pStyle w:val="14"/>
        <w:rPr>
          <w:rFonts w:hint="eastAsia" w:ascii="仿宋" w:hAnsi="仿宋" w:eastAsia="仿宋" w:cs="仿宋"/>
          <w:color w:val="auto"/>
          <w:kern w:val="2"/>
          <w:sz w:val="30"/>
          <w:szCs w:val="30"/>
        </w:rPr>
      </w:pPr>
    </w:p>
    <w:p w14:paraId="73DB42E5">
      <w:pPr>
        <w:pStyle w:val="14"/>
        <w:rPr>
          <w:rFonts w:hint="eastAsia" w:ascii="仿宋" w:hAnsi="仿宋" w:eastAsia="仿宋" w:cs="仿宋"/>
          <w:color w:val="auto"/>
          <w:kern w:val="2"/>
          <w:sz w:val="30"/>
          <w:szCs w:val="30"/>
        </w:rPr>
      </w:pPr>
    </w:p>
    <w:p w14:paraId="3B4BCB70">
      <w:pPr>
        <w:pStyle w:val="14"/>
        <w:rPr>
          <w:rFonts w:hint="eastAsia" w:ascii="仿宋" w:hAnsi="仿宋" w:eastAsia="仿宋" w:cs="仿宋"/>
          <w:color w:val="auto"/>
          <w:kern w:val="2"/>
          <w:sz w:val="30"/>
          <w:szCs w:val="30"/>
        </w:rPr>
      </w:pPr>
    </w:p>
    <w:p w14:paraId="681C6975">
      <w:pPr>
        <w:pStyle w:val="3"/>
        <w:bidi w:val="0"/>
        <w:ind w:firstLine="482" w:firstLineChars="200"/>
        <w:rPr>
          <w:rFonts w:hint="eastAsia"/>
          <w:color w:val="auto"/>
          <w:lang w:val="en-US" w:eastAsia="zh-CN"/>
        </w:rPr>
      </w:pPr>
      <w:bookmarkStart w:id="28" w:name="_Toc8493"/>
      <w:r>
        <w:rPr>
          <w:rFonts w:hint="eastAsia"/>
          <w:color w:val="auto"/>
          <w:lang w:val="en-US" w:eastAsia="zh-CN"/>
        </w:rPr>
        <w:t>4.1四川省外（）家</w:t>
      </w:r>
      <w:bookmarkEnd w:id="28"/>
    </w:p>
    <w:tbl>
      <w:tblPr>
        <w:tblStyle w:val="10"/>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2EE316A0">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007F04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0A1109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6C1860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05DFD5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729385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57B04E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76F68CE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435818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2F322B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2CF700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BDB54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A483C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E39B2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285EB3B3">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72DFA2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4B6432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399DB4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593EA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E70F8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62B3AB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0D72AEF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50B9E7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64EB4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6B7C05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598F1F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310C82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D907A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0D148704">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4239DB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4D1151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19F49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30803A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6C7B0B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72EC1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41FC0966">
      <w:pPr>
        <w:rPr>
          <w:rFonts w:hint="eastAsia"/>
          <w:color w:val="auto"/>
          <w:lang w:val="en-US" w:eastAsia="zh-CN"/>
        </w:rPr>
      </w:pPr>
    </w:p>
    <w:p w14:paraId="4C4D280D">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2C8F9030">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46B6685E">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5782AF3C">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16B3C9C9">
      <w:pPr>
        <w:pStyle w:val="3"/>
        <w:bidi w:val="0"/>
        <w:ind w:firstLine="482" w:firstLineChars="200"/>
        <w:rPr>
          <w:rFonts w:hint="eastAsia"/>
          <w:color w:val="auto"/>
          <w:lang w:val="en-US" w:eastAsia="zh-CN"/>
        </w:rPr>
      </w:pPr>
    </w:p>
    <w:p w14:paraId="389C42FC">
      <w:pPr>
        <w:pStyle w:val="3"/>
        <w:bidi w:val="0"/>
        <w:ind w:firstLine="482" w:firstLineChars="200"/>
        <w:rPr>
          <w:rFonts w:hint="eastAsia"/>
          <w:color w:val="auto"/>
          <w:lang w:val="en-US" w:eastAsia="zh-CN"/>
        </w:rPr>
      </w:pPr>
      <w:bookmarkStart w:id="29" w:name="_Toc138151651"/>
      <w:bookmarkStart w:id="30" w:name="_Toc7986"/>
      <w:r>
        <w:rPr>
          <w:rFonts w:hint="eastAsia"/>
          <w:color w:val="auto"/>
          <w:lang w:val="en-US" w:eastAsia="zh-CN"/>
        </w:rPr>
        <w:t>4.3三甲综合医院同类项目案例合同及验收佐证</w:t>
      </w:r>
      <w:bookmarkEnd w:id="29"/>
      <w:bookmarkEnd w:id="30"/>
    </w:p>
    <w:p w14:paraId="37ACC053">
      <w:pPr>
        <w:pStyle w:val="14"/>
        <w:spacing w:line="240" w:lineRule="auto"/>
        <w:rPr>
          <w:rFonts w:hint="eastAsia" w:ascii="仿宋" w:hAnsi="仿宋" w:eastAsia="仿宋" w:cs="仿宋"/>
          <w:b w:val="0"/>
          <w:color w:val="auto"/>
          <w:kern w:val="2"/>
          <w:sz w:val="24"/>
          <w:szCs w:val="24"/>
          <w:lang w:val="en-US" w:eastAsia="zh-CN" w:bidi="ar-SA"/>
        </w:rPr>
      </w:pPr>
    </w:p>
    <w:p w14:paraId="29A863C9">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default" w:ascii="仿宋" w:hAnsi="仿宋" w:eastAsia="仿宋" w:cs="仿宋"/>
          <w:b w:val="0"/>
          <w:color w:val="auto"/>
          <w:kern w:val="2"/>
          <w:sz w:val="24"/>
          <w:szCs w:val="24"/>
          <w:lang w:val="en-US" w:eastAsia="zh-CN" w:bidi="ar-SA"/>
        </w:rPr>
      </w:pPr>
      <w:bookmarkStart w:id="31" w:name="_Toc11734"/>
      <w:r>
        <w:rPr>
          <w:rFonts w:hint="eastAsia"/>
          <w:color w:val="auto"/>
          <w:lang w:val="en-US" w:eastAsia="zh-CN"/>
        </w:rPr>
        <w:t>六、服务方案</w:t>
      </w:r>
      <w:bookmarkEnd w:id="31"/>
    </w:p>
    <w:p w14:paraId="684FC671">
      <w:pPr>
        <w:bidi w:val="0"/>
        <w:rPr>
          <w:rFonts w:hint="eastAsia"/>
          <w:color w:val="auto"/>
          <w:lang w:val="en-US" w:eastAsia="zh-CN"/>
        </w:rPr>
      </w:pPr>
      <w:bookmarkStart w:id="32" w:name="_Toc138151653"/>
      <w:r>
        <w:rPr>
          <w:rFonts w:hint="eastAsia"/>
          <w:color w:val="auto"/>
          <w:lang w:val="en-US" w:eastAsia="zh-CN"/>
        </w:rPr>
        <w:t>（包含以上内容，其他内容自拟）</w:t>
      </w:r>
    </w:p>
    <w:bookmarkEnd w:id="32"/>
    <w:p w14:paraId="348B6540">
      <w:pPr>
        <w:rPr>
          <w:rFonts w:hint="eastAsia"/>
          <w:color w:val="auto"/>
          <w:lang w:val="en-US" w:eastAsia="zh-CN"/>
        </w:rPr>
      </w:pPr>
    </w:p>
    <w:p w14:paraId="27D2C93C">
      <w:pPr>
        <w:rPr>
          <w:rFonts w:hint="eastAsia"/>
          <w:color w:val="auto"/>
          <w:lang w:val="en-US" w:eastAsia="zh-CN"/>
        </w:rPr>
      </w:pPr>
    </w:p>
    <w:p w14:paraId="6D99AB6B">
      <w:pPr>
        <w:rPr>
          <w:rFonts w:hint="default"/>
          <w:color w:val="auto"/>
          <w:lang w:val="en-US" w:eastAsia="zh-CN"/>
        </w:rPr>
      </w:pPr>
    </w:p>
    <w:sectPr>
      <w:pgSz w:w="11906" w:h="16838"/>
      <w:pgMar w:top="1134" w:right="567"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4BA608F-5187-4DD7-9459-C1B736E25E9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606200F-7DF3-46E8-8667-56E842BEE4E7}"/>
  </w:font>
  <w:font w:name="仿宋">
    <w:panose1 w:val="02010609060101010101"/>
    <w:charset w:val="86"/>
    <w:family w:val="auto"/>
    <w:pitch w:val="default"/>
    <w:sig w:usb0="800002BF" w:usb1="38CF7CFA" w:usb2="00000016" w:usb3="00000000" w:csb0="00040001" w:csb1="00000000"/>
    <w:embedRegular r:id="rId3" w:fontKey="{0D9AD7C9-631F-47A0-AD52-190053FCD781}"/>
  </w:font>
  <w:font w:name="方正黑体简体">
    <w:panose1 w:val="02000000000000000000"/>
    <w:charset w:val="86"/>
    <w:family w:val="auto"/>
    <w:pitch w:val="default"/>
    <w:sig w:usb0="A00002BF" w:usb1="184F6CFA" w:usb2="00000012" w:usb3="00000000" w:csb0="00040001" w:csb1="00000000"/>
    <w:embedRegular r:id="rId4" w:fontKey="{1B2DE592-3F05-4EBD-9546-969591C3C5A9}"/>
  </w:font>
  <w:font w:name="WPSEMBED1">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DEF404"/>
    <w:multiLevelType w:val="singleLevel"/>
    <w:tmpl w:val="23DEF40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lZWZkZDMxMzg2MTBmMjU2YTlhNWI3ZmFjNDQ4MWUifQ=="/>
  </w:docVars>
  <w:rsids>
    <w:rsidRoot w:val="00000000"/>
    <w:rsid w:val="003675E8"/>
    <w:rsid w:val="00885B23"/>
    <w:rsid w:val="01CB5422"/>
    <w:rsid w:val="01D52A58"/>
    <w:rsid w:val="0224038E"/>
    <w:rsid w:val="02CE7139"/>
    <w:rsid w:val="03157A96"/>
    <w:rsid w:val="03163E1D"/>
    <w:rsid w:val="03530F6F"/>
    <w:rsid w:val="03552A08"/>
    <w:rsid w:val="03675EC4"/>
    <w:rsid w:val="03D3104E"/>
    <w:rsid w:val="04275A22"/>
    <w:rsid w:val="04593878"/>
    <w:rsid w:val="052B1309"/>
    <w:rsid w:val="067C1B91"/>
    <w:rsid w:val="072D11D3"/>
    <w:rsid w:val="07C537D5"/>
    <w:rsid w:val="07E9598A"/>
    <w:rsid w:val="07F76D1E"/>
    <w:rsid w:val="09042474"/>
    <w:rsid w:val="0926542A"/>
    <w:rsid w:val="09572537"/>
    <w:rsid w:val="09EF4DDA"/>
    <w:rsid w:val="09F06B51"/>
    <w:rsid w:val="0A5A448A"/>
    <w:rsid w:val="0AED6E12"/>
    <w:rsid w:val="0C811C7B"/>
    <w:rsid w:val="0C8C3677"/>
    <w:rsid w:val="0CDC4161"/>
    <w:rsid w:val="0D293630"/>
    <w:rsid w:val="0D5422FE"/>
    <w:rsid w:val="0DD4413B"/>
    <w:rsid w:val="0E056A05"/>
    <w:rsid w:val="0E154AB8"/>
    <w:rsid w:val="0E236E8B"/>
    <w:rsid w:val="0E266744"/>
    <w:rsid w:val="0EA93CA3"/>
    <w:rsid w:val="0F7C3008"/>
    <w:rsid w:val="0FE60171"/>
    <w:rsid w:val="10AE73EC"/>
    <w:rsid w:val="11111FC4"/>
    <w:rsid w:val="1118101A"/>
    <w:rsid w:val="11DA6532"/>
    <w:rsid w:val="121A3D4C"/>
    <w:rsid w:val="126B2BAF"/>
    <w:rsid w:val="12B91B6C"/>
    <w:rsid w:val="134306AA"/>
    <w:rsid w:val="134A6465"/>
    <w:rsid w:val="135A02D0"/>
    <w:rsid w:val="13712447"/>
    <w:rsid w:val="137E6021"/>
    <w:rsid w:val="139D7869"/>
    <w:rsid w:val="13EC5F71"/>
    <w:rsid w:val="147A721A"/>
    <w:rsid w:val="14E013D0"/>
    <w:rsid w:val="14F31935"/>
    <w:rsid w:val="152A0AFF"/>
    <w:rsid w:val="15B825AF"/>
    <w:rsid w:val="15CF1F26"/>
    <w:rsid w:val="15E02221"/>
    <w:rsid w:val="16207B77"/>
    <w:rsid w:val="16B36D4D"/>
    <w:rsid w:val="174D1B73"/>
    <w:rsid w:val="183258F7"/>
    <w:rsid w:val="18342516"/>
    <w:rsid w:val="18552DB3"/>
    <w:rsid w:val="189E2676"/>
    <w:rsid w:val="18C17DE5"/>
    <w:rsid w:val="18D92EBD"/>
    <w:rsid w:val="1A44658D"/>
    <w:rsid w:val="1AAF2DD5"/>
    <w:rsid w:val="1AC716B0"/>
    <w:rsid w:val="1AE31E7C"/>
    <w:rsid w:val="1B46204F"/>
    <w:rsid w:val="1B99074F"/>
    <w:rsid w:val="1B9B7856"/>
    <w:rsid w:val="1BB8428A"/>
    <w:rsid w:val="1BBC5511"/>
    <w:rsid w:val="1CFC6AF6"/>
    <w:rsid w:val="1DBE13B8"/>
    <w:rsid w:val="1DD609E7"/>
    <w:rsid w:val="1DE303E5"/>
    <w:rsid w:val="1E77318B"/>
    <w:rsid w:val="1ED65F1E"/>
    <w:rsid w:val="1F4A5F8A"/>
    <w:rsid w:val="1F794C63"/>
    <w:rsid w:val="1FDD356D"/>
    <w:rsid w:val="1FE37DA0"/>
    <w:rsid w:val="20390524"/>
    <w:rsid w:val="20E172DD"/>
    <w:rsid w:val="20E3342D"/>
    <w:rsid w:val="21254871"/>
    <w:rsid w:val="214831CD"/>
    <w:rsid w:val="21A97250"/>
    <w:rsid w:val="21F83C21"/>
    <w:rsid w:val="220D5A31"/>
    <w:rsid w:val="228C6E75"/>
    <w:rsid w:val="22A273FF"/>
    <w:rsid w:val="22C11246"/>
    <w:rsid w:val="236C2324"/>
    <w:rsid w:val="23E16FFF"/>
    <w:rsid w:val="23E3036F"/>
    <w:rsid w:val="249266C1"/>
    <w:rsid w:val="25333A00"/>
    <w:rsid w:val="25380CA0"/>
    <w:rsid w:val="257D0110"/>
    <w:rsid w:val="25C63BAB"/>
    <w:rsid w:val="25C67C05"/>
    <w:rsid w:val="25D70354"/>
    <w:rsid w:val="263578BE"/>
    <w:rsid w:val="263D04BC"/>
    <w:rsid w:val="264D0C78"/>
    <w:rsid w:val="26A70C65"/>
    <w:rsid w:val="26E1123A"/>
    <w:rsid w:val="27026A05"/>
    <w:rsid w:val="270C409F"/>
    <w:rsid w:val="27415819"/>
    <w:rsid w:val="274F108A"/>
    <w:rsid w:val="2777374E"/>
    <w:rsid w:val="28001FD3"/>
    <w:rsid w:val="283860D8"/>
    <w:rsid w:val="287560DE"/>
    <w:rsid w:val="28C11323"/>
    <w:rsid w:val="29C00667"/>
    <w:rsid w:val="29D6511A"/>
    <w:rsid w:val="29FF496C"/>
    <w:rsid w:val="2A1F28C7"/>
    <w:rsid w:val="2B8925CC"/>
    <w:rsid w:val="2BA328F5"/>
    <w:rsid w:val="2C6F6170"/>
    <w:rsid w:val="2C8B2374"/>
    <w:rsid w:val="2C9F6F43"/>
    <w:rsid w:val="2D5664DE"/>
    <w:rsid w:val="2D755A60"/>
    <w:rsid w:val="2DCB175A"/>
    <w:rsid w:val="2E4C744E"/>
    <w:rsid w:val="2E8E10D4"/>
    <w:rsid w:val="2F62381D"/>
    <w:rsid w:val="305F1B4D"/>
    <w:rsid w:val="30C93B1B"/>
    <w:rsid w:val="311A3CC6"/>
    <w:rsid w:val="316E7B6E"/>
    <w:rsid w:val="31C92F18"/>
    <w:rsid w:val="32024D28"/>
    <w:rsid w:val="32094F70"/>
    <w:rsid w:val="335F5D78"/>
    <w:rsid w:val="337511B1"/>
    <w:rsid w:val="337D4C69"/>
    <w:rsid w:val="33935522"/>
    <w:rsid w:val="343B467F"/>
    <w:rsid w:val="34535875"/>
    <w:rsid w:val="34A915E9"/>
    <w:rsid w:val="34AF257B"/>
    <w:rsid w:val="34B66051"/>
    <w:rsid w:val="36C21BE7"/>
    <w:rsid w:val="36C267C0"/>
    <w:rsid w:val="36C450EA"/>
    <w:rsid w:val="372B5D93"/>
    <w:rsid w:val="375B0AE1"/>
    <w:rsid w:val="386C41A1"/>
    <w:rsid w:val="38761053"/>
    <w:rsid w:val="38A804E3"/>
    <w:rsid w:val="390E232D"/>
    <w:rsid w:val="39106763"/>
    <w:rsid w:val="3A116084"/>
    <w:rsid w:val="3A763162"/>
    <w:rsid w:val="3A985554"/>
    <w:rsid w:val="3AAB598F"/>
    <w:rsid w:val="3B020707"/>
    <w:rsid w:val="3B9C785C"/>
    <w:rsid w:val="3C2F2831"/>
    <w:rsid w:val="3D4435C6"/>
    <w:rsid w:val="3D8E5A8D"/>
    <w:rsid w:val="3DCC00F6"/>
    <w:rsid w:val="3E6D1D46"/>
    <w:rsid w:val="3E924036"/>
    <w:rsid w:val="3EBE4976"/>
    <w:rsid w:val="3EF73899"/>
    <w:rsid w:val="3F282526"/>
    <w:rsid w:val="400101C3"/>
    <w:rsid w:val="405F16F6"/>
    <w:rsid w:val="40842F0A"/>
    <w:rsid w:val="40F732B0"/>
    <w:rsid w:val="4195297C"/>
    <w:rsid w:val="41957568"/>
    <w:rsid w:val="41F10082"/>
    <w:rsid w:val="41F702EE"/>
    <w:rsid w:val="420704CD"/>
    <w:rsid w:val="428970E4"/>
    <w:rsid w:val="42B83DC2"/>
    <w:rsid w:val="42BD668F"/>
    <w:rsid w:val="42D82436"/>
    <w:rsid w:val="43161672"/>
    <w:rsid w:val="43241EF6"/>
    <w:rsid w:val="43431778"/>
    <w:rsid w:val="4394151F"/>
    <w:rsid w:val="44084F35"/>
    <w:rsid w:val="44806E09"/>
    <w:rsid w:val="44BE1658"/>
    <w:rsid w:val="45B45D7E"/>
    <w:rsid w:val="46205483"/>
    <w:rsid w:val="46241EA6"/>
    <w:rsid w:val="46C53FAB"/>
    <w:rsid w:val="46D544C0"/>
    <w:rsid w:val="46DB13AA"/>
    <w:rsid w:val="47823284"/>
    <w:rsid w:val="47CF4028"/>
    <w:rsid w:val="47E67906"/>
    <w:rsid w:val="485431F5"/>
    <w:rsid w:val="485E35F8"/>
    <w:rsid w:val="49550899"/>
    <w:rsid w:val="49BA2D04"/>
    <w:rsid w:val="49BB0786"/>
    <w:rsid w:val="4A167183"/>
    <w:rsid w:val="4A733A58"/>
    <w:rsid w:val="4AD8713A"/>
    <w:rsid w:val="4B46773A"/>
    <w:rsid w:val="4B643ABC"/>
    <w:rsid w:val="4B6E7B09"/>
    <w:rsid w:val="4B9F639D"/>
    <w:rsid w:val="4BA5341F"/>
    <w:rsid w:val="4BB76564"/>
    <w:rsid w:val="4BC230D9"/>
    <w:rsid w:val="4C9358A6"/>
    <w:rsid w:val="4CA34014"/>
    <w:rsid w:val="4CE52F83"/>
    <w:rsid w:val="4D696680"/>
    <w:rsid w:val="4F437CCA"/>
    <w:rsid w:val="4F4F10AC"/>
    <w:rsid w:val="4F5F64BA"/>
    <w:rsid w:val="4F90667E"/>
    <w:rsid w:val="4FB545D4"/>
    <w:rsid w:val="4FDD301E"/>
    <w:rsid w:val="502E58AD"/>
    <w:rsid w:val="506E0570"/>
    <w:rsid w:val="50B25872"/>
    <w:rsid w:val="50F327CB"/>
    <w:rsid w:val="51B47BC2"/>
    <w:rsid w:val="51D146FE"/>
    <w:rsid w:val="524D13AE"/>
    <w:rsid w:val="52B471BF"/>
    <w:rsid w:val="52C32D67"/>
    <w:rsid w:val="52FD5CE8"/>
    <w:rsid w:val="5339476F"/>
    <w:rsid w:val="536B2A7D"/>
    <w:rsid w:val="53DE59A8"/>
    <w:rsid w:val="53E51F5E"/>
    <w:rsid w:val="541505F1"/>
    <w:rsid w:val="54230D52"/>
    <w:rsid w:val="54400E09"/>
    <w:rsid w:val="54707AC1"/>
    <w:rsid w:val="54CB6F02"/>
    <w:rsid w:val="55B6522E"/>
    <w:rsid w:val="55EA6E3F"/>
    <w:rsid w:val="56A06471"/>
    <w:rsid w:val="56EB682C"/>
    <w:rsid w:val="5715646F"/>
    <w:rsid w:val="57626D08"/>
    <w:rsid w:val="57E56101"/>
    <w:rsid w:val="581F4351"/>
    <w:rsid w:val="58286EBC"/>
    <w:rsid w:val="585E1C89"/>
    <w:rsid w:val="58AB2CC4"/>
    <w:rsid w:val="59410223"/>
    <w:rsid w:val="596F2EE5"/>
    <w:rsid w:val="59723D50"/>
    <w:rsid w:val="59814033"/>
    <w:rsid w:val="5A864B12"/>
    <w:rsid w:val="5A920D49"/>
    <w:rsid w:val="5B4B35D6"/>
    <w:rsid w:val="5BB10EFE"/>
    <w:rsid w:val="5C682BA7"/>
    <w:rsid w:val="5D6D7971"/>
    <w:rsid w:val="5D762C66"/>
    <w:rsid w:val="5DD11B6F"/>
    <w:rsid w:val="5DEA79AF"/>
    <w:rsid w:val="5E2F3B42"/>
    <w:rsid w:val="5EEA2239"/>
    <w:rsid w:val="5F035078"/>
    <w:rsid w:val="5F4131D6"/>
    <w:rsid w:val="5F6F0822"/>
    <w:rsid w:val="5F744CAA"/>
    <w:rsid w:val="5F957CDE"/>
    <w:rsid w:val="5FD2383A"/>
    <w:rsid w:val="5FDD7E71"/>
    <w:rsid w:val="6108231E"/>
    <w:rsid w:val="614754E2"/>
    <w:rsid w:val="620F48D2"/>
    <w:rsid w:val="62143C96"/>
    <w:rsid w:val="62561308"/>
    <w:rsid w:val="62927E29"/>
    <w:rsid w:val="62DD052C"/>
    <w:rsid w:val="62E054D8"/>
    <w:rsid w:val="6373270B"/>
    <w:rsid w:val="637335B7"/>
    <w:rsid w:val="638251B1"/>
    <w:rsid w:val="63BC0B4D"/>
    <w:rsid w:val="640D6CAC"/>
    <w:rsid w:val="64105038"/>
    <w:rsid w:val="644B199A"/>
    <w:rsid w:val="64D6157E"/>
    <w:rsid w:val="653C3FD8"/>
    <w:rsid w:val="65815AE7"/>
    <w:rsid w:val="65B14764"/>
    <w:rsid w:val="66180254"/>
    <w:rsid w:val="66936F5E"/>
    <w:rsid w:val="67CB7B5D"/>
    <w:rsid w:val="687304EE"/>
    <w:rsid w:val="68783C73"/>
    <w:rsid w:val="68866F70"/>
    <w:rsid w:val="68EC7555"/>
    <w:rsid w:val="690B4CB3"/>
    <w:rsid w:val="693862AF"/>
    <w:rsid w:val="6A515C4D"/>
    <w:rsid w:val="6A961A6F"/>
    <w:rsid w:val="6A987C6E"/>
    <w:rsid w:val="6C300DB3"/>
    <w:rsid w:val="6C8D73F3"/>
    <w:rsid w:val="6CFB4623"/>
    <w:rsid w:val="6D4B29EE"/>
    <w:rsid w:val="6D6D71FE"/>
    <w:rsid w:val="6E891670"/>
    <w:rsid w:val="6EC06CA8"/>
    <w:rsid w:val="6EED01BE"/>
    <w:rsid w:val="6F057177"/>
    <w:rsid w:val="6F593B69"/>
    <w:rsid w:val="6F64269F"/>
    <w:rsid w:val="6FCD7A7D"/>
    <w:rsid w:val="70230A50"/>
    <w:rsid w:val="70457313"/>
    <w:rsid w:val="70690760"/>
    <w:rsid w:val="709E1F5D"/>
    <w:rsid w:val="70C1323B"/>
    <w:rsid w:val="70C85336"/>
    <w:rsid w:val="70E10E55"/>
    <w:rsid w:val="712612D9"/>
    <w:rsid w:val="718B036D"/>
    <w:rsid w:val="718F390E"/>
    <w:rsid w:val="71B2000E"/>
    <w:rsid w:val="72307267"/>
    <w:rsid w:val="725577F4"/>
    <w:rsid w:val="73593BFF"/>
    <w:rsid w:val="73A103C3"/>
    <w:rsid w:val="740C7A72"/>
    <w:rsid w:val="744F23F4"/>
    <w:rsid w:val="749F1AE5"/>
    <w:rsid w:val="74BE1DD0"/>
    <w:rsid w:val="74F6547D"/>
    <w:rsid w:val="75AA5052"/>
    <w:rsid w:val="75BE2C2C"/>
    <w:rsid w:val="764010A6"/>
    <w:rsid w:val="765F4A43"/>
    <w:rsid w:val="76EB7264"/>
    <w:rsid w:val="7769462C"/>
    <w:rsid w:val="777F1A8C"/>
    <w:rsid w:val="77AB4A55"/>
    <w:rsid w:val="77C35AEB"/>
    <w:rsid w:val="77F5610B"/>
    <w:rsid w:val="78B15C5E"/>
    <w:rsid w:val="79175759"/>
    <w:rsid w:val="79C773E8"/>
    <w:rsid w:val="7B035A20"/>
    <w:rsid w:val="7B224A66"/>
    <w:rsid w:val="7BBE620D"/>
    <w:rsid w:val="7BF07693"/>
    <w:rsid w:val="7BFB064C"/>
    <w:rsid w:val="7C785E63"/>
    <w:rsid w:val="7CEF5984"/>
    <w:rsid w:val="7E5C7744"/>
    <w:rsid w:val="7EF240BF"/>
    <w:rsid w:val="7F1135E0"/>
    <w:rsid w:val="7F2C38B2"/>
    <w:rsid w:val="7F2D0FB6"/>
    <w:rsid w:val="7F951E7F"/>
    <w:rsid w:val="7F962F62"/>
    <w:rsid w:val="7FE05D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360" w:lineRule="auto"/>
      <w:jc w:val="center"/>
      <w:outlineLvl w:val="0"/>
    </w:pPr>
    <w:rPr>
      <w:rFonts w:asciiTheme="minorAscii" w:hAnsiTheme="minorAscii"/>
      <w:b/>
      <w:kern w:val="44"/>
      <w:sz w:val="30"/>
    </w:rPr>
  </w:style>
  <w:style w:type="paragraph" w:styleId="3">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黑体"/>
      <w:b/>
      <w:sz w:val="2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style>
  <w:style w:type="paragraph" w:styleId="5">
    <w:name w:val="Body Text"/>
    <w:basedOn w:val="1"/>
    <w:next w:val="1"/>
    <w:qFormat/>
    <w:uiPriority w:val="0"/>
    <w:pPr>
      <w:spacing w:before="1" w:line="360" w:lineRule="auto"/>
    </w:pPr>
    <w:rPr>
      <w:rFonts w:ascii="宋体" w:hAnsi="宋体" w:eastAsia="仿宋" w:cs="宋体"/>
      <w:sz w:val="24"/>
      <w:szCs w:val="24"/>
      <w:lang w:val="zh-CN" w:bidi="zh-CN"/>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toc 1"/>
    <w:basedOn w:val="1"/>
    <w:next w:val="1"/>
    <w:qFormat/>
    <w:uiPriority w:val="39"/>
  </w:style>
  <w:style w:type="paragraph" w:styleId="8">
    <w:name w:val="toc 2"/>
    <w:basedOn w:val="1"/>
    <w:next w:val="1"/>
    <w:qFormat/>
    <w:uiPriority w:val="0"/>
    <w:pPr>
      <w:ind w:left="420" w:leftChars="200"/>
    </w:pPr>
  </w:style>
  <w:style w:type="paragraph" w:styleId="9">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paragraph" w:customStyle="1" w:styleId="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5">
    <w:name w:val="font81"/>
    <w:basedOn w:val="12"/>
    <w:qFormat/>
    <w:uiPriority w:val="0"/>
    <w:rPr>
      <w:rFonts w:hint="eastAsia" w:ascii="仿宋" w:hAnsi="仿宋" w:eastAsia="仿宋" w:cs="仿宋"/>
      <w:color w:val="FF0000"/>
      <w:sz w:val="24"/>
      <w:szCs w:val="24"/>
      <w:u w:val="none"/>
    </w:rPr>
  </w:style>
  <w:style w:type="character" w:customStyle="1" w:styleId="16">
    <w:name w:val="font61"/>
    <w:basedOn w:val="12"/>
    <w:qFormat/>
    <w:uiPriority w:val="0"/>
    <w:rPr>
      <w:rFonts w:hint="eastAsia" w:ascii="仿宋" w:hAnsi="仿宋" w:eastAsia="仿宋" w:cs="仿宋"/>
      <w:color w:val="000000"/>
      <w:sz w:val="24"/>
      <w:szCs w:val="24"/>
      <w:u w:val="none"/>
    </w:rPr>
  </w:style>
  <w:style w:type="character" w:customStyle="1" w:styleId="17">
    <w:name w:val="font41"/>
    <w:basedOn w:val="12"/>
    <w:qFormat/>
    <w:uiPriority w:val="0"/>
    <w:rPr>
      <w:rFonts w:hint="eastAsia" w:ascii="仿宋" w:hAnsi="仿宋" w:eastAsia="仿宋" w:cs="仿宋"/>
      <w:color w:val="000000"/>
      <w:sz w:val="24"/>
      <w:szCs w:val="24"/>
      <w:u w:val="none"/>
    </w:rPr>
  </w:style>
  <w:style w:type="character" w:customStyle="1" w:styleId="18">
    <w:name w:val="font71"/>
    <w:basedOn w:val="12"/>
    <w:qFormat/>
    <w:uiPriority w:val="0"/>
    <w:rPr>
      <w:rFonts w:hint="eastAsia" w:ascii="仿宋" w:hAnsi="仿宋" w:eastAsia="仿宋" w:cs="仿宋"/>
      <w:color w:val="0070C0"/>
      <w:sz w:val="24"/>
      <w:szCs w:val="24"/>
      <w:u w:val="none"/>
    </w:rPr>
  </w:style>
  <w:style w:type="character" w:customStyle="1" w:styleId="19">
    <w:name w:val="font51"/>
    <w:basedOn w:val="12"/>
    <w:qFormat/>
    <w:uiPriority w:val="0"/>
    <w:rPr>
      <w:rFonts w:hint="eastAsia" w:ascii="宋体" w:hAnsi="宋体" w:eastAsia="宋体" w:cs="宋体"/>
      <w:color w:val="000000"/>
      <w:sz w:val="24"/>
      <w:szCs w:val="24"/>
      <w:u w:val="none"/>
    </w:rPr>
  </w:style>
  <w:style w:type="character" w:customStyle="1" w:styleId="20">
    <w:name w:val="font21"/>
    <w:basedOn w:val="12"/>
    <w:qFormat/>
    <w:uiPriority w:val="0"/>
    <w:rPr>
      <w:rFonts w:hint="eastAsia" w:ascii="宋体" w:hAnsi="宋体" w:eastAsia="宋体" w:cs="宋体"/>
      <w:color w:val="000000"/>
      <w:sz w:val="22"/>
      <w:szCs w:val="22"/>
      <w:u w:val="none"/>
    </w:rPr>
  </w:style>
  <w:style w:type="character" w:customStyle="1" w:styleId="21">
    <w:name w:val="font11"/>
    <w:basedOn w:val="12"/>
    <w:qFormat/>
    <w:uiPriority w:val="0"/>
    <w:rPr>
      <w:rFonts w:hint="eastAsia" w:ascii="宋体" w:hAnsi="宋体" w:eastAsia="宋体" w:cs="宋体"/>
      <w:b/>
      <w:bCs/>
      <w:color w:val="000000"/>
      <w:sz w:val="24"/>
      <w:szCs w:val="24"/>
      <w:u w:val="none"/>
    </w:rPr>
  </w:style>
  <w:style w:type="paragraph" w:customStyle="1" w:styleId="22">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character" w:customStyle="1" w:styleId="23">
    <w:name w:val="font31"/>
    <w:basedOn w:val="12"/>
    <w:qFormat/>
    <w:uiPriority w:val="0"/>
    <w:rPr>
      <w:rFonts w:hint="eastAsia" w:ascii="宋体" w:hAnsi="宋体" w:eastAsia="宋体" w:cs="宋体"/>
      <w:color w:val="000000"/>
      <w:sz w:val="24"/>
      <w:szCs w:val="24"/>
      <w:u w:val="none"/>
    </w:rPr>
  </w:style>
  <w:style w:type="character" w:customStyle="1" w:styleId="24">
    <w:name w:val="font01"/>
    <w:basedOn w:val="12"/>
    <w:qFormat/>
    <w:uiPriority w:val="0"/>
    <w:rPr>
      <w:rFonts w:hint="eastAsia" w:ascii="宋体" w:hAnsi="宋体" w:eastAsia="宋体" w:cs="宋体"/>
      <w:color w:val="000000"/>
      <w:sz w:val="22"/>
      <w:szCs w:val="22"/>
      <w:u w:val="none"/>
    </w:rPr>
  </w:style>
  <w:style w:type="paragraph" w:customStyle="1" w:styleId="25">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3176</Words>
  <Characters>3327</Characters>
  <Lines>0</Lines>
  <Paragraphs>0</Paragraphs>
  <TotalTime>32</TotalTime>
  <ScaleCrop>false</ScaleCrop>
  <LinksUpToDate>false</LinksUpToDate>
  <CharactersWithSpaces>3442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2023-07-17T06:43:00Z</dcterms:created>
  <dc:creator>Administrator</dc:creator>
  <cp:lastModifiedBy>曦照</cp:lastModifiedBy>
  <cp:lastPrinted>2026-06-16T09:03:00Z</cp:lastPrinted>
  <dcterms:modified xsi:type="dcterms:W3CDTF">2026-06-29T09:43:49Z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44740171D8BA4B96BB290DE92874637C_13</vt:lpwstr>
  </property>
  <property fmtid="{D5CDD505-2E9C-101B-9397-08002B2CF9AE}" pid="4" name="KSOTemplateDocerSaveRecord">
    <vt:lpwstr>eyJoZGlkIjoiMjBjZTQxNjg4MDg1ZGI0ZjZmZjBkN2I2ZmMzY2JlNjQiLCJ1c2VySWQiOiI1NTAxMDQyNTcifQ==</vt:lpwstr>
  </property>
</Properties>
</file>