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96BCD">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eastAsia" w:ascii="黑体" w:hAnsi="黑体" w:eastAsia="黑体" w:cs="黑体"/>
          <w:b w:val="0"/>
          <w:bCs w:val="0"/>
          <w:i w:val="0"/>
          <w:iCs w:val="0"/>
          <w:color w:val="auto"/>
          <w:kern w:val="0"/>
          <w:sz w:val="44"/>
          <w:szCs w:val="44"/>
          <w:u w:val="none"/>
          <w:lang w:val="en-US" w:eastAsia="zh-CN" w:bidi="ar"/>
        </w:rPr>
      </w:pPr>
      <w:bookmarkStart w:id="0" w:name="OLE_LINK2"/>
      <w:r>
        <w:rPr>
          <w:rFonts w:hint="eastAsia" w:ascii="黑体" w:hAnsi="黑体" w:eastAsia="黑体" w:cs="黑体"/>
          <w:b w:val="0"/>
          <w:bCs w:val="0"/>
          <w:i w:val="0"/>
          <w:iCs w:val="0"/>
          <w:color w:val="auto"/>
          <w:kern w:val="0"/>
          <w:sz w:val="44"/>
          <w:szCs w:val="44"/>
          <w:u w:val="none"/>
          <w:lang w:val="en-US" w:eastAsia="zh-CN" w:bidi="ar"/>
        </w:rPr>
        <w:t>资阳市中心医院</w:t>
      </w:r>
    </w:p>
    <w:p w14:paraId="23AA01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eastAsia" w:ascii="黑体" w:hAnsi="黑体" w:eastAsia="黑体" w:cs="黑体"/>
          <w:b w:val="0"/>
          <w:bCs w:val="0"/>
          <w:i w:val="0"/>
          <w:iCs w:val="0"/>
          <w:color w:val="auto"/>
          <w:kern w:val="0"/>
          <w:sz w:val="44"/>
          <w:szCs w:val="44"/>
          <w:u w:val="none"/>
          <w:lang w:val="en-US" w:eastAsia="zh-CN" w:bidi="ar"/>
        </w:rPr>
      </w:pPr>
      <w:r>
        <w:rPr>
          <w:rFonts w:hint="eastAsia" w:ascii="黑体" w:hAnsi="黑体" w:eastAsia="黑体" w:cs="黑体"/>
          <w:b w:val="0"/>
          <w:bCs w:val="0"/>
          <w:i w:val="0"/>
          <w:iCs w:val="0"/>
          <w:color w:val="auto"/>
          <w:kern w:val="0"/>
          <w:sz w:val="44"/>
          <w:szCs w:val="44"/>
          <w:u w:val="none"/>
          <w:lang w:val="en-US" w:eastAsia="zh-CN" w:bidi="ar"/>
        </w:rPr>
        <w:t>消毒供应追溯系统维保服务项目调研公告</w:t>
      </w:r>
    </w:p>
    <w:p w14:paraId="72A32F67">
      <w:pPr>
        <w:pStyle w:val="4"/>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71F05CC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现对消毒供应追溯系统维保服务项目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，诚邀</w:t>
      </w:r>
      <w:r>
        <w:rPr>
          <w:rFonts w:hint="eastAsia" w:ascii="仿宋" w:hAnsi="仿宋" w:cs="仿宋"/>
          <w:i w:val="0"/>
          <w:iCs w:val="0"/>
          <w:caps w:val="0"/>
          <w:color w:val="auto"/>
          <w:spacing w:val="0"/>
          <w:sz w:val="28"/>
          <w:szCs w:val="28"/>
          <w:shd w:val="clear" w:fill="FFFFFF"/>
          <w:lang w:val="en-US" w:eastAsia="zh-CN"/>
        </w:rPr>
        <w:t>各</w:t>
      </w:r>
      <w:r>
        <w:rPr>
          <w:rFonts w:ascii="仿宋" w:hAnsi="仿宋" w:eastAsia="仿宋" w:cs="仿宋"/>
          <w:i w:val="0"/>
          <w:iCs w:val="0"/>
          <w:caps w:val="0"/>
          <w:color w:val="auto"/>
          <w:spacing w:val="0"/>
          <w:sz w:val="28"/>
          <w:szCs w:val="28"/>
          <w:shd w:val="clear" w:fill="FFFFFF"/>
        </w:rPr>
        <w:t>潜在供应商报名。现将有关事宜公告如下：</w:t>
      </w:r>
    </w:p>
    <w:p w14:paraId="559CF714">
      <w:pPr>
        <w:keepNext w:val="0"/>
        <w:keepLines w:val="0"/>
        <w:pageBreakBefore w:val="0"/>
        <w:numPr>
          <w:ilvl w:val="0"/>
          <w:numId w:val="0"/>
        </w:numPr>
        <w:kinsoku/>
        <w:wordWrap/>
        <w:overflowPunct/>
        <w:topLinePunct w:val="0"/>
        <w:autoSpaceDE/>
        <w:autoSpaceDN/>
        <w:bidi w:val="0"/>
        <w:adjustRightInd/>
        <w:snapToGrid/>
        <w:spacing w:line="360" w:lineRule="exact"/>
        <w:ind w:firstLine="280" w:firstLineChars="100"/>
        <w:rPr>
          <w:rFonts w:hint="eastAsia" w:ascii="仿宋" w:hAnsi="仿宋" w:eastAsia="仿宋" w:cs="仿宋"/>
          <w:sz w:val="28"/>
          <w:szCs w:val="28"/>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0AE00C1A">
      <w:pPr>
        <w:keepNext w:val="0"/>
        <w:keepLines w:val="0"/>
        <w:pageBreakBefore w:val="0"/>
        <w:numPr>
          <w:ilvl w:val="0"/>
          <w:numId w:val="0"/>
        </w:numPr>
        <w:kinsoku/>
        <w:wordWrap/>
        <w:overflowPunct/>
        <w:topLinePunct w:val="0"/>
        <w:autoSpaceDE/>
        <w:autoSpaceDN/>
        <w:bidi w:val="0"/>
        <w:adjustRightInd/>
        <w:snapToGrid/>
        <w:spacing w:line="360" w:lineRule="exact"/>
        <w:ind w:firstLine="280" w:firstLineChars="100"/>
        <w:rPr>
          <w:rFonts w:hint="eastAsia" w:ascii="仿宋" w:hAnsi="仿宋" w:eastAsia="仿宋" w:cs="仿宋"/>
          <w:i w:val="0"/>
          <w:iCs w:val="0"/>
          <w:color w:val="000000"/>
          <w:kern w:val="2"/>
          <w:sz w:val="28"/>
          <w:szCs w:val="28"/>
          <w:u w:val="none"/>
          <w:lang w:val="en-US" w:eastAsia="zh-CN" w:bidi="zh-CN"/>
        </w:rPr>
      </w:pPr>
      <w:r>
        <w:rPr>
          <w:rFonts w:hint="eastAsia" w:ascii="仿宋" w:hAnsi="仿宋" w:eastAsia="仿宋" w:cs="仿宋"/>
          <w:i w:val="0"/>
          <w:iCs w:val="0"/>
          <w:color w:val="000000"/>
          <w:kern w:val="2"/>
          <w:sz w:val="28"/>
          <w:szCs w:val="28"/>
          <w:u w:val="none"/>
          <w:lang w:val="en-US" w:eastAsia="zh-CN" w:bidi="zh-CN"/>
        </w:rPr>
        <w:t>通过本次服务，</w:t>
      </w:r>
      <w:r>
        <w:rPr>
          <w:rFonts w:hint="eastAsia" w:ascii="仿宋" w:hAnsi="仿宋" w:eastAsia="仿宋" w:cs="仿宋"/>
          <w:color w:val="333333"/>
          <w:spacing w:val="0"/>
          <w:position w:val="0"/>
          <w:sz w:val="28"/>
          <w:szCs w:val="28"/>
          <w:lang w:val="en-US" w:eastAsia="zh-CN"/>
        </w:rPr>
        <w:t>保障消毒供应追溯系统稳定、高效运行，对系统故障排查修复、功能优化迭代等各类运维需求，提供及时、精准的技术支撑，快速处置各类系统问题</w:t>
      </w:r>
      <w:r>
        <w:rPr>
          <w:rFonts w:hint="eastAsia" w:ascii="仿宋" w:hAnsi="仿宋" w:eastAsia="仿宋" w:cs="仿宋"/>
          <w:i w:val="0"/>
          <w:iCs w:val="0"/>
          <w:color w:val="000000"/>
          <w:kern w:val="2"/>
          <w:sz w:val="28"/>
          <w:szCs w:val="28"/>
          <w:u w:val="none"/>
          <w:lang w:val="en-US" w:eastAsia="zh-CN" w:bidi="zh-CN"/>
        </w:rPr>
        <w:t>。</w:t>
      </w:r>
      <w:bookmarkStart w:id="33" w:name="_GoBack"/>
      <w:bookmarkEnd w:id="33"/>
    </w:p>
    <w:p w14:paraId="5ABCED12">
      <w:pPr>
        <w:keepNext w:val="0"/>
        <w:keepLines w:val="0"/>
        <w:pageBreakBefore w:val="0"/>
        <w:numPr>
          <w:ilvl w:val="0"/>
          <w:numId w:val="0"/>
        </w:numPr>
        <w:kinsoku/>
        <w:wordWrap/>
        <w:overflowPunct/>
        <w:topLinePunct w:val="0"/>
        <w:autoSpaceDE/>
        <w:autoSpaceDN/>
        <w:bidi w:val="0"/>
        <w:adjustRightInd/>
        <w:snapToGrid/>
        <w:spacing w:line="360" w:lineRule="exact"/>
        <w:ind w:firstLine="280" w:firstLineChars="100"/>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028033C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报名时间：本公告自挂网公告日起，截止时间为自发布公告起第5个工作日（包含发布当天），公告截止日期后递交的报名资料无效。</w:t>
      </w:r>
    </w:p>
    <w:p w14:paraId="6774777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报名方式:本次市场调研活动采用邮箱报名，不接受现场报名。</w:t>
      </w:r>
    </w:p>
    <w:p w14:paraId="2DB8ACB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6C382A68">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张老师，</w:t>
      </w:r>
      <w:r>
        <w:rPr>
          <w:rFonts w:hint="eastAsia" w:ascii="仿宋" w:hAnsi="仿宋" w:eastAsia="仿宋" w:cs="仿宋"/>
          <w:i w:val="0"/>
          <w:iCs w:val="0"/>
          <w:color w:val="auto"/>
          <w:sz w:val="28"/>
          <w:szCs w:val="28"/>
          <w:u w:val="none"/>
          <w:lang w:val="en-US" w:eastAsia="zh-CN"/>
        </w:rPr>
        <w:t>报名资询：028-26219526</w:t>
      </w:r>
    </w:p>
    <w:p w14:paraId="5BCA172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线上或线下集中调研需求论证时间及地点，另行通知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0957DE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B8751A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2F08F579">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范围包括但不限于本公告所提供的需求内容，各供应商可依据本公司提供的具体方案对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526BE9F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5AA43336">
      <w:pPr>
        <w:rPr>
          <w:rFonts w:hint="eastAsia"/>
          <w:color w:val="auto"/>
          <w:lang w:val="en-US" w:eastAsia="zh-CN"/>
        </w:rPr>
      </w:pPr>
    </w:p>
    <w:p w14:paraId="01482C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D9C06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1A22A38">
      <w:pPr>
        <w:pStyle w:val="12"/>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EA17F22">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1ECCCAB8">
      <w:pPr>
        <w:pStyle w:val="12"/>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7F95384E">
      <w:pPr>
        <w:pStyle w:val="12"/>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A8B1FEF">
      <w:pPr>
        <w:pStyle w:val="12"/>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163E76D9">
      <w:pPr>
        <w:pStyle w:val="12"/>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32EBC795">
      <w:pPr>
        <w:pStyle w:val="12"/>
        <w:rPr>
          <w:color w:val="auto"/>
        </w:rPr>
      </w:pPr>
    </w:p>
    <w:p w14:paraId="53AF5F69">
      <w:pPr>
        <w:pStyle w:val="12"/>
        <w:rPr>
          <w:color w:val="auto"/>
        </w:rPr>
      </w:pPr>
    </w:p>
    <w:p w14:paraId="563274D9">
      <w:pPr>
        <w:pStyle w:val="12"/>
        <w:rPr>
          <w:color w:val="auto"/>
        </w:rPr>
      </w:pPr>
    </w:p>
    <w:p w14:paraId="254B9602">
      <w:pPr>
        <w:pStyle w:val="12"/>
        <w:rPr>
          <w:color w:val="auto"/>
        </w:rPr>
      </w:pPr>
    </w:p>
    <w:p w14:paraId="5F5DCBCC">
      <w:pPr>
        <w:pStyle w:val="12"/>
        <w:rPr>
          <w:color w:val="auto"/>
        </w:rPr>
      </w:pPr>
    </w:p>
    <w:p w14:paraId="5D1951EE">
      <w:pPr>
        <w:pStyle w:val="12"/>
        <w:rPr>
          <w:color w:val="auto"/>
        </w:rPr>
      </w:pPr>
    </w:p>
    <w:p w14:paraId="433F800F">
      <w:pPr>
        <w:pStyle w:val="12"/>
        <w:rPr>
          <w:color w:val="auto"/>
        </w:rPr>
      </w:pPr>
    </w:p>
    <w:p w14:paraId="2EF3615A">
      <w:pPr>
        <w:pStyle w:val="12"/>
        <w:rPr>
          <w:color w:val="auto"/>
        </w:rPr>
      </w:pPr>
    </w:p>
    <w:p w14:paraId="1E2EE230">
      <w:pPr>
        <w:pStyle w:val="12"/>
        <w:rPr>
          <w:color w:val="auto"/>
        </w:rPr>
      </w:pPr>
    </w:p>
    <w:p w14:paraId="08849E98">
      <w:pPr>
        <w:pStyle w:val="12"/>
        <w:rPr>
          <w:color w:val="auto"/>
        </w:rPr>
      </w:pPr>
    </w:p>
    <w:p w14:paraId="25325EAB">
      <w:pPr>
        <w:pStyle w:val="12"/>
        <w:rPr>
          <w:color w:val="auto"/>
        </w:rPr>
      </w:pPr>
    </w:p>
    <w:p w14:paraId="61B11162">
      <w:pPr>
        <w:pStyle w:val="12"/>
        <w:rPr>
          <w:color w:val="auto"/>
        </w:rPr>
      </w:pPr>
    </w:p>
    <w:p w14:paraId="7C1A53CE">
      <w:pPr>
        <w:pStyle w:val="12"/>
        <w:rPr>
          <w:rFonts w:hint="default"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73232"/>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300CC83B">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5E1CCAC">
          <w:pPr>
            <w:spacing w:before="0" w:beforeLines="0" w:after="0" w:afterLines="0" w:line="240" w:lineRule="auto"/>
            <w:ind w:left="0" w:leftChars="0" w:right="0" w:rightChars="0" w:firstLine="0" w:firstLineChars="0"/>
            <w:jc w:val="center"/>
            <w:rPr>
              <w:color w:val="auto"/>
            </w:rPr>
          </w:pPr>
        </w:p>
        <w:p w14:paraId="48BF8105">
          <w:pPr>
            <w:pStyle w:val="5"/>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4</w:t>
          </w:r>
          <w:r>
            <w:rPr>
              <w:color w:val="auto"/>
            </w:rPr>
            <w:fldChar w:fldCharType="end"/>
          </w:r>
          <w:r>
            <w:rPr>
              <w:color w:val="auto"/>
            </w:rPr>
            <w:fldChar w:fldCharType="end"/>
          </w:r>
        </w:p>
        <w:p w14:paraId="1A360B51">
          <w:pPr>
            <w:pStyle w:val="5"/>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4</w:t>
          </w:r>
          <w:r>
            <w:rPr>
              <w:color w:val="auto"/>
            </w:rPr>
            <w:fldChar w:fldCharType="end"/>
          </w:r>
          <w:r>
            <w:rPr>
              <w:color w:val="auto"/>
            </w:rPr>
            <w:fldChar w:fldCharType="end"/>
          </w:r>
        </w:p>
        <w:p w14:paraId="6FC52CD9">
          <w:pPr>
            <w:pStyle w:val="6"/>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4</w:t>
          </w:r>
          <w:r>
            <w:rPr>
              <w:color w:val="auto"/>
            </w:rPr>
            <w:fldChar w:fldCharType="end"/>
          </w:r>
          <w:r>
            <w:rPr>
              <w:color w:val="auto"/>
            </w:rPr>
            <w:fldChar w:fldCharType="end"/>
          </w:r>
        </w:p>
        <w:p w14:paraId="40037A88">
          <w:pPr>
            <w:pStyle w:val="6"/>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4</w:t>
          </w:r>
          <w:r>
            <w:rPr>
              <w:color w:val="auto"/>
            </w:rPr>
            <w:fldChar w:fldCharType="end"/>
          </w:r>
          <w:r>
            <w:rPr>
              <w:color w:val="auto"/>
            </w:rPr>
            <w:fldChar w:fldCharType="end"/>
          </w:r>
        </w:p>
        <w:p w14:paraId="0A5AA4ED">
          <w:pPr>
            <w:pStyle w:val="6"/>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4</w:t>
          </w:r>
          <w:r>
            <w:rPr>
              <w:color w:val="auto"/>
            </w:rPr>
            <w:fldChar w:fldCharType="end"/>
          </w:r>
          <w:r>
            <w:rPr>
              <w:color w:val="auto"/>
            </w:rPr>
            <w:fldChar w:fldCharType="end"/>
          </w:r>
        </w:p>
        <w:p w14:paraId="4F5DFF20">
          <w:pPr>
            <w:pStyle w:val="6"/>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4</w:t>
          </w:r>
          <w:r>
            <w:rPr>
              <w:color w:val="auto"/>
            </w:rPr>
            <w:fldChar w:fldCharType="end"/>
          </w:r>
          <w:r>
            <w:rPr>
              <w:color w:val="auto"/>
            </w:rPr>
            <w:fldChar w:fldCharType="end"/>
          </w:r>
        </w:p>
        <w:p w14:paraId="77278544">
          <w:pPr>
            <w:pStyle w:val="6"/>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4</w:t>
          </w:r>
          <w:r>
            <w:rPr>
              <w:color w:val="auto"/>
            </w:rPr>
            <w:fldChar w:fldCharType="end"/>
          </w:r>
          <w:r>
            <w:rPr>
              <w:color w:val="auto"/>
            </w:rPr>
            <w:fldChar w:fldCharType="end"/>
          </w:r>
        </w:p>
        <w:p w14:paraId="50783EB5">
          <w:pPr>
            <w:pStyle w:val="6"/>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4</w:t>
          </w:r>
          <w:r>
            <w:rPr>
              <w:color w:val="auto"/>
            </w:rPr>
            <w:fldChar w:fldCharType="end"/>
          </w:r>
          <w:r>
            <w:rPr>
              <w:color w:val="auto"/>
            </w:rPr>
            <w:fldChar w:fldCharType="end"/>
          </w:r>
        </w:p>
        <w:p w14:paraId="60E68ADE">
          <w:pPr>
            <w:pStyle w:val="6"/>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4</w:t>
          </w:r>
          <w:r>
            <w:rPr>
              <w:color w:val="auto"/>
            </w:rPr>
            <w:fldChar w:fldCharType="end"/>
          </w:r>
          <w:r>
            <w:rPr>
              <w:color w:val="auto"/>
            </w:rPr>
            <w:fldChar w:fldCharType="end"/>
          </w:r>
        </w:p>
        <w:p w14:paraId="0FBE44C6">
          <w:pPr>
            <w:pStyle w:val="5"/>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4</w:t>
          </w:r>
          <w:r>
            <w:rPr>
              <w:color w:val="auto"/>
            </w:rPr>
            <w:fldChar w:fldCharType="end"/>
          </w:r>
          <w:r>
            <w:rPr>
              <w:color w:val="auto"/>
            </w:rPr>
            <w:fldChar w:fldCharType="end"/>
          </w:r>
        </w:p>
        <w:p w14:paraId="7673A986">
          <w:pPr>
            <w:pStyle w:val="5"/>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5</w:t>
          </w:r>
          <w:r>
            <w:rPr>
              <w:color w:val="auto"/>
            </w:rPr>
            <w:fldChar w:fldCharType="end"/>
          </w:r>
          <w:r>
            <w:rPr>
              <w:color w:val="auto"/>
            </w:rPr>
            <w:fldChar w:fldCharType="end"/>
          </w:r>
        </w:p>
        <w:p w14:paraId="185FDBDF">
          <w:pPr>
            <w:pStyle w:val="5"/>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5</w:t>
          </w:r>
          <w:r>
            <w:rPr>
              <w:color w:val="auto"/>
            </w:rPr>
            <w:fldChar w:fldCharType="end"/>
          </w:r>
          <w:r>
            <w:rPr>
              <w:color w:val="auto"/>
            </w:rPr>
            <w:fldChar w:fldCharType="end"/>
          </w:r>
        </w:p>
        <w:p w14:paraId="4156D1AA">
          <w:pPr>
            <w:pStyle w:val="6"/>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5</w:t>
          </w:r>
          <w:r>
            <w:rPr>
              <w:color w:val="auto"/>
            </w:rPr>
            <w:fldChar w:fldCharType="end"/>
          </w:r>
          <w:r>
            <w:rPr>
              <w:color w:val="auto"/>
            </w:rPr>
            <w:fldChar w:fldCharType="end"/>
          </w:r>
        </w:p>
        <w:p w14:paraId="3956DBBB">
          <w:pPr>
            <w:pStyle w:val="6"/>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5</w:t>
          </w:r>
          <w:r>
            <w:rPr>
              <w:color w:val="auto"/>
            </w:rPr>
            <w:fldChar w:fldCharType="end"/>
          </w:r>
          <w:r>
            <w:rPr>
              <w:color w:val="auto"/>
            </w:rPr>
            <w:fldChar w:fldCharType="end"/>
          </w:r>
        </w:p>
        <w:p w14:paraId="49A00102">
          <w:pPr>
            <w:pStyle w:val="6"/>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5</w:t>
          </w:r>
          <w:r>
            <w:rPr>
              <w:color w:val="auto"/>
            </w:rPr>
            <w:fldChar w:fldCharType="end"/>
          </w:r>
          <w:r>
            <w:rPr>
              <w:color w:val="auto"/>
            </w:rPr>
            <w:fldChar w:fldCharType="end"/>
          </w:r>
        </w:p>
        <w:p w14:paraId="545B1800">
          <w:pPr>
            <w:pStyle w:val="5"/>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5</w:t>
          </w:r>
          <w:r>
            <w:rPr>
              <w:color w:val="auto"/>
            </w:rPr>
            <w:fldChar w:fldCharType="end"/>
          </w:r>
          <w:r>
            <w:rPr>
              <w:color w:val="auto"/>
            </w:rPr>
            <w:fldChar w:fldCharType="end"/>
          </w:r>
        </w:p>
        <w:p w14:paraId="02D66695">
          <w:pPr>
            <w:rPr>
              <w:color w:val="auto"/>
            </w:rPr>
          </w:pPr>
          <w:r>
            <w:rPr>
              <w:color w:val="auto"/>
            </w:rPr>
            <w:fldChar w:fldCharType="end"/>
          </w:r>
        </w:p>
      </w:sdtContent>
    </w:sdt>
    <w:p w14:paraId="4EFD3C65">
      <w:pPr>
        <w:rPr>
          <w:color w:val="auto"/>
        </w:rPr>
      </w:pPr>
    </w:p>
    <w:p w14:paraId="0EDD0062">
      <w:pPr>
        <w:rPr>
          <w:color w:val="auto"/>
        </w:rPr>
      </w:pPr>
    </w:p>
    <w:p w14:paraId="2E6B7DE2">
      <w:pPr>
        <w:rPr>
          <w:color w:val="auto"/>
        </w:rPr>
      </w:pPr>
    </w:p>
    <w:p w14:paraId="219E5E4C">
      <w:pPr>
        <w:rPr>
          <w:color w:val="auto"/>
        </w:rPr>
      </w:pPr>
    </w:p>
    <w:p w14:paraId="72EAF981">
      <w:pPr>
        <w:rPr>
          <w:color w:val="auto"/>
        </w:rPr>
      </w:pPr>
    </w:p>
    <w:p w14:paraId="264EB555">
      <w:pPr>
        <w:rPr>
          <w:color w:val="auto"/>
        </w:rPr>
      </w:pPr>
    </w:p>
    <w:p w14:paraId="771359A0">
      <w:pPr>
        <w:rPr>
          <w:color w:val="auto"/>
        </w:rPr>
      </w:pPr>
    </w:p>
    <w:p w14:paraId="04096184">
      <w:pPr>
        <w:rPr>
          <w:color w:val="auto"/>
        </w:rPr>
      </w:pPr>
    </w:p>
    <w:p w14:paraId="7EA84CE1">
      <w:pPr>
        <w:rPr>
          <w:color w:val="auto"/>
        </w:rPr>
      </w:pPr>
    </w:p>
    <w:p w14:paraId="0996A6A6">
      <w:pPr>
        <w:rPr>
          <w:color w:val="auto"/>
        </w:rPr>
      </w:pPr>
    </w:p>
    <w:p w14:paraId="2CDDD3C4">
      <w:pPr>
        <w:rPr>
          <w:color w:val="auto"/>
        </w:rPr>
        <w:sectPr>
          <w:pgSz w:w="11906" w:h="16838"/>
          <w:pgMar w:top="2098" w:right="1474" w:bottom="1984" w:left="1587" w:header="851" w:footer="992" w:gutter="0"/>
          <w:cols w:space="425" w:num="1"/>
          <w:docGrid w:type="lines" w:linePitch="312" w:charSpace="0"/>
        </w:sectPr>
      </w:pPr>
    </w:p>
    <w:p w14:paraId="0B031142">
      <w:pPr>
        <w:pStyle w:val="2"/>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color w:val="auto"/>
        </w:rPr>
      </w:pPr>
      <w:bookmarkStart w:id="1" w:name="_Toc247514300"/>
      <w:bookmarkStart w:id="2" w:name="_Toc10065"/>
      <w:bookmarkStart w:id="3" w:name="_Toc7415"/>
      <w:bookmarkStart w:id="4" w:name="_Toc152045808"/>
      <w:bookmarkStart w:id="5" w:name="_Toc25232"/>
      <w:bookmarkStart w:id="6" w:name="_Toc152042597"/>
      <w:bookmarkStart w:id="7" w:name="_Toc247527848"/>
      <w:bookmarkStart w:id="8" w:name="_Toc427002393"/>
      <w:bookmarkStart w:id="9" w:name="_Toc144974876"/>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9"/>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7D0C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42976F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1C5E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5BA1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1DC98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D4CDA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41D732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513C0DA">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8D8C742">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FAA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138CA7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7A5EB49">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CEA0F95">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39F838E">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20C1AFF">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0F106616">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76E24ED7">
            <w:pPr>
              <w:jc w:val="center"/>
              <w:rPr>
                <w:rFonts w:hint="eastAsia" w:ascii="宋体" w:hAnsi="宋体" w:eastAsia="宋体" w:cs="宋体"/>
                <w:i w:val="0"/>
                <w:iCs w:val="0"/>
                <w:color w:val="auto"/>
                <w:sz w:val="24"/>
                <w:szCs w:val="24"/>
                <w:u w:val="none"/>
              </w:rPr>
            </w:pPr>
          </w:p>
        </w:tc>
      </w:tr>
    </w:tbl>
    <w:p w14:paraId="66B47588">
      <w:pPr>
        <w:numPr>
          <w:ilvl w:val="0"/>
          <w:numId w:val="0"/>
        </w:numPr>
        <w:rPr>
          <w:rFonts w:hint="eastAsia"/>
          <w:color w:val="auto"/>
        </w:rPr>
      </w:pPr>
    </w:p>
    <w:p w14:paraId="64D1E3A3">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53900C4F">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1B983787">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1B5960F0">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67BF0B73">
      <w:pPr>
        <w:pStyle w:val="3"/>
        <w:bidi w:val="0"/>
        <w:rPr>
          <w:rFonts w:hint="eastAsia"/>
          <w:color w:val="auto"/>
          <w:lang w:eastAsia="zh-CN"/>
        </w:rPr>
      </w:pPr>
      <w:bookmarkStart w:id="17" w:name="_Toc22588"/>
      <w:bookmarkStart w:id="18" w:name="_Toc17143"/>
      <w:r>
        <w:rPr>
          <w:rFonts w:hint="eastAsia"/>
          <w:color w:val="auto"/>
          <w:lang w:val="en-US" w:eastAsia="zh-CN"/>
        </w:rPr>
        <w:t>1.4</w:t>
      </w:r>
      <w:r>
        <w:rPr>
          <w:rFonts w:hint="eastAsia"/>
          <w:color w:val="auto"/>
          <w:lang w:eastAsia="zh-CN"/>
        </w:rPr>
        <w:t>公司资质</w:t>
      </w:r>
      <w:bookmarkEnd w:id="17"/>
      <w:bookmarkEnd w:id="18"/>
    </w:p>
    <w:p w14:paraId="63492D5B">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496291CC">
      <w:pPr>
        <w:pStyle w:val="3"/>
        <w:bidi w:val="0"/>
        <w:rPr>
          <w:rFonts w:hint="eastAsia"/>
          <w:color w:val="auto"/>
          <w:lang w:eastAsia="zh-CN"/>
        </w:rPr>
      </w:pPr>
      <w:bookmarkStart w:id="20" w:name="_Toc3652"/>
      <w:bookmarkStart w:id="21" w:name="_Toc11995"/>
      <w:r>
        <w:rPr>
          <w:rFonts w:hint="eastAsia"/>
          <w:color w:val="auto"/>
          <w:lang w:val="en-US" w:eastAsia="zh-CN"/>
        </w:rPr>
        <w:t>1.6本项目涉及</w:t>
      </w:r>
      <w:r>
        <w:rPr>
          <w:rFonts w:hint="eastAsia"/>
          <w:color w:val="auto"/>
          <w:lang w:eastAsia="zh-CN"/>
        </w:rPr>
        <w:t>资质</w:t>
      </w:r>
      <w:bookmarkEnd w:id="20"/>
      <w:bookmarkEnd w:id="21"/>
    </w:p>
    <w:p w14:paraId="30832355">
      <w:pPr>
        <w:pStyle w:val="3"/>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76C80324">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5907449">
      <w:pPr>
        <w:pStyle w:val="12"/>
        <w:rPr>
          <w:rFonts w:hint="eastAsia" w:ascii="宋体" w:hAnsi="宋体" w:eastAsia="宋体" w:cs="宋体"/>
          <w:color w:val="auto"/>
          <w:sz w:val="24"/>
          <w:szCs w:val="24"/>
        </w:rPr>
      </w:pPr>
    </w:p>
    <w:p w14:paraId="0A4D7DF6">
      <w:pPr>
        <w:pStyle w:val="12"/>
        <w:rPr>
          <w:rFonts w:hint="eastAsia" w:ascii="宋体" w:hAnsi="宋体" w:eastAsia="宋体" w:cs="宋体"/>
          <w:color w:val="auto"/>
          <w:sz w:val="24"/>
          <w:szCs w:val="24"/>
        </w:rPr>
      </w:pPr>
    </w:p>
    <w:p w14:paraId="2E33D576">
      <w:pPr>
        <w:pStyle w:val="12"/>
        <w:rPr>
          <w:rFonts w:hint="eastAsia" w:ascii="宋体" w:hAnsi="宋体" w:eastAsia="宋体" w:cs="宋体"/>
          <w:color w:val="auto"/>
          <w:sz w:val="24"/>
          <w:szCs w:val="24"/>
        </w:rPr>
      </w:pPr>
    </w:p>
    <w:p w14:paraId="3A9D69C2">
      <w:pPr>
        <w:pStyle w:val="12"/>
        <w:rPr>
          <w:rFonts w:hint="eastAsia" w:ascii="宋体" w:hAnsi="宋体" w:eastAsia="宋体" w:cs="宋体"/>
          <w:color w:val="auto"/>
          <w:sz w:val="24"/>
          <w:szCs w:val="24"/>
        </w:rPr>
      </w:pPr>
    </w:p>
    <w:p w14:paraId="343E1CDC">
      <w:pPr>
        <w:pStyle w:val="12"/>
        <w:rPr>
          <w:rFonts w:hint="eastAsia" w:ascii="宋体" w:hAnsi="宋体" w:eastAsia="宋体" w:cs="宋体"/>
          <w:color w:val="auto"/>
          <w:sz w:val="24"/>
          <w:szCs w:val="24"/>
        </w:rPr>
      </w:pPr>
    </w:p>
    <w:p w14:paraId="5C8D4ACE">
      <w:pPr>
        <w:pStyle w:val="12"/>
        <w:rPr>
          <w:rFonts w:hint="eastAsia" w:ascii="宋体" w:hAnsi="宋体" w:eastAsia="宋体" w:cs="宋体"/>
          <w:color w:val="auto"/>
          <w:sz w:val="24"/>
          <w:szCs w:val="24"/>
        </w:rPr>
      </w:pPr>
    </w:p>
    <w:p w14:paraId="32DD6AEA">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24927E1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28FC9BB7">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6086F11F">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tbl>
      <w:tblPr>
        <w:tblStyle w:val="9"/>
        <w:tblW w:w="483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2"/>
        <w:gridCol w:w="1190"/>
        <w:gridCol w:w="3863"/>
        <w:gridCol w:w="664"/>
        <w:gridCol w:w="930"/>
        <w:gridCol w:w="1143"/>
        <w:gridCol w:w="1122"/>
        <w:gridCol w:w="678"/>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序号</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1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服务要求</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计量</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单位</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预算单价（万元）</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预算金额（万元）</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消毒供应追溯系统维保服务</w:t>
            </w:r>
          </w:p>
        </w:tc>
        <w:tc>
          <w:tcPr>
            <w:tcW w:w="1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642B7">
            <w:pPr>
              <w:keepNext w:val="0"/>
              <w:keepLines w:val="0"/>
              <w:widowControl/>
              <w:numPr>
                <w:ilvl w:val="0"/>
                <w:numId w:val="0"/>
              </w:numPr>
              <w:suppressLineNumbers w:val="0"/>
              <w:ind w:firstLine="240" w:firstLineChars="100"/>
              <w:jc w:val="left"/>
              <w:rPr>
                <w:rFonts w:hint="eastAsia" w:ascii="仿宋" w:hAnsi="仿宋" w:eastAsia="仿宋" w:cs="仿宋"/>
                <w:color w:val="333333"/>
                <w:spacing w:val="0"/>
                <w:kern w:val="0"/>
                <w:position w:val="0"/>
                <w:sz w:val="24"/>
                <w:szCs w:val="24"/>
                <w:lang w:val="en-US" w:eastAsia="zh-CN" w:bidi="ar"/>
              </w:rPr>
            </w:pPr>
            <w:r>
              <w:rPr>
                <w:rFonts w:hint="eastAsia" w:ascii="仿宋" w:hAnsi="仿宋" w:eastAsia="仿宋" w:cs="仿宋"/>
                <w:color w:val="333333"/>
                <w:spacing w:val="0"/>
                <w:kern w:val="0"/>
                <w:position w:val="0"/>
                <w:sz w:val="24"/>
                <w:szCs w:val="24"/>
                <w:lang w:val="en-US" w:eastAsia="zh-CN" w:bidi="ar"/>
              </w:rPr>
              <w:t>提供全流程维保，确保消毒供应追溯系统的各项功能正常运行。</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仿宋" w:hAnsi="仿宋" w:eastAsia="微软雅黑" w:cs="仿宋"/>
                <w:i w:val="0"/>
                <w:iCs w:val="0"/>
                <w:color w:val="auto"/>
                <w:sz w:val="21"/>
                <w:szCs w:val="21"/>
                <w:u w:val="none"/>
                <w:lang w:val="en-US" w:eastAsia="zh-CN"/>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仿宋" w:hAnsi="仿宋" w:eastAsia="仿宋" w:cs="仿宋"/>
                <w:i w:val="0"/>
                <w:iCs w:val="0"/>
                <w:color w:val="auto"/>
                <w:sz w:val="21"/>
                <w:szCs w:val="21"/>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仿宋" w:hAnsi="仿宋" w:eastAsia="仿宋" w:cs="仿宋"/>
                <w:i w:val="0"/>
                <w:iCs w:val="0"/>
                <w:color w:val="auto"/>
                <w:sz w:val="21"/>
                <w:szCs w:val="21"/>
                <w:u w:val="none"/>
                <w:lang w:val="en-US"/>
              </w:rPr>
            </w:pPr>
          </w:p>
        </w:tc>
      </w:tr>
    </w:tbl>
    <w:p w14:paraId="4BC5DC47">
      <w:pPr>
        <w:pStyle w:val="12"/>
        <w:rPr>
          <w:rFonts w:hint="eastAsia"/>
          <w:color w:val="auto"/>
          <w:lang w:val="en-US" w:eastAsia="zh-CN"/>
        </w:rPr>
      </w:pPr>
    </w:p>
    <w:p w14:paraId="660B84F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7439D2CA">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9"/>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57CC3DC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4291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1267E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29322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2840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1D889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3B178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5BBACCD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42A6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2F6B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562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B5D3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4398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2BD6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7C9082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955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1F54E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2A47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98EF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13FA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86993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CA07A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6B60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167CD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CB50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67616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C44B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A796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629922CA">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1AEB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1E16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CBA0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E595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192B2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0515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72786627">
      <w:pPr>
        <w:pStyle w:val="13"/>
        <w:ind w:firstLine="0" w:firstLineChars="0"/>
        <w:rPr>
          <w:rFonts w:hint="eastAsia" w:ascii="仿宋" w:hAnsi="仿宋" w:eastAsia="仿宋" w:cs="仿宋"/>
          <w:color w:val="auto"/>
          <w:sz w:val="30"/>
          <w:szCs w:val="30"/>
        </w:rPr>
      </w:pPr>
    </w:p>
    <w:p w14:paraId="5ADBDFC3">
      <w:pPr>
        <w:pStyle w:val="12"/>
        <w:rPr>
          <w:rFonts w:hint="eastAsia" w:ascii="仿宋" w:hAnsi="仿宋" w:eastAsia="仿宋" w:cs="仿宋"/>
          <w:color w:val="auto"/>
          <w:kern w:val="2"/>
          <w:sz w:val="30"/>
          <w:szCs w:val="30"/>
        </w:rPr>
      </w:pPr>
    </w:p>
    <w:p w14:paraId="7E311933">
      <w:pPr>
        <w:pStyle w:val="12"/>
        <w:rPr>
          <w:rFonts w:hint="eastAsia" w:ascii="仿宋" w:hAnsi="仿宋" w:eastAsia="仿宋" w:cs="仿宋"/>
          <w:color w:val="auto"/>
          <w:kern w:val="2"/>
          <w:sz w:val="30"/>
          <w:szCs w:val="30"/>
        </w:rPr>
      </w:pPr>
    </w:p>
    <w:p w14:paraId="0EC0940E">
      <w:pPr>
        <w:pStyle w:val="12"/>
        <w:rPr>
          <w:rFonts w:hint="eastAsia" w:ascii="仿宋" w:hAnsi="仿宋" w:eastAsia="仿宋" w:cs="仿宋"/>
          <w:color w:val="auto"/>
          <w:kern w:val="2"/>
          <w:sz w:val="30"/>
          <w:szCs w:val="30"/>
        </w:rPr>
      </w:pPr>
    </w:p>
    <w:p w14:paraId="2B8680AE">
      <w:pPr>
        <w:pStyle w:val="12"/>
        <w:rPr>
          <w:rFonts w:hint="eastAsia" w:ascii="仿宋" w:hAnsi="仿宋" w:eastAsia="仿宋" w:cs="仿宋"/>
          <w:color w:val="auto"/>
          <w:kern w:val="2"/>
          <w:sz w:val="30"/>
          <w:szCs w:val="30"/>
        </w:rPr>
      </w:pPr>
    </w:p>
    <w:p w14:paraId="2A292DCC">
      <w:pPr>
        <w:pStyle w:val="12"/>
        <w:rPr>
          <w:rFonts w:hint="eastAsia" w:ascii="仿宋" w:hAnsi="仿宋" w:eastAsia="仿宋" w:cs="仿宋"/>
          <w:color w:val="auto"/>
          <w:kern w:val="2"/>
          <w:sz w:val="30"/>
          <w:szCs w:val="30"/>
        </w:rPr>
      </w:pPr>
    </w:p>
    <w:p w14:paraId="2ABB69EF">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9"/>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42681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337AB9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765E8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12358D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6C0D0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CAF26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2B5444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E1E842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545EE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5DAA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33EC3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BB763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FFCC2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6C8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B870FAD">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3FEAE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A44F2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FBF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ACC28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C8126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5D812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F04C90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128E4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55C0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57EA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568AC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AEB6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27ADD1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52E0A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7B23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317B9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29CAC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507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D4D50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2058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27160BC7">
      <w:pPr>
        <w:rPr>
          <w:rFonts w:hint="eastAsia"/>
          <w:color w:val="auto"/>
          <w:lang w:val="en-US" w:eastAsia="zh-CN"/>
        </w:rPr>
      </w:pPr>
    </w:p>
    <w:p w14:paraId="5E26B5A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7924E1A">
      <w:pPr>
        <w:pStyle w:val="3"/>
        <w:bidi w:val="0"/>
        <w:ind w:firstLine="482" w:firstLineChars="200"/>
        <w:rPr>
          <w:rFonts w:hint="eastAsia"/>
          <w:color w:val="auto"/>
          <w:lang w:val="en-US" w:eastAsia="zh-CN"/>
        </w:rPr>
      </w:pPr>
    </w:p>
    <w:p w14:paraId="554F7951">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55D5800F">
      <w:pPr>
        <w:pStyle w:val="12"/>
        <w:spacing w:line="240" w:lineRule="auto"/>
        <w:rPr>
          <w:rFonts w:hint="eastAsia" w:ascii="仿宋" w:hAnsi="仿宋" w:eastAsia="仿宋" w:cs="仿宋"/>
          <w:b w:val="0"/>
          <w:color w:val="auto"/>
          <w:kern w:val="2"/>
          <w:sz w:val="24"/>
          <w:szCs w:val="24"/>
          <w:lang w:val="en-US" w:eastAsia="zh-CN" w:bidi="ar-SA"/>
        </w:rPr>
      </w:pPr>
    </w:p>
    <w:p w14:paraId="3C788A6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3308BBF7">
      <w:pPr>
        <w:bidi w:val="0"/>
        <w:rPr>
          <w:rFonts w:hint="eastAsia"/>
          <w:color w:val="auto"/>
          <w:lang w:val="en-US" w:eastAsia="zh-CN"/>
        </w:rPr>
      </w:pPr>
      <w:bookmarkStart w:id="32" w:name="_Toc138151653"/>
      <w:r>
        <w:rPr>
          <w:rFonts w:hint="eastAsia"/>
          <w:color w:val="auto"/>
          <w:lang w:val="en-US" w:eastAsia="zh-CN"/>
        </w:rPr>
        <w:t>（包含以上内容，其他内容自拟）</w:t>
      </w:r>
      <w:bookmarkEnd w:id="32"/>
    </w:p>
    <w:p w14:paraId="3417C892">
      <w:pPr>
        <w:rPr>
          <w:rFonts w:hint="eastAsia"/>
          <w:color w:val="auto"/>
          <w:lang w:val="en-US" w:eastAsia="zh-CN"/>
        </w:rPr>
      </w:pPr>
    </w:p>
    <w:p w14:paraId="48993DBB">
      <w:pPr>
        <w:rPr>
          <w:rFonts w:hint="default"/>
          <w:color w:val="auto"/>
          <w:lang w:val="en-US" w:eastAsia="zh-CN"/>
        </w:rPr>
      </w:pPr>
    </w:p>
    <w:p w14:paraId="439D6B0A"/>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4DC3CE"/>
    <w:multiLevelType w:val="singleLevel"/>
    <w:tmpl w:val="E64DC3CE"/>
    <w:lvl w:ilvl="0" w:tentative="0">
      <w:start w:val="1"/>
      <w:numFmt w:val="chineseCounting"/>
      <w:suff w:val="nothing"/>
      <w:lvlText w:val="（%1）"/>
      <w:lvlJc w:val="left"/>
      <w:rPr>
        <w:rFonts w:hint="eastAsia"/>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25065"/>
    <w:rsid w:val="04043713"/>
    <w:rsid w:val="052E767C"/>
    <w:rsid w:val="097625DB"/>
    <w:rsid w:val="09D8501F"/>
    <w:rsid w:val="0B8B2C37"/>
    <w:rsid w:val="11B20C52"/>
    <w:rsid w:val="15E2762C"/>
    <w:rsid w:val="17872239"/>
    <w:rsid w:val="18BD1268"/>
    <w:rsid w:val="195B1BCF"/>
    <w:rsid w:val="1A16107E"/>
    <w:rsid w:val="1CCD6B3D"/>
    <w:rsid w:val="1D7C3A73"/>
    <w:rsid w:val="1DE40976"/>
    <w:rsid w:val="233D0598"/>
    <w:rsid w:val="251F6F99"/>
    <w:rsid w:val="268E39D0"/>
    <w:rsid w:val="29C77362"/>
    <w:rsid w:val="2AAF15FA"/>
    <w:rsid w:val="2C372028"/>
    <w:rsid w:val="2C7548FE"/>
    <w:rsid w:val="2DA97F6B"/>
    <w:rsid w:val="2E3F3416"/>
    <w:rsid w:val="30A2217A"/>
    <w:rsid w:val="333C43C8"/>
    <w:rsid w:val="34533A5B"/>
    <w:rsid w:val="34C33F6F"/>
    <w:rsid w:val="355D5414"/>
    <w:rsid w:val="36145188"/>
    <w:rsid w:val="38100F25"/>
    <w:rsid w:val="3839769B"/>
    <w:rsid w:val="3AFB3AFA"/>
    <w:rsid w:val="3C2105FF"/>
    <w:rsid w:val="3D6A00AD"/>
    <w:rsid w:val="3D8C4A86"/>
    <w:rsid w:val="42650095"/>
    <w:rsid w:val="443D2BD2"/>
    <w:rsid w:val="47DC63E0"/>
    <w:rsid w:val="49141F2E"/>
    <w:rsid w:val="49531697"/>
    <w:rsid w:val="49DC173C"/>
    <w:rsid w:val="4A1D390B"/>
    <w:rsid w:val="4D616AAD"/>
    <w:rsid w:val="4EAA7467"/>
    <w:rsid w:val="4F020D3F"/>
    <w:rsid w:val="4F97021F"/>
    <w:rsid w:val="500B7FA9"/>
    <w:rsid w:val="504B414F"/>
    <w:rsid w:val="50746AF7"/>
    <w:rsid w:val="55D90AB5"/>
    <w:rsid w:val="57006851"/>
    <w:rsid w:val="5991071A"/>
    <w:rsid w:val="59943AD6"/>
    <w:rsid w:val="5A112DD4"/>
    <w:rsid w:val="5AC10B8B"/>
    <w:rsid w:val="5E2733FB"/>
    <w:rsid w:val="5F614678"/>
    <w:rsid w:val="5F96627A"/>
    <w:rsid w:val="5F9A7BFD"/>
    <w:rsid w:val="5FB937D1"/>
    <w:rsid w:val="608A54F5"/>
    <w:rsid w:val="62190414"/>
    <w:rsid w:val="654A79CF"/>
    <w:rsid w:val="65D976D1"/>
    <w:rsid w:val="65E240AB"/>
    <w:rsid w:val="66994B10"/>
    <w:rsid w:val="66CA417A"/>
    <w:rsid w:val="66EA1965"/>
    <w:rsid w:val="6805308C"/>
    <w:rsid w:val="69DE6772"/>
    <w:rsid w:val="6C492A98"/>
    <w:rsid w:val="73263829"/>
    <w:rsid w:val="735133C3"/>
    <w:rsid w:val="74911176"/>
    <w:rsid w:val="763F0241"/>
    <w:rsid w:val="7A301431"/>
    <w:rsid w:val="7A8D4541"/>
    <w:rsid w:val="7AAE2C70"/>
    <w:rsid w:val="7BF2114F"/>
    <w:rsid w:val="7D90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toc 1"/>
    <w:basedOn w:val="1"/>
    <w:next w:val="1"/>
    <w:qFormat/>
    <w:uiPriority w:val="39"/>
  </w:style>
  <w:style w:type="paragraph" w:styleId="6">
    <w:name w:val="toc 2"/>
    <w:basedOn w:val="1"/>
    <w:next w:val="1"/>
    <w:qFormat/>
    <w:uiPriority w:val="0"/>
    <w:pPr>
      <w:ind w:left="420" w:leftChars="200"/>
    </w:p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1581</Words>
  <Characters>1717</Characters>
  <Lines>0</Lines>
  <Paragraphs>0</Paragraphs>
  <TotalTime>0</TotalTime>
  <ScaleCrop>false</ScaleCrop>
  <LinksUpToDate>false</LinksUpToDate>
  <CharactersWithSpaces>1808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2026-05-13T02:49:00Z</dcterms:created>
  <dc:creator>Admin</dc:creator>
  <cp:lastModifiedBy>Lina</cp:lastModifiedBy>
  <cp:lastPrinted>2026-06-30T01:37:02Z</cp:lastPrinted>
  <dcterms:modified xsi:type="dcterms:W3CDTF">2026-06-30T06:22:27Z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eyJoZGlkIjoiODYyMjk2YWVkMGQyM2Y1OGQzNGE1NWY5MDM3NDc0YzgifQ==</vt:lpwstr>
  </property>
  <property fmtid="{D5CDD505-2E9C-101B-9397-08002B2CF9AE}" pid="4" name="ICV">
    <vt:lpwstr>D622C8BF36AF4E52AAFC2D2AA5B81D3F_12</vt:lpwstr>
  </property>
</Properties>
</file>