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A01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eastAsia" w:ascii="黑体" w:hAnsi="黑体" w:eastAsia="黑体" w:cs="黑体"/>
          <w:b w:val="0"/>
          <w:bCs w:val="0"/>
          <w:i w:val="0"/>
          <w:iCs w:val="0"/>
          <w:color w:val="auto"/>
          <w:kern w:val="0"/>
          <w:sz w:val="44"/>
          <w:szCs w:val="44"/>
          <w:u w:val="none"/>
          <w:lang w:val="en-US" w:eastAsia="zh-CN" w:bidi="ar"/>
        </w:rPr>
      </w:pPr>
      <w:bookmarkStart w:id="0" w:name="OLE_LINK2"/>
      <w:r>
        <w:rPr>
          <w:rFonts w:hint="eastAsia" w:ascii="黑体" w:hAnsi="黑体" w:eastAsia="黑体" w:cs="黑体"/>
          <w:b w:val="0"/>
          <w:bCs w:val="0"/>
          <w:i w:val="0"/>
          <w:iCs w:val="0"/>
          <w:color w:val="auto"/>
          <w:kern w:val="0"/>
          <w:sz w:val="44"/>
          <w:szCs w:val="44"/>
          <w:u w:val="none"/>
          <w:lang w:val="en-US" w:eastAsia="zh-CN" w:bidi="ar"/>
        </w:rPr>
        <w:t>资阳市中心医院</w:t>
      </w:r>
      <w:r>
        <w:rPr>
          <w:rFonts w:hint="eastAsia" w:ascii="黑体" w:hAnsi="黑体" w:eastAsia="黑体" w:cs="黑体"/>
          <w:b w:val="0"/>
          <w:bCs w:val="0"/>
          <w:i w:val="0"/>
          <w:iCs w:val="0"/>
          <w:color w:val="auto"/>
          <w:kern w:val="0"/>
          <w:sz w:val="44"/>
          <w:szCs w:val="44"/>
          <w:u w:val="none"/>
          <w:lang w:val="en-US" w:eastAsia="zh-CN" w:bidi="ar"/>
        </w:rPr>
        <w:br w:type="textWrapping"/>
      </w:r>
      <w:r>
        <w:rPr>
          <w:rFonts w:hint="eastAsia" w:ascii="黑体" w:hAnsi="黑体" w:eastAsia="黑体" w:cs="黑体"/>
          <w:b w:val="0"/>
          <w:bCs w:val="0"/>
          <w:i w:val="0"/>
          <w:iCs w:val="0"/>
          <w:color w:val="auto"/>
          <w:kern w:val="0"/>
          <w:sz w:val="44"/>
          <w:szCs w:val="44"/>
          <w:u w:val="none"/>
          <w:lang w:val="en-US" w:eastAsia="zh-CN" w:bidi="ar"/>
        </w:rPr>
        <w:t>智能采血系统维保服务项目调研公告</w:t>
      </w:r>
    </w:p>
    <w:p w14:paraId="72A32F67">
      <w:pPr>
        <w:pStyle w:val="5"/>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eastAsia="仿宋" w:cs="仿宋"/>
          <w:i w:val="0"/>
          <w:iCs w:val="0"/>
          <w:color w:val="auto"/>
          <w:sz w:val="28"/>
          <w:szCs w:val="28"/>
          <w:u w:val="none"/>
          <w:lang w:val="en-US" w:eastAsia="zh-CN"/>
        </w:rPr>
      </w:pPr>
    </w:p>
    <w:p w14:paraId="71F05CC1">
      <w:pPr>
        <w:pStyle w:val="5"/>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现对智能采血系统维保服务项目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，诚邀</w:t>
      </w:r>
      <w:r>
        <w:rPr>
          <w:rFonts w:hint="eastAsia" w:ascii="仿宋" w:hAnsi="仿宋" w:cs="仿宋"/>
          <w:i w:val="0"/>
          <w:iCs w:val="0"/>
          <w:caps w:val="0"/>
          <w:color w:val="auto"/>
          <w:spacing w:val="0"/>
          <w:sz w:val="28"/>
          <w:szCs w:val="28"/>
          <w:shd w:val="clear" w:fill="FFFFFF"/>
          <w:lang w:val="en-US" w:eastAsia="zh-CN"/>
        </w:rPr>
        <w:t>各</w:t>
      </w:r>
      <w:r>
        <w:rPr>
          <w:rFonts w:ascii="仿宋" w:hAnsi="仿宋" w:eastAsia="仿宋" w:cs="仿宋"/>
          <w:i w:val="0"/>
          <w:iCs w:val="0"/>
          <w:caps w:val="0"/>
          <w:color w:val="auto"/>
          <w:spacing w:val="0"/>
          <w:sz w:val="28"/>
          <w:szCs w:val="28"/>
          <w:shd w:val="clear" w:fill="FFFFFF"/>
        </w:rPr>
        <w:t>潜在供应商报名。现将有关事宜公告如下：</w:t>
      </w:r>
    </w:p>
    <w:p w14:paraId="559CF714">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280" w:firstLineChars="100"/>
        <w:rPr>
          <w:rFonts w:hint="eastAsia" w:ascii="仿宋" w:hAnsi="仿宋" w:eastAsia="仿宋" w:cs="仿宋"/>
          <w:sz w:val="28"/>
          <w:szCs w:val="28"/>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25A217F6">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560" w:firstLineChars="200"/>
      </w:pPr>
      <w:r>
        <w:rPr>
          <w:rFonts w:hint="eastAsia" w:ascii="仿宋" w:hAnsi="仿宋" w:eastAsia="仿宋" w:cs="仿宋"/>
          <w:color w:val="333333"/>
          <w:spacing w:val="0"/>
          <w:position w:val="0"/>
          <w:sz w:val="28"/>
          <w:szCs w:val="28"/>
          <w:lang w:val="en-US" w:eastAsia="zh-CN"/>
        </w:rPr>
        <w:t>本服务主要是保障智能采血系统稳定、高效运行。对系统软硬件故障排查修复、功能优化迭代等各类运维需求，提供及时、精准的技术支撑，快速处置各类系统问题，保障院内采血相关业务有序开展。</w:t>
      </w:r>
    </w:p>
    <w:p w14:paraId="5ABCED12">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560" w:firstLineChars="200"/>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028033C3">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40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报名时间：本公告自挂网公告日起，截止时间为自发布公告起第5个工作日（包含发布当天），公告截止日期后递交的报名资料无效。</w:t>
      </w:r>
    </w:p>
    <w:p w14:paraId="67747778">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40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报名方式:本次市场调研活动采用邮箱报名，不接受现场报名。</w:t>
      </w:r>
    </w:p>
    <w:p w14:paraId="2DB8ACBD">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40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6C382A68">
      <w:pPr>
        <w:pStyle w:val="5"/>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曾老师，</w:t>
      </w:r>
      <w:r>
        <w:rPr>
          <w:rFonts w:hint="eastAsia" w:ascii="仿宋" w:hAnsi="仿宋" w:eastAsia="仿宋" w:cs="仿宋"/>
          <w:i w:val="0"/>
          <w:iCs w:val="0"/>
          <w:color w:val="auto"/>
          <w:sz w:val="28"/>
          <w:szCs w:val="28"/>
          <w:u w:val="none"/>
          <w:lang w:val="en-US" w:eastAsia="zh-CN"/>
        </w:rPr>
        <w:t>报名资询：028-26219526</w:t>
      </w:r>
    </w:p>
    <w:p w14:paraId="5BCA1724">
      <w:pPr>
        <w:pStyle w:val="5"/>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0957DE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40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65B0A86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服务需求以采购时为准。</w:t>
      </w:r>
    </w:p>
    <w:p w14:paraId="698BC40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2.本次市场调研需提供项目参考价格和服务清单，服务清单范围包括但不限于本公告所提供的服务需求内容，各供应商可依据本公司提供的具体方案对服务清单进行合理调整。所谓参考价格是指按照与我院项目相似或体量相当的建设方案计算的参考价格。</w:t>
      </w:r>
    </w:p>
    <w:p w14:paraId="526BE9F4">
      <w:pPr>
        <w:pStyle w:val="5"/>
        <w:keepNext w:val="0"/>
        <w:keepLines w:val="0"/>
        <w:pageBreakBefore w:val="0"/>
        <w:kinsoku/>
        <w:wordWrap/>
        <w:overflowPunct/>
        <w:topLinePunct w:val="0"/>
        <w:autoSpaceDE/>
        <w:autoSpaceDN/>
        <w:bidi w:val="0"/>
        <w:adjustRightInd w:val="0"/>
        <w:snapToGrid w:val="0"/>
        <w:spacing w:before="0" w:line="40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5AA43336">
      <w:pPr>
        <w:keepNext w:val="0"/>
        <w:keepLines w:val="0"/>
        <w:pageBreakBefore w:val="0"/>
        <w:kinsoku/>
        <w:wordWrap/>
        <w:overflowPunct/>
        <w:topLinePunct w:val="0"/>
        <w:autoSpaceDE/>
        <w:autoSpaceDN/>
        <w:bidi w:val="0"/>
        <w:adjustRightInd w:val="0"/>
        <w:snapToGrid w:val="0"/>
        <w:spacing w:line="400" w:lineRule="exact"/>
        <w:rPr>
          <w:rFonts w:hint="eastAsia"/>
          <w:color w:val="auto"/>
          <w:lang w:val="en-US" w:eastAsia="zh-CN"/>
        </w:rPr>
      </w:pPr>
    </w:p>
    <w:p w14:paraId="01482CA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仿宋" w:hAnsi="仿宋" w:eastAsia="仿宋" w:cs="仿宋"/>
          <w:i w:val="0"/>
          <w:iCs w:val="0"/>
          <w:color w:val="auto"/>
          <w:kern w:val="2"/>
          <w:sz w:val="28"/>
          <w:szCs w:val="28"/>
          <w:u w:val="none"/>
          <w:lang w:val="en-US" w:eastAsia="zh-CN" w:bidi="zh-CN"/>
        </w:rPr>
      </w:pPr>
    </w:p>
    <w:p w14:paraId="1D9C06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65BE5E6E">
      <w:pPr>
        <w:pStyle w:val="2"/>
        <w:rPr>
          <w:rFonts w:hint="eastAsia" w:ascii="仿宋" w:hAnsi="仿宋" w:eastAsia="仿宋" w:cs="仿宋"/>
          <w:i w:val="0"/>
          <w:iCs w:val="0"/>
          <w:color w:val="auto"/>
          <w:kern w:val="2"/>
          <w:sz w:val="28"/>
          <w:szCs w:val="28"/>
          <w:u w:val="none"/>
          <w:lang w:val="en-US" w:eastAsia="zh-CN" w:bidi="zh-CN"/>
        </w:rPr>
      </w:pPr>
    </w:p>
    <w:p w14:paraId="2A34826C">
      <w:pPr>
        <w:pStyle w:val="2"/>
        <w:rPr>
          <w:rFonts w:hint="eastAsia" w:ascii="仿宋" w:hAnsi="仿宋" w:eastAsia="仿宋" w:cs="仿宋"/>
          <w:i w:val="0"/>
          <w:iCs w:val="0"/>
          <w:color w:val="auto"/>
          <w:kern w:val="2"/>
          <w:sz w:val="28"/>
          <w:szCs w:val="28"/>
          <w:u w:val="none"/>
          <w:lang w:val="en-US" w:eastAsia="zh-CN" w:bidi="zh-CN"/>
        </w:rPr>
      </w:pPr>
      <w:bookmarkStart w:id="33" w:name="_GoBack"/>
      <w:bookmarkEnd w:id="33"/>
    </w:p>
    <w:p w14:paraId="21A22A38">
      <w:pPr>
        <w:pStyle w:val="13"/>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EA17F22">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1ECCCAB8">
      <w:pPr>
        <w:pStyle w:val="13"/>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7F95384E">
      <w:pPr>
        <w:pStyle w:val="13"/>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A8B1FEF">
      <w:pPr>
        <w:pStyle w:val="13"/>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163E76D9">
      <w:pPr>
        <w:pStyle w:val="13"/>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32EBC795">
      <w:pPr>
        <w:pStyle w:val="13"/>
        <w:rPr>
          <w:color w:val="auto"/>
        </w:rPr>
      </w:pPr>
    </w:p>
    <w:p w14:paraId="144D5865">
      <w:pPr>
        <w:pStyle w:val="13"/>
        <w:rPr>
          <w:color w:val="auto"/>
        </w:rPr>
      </w:pPr>
    </w:p>
    <w:p w14:paraId="6753F5B1">
      <w:pPr>
        <w:pStyle w:val="13"/>
        <w:rPr>
          <w:color w:val="auto"/>
        </w:rPr>
      </w:pPr>
    </w:p>
    <w:p w14:paraId="0955CFD1">
      <w:pPr>
        <w:pStyle w:val="13"/>
        <w:rPr>
          <w:color w:val="auto"/>
        </w:rPr>
      </w:pPr>
    </w:p>
    <w:p w14:paraId="5CDC8C17">
      <w:pPr>
        <w:pStyle w:val="13"/>
        <w:rPr>
          <w:color w:val="auto"/>
        </w:rPr>
      </w:pPr>
    </w:p>
    <w:p w14:paraId="67574528">
      <w:pPr>
        <w:pStyle w:val="13"/>
        <w:rPr>
          <w:color w:val="auto"/>
        </w:rPr>
      </w:pPr>
    </w:p>
    <w:p w14:paraId="443407D1">
      <w:pPr>
        <w:pStyle w:val="13"/>
        <w:rPr>
          <w:color w:val="auto"/>
        </w:rPr>
      </w:pPr>
    </w:p>
    <w:p w14:paraId="53AF5F69">
      <w:pPr>
        <w:pStyle w:val="13"/>
        <w:rPr>
          <w:color w:val="auto"/>
        </w:rPr>
      </w:pPr>
    </w:p>
    <w:p w14:paraId="563274D9">
      <w:pPr>
        <w:pStyle w:val="13"/>
        <w:rPr>
          <w:color w:val="auto"/>
        </w:rPr>
      </w:pPr>
    </w:p>
    <w:p w14:paraId="433F800F">
      <w:pPr>
        <w:pStyle w:val="13"/>
        <w:rPr>
          <w:rFonts w:hint="eastAsia" w:eastAsia="宋体"/>
          <w:color w:val="auto"/>
          <w:lang w:val="en-US" w:eastAsia="zh-CN"/>
        </w:rPr>
      </w:pPr>
      <w:r>
        <w:rPr>
          <w:rFonts w:hint="eastAsia"/>
          <w:color w:val="auto"/>
          <w:lang w:val="en-US" w:eastAsia="zh-CN"/>
        </w:rPr>
        <w:t>附件：</w:t>
      </w:r>
    </w:p>
    <w:p w14:paraId="08849E98">
      <w:pPr>
        <w:pStyle w:val="13"/>
        <w:rPr>
          <w:color w:val="auto"/>
        </w:rPr>
      </w:pPr>
    </w:p>
    <w:p w14:paraId="25325EAB">
      <w:pPr>
        <w:pStyle w:val="13"/>
        <w:rPr>
          <w:color w:val="auto"/>
        </w:rPr>
      </w:pPr>
    </w:p>
    <w:sdt>
      <w:sdtPr>
        <w:rPr>
          <w:rFonts w:ascii="宋体" w:hAnsi="宋体" w:eastAsia="宋体" w:cstheme="minorBidi"/>
          <w:color w:val="auto"/>
          <w:kern w:val="2"/>
          <w:sz w:val="28"/>
          <w:szCs w:val="36"/>
          <w:lang w:val="en-US" w:eastAsia="zh-CN" w:bidi="ar-SA"/>
        </w:rPr>
        <w:id w:val="147473232"/>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300CC83B">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5E1CCAC">
          <w:pPr>
            <w:spacing w:before="0" w:beforeLines="0" w:after="0" w:afterLines="0" w:line="240" w:lineRule="auto"/>
            <w:ind w:left="0" w:leftChars="0" w:right="0" w:rightChars="0" w:firstLine="0" w:firstLineChars="0"/>
            <w:jc w:val="center"/>
            <w:rPr>
              <w:color w:val="auto"/>
            </w:rPr>
          </w:pPr>
        </w:p>
        <w:p w14:paraId="48BF8105">
          <w:pPr>
            <w:pStyle w:val="6"/>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4</w:t>
          </w:r>
          <w:r>
            <w:rPr>
              <w:color w:val="auto"/>
            </w:rPr>
            <w:fldChar w:fldCharType="end"/>
          </w:r>
          <w:r>
            <w:rPr>
              <w:color w:val="auto"/>
            </w:rPr>
            <w:fldChar w:fldCharType="end"/>
          </w:r>
        </w:p>
        <w:p w14:paraId="1A360B51">
          <w:pPr>
            <w:pStyle w:val="6"/>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4</w:t>
          </w:r>
          <w:r>
            <w:rPr>
              <w:color w:val="auto"/>
            </w:rPr>
            <w:fldChar w:fldCharType="end"/>
          </w:r>
          <w:r>
            <w:rPr>
              <w:color w:val="auto"/>
            </w:rPr>
            <w:fldChar w:fldCharType="end"/>
          </w:r>
        </w:p>
        <w:p w14:paraId="6FC52CD9">
          <w:pPr>
            <w:pStyle w:val="7"/>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4</w:t>
          </w:r>
          <w:r>
            <w:rPr>
              <w:color w:val="auto"/>
            </w:rPr>
            <w:fldChar w:fldCharType="end"/>
          </w:r>
          <w:r>
            <w:rPr>
              <w:color w:val="auto"/>
            </w:rPr>
            <w:fldChar w:fldCharType="end"/>
          </w:r>
        </w:p>
        <w:p w14:paraId="40037A88">
          <w:pPr>
            <w:pStyle w:val="7"/>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4</w:t>
          </w:r>
          <w:r>
            <w:rPr>
              <w:color w:val="auto"/>
            </w:rPr>
            <w:fldChar w:fldCharType="end"/>
          </w:r>
          <w:r>
            <w:rPr>
              <w:color w:val="auto"/>
            </w:rPr>
            <w:fldChar w:fldCharType="end"/>
          </w:r>
        </w:p>
        <w:p w14:paraId="0A5AA4ED">
          <w:pPr>
            <w:pStyle w:val="7"/>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4</w:t>
          </w:r>
          <w:r>
            <w:rPr>
              <w:color w:val="auto"/>
            </w:rPr>
            <w:fldChar w:fldCharType="end"/>
          </w:r>
          <w:r>
            <w:rPr>
              <w:color w:val="auto"/>
            </w:rPr>
            <w:fldChar w:fldCharType="end"/>
          </w:r>
        </w:p>
        <w:p w14:paraId="4F5DFF20">
          <w:pPr>
            <w:pStyle w:val="7"/>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4</w:t>
          </w:r>
          <w:r>
            <w:rPr>
              <w:color w:val="auto"/>
            </w:rPr>
            <w:fldChar w:fldCharType="end"/>
          </w:r>
          <w:r>
            <w:rPr>
              <w:color w:val="auto"/>
            </w:rPr>
            <w:fldChar w:fldCharType="end"/>
          </w:r>
        </w:p>
        <w:p w14:paraId="77278544">
          <w:pPr>
            <w:pStyle w:val="7"/>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4</w:t>
          </w:r>
          <w:r>
            <w:rPr>
              <w:color w:val="auto"/>
            </w:rPr>
            <w:fldChar w:fldCharType="end"/>
          </w:r>
          <w:r>
            <w:rPr>
              <w:color w:val="auto"/>
            </w:rPr>
            <w:fldChar w:fldCharType="end"/>
          </w:r>
        </w:p>
        <w:p w14:paraId="50783EB5">
          <w:pPr>
            <w:pStyle w:val="7"/>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4</w:t>
          </w:r>
          <w:r>
            <w:rPr>
              <w:color w:val="auto"/>
            </w:rPr>
            <w:fldChar w:fldCharType="end"/>
          </w:r>
          <w:r>
            <w:rPr>
              <w:color w:val="auto"/>
            </w:rPr>
            <w:fldChar w:fldCharType="end"/>
          </w:r>
        </w:p>
        <w:p w14:paraId="60E68ADE">
          <w:pPr>
            <w:pStyle w:val="7"/>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4</w:t>
          </w:r>
          <w:r>
            <w:rPr>
              <w:color w:val="auto"/>
            </w:rPr>
            <w:fldChar w:fldCharType="end"/>
          </w:r>
          <w:r>
            <w:rPr>
              <w:color w:val="auto"/>
            </w:rPr>
            <w:fldChar w:fldCharType="end"/>
          </w:r>
        </w:p>
        <w:p w14:paraId="0FBE44C6">
          <w:pPr>
            <w:pStyle w:val="6"/>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4</w:t>
          </w:r>
          <w:r>
            <w:rPr>
              <w:color w:val="auto"/>
            </w:rPr>
            <w:fldChar w:fldCharType="end"/>
          </w:r>
          <w:r>
            <w:rPr>
              <w:color w:val="auto"/>
            </w:rPr>
            <w:fldChar w:fldCharType="end"/>
          </w:r>
        </w:p>
        <w:p w14:paraId="7673A986">
          <w:pPr>
            <w:pStyle w:val="6"/>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5</w:t>
          </w:r>
          <w:r>
            <w:rPr>
              <w:color w:val="auto"/>
            </w:rPr>
            <w:fldChar w:fldCharType="end"/>
          </w:r>
          <w:r>
            <w:rPr>
              <w:color w:val="auto"/>
            </w:rPr>
            <w:fldChar w:fldCharType="end"/>
          </w:r>
        </w:p>
        <w:p w14:paraId="185FDBDF">
          <w:pPr>
            <w:pStyle w:val="6"/>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8</w:t>
          </w:r>
          <w:r>
            <w:rPr>
              <w:color w:val="auto"/>
            </w:rPr>
            <w:fldChar w:fldCharType="end"/>
          </w:r>
          <w:r>
            <w:rPr>
              <w:color w:val="auto"/>
            </w:rPr>
            <w:fldChar w:fldCharType="end"/>
          </w:r>
        </w:p>
        <w:p w14:paraId="4156D1AA">
          <w:pPr>
            <w:pStyle w:val="7"/>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8</w:t>
          </w:r>
          <w:r>
            <w:rPr>
              <w:color w:val="auto"/>
            </w:rPr>
            <w:fldChar w:fldCharType="end"/>
          </w:r>
          <w:r>
            <w:rPr>
              <w:color w:val="auto"/>
            </w:rPr>
            <w:fldChar w:fldCharType="end"/>
          </w:r>
        </w:p>
        <w:p w14:paraId="3956DBBB">
          <w:pPr>
            <w:pStyle w:val="7"/>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8</w:t>
          </w:r>
          <w:r>
            <w:rPr>
              <w:color w:val="auto"/>
            </w:rPr>
            <w:fldChar w:fldCharType="end"/>
          </w:r>
          <w:r>
            <w:rPr>
              <w:color w:val="auto"/>
            </w:rPr>
            <w:fldChar w:fldCharType="end"/>
          </w:r>
        </w:p>
        <w:p w14:paraId="49A00102">
          <w:pPr>
            <w:pStyle w:val="7"/>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9</w:t>
          </w:r>
          <w:r>
            <w:rPr>
              <w:color w:val="auto"/>
            </w:rPr>
            <w:fldChar w:fldCharType="end"/>
          </w:r>
          <w:r>
            <w:rPr>
              <w:color w:val="auto"/>
            </w:rPr>
            <w:fldChar w:fldCharType="end"/>
          </w:r>
        </w:p>
        <w:p w14:paraId="545B1800">
          <w:pPr>
            <w:pStyle w:val="6"/>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14:paraId="02D66695">
          <w:pPr>
            <w:rPr>
              <w:color w:val="auto"/>
            </w:rPr>
          </w:pPr>
          <w:r>
            <w:rPr>
              <w:color w:val="auto"/>
            </w:rPr>
            <w:fldChar w:fldCharType="end"/>
          </w:r>
        </w:p>
      </w:sdtContent>
    </w:sdt>
    <w:p w14:paraId="4EFD3C65">
      <w:pPr>
        <w:rPr>
          <w:color w:val="auto"/>
        </w:rPr>
      </w:pPr>
    </w:p>
    <w:p w14:paraId="0EDD0062">
      <w:pPr>
        <w:rPr>
          <w:color w:val="auto"/>
        </w:rPr>
      </w:pPr>
    </w:p>
    <w:p w14:paraId="2E6B7DE2">
      <w:pPr>
        <w:rPr>
          <w:color w:val="auto"/>
        </w:rPr>
      </w:pPr>
    </w:p>
    <w:p w14:paraId="219E5E4C">
      <w:pPr>
        <w:rPr>
          <w:color w:val="auto"/>
        </w:rPr>
      </w:pPr>
    </w:p>
    <w:p w14:paraId="72EAF981">
      <w:pPr>
        <w:rPr>
          <w:color w:val="auto"/>
        </w:rPr>
      </w:pPr>
    </w:p>
    <w:p w14:paraId="264EB555">
      <w:pPr>
        <w:rPr>
          <w:color w:val="auto"/>
        </w:rPr>
      </w:pPr>
    </w:p>
    <w:p w14:paraId="771359A0">
      <w:pPr>
        <w:rPr>
          <w:color w:val="auto"/>
        </w:rPr>
      </w:pPr>
    </w:p>
    <w:p w14:paraId="04096184">
      <w:pPr>
        <w:rPr>
          <w:color w:val="auto"/>
        </w:rPr>
      </w:pPr>
    </w:p>
    <w:p w14:paraId="7EA84CE1">
      <w:pPr>
        <w:rPr>
          <w:color w:val="auto"/>
        </w:rPr>
      </w:pPr>
    </w:p>
    <w:p w14:paraId="0996A6A6">
      <w:pPr>
        <w:rPr>
          <w:color w:val="auto"/>
        </w:rPr>
      </w:pPr>
    </w:p>
    <w:p w14:paraId="2CDDD3C4">
      <w:pPr>
        <w:rPr>
          <w:color w:val="auto"/>
        </w:rPr>
        <w:sectPr>
          <w:pgSz w:w="11906" w:h="16838"/>
          <w:pgMar w:top="2098" w:right="1474" w:bottom="1984" w:left="1587" w:header="851" w:footer="992" w:gutter="0"/>
          <w:cols w:space="425" w:num="1"/>
          <w:docGrid w:type="lines" w:linePitch="312" w:charSpace="0"/>
        </w:sectPr>
      </w:pPr>
    </w:p>
    <w:p w14:paraId="0B031142">
      <w:pPr>
        <w:pStyle w:val="3"/>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color w:val="auto"/>
        </w:rPr>
      </w:pPr>
      <w:bookmarkStart w:id="1" w:name="_Toc152042597"/>
      <w:bookmarkStart w:id="2" w:name="_Toc10065"/>
      <w:bookmarkStart w:id="3" w:name="_Toc247527848"/>
      <w:bookmarkStart w:id="4" w:name="_Toc7415"/>
      <w:bookmarkStart w:id="5" w:name="_Toc152045808"/>
      <w:bookmarkStart w:id="6" w:name="_Toc25232"/>
      <w:bookmarkStart w:id="7" w:name="_Toc247514300"/>
      <w:bookmarkStart w:id="8" w:name="_Toc427002393"/>
      <w:bookmarkStart w:id="9" w:name="_Toc144974876"/>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7D0C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42976F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1C5E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5BA1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1DC98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D4CDA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41D732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513C0DA">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8D8C742">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FAA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138CA7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7A5EB49">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CEA0F95">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39F838E">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20C1AFF">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0F106616">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76E24ED7">
            <w:pPr>
              <w:jc w:val="center"/>
              <w:rPr>
                <w:rFonts w:hint="eastAsia" w:ascii="宋体" w:hAnsi="宋体" w:eastAsia="宋体" w:cs="宋体"/>
                <w:i w:val="0"/>
                <w:iCs w:val="0"/>
                <w:color w:val="auto"/>
                <w:sz w:val="24"/>
                <w:szCs w:val="24"/>
                <w:u w:val="none"/>
              </w:rPr>
            </w:pPr>
          </w:p>
        </w:tc>
      </w:tr>
    </w:tbl>
    <w:p w14:paraId="66B47588">
      <w:pPr>
        <w:numPr>
          <w:ilvl w:val="0"/>
          <w:numId w:val="0"/>
        </w:numPr>
        <w:rPr>
          <w:rFonts w:hint="eastAsia"/>
          <w:color w:val="auto"/>
        </w:rPr>
      </w:pPr>
    </w:p>
    <w:p w14:paraId="64D1E3A3">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53900C4F">
      <w:pPr>
        <w:pStyle w:val="4"/>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1B983787">
      <w:pPr>
        <w:pStyle w:val="4"/>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1B5960F0">
      <w:pPr>
        <w:pStyle w:val="4"/>
        <w:bidi w:val="0"/>
        <w:rPr>
          <w:rFonts w:hint="eastAsia"/>
          <w:color w:val="auto"/>
          <w:lang w:eastAsia="zh-CN"/>
        </w:rPr>
      </w:pPr>
      <w:bookmarkStart w:id="15" w:name="_Toc5131"/>
      <w:bookmarkStart w:id="16" w:name="_Toc22138"/>
      <w:r>
        <w:rPr>
          <w:rFonts w:hint="eastAsia"/>
          <w:color w:val="auto"/>
          <w:lang w:val="en-US" w:eastAsia="zh-CN"/>
        </w:rPr>
        <w:t>1.3</w:t>
      </w:r>
      <w:r>
        <w:rPr>
          <w:rFonts w:hint="eastAsia"/>
          <w:color w:val="auto"/>
          <w:lang w:eastAsia="zh-CN"/>
        </w:rPr>
        <w:t>法人及被授权人身份证</w:t>
      </w:r>
      <w:bookmarkEnd w:id="15"/>
      <w:bookmarkEnd w:id="16"/>
    </w:p>
    <w:p w14:paraId="67BF0B73">
      <w:pPr>
        <w:pStyle w:val="4"/>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63492D5B">
      <w:pPr>
        <w:pStyle w:val="4"/>
        <w:bidi w:val="0"/>
        <w:rPr>
          <w:rFonts w:hint="default"/>
          <w:color w:val="auto"/>
          <w:lang w:val="en-US" w:eastAsia="zh-CN"/>
        </w:rPr>
      </w:pPr>
      <w:bookmarkStart w:id="19" w:name="_Toc24835"/>
      <w:r>
        <w:rPr>
          <w:rFonts w:hint="eastAsia"/>
          <w:color w:val="auto"/>
          <w:lang w:val="en-US" w:eastAsia="zh-CN"/>
        </w:rPr>
        <w:t>1.5软件资质</w:t>
      </w:r>
      <w:bookmarkEnd w:id="19"/>
    </w:p>
    <w:p w14:paraId="496291CC">
      <w:pPr>
        <w:pStyle w:val="4"/>
        <w:bidi w:val="0"/>
        <w:rPr>
          <w:rFonts w:hint="eastAsia"/>
          <w:color w:val="auto"/>
          <w:lang w:eastAsia="zh-CN"/>
        </w:rPr>
      </w:pPr>
      <w:bookmarkStart w:id="20" w:name="_Toc3652"/>
      <w:bookmarkStart w:id="21" w:name="_Toc11995"/>
      <w:r>
        <w:rPr>
          <w:rFonts w:hint="eastAsia"/>
          <w:color w:val="auto"/>
          <w:lang w:val="en-US" w:eastAsia="zh-CN"/>
        </w:rPr>
        <w:t>1.6本项目涉及</w:t>
      </w:r>
      <w:r>
        <w:rPr>
          <w:rFonts w:hint="eastAsia"/>
          <w:color w:val="auto"/>
          <w:lang w:eastAsia="zh-CN"/>
        </w:rPr>
        <w:t>资质</w:t>
      </w:r>
      <w:bookmarkEnd w:id="20"/>
      <w:bookmarkEnd w:id="21"/>
    </w:p>
    <w:p w14:paraId="30832355">
      <w:pPr>
        <w:pStyle w:val="4"/>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76C80324">
      <w:pPr>
        <w:pStyle w:val="3"/>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5907449">
      <w:pPr>
        <w:pStyle w:val="13"/>
        <w:rPr>
          <w:rFonts w:hint="eastAsia" w:ascii="宋体" w:hAnsi="宋体" w:eastAsia="宋体" w:cs="宋体"/>
          <w:color w:val="auto"/>
          <w:sz w:val="24"/>
          <w:szCs w:val="24"/>
        </w:rPr>
      </w:pPr>
    </w:p>
    <w:p w14:paraId="0A4D7DF6">
      <w:pPr>
        <w:pStyle w:val="13"/>
        <w:rPr>
          <w:rFonts w:hint="eastAsia" w:ascii="宋体" w:hAnsi="宋体" w:eastAsia="宋体" w:cs="宋体"/>
          <w:color w:val="auto"/>
          <w:sz w:val="24"/>
          <w:szCs w:val="24"/>
        </w:rPr>
      </w:pPr>
    </w:p>
    <w:p w14:paraId="2E33D576">
      <w:pPr>
        <w:pStyle w:val="13"/>
        <w:rPr>
          <w:rFonts w:hint="eastAsia" w:ascii="宋体" w:hAnsi="宋体" w:eastAsia="宋体" w:cs="宋体"/>
          <w:color w:val="auto"/>
          <w:sz w:val="24"/>
          <w:szCs w:val="24"/>
        </w:rPr>
      </w:pPr>
    </w:p>
    <w:p w14:paraId="3A9D69C2">
      <w:pPr>
        <w:pStyle w:val="13"/>
        <w:rPr>
          <w:rFonts w:hint="eastAsia" w:ascii="宋体" w:hAnsi="宋体" w:eastAsia="宋体" w:cs="宋体"/>
          <w:color w:val="auto"/>
          <w:sz w:val="24"/>
          <w:szCs w:val="24"/>
        </w:rPr>
      </w:pPr>
    </w:p>
    <w:p w14:paraId="343E1CDC">
      <w:pPr>
        <w:pStyle w:val="13"/>
        <w:rPr>
          <w:rFonts w:hint="eastAsia" w:ascii="宋体" w:hAnsi="宋体" w:eastAsia="宋体" w:cs="宋体"/>
          <w:color w:val="auto"/>
          <w:sz w:val="24"/>
          <w:szCs w:val="24"/>
        </w:rPr>
      </w:pPr>
    </w:p>
    <w:p w14:paraId="5C8D4ACE">
      <w:pPr>
        <w:pStyle w:val="13"/>
        <w:rPr>
          <w:rFonts w:hint="eastAsia" w:ascii="宋体" w:hAnsi="宋体" w:eastAsia="宋体" w:cs="宋体"/>
          <w:color w:val="auto"/>
          <w:sz w:val="24"/>
          <w:szCs w:val="24"/>
        </w:rPr>
      </w:pPr>
    </w:p>
    <w:p w14:paraId="32DD6AEA">
      <w:pPr>
        <w:rPr>
          <w:rFonts w:hint="eastAsia"/>
          <w:color w:val="auto"/>
          <w:lang w:val="en-US" w:eastAsia="zh-CN"/>
        </w:rPr>
      </w:pPr>
      <w:r>
        <w:rPr>
          <w:rFonts w:hint="eastAsia"/>
          <w:color w:val="auto"/>
          <w:lang w:val="en-US" w:eastAsia="zh-CN"/>
        </w:rPr>
        <w:br w:type="page"/>
      </w:r>
    </w:p>
    <w:p w14:paraId="2E60D479">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24927E16">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28FC9BB7">
      <w:pPr>
        <w:pStyle w:val="5"/>
        <w:spacing w:line="360" w:lineRule="auto"/>
        <w:ind w:firstLine="720" w:firstLineChars="300"/>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项目名称：                                         采购品目分类名称：</w:t>
      </w:r>
    </w:p>
    <w:p w14:paraId="6086F11F">
      <w:pPr>
        <w:pStyle w:val="5"/>
        <w:spacing w:line="360" w:lineRule="auto"/>
        <w:ind w:firstLine="720" w:firstLineChars="300"/>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各潜在供应商名称：                                 联系人及联系电话：</w:t>
      </w:r>
    </w:p>
    <w:p w14:paraId="2139CA76">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default"/>
          <w:color w:val="auto"/>
          <w:sz w:val="24"/>
          <w:szCs w:val="24"/>
          <w:lang w:val="en-US" w:eastAsia="zh-CN"/>
        </w:rPr>
      </w:pPr>
      <w:r>
        <w:rPr>
          <w:rFonts w:hint="eastAsia"/>
          <w:color w:val="auto"/>
          <w:sz w:val="24"/>
          <w:szCs w:val="24"/>
          <w:lang w:val="en-US" w:eastAsia="zh-CN"/>
        </w:rPr>
        <w:t>（一）项目调研情况一览表</w:t>
      </w:r>
    </w:p>
    <w:tbl>
      <w:tblPr>
        <w:tblStyle w:val="10"/>
        <w:tblW w:w="4864" w:type="pct"/>
        <w:tblInd w:w="2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0"/>
        <w:gridCol w:w="1380"/>
        <w:gridCol w:w="4800"/>
        <w:gridCol w:w="945"/>
        <w:gridCol w:w="870"/>
        <w:gridCol w:w="2445"/>
        <w:gridCol w:w="2340"/>
        <w:gridCol w:w="735"/>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序号</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项目名称</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服务内容</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数量</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单位</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预算单价（万元/3年）</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预算金额（万元/3年）</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numPr>
                <w:ilvl w:val="0"/>
                <w:numId w:val="0"/>
              </w:numPr>
              <w:suppressLineNumbers w:val="0"/>
              <w:jc w:val="center"/>
              <w:rPr>
                <w:rFonts w:hint="eastAsia" w:ascii="宋体" w:hAnsi="宋体" w:eastAsia="宋体" w:cs="宋体"/>
                <w:color w:val="333333"/>
                <w:spacing w:val="0"/>
                <w:kern w:val="0"/>
                <w:position w:val="0"/>
                <w:sz w:val="24"/>
                <w:szCs w:val="24"/>
                <w:lang w:val="en-US" w:eastAsia="zh-CN" w:bidi="ar"/>
              </w:rPr>
            </w:pPr>
            <w:r>
              <w:rPr>
                <w:rFonts w:hint="eastAsia" w:ascii="宋体" w:hAnsi="宋体" w:eastAsia="宋体" w:cs="宋体"/>
                <w:color w:val="333333"/>
                <w:spacing w:val="0"/>
                <w:kern w:val="0"/>
                <w:position w:val="0"/>
                <w:sz w:val="24"/>
                <w:szCs w:val="24"/>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智能采血系统维保服务</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74C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保障智能采血系统稳定、高效运行。对系统软硬件故障排查修复、功能优化迭代等各类运维需求，提供及时、精准的技术支撑，快速处置各类系统问题，保障院内采血相关业务有序开展。</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3</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年</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宋体" w:hAnsi="宋体" w:eastAsia="宋体" w:cs="宋体"/>
                <w:i w:val="0"/>
                <w:iCs w:val="0"/>
                <w:color w:val="auto"/>
                <w:sz w:val="21"/>
                <w:szCs w:val="21"/>
                <w:u w:val="none"/>
              </w:rPr>
            </w:pP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宋体" w:hAnsi="宋体" w:eastAsia="宋体" w:cs="宋体"/>
                <w:i w:val="0"/>
                <w:iCs w:val="0"/>
                <w:color w:val="auto"/>
                <w:sz w:val="21"/>
                <w:szCs w:val="21"/>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宋体" w:hAnsi="宋体" w:eastAsia="宋体" w:cs="宋体"/>
                <w:i w:val="0"/>
                <w:iCs w:val="0"/>
                <w:color w:val="auto"/>
                <w:sz w:val="21"/>
                <w:szCs w:val="21"/>
                <w:u w:val="none"/>
                <w:lang w:val="en-US"/>
              </w:rPr>
            </w:pPr>
          </w:p>
        </w:tc>
      </w:tr>
    </w:tbl>
    <w:p w14:paraId="3A63AE3B">
      <w:pPr>
        <w:rPr>
          <w:rFonts w:hint="eastAsia" w:eastAsiaTheme="minorEastAsia"/>
          <w:b/>
          <w:bCs/>
          <w:color w:val="auto"/>
          <w:sz w:val="28"/>
          <w:szCs w:val="28"/>
          <w:lang w:val="en-US" w:eastAsia="zh-CN"/>
        </w:rPr>
      </w:pPr>
      <w:r>
        <w:rPr>
          <w:rFonts w:hint="eastAsia"/>
          <w:b/>
          <w:bCs/>
          <w:color w:val="auto"/>
          <w:sz w:val="28"/>
          <w:szCs w:val="28"/>
          <w:lang w:eastAsia="zh-CN"/>
        </w:rPr>
        <w:t>（</w:t>
      </w:r>
      <w:r>
        <w:rPr>
          <w:rFonts w:hint="eastAsia"/>
          <w:b/>
          <w:bCs/>
          <w:color w:val="auto"/>
          <w:sz w:val="28"/>
          <w:szCs w:val="28"/>
          <w:lang w:val="en-US" w:eastAsia="zh-CN"/>
        </w:rPr>
        <w:t>二</w:t>
      </w:r>
      <w:r>
        <w:rPr>
          <w:rFonts w:hint="eastAsia"/>
          <w:b/>
          <w:bCs/>
          <w:color w:val="auto"/>
          <w:sz w:val="28"/>
          <w:szCs w:val="28"/>
          <w:lang w:eastAsia="zh-CN"/>
        </w:rPr>
        <w:t>）</w:t>
      </w:r>
      <w:r>
        <w:rPr>
          <w:rFonts w:hint="eastAsia"/>
          <w:b/>
          <w:bCs/>
          <w:color w:val="auto"/>
          <w:sz w:val="28"/>
          <w:szCs w:val="28"/>
          <w:lang w:val="en-US" w:eastAsia="zh-CN"/>
        </w:rPr>
        <w:t>项目</w:t>
      </w:r>
      <w:r>
        <w:rPr>
          <w:rFonts w:hint="eastAsia"/>
          <w:b/>
          <w:bCs/>
          <w:color w:val="auto"/>
          <w:sz w:val="28"/>
          <w:szCs w:val="28"/>
        </w:rPr>
        <w:t>维保</w:t>
      </w:r>
      <w:r>
        <w:rPr>
          <w:rFonts w:hint="eastAsia"/>
          <w:b/>
          <w:bCs/>
          <w:color w:val="auto"/>
          <w:sz w:val="28"/>
          <w:szCs w:val="28"/>
          <w:lang w:val="en-US" w:eastAsia="zh-CN"/>
        </w:rPr>
        <w:t>服务清单（包含但不限于以下内容）</w:t>
      </w:r>
    </w:p>
    <w:tbl>
      <w:tblPr>
        <w:tblStyle w:val="11"/>
        <w:tblpPr w:leftFromText="180" w:rightFromText="180" w:vertAnchor="text" w:horzAnchor="page" w:tblpX="1396" w:tblpY="437"/>
        <w:tblOverlap w:val="never"/>
        <w:tblW w:w="14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4913"/>
        <w:gridCol w:w="3082"/>
        <w:gridCol w:w="1200"/>
        <w:gridCol w:w="4358"/>
      </w:tblGrid>
      <w:tr w14:paraId="22FB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77" w:type="dxa"/>
            <w:vAlign w:val="center"/>
          </w:tcPr>
          <w:p w14:paraId="7A4B22F1">
            <w:pPr>
              <w:autoSpaceDE w:val="0"/>
              <w:autoSpaceDN w:val="0"/>
              <w:adjustRightInd w:val="0"/>
              <w:spacing w:after="120"/>
              <w:ind w:firstLine="0" w:firstLineChars="0"/>
              <w:jc w:val="center"/>
            </w:pPr>
            <w:r>
              <w:rPr>
                <w:rFonts w:hint="eastAsia"/>
              </w:rPr>
              <w:t>序号</w:t>
            </w:r>
          </w:p>
        </w:tc>
        <w:tc>
          <w:tcPr>
            <w:tcW w:w="4913" w:type="dxa"/>
            <w:vAlign w:val="center"/>
          </w:tcPr>
          <w:p w14:paraId="753DCE0D">
            <w:pPr>
              <w:autoSpaceDE w:val="0"/>
              <w:autoSpaceDN w:val="0"/>
              <w:adjustRightInd w:val="0"/>
              <w:spacing w:after="120"/>
              <w:ind w:firstLine="0" w:firstLineChars="0"/>
              <w:jc w:val="center"/>
            </w:pPr>
            <w:r>
              <w:rPr>
                <w:rFonts w:hint="eastAsia"/>
              </w:rPr>
              <w:t>名称</w:t>
            </w:r>
          </w:p>
        </w:tc>
        <w:tc>
          <w:tcPr>
            <w:tcW w:w="3082" w:type="dxa"/>
            <w:vAlign w:val="center"/>
          </w:tcPr>
          <w:p w14:paraId="0090A93C">
            <w:pPr>
              <w:autoSpaceDE w:val="0"/>
              <w:autoSpaceDN w:val="0"/>
              <w:adjustRightInd w:val="0"/>
              <w:spacing w:after="120"/>
              <w:ind w:firstLine="0" w:firstLineChars="0"/>
              <w:jc w:val="both"/>
              <w:rPr>
                <w:rFonts w:hint="eastAsia" w:eastAsia="宋体"/>
                <w:lang w:val="en-US" w:eastAsia="zh-CN"/>
              </w:rPr>
            </w:pPr>
            <w:r>
              <w:rPr>
                <w:rFonts w:hint="eastAsia" w:ascii="宋体" w:hAnsi="宋体" w:cs="宋体"/>
                <w:color w:val="000000"/>
                <w:kern w:val="0"/>
              </w:rPr>
              <w:t>品牌</w:t>
            </w:r>
            <w:r>
              <w:rPr>
                <w:rFonts w:hint="eastAsia" w:ascii="宋体" w:hAnsi="宋体" w:cs="宋体"/>
                <w:color w:val="000000"/>
                <w:kern w:val="0"/>
                <w:lang w:val="en-US" w:eastAsia="zh-CN"/>
              </w:rPr>
              <w:t>型号</w:t>
            </w:r>
          </w:p>
        </w:tc>
        <w:tc>
          <w:tcPr>
            <w:tcW w:w="1200" w:type="dxa"/>
            <w:vAlign w:val="center"/>
          </w:tcPr>
          <w:p w14:paraId="35DDA335">
            <w:pPr>
              <w:autoSpaceDE w:val="0"/>
              <w:autoSpaceDN w:val="0"/>
              <w:adjustRightInd w:val="0"/>
              <w:spacing w:after="120"/>
              <w:ind w:firstLine="0" w:firstLineChars="0"/>
              <w:jc w:val="center"/>
              <w:rPr>
                <w:rFonts w:hint="eastAsia" w:ascii="Calibri" w:hAnsi="Calibri" w:eastAsia="宋体" w:cs="Times New Roman"/>
                <w:kern w:val="2"/>
                <w:sz w:val="24"/>
                <w:szCs w:val="24"/>
                <w:lang w:val="en-US" w:eastAsia="zh-CN" w:bidi="ar-SA"/>
              </w:rPr>
            </w:pPr>
            <w:r>
              <w:rPr>
                <w:rFonts w:hint="eastAsia"/>
              </w:rPr>
              <w:t>数量</w:t>
            </w:r>
          </w:p>
        </w:tc>
        <w:tc>
          <w:tcPr>
            <w:tcW w:w="4358" w:type="dxa"/>
            <w:vAlign w:val="center"/>
          </w:tcPr>
          <w:p w14:paraId="6C632373">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备注</w:t>
            </w:r>
          </w:p>
        </w:tc>
      </w:tr>
      <w:tr w14:paraId="50AB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77" w:type="dxa"/>
            <w:vAlign w:val="center"/>
          </w:tcPr>
          <w:p w14:paraId="022EC8EC">
            <w:pPr>
              <w:autoSpaceDE w:val="0"/>
              <w:autoSpaceDN w:val="0"/>
              <w:adjustRightInd w:val="0"/>
              <w:spacing w:after="120"/>
              <w:ind w:firstLine="0" w:firstLineChars="0"/>
              <w:jc w:val="center"/>
            </w:pPr>
            <w:r>
              <w:rPr>
                <w:rFonts w:hint="eastAsia"/>
              </w:rPr>
              <w:t>1</w:t>
            </w:r>
          </w:p>
        </w:tc>
        <w:tc>
          <w:tcPr>
            <w:tcW w:w="4913" w:type="dxa"/>
            <w:vAlign w:val="center"/>
          </w:tcPr>
          <w:p w14:paraId="63BCADC7">
            <w:pPr>
              <w:autoSpaceDE w:val="0"/>
              <w:autoSpaceDN w:val="0"/>
              <w:adjustRightInd w:val="0"/>
              <w:spacing w:after="120"/>
              <w:ind w:firstLine="0" w:firstLineChars="0"/>
              <w:jc w:val="both"/>
            </w:pPr>
            <w:r>
              <w:rPr>
                <w:rFonts w:hint="eastAsia"/>
              </w:rPr>
              <w:t>采血管智能管理工作站</w:t>
            </w:r>
          </w:p>
        </w:tc>
        <w:tc>
          <w:tcPr>
            <w:tcW w:w="3082" w:type="dxa"/>
            <w:vAlign w:val="center"/>
          </w:tcPr>
          <w:p w14:paraId="01B61318">
            <w:pPr>
              <w:autoSpaceDE w:val="0"/>
              <w:autoSpaceDN w:val="0"/>
              <w:adjustRightInd w:val="0"/>
              <w:spacing w:after="120"/>
              <w:ind w:firstLine="0" w:firstLineChars="0"/>
              <w:jc w:val="both"/>
              <w:rPr>
                <w:rFonts w:hint="eastAsia"/>
              </w:rPr>
            </w:pPr>
            <w:r>
              <w:rPr>
                <w:rFonts w:hint="eastAsia"/>
              </w:rPr>
              <w:t>珠海丰炎CG-600S</w:t>
            </w:r>
          </w:p>
        </w:tc>
        <w:tc>
          <w:tcPr>
            <w:tcW w:w="1200" w:type="dxa"/>
            <w:vAlign w:val="center"/>
          </w:tcPr>
          <w:p w14:paraId="21214A12">
            <w:pPr>
              <w:autoSpaceDE w:val="0"/>
              <w:autoSpaceDN w:val="0"/>
              <w:adjustRightInd w:val="0"/>
              <w:spacing w:after="120"/>
              <w:ind w:firstLine="0" w:firstLineChars="0"/>
              <w:jc w:val="center"/>
              <w:rPr>
                <w:rFonts w:hint="eastAsia"/>
                <w:lang w:val="en-US" w:eastAsia="zh-CN"/>
              </w:rPr>
            </w:pPr>
            <w:r>
              <w:rPr>
                <w:rFonts w:hint="eastAsia"/>
              </w:rPr>
              <w:t>4台</w:t>
            </w:r>
          </w:p>
        </w:tc>
        <w:tc>
          <w:tcPr>
            <w:tcW w:w="4358" w:type="dxa"/>
            <w:vAlign w:val="center"/>
          </w:tcPr>
          <w:p w14:paraId="275A8EAE">
            <w:pPr>
              <w:autoSpaceDE w:val="0"/>
              <w:autoSpaceDN w:val="0"/>
              <w:adjustRightInd w:val="0"/>
              <w:spacing w:after="120"/>
              <w:ind w:firstLine="0" w:firstLineChars="0"/>
              <w:jc w:val="both"/>
            </w:pPr>
          </w:p>
        </w:tc>
      </w:tr>
      <w:tr w14:paraId="77D4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77" w:type="dxa"/>
            <w:vAlign w:val="center"/>
          </w:tcPr>
          <w:p w14:paraId="325090DB">
            <w:pPr>
              <w:autoSpaceDE w:val="0"/>
              <w:autoSpaceDN w:val="0"/>
              <w:adjustRightInd w:val="0"/>
              <w:spacing w:after="120"/>
              <w:ind w:firstLine="0" w:firstLineChars="0"/>
              <w:jc w:val="center"/>
              <w:rPr>
                <w:rFonts w:hint="eastAsia" w:eastAsiaTheme="minorEastAsia"/>
                <w:lang w:val="en-US" w:eastAsia="zh-CN"/>
              </w:rPr>
            </w:pPr>
            <w:r>
              <w:rPr>
                <w:rFonts w:hint="eastAsia"/>
                <w:lang w:val="en-US" w:eastAsia="zh-CN"/>
              </w:rPr>
              <w:t>2</w:t>
            </w:r>
          </w:p>
        </w:tc>
        <w:tc>
          <w:tcPr>
            <w:tcW w:w="4913" w:type="dxa"/>
            <w:vAlign w:val="center"/>
          </w:tcPr>
          <w:p w14:paraId="4AD6E3E9">
            <w:pPr>
              <w:spacing w:line="240" w:lineRule="exact"/>
              <w:jc w:val="both"/>
              <w:rPr>
                <w:rFonts w:hint="eastAsia"/>
              </w:rPr>
            </w:pPr>
            <w:r>
              <w:rPr>
                <w:rFonts w:hint="eastAsia"/>
              </w:rPr>
              <w:t>采血管智能管理工作站控制软件</w:t>
            </w:r>
          </w:p>
        </w:tc>
        <w:tc>
          <w:tcPr>
            <w:tcW w:w="3082" w:type="dxa"/>
            <w:vAlign w:val="center"/>
          </w:tcPr>
          <w:p w14:paraId="7E013EE4">
            <w:pPr>
              <w:spacing w:line="240" w:lineRule="exact"/>
              <w:jc w:val="both"/>
              <w:rPr>
                <w:rFonts w:hint="eastAsia"/>
              </w:rPr>
            </w:pPr>
            <w:r>
              <w:rPr>
                <w:rFonts w:hint="eastAsia"/>
              </w:rPr>
              <w:t>V1.0</w:t>
            </w:r>
          </w:p>
        </w:tc>
        <w:tc>
          <w:tcPr>
            <w:tcW w:w="1200" w:type="dxa"/>
            <w:vAlign w:val="center"/>
          </w:tcPr>
          <w:p w14:paraId="2F4CBA14">
            <w:pPr>
              <w:autoSpaceDE w:val="0"/>
              <w:autoSpaceDN w:val="0"/>
              <w:adjustRightInd w:val="0"/>
              <w:spacing w:after="120"/>
              <w:ind w:firstLine="0" w:firstLineChars="0"/>
              <w:jc w:val="center"/>
              <w:rPr>
                <w:rFonts w:hint="default" w:eastAsiaTheme="minorEastAsia"/>
                <w:lang w:val="en-US" w:eastAsia="zh-CN"/>
              </w:rPr>
            </w:pPr>
            <w:r>
              <w:rPr>
                <w:rFonts w:hint="eastAsia"/>
                <w:lang w:val="en-US" w:eastAsia="zh-CN"/>
              </w:rPr>
              <w:t>1套</w:t>
            </w:r>
          </w:p>
        </w:tc>
        <w:tc>
          <w:tcPr>
            <w:tcW w:w="4358" w:type="dxa"/>
            <w:vAlign w:val="center"/>
          </w:tcPr>
          <w:p w14:paraId="7C03AA6B">
            <w:pPr>
              <w:autoSpaceDE w:val="0"/>
              <w:autoSpaceDN w:val="0"/>
              <w:adjustRightInd w:val="0"/>
              <w:spacing w:after="120"/>
              <w:ind w:firstLine="0" w:firstLineChars="0"/>
              <w:jc w:val="both"/>
              <w:rPr>
                <w:rFonts w:hint="eastAsia" w:eastAsiaTheme="minorEastAsia"/>
                <w:lang w:val="en-US" w:eastAsia="zh-CN"/>
              </w:rPr>
            </w:pPr>
          </w:p>
        </w:tc>
      </w:tr>
      <w:tr w14:paraId="69D3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7" w:type="dxa"/>
            <w:vAlign w:val="center"/>
          </w:tcPr>
          <w:p w14:paraId="657376D4">
            <w:pPr>
              <w:autoSpaceDE w:val="0"/>
              <w:autoSpaceDN w:val="0"/>
              <w:adjustRightInd w:val="0"/>
              <w:spacing w:after="120"/>
              <w:ind w:firstLine="0" w:firstLineChars="0"/>
              <w:jc w:val="center"/>
              <w:rPr>
                <w:rFonts w:hint="eastAsia" w:eastAsiaTheme="minorEastAsia"/>
                <w:lang w:val="en-US" w:eastAsia="zh-CN"/>
              </w:rPr>
            </w:pPr>
            <w:r>
              <w:rPr>
                <w:rFonts w:hint="eastAsia"/>
                <w:lang w:val="en-US" w:eastAsia="zh-CN"/>
              </w:rPr>
              <w:t>3</w:t>
            </w:r>
          </w:p>
        </w:tc>
        <w:tc>
          <w:tcPr>
            <w:tcW w:w="4913" w:type="dxa"/>
            <w:vAlign w:val="center"/>
          </w:tcPr>
          <w:p w14:paraId="46B67D04">
            <w:pPr>
              <w:spacing w:line="240" w:lineRule="exact"/>
              <w:jc w:val="both"/>
              <w:rPr>
                <w:rFonts w:hint="eastAsia"/>
              </w:rPr>
            </w:pPr>
            <w:r>
              <w:rPr>
                <w:rFonts w:hint="eastAsia"/>
              </w:rPr>
              <w:t>智能采血管平台系统软件</w:t>
            </w:r>
          </w:p>
        </w:tc>
        <w:tc>
          <w:tcPr>
            <w:tcW w:w="3082" w:type="dxa"/>
            <w:vAlign w:val="center"/>
          </w:tcPr>
          <w:p w14:paraId="33233F13">
            <w:pPr>
              <w:spacing w:line="240" w:lineRule="exact"/>
              <w:jc w:val="both"/>
              <w:rPr>
                <w:rFonts w:hint="eastAsia"/>
              </w:rPr>
            </w:pPr>
            <w:r>
              <w:rPr>
                <w:rFonts w:hint="eastAsia"/>
              </w:rPr>
              <w:t>V4.2</w:t>
            </w:r>
          </w:p>
        </w:tc>
        <w:tc>
          <w:tcPr>
            <w:tcW w:w="1200" w:type="dxa"/>
            <w:vAlign w:val="center"/>
          </w:tcPr>
          <w:p w14:paraId="4BE18F12">
            <w:pPr>
              <w:autoSpaceDE w:val="0"/>
              <w:autoSpaceDN w:val="0"/>
              <w:adjustRightInd w:val="0"/>
              <w:spacing w:after="120"/>
              <w:ind w:firstLine="0" w:firstLineChars="0"/>
              <w:jc w:val="center"/>
              <w:rPr>
                <w:rFonts w:hint="eastAsia"/>
              </w:rPr>
            </w:pPr>
            <w:r>
              <w:rPr>
                <w:rFonts w:hint="eastAsia"/>
                <w:lang w:val="en-US" w:eastAsia="zh-CN"/>
              </w:rPr>
              <w:t>1套</w:t>
            </w:r>
          </w:p>
        </w:tc>
        <w:tc>
          <w:tcPr>
            <w:tcW w:w="4358" w:type="dxa"/>
            <w:vAlign w:val="center"/>
          </w:tcPr>
          <w:p w14:paraId="6A1F1FAD">
            <w:pPr>
              <w:autoSpaceDE w:val="0"/>
              <w:autoSpaceDN w:val="0"/>
              <w:adjustRightInd w:val="0"/>
              <w:spacing w:after="120"/>
              <w:ind w:firstLine="0" w:firstLineChars="0"/>
              <w:jc w:val="both"/>
            </w:pPr>
          </w:p>
        </w:tc>
      </w:tr>
      <w:tr w14:paraId="3C80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877" w:type="dxa"/>
            <w:vAlign w:val="center"/>
          </w:tcPr>
          <w:p w14:paraId="6B7D6362">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4</w:t>
            </w:r>
          </w:p>
        </w:tc>
        <w:tc>
          <w:tcPr>
            <w:tcW w:w="4913" w:type="dxa"/>
            <w:vAlign w:val="center"/>
          </w:tcPr>
          <w:p w14:paraId="22D20313">
            <w:pPr>
              <w:autoSpaceDE w:val="0"/>
              <w:autoSpaceDN w:val="0"/>
              <w:adjustRightInd w:val="0"/>
              <w:spacing w:after="120"/>
              <w:ind w:firstLine="0" w:firstLineChars="0"/>
              <w:jc w:val="both"/>
              <w:rPr>
                <w:rFonts w:hint="default" w:eastAsia="宋体"/>
                <w:lang w:val="en-US" w:eastAsia="zh-CN"/>
              </w:rPr>
            </w:pPr>
            <w:r>
              <w:rPr>
                <w:rFonts w:hint="eastAsia"/>
                <w:lang w:val="en-US" w:eastAsia="zh-CN"/>
              </w:rPr>
              <w:t>台式电脑主机</w:t>
            </w:r>
          </w:p>
        </w:tc>
        <w:tc>
          <w:tcPr>
            <w:tcW w:w="3082" w:type="dxa"/>
            <w:vAlign w:val="center"/>
          </w:tcPr>
          <w:p w14:paraId="542E26BA">
            <w:pPr>
              <w:autoSpaceDE w:val="0"/>
              <w:autoSpaceDN w:val="0"/>
              <w:adjustRightInd w:val="0"/>
              <w:spacing w:after="120"/>
              <w:ind w:firstLine="0" w:firstLineChars="0"/>
              <w:jc w:val="both"/>
              <w:rPr>
                <w:rFonts w:hint="default" w:eastAsia="宋体"/>
                <w:lang w:val="en-US" w:eastAsia="zh-CN"/>
              </w:rPr>
            </w:pPr>
            <w:r>
              <w:rPr>
                <w:rFonts w:hint="eastAsia"/>
              </w:rPr>
              <w:t>珠海丰炎</w:t>
            </w:r>
            <w:r>
              <w:rPr>
                <w:rFonts w:hint="eastAsia"/>
                <w:lang w:val="en-US" w:eastAsia="zh-CN"/>
              </w:rPr>
              <w:t>-丰炎定制</w:t>
            </w:r>
          </w:p>
        </w:tc>
        <w:tc>
          <w:tcPr>
            <w:tcW w:w="1200" w:type="dxa"/>
            <w:vAlign w:val="center"/>
          </w:tcPr>
          <w:p w14:paraId="66A3BB9B">
            <w:pPr>
              <w:autoSpaceDE w:val="0"/>
              <w:autoSpaceDN w:val="0"/>
              <w:adjustRightInd w:val="0"/>
              <w:spacing w:after="120"/>
              <w:ind w:firstLine="0" w:firstLineChars="0"/>
              <w:jc w:val="center"/>
              <w:rPr>
                <w:rFonts w:hint="default"/>
                <w:lang w:val="en-US" w:eastAsia="zh-CN"/>
              </w:rPr>
            </w:pPr>
            <w:r>
              <w:rPr>
                <w:rFonts w:hint="eastAsia"/>
                <w:lang w:val="en-US" w:eastAsia="zh-CN"/>
              </w:rPr>
              <w:t>8台</w:t>
            </w:r>
          </w:p>
        </w:tc>
        <w:tc>
          <w:tcPr>
            <w:tcW w:w="4358" w:type="dxa"/>
            <w:vAlign w:val="center"/>
          </w:tcPr>
          <w:p w14:paraId="37DC1C5B">
            <w:pPr>
              <w:autoSpaceDE w:val="0"/>
              <w:autoSpaceDN w:val="0"/>
              <w:adjustRightInd w:val="0"/>
              <w:spacing w:after="120"/>
              <w:ind w:firstLine="0" w:firstLineChars="0"/>
              <w:jc w:val="both"/>
              <w:rPr>
                <w:rFonts w:hint="eastAsia"/>
                <w:lang w:val="en-US" w:eastAsia="zh-CN"/>
              </w:rPr>
            </w:pPr>
          </w:p>
        </w:tc>
      </w:tr>
      <w:tr w14:paraId="61F9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877" w:type="dxa"/>
            <w:vAlign w:val="center"/>
          </w:tcPr>
          <w:p w14:paraId="210FCBAF">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5</w:t>
            </w:r>
          </w:p>
        </w:tc>
        <w:tc>
          <w:tcPr>
            <w:tcW w:w="4913" w:type="dxa"/>
            <w:vAlign w:val="center"/>
          </w:tcPr>
          <w:p w14:paraId="6C95A41C">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液晶显示器</w:t>
            </w:r>
          </w:p>
        </w:tc>
        <w:tc>
          <w:tcPr>
            <w:tcW w:w="3082" w:type="dxa"/>
            <w:vAlign w:val="center"/>
          </w:tcPr>
          <w:p w14:paraId="556798E1">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戴尔18.5寸</w:t>
            </w:r>
          </w:p>
        </w:tc>
        <w:tc>
          <w:tcPr>
            <w:tcW w:w="1200" w:type="dxa"/>
            <w:vAlign w:val="center"/>
          </w:tcPr>
          <w:p w14:paraId="729FFB0D">
            <w:pPr>
              <w:autoSpaceDE w:val="0"/>
              <w:autoSpaceDN w:val="0"/>
              <w:adjustRightInd w:val="0"/>
              <w:spacing w:after="120"/>
              <w:ind w:firstLine="0" w:firstLineChars="0"/>
              <w:jc w:val="center"/>
              <w:rPr>
                <w:rFonts w:hint="default"/>
                <w:lang w:val="en-US" w:eastAsia="zh-CN"/>
              </w:rPr>
            </w:pPr>
            <w:r>
              <w:rPr>
                <w:rFonts w:hint="eastAsia"/>
                <w:lang w:val="en-US" w:eastAsia="zh-CN"/>
              </w:rPr>
              <w:t>8台</w:t>
            </w:r>
          </w:p>
        </w:tc>
        <w:tc>
          <w:tcPr>
            <w:tcW w:w="4358" w:type="dxa"/>
            <w:vAlign w:val="center"/>
          </w:tcPr>
          <w:p w14:paraId="6F4FF62B">
            <w:pPr>
              <w:autoSpaceDE w:val="0"/>
              <w:autoSpaceDN w:val="0"/>
              <w:adjustRightInd w:val="0"/>
              <w:spacing w:after="120"/>
              <w:ind w:firstLine="0" w:firstLineChars="0"/>
              <w:jc w:val="both"/>
              <w:rPr>
                <w:rFonts w:hint="eastAsia"/>
                <w:lang w:val="en-US" w:eastAsia="zh-CN"/>
              </w:rPr>
            </w:pPr>
          </w:p>
        </w:tc>
      </w:tr>
      <w:tr w14:paraId="0E36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77" w:type="dxa"/>
            <w:vAlign w:val="center"/>
          </w:tcPr>
          <w:p w14:paraId="501D452A">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6</w:t>
            </w:r>
          </w:p>
        </w:tc>
        <w:tc>
          <w:tcPr>
            <w:tcW w:w="4913" w:type="dxa"/>
            <w:vAlign w:val="center"/>
          </w:tcPr>
          <w:p w14:paraId="26D3E7C3">
            <w:pPr>
              <w:autoSpaceDE w:val="0"/>
              <w:autoSpaceDN w:val="0"/>
              <w:adjustRightInd w:val="0"/>
              <w:spacing w:after="120"/>
              <w:ind w:firstLine="0" w:firstLineChars="0"/>
              <w:jc w:val="both"/>
              <w:rPr>
                <w:rFonts w:hint="eastAsia"/>
              </w:rPr>
            </w:pPr>
            <w:r>
              <w:rPr>
                <w:rFonts w:hint="eastAsia"/>
              </w:rPr>
              <w:t>条码扫描仪</w:t>
            </w:r>
          </w:p>
        </w:tc>
        <w:tc>
          <w:tcPr>
            <w:tcW w:w="3082" w:type="dxa"/>
            <w:vAlign w:val="center"/>
          </w:tcPr>
          <w:p w14:paraId="2F065FA4">
            <w:pPr>
              <w:autoSpaceDE w:val="0"/>
              <w:autoSpaceDN w:val="0"/>
              <w:adjustRightInd w:val="0"/>
              <w:spacing w:after="120"/>
              <w:ind w:firstLine="0" w:firstLineChars="0"/>
              <w:jc w:val="both"/>
              <w:rPr>
                <w:rFonts w:hint="eastAsia"/>
              </w:rPr>
            </w:pPr>
            <w:r>
              <w:rPr>
                <w:rFonts w:hint="eastAsia"/>
              </w:rPr>
              <w:t>霍尼韦尔7120</w:t>
            </w:r>
          </w:p>
        </w:tc>
        <w:tc>
          <w:tcPr>
            <w:tcW w:w="1200" w:type="dxa"/>
            <w:vAlign w:val="center"/>
          </w:tcPr>
          <w:p w14:paraId="2B958798">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635C179B">
            <w:pPr>
              <w:autoSpaceDE w:val="0"/>
              <w:autoSpaceDN w:val="0"/>
              <w:adjustRightInd w:val="0"/>
              <w:spacing w:after="120"/>
              <w:ind w:firstLine="0" w:firstLineChars="0"/>
              <w:jc w:val="both"/>
              <w:rPr>
                <w:rFonts w:hint="eastAsia"/>
                <w:lang w:val="en-US" w:eastAsia="zh-CN"/>
              </w:rPr>
            </w:pPr>
          </w:p>
        </w:tc>
      </w:tr>
      <w:tr w14:paraId="7257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15B16420">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7</w:t>
            </w:r>
          </w:p>
        </w:tc>
        <w:tc>
          <w:tcPr>
            <w:tcW w:w="4913" w:type="dxa"/>
            <w:vAlign w:val="center"/>
          </w:tcPr>
          <w:p w14:paraId="4CD3AD4E">
            <w:pPr>
              <w:autoSpaceDE w:val="0"/>
              <w:autoSpaceDN w:val="0"/>
              <w:adjustRightInd w:val="0"/>
              <w:spacing w:after="120"/>
              <w:ind w:firstLine="0" w:firstLineChars="0"/>
              <w:jc w:val="both"/>
              <w:rPr>
                <w:rFonts w:hint="eastAsia"/>
              </w:rPr>
            </w:pPr>
            <w:r>
              <w:rPr>
                <w:rFonts w:hint="eastAsia"/>
              </w:rPr>
              <w:t>外置标签打印机</w:t>
            </w:r>
          </w:p>
        </w:tc>
        <w:tc>
          <w:tcPr>
            <w:tcW w:w="3082" w:type="dxa"/>
            <w:vAlign w:val="center"/>
          </w:tcPr>
          <w:p w14:paraId="2E611086">
            <w:pPr>
              <w:autoSpaceDE w:val="0"/>
              <w:autoSpaceDN w:val="0"/>
              <w:adjustRightInd w:val="0"/>
              <w:spacing w:after="120"/>
              <w:ind w:firstLine="0" w:firstLineChars="0"/>
              <w:jc w:val="both"/>
              <w:rPr>
                <w:rFonts w:hint="eastAsia"/>
              </w:rPr>
            </w:pPr>
            <w:r>
              <w:rPr>
                <w:rFonts w:hint="eastAsia"/>
                <w:lang w:val="en-US" w:eastAsia="zh-CN"/>
              </w:rPr>
              <w:t>珠海佳博</w:t>
            </w:r>
            <w:r>
              <w:rPr>
                <w:rFonts w:hint="eastAsia"/>
              </w:rPr>
              <w:t>GP-2120TF</w:t>
            </w:r>
          </w:p>
        </w:tc>
        <w:tc>
          <w:tcPr>
            <w:tcW w:w="1200" w:type="dxa"/>
            <w:vAlign w:val="center"/>
          </w:tcPr>
          <w:p w14:paraId="4C3EFEF1">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692B336D">
            <w:pPr>
              <w:autoSpaceDE w:val="0"/>
              <w:autoSpaceDN w:val="0"/>
              <w:adjustRightInd w:val="0"/>
              <w:spacing w:after="120"/>
              <w:ind w:firstLine="0" w:firstLineChars="0"/>
              <w:jc w:val="both"/>
              <w:rPr>
                <w:rFonts w:hint="eastAsia"/>
                <w:lang w:val="en-US" w:eastAsia="zh-CN"/>
              </w:rPr>
            </w:pPr>
          </w:p>
        </w:tc>
      </w:tr>
      <w:tr w14:paraId="121E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shd w:val="clear" w:color="auto" w:fill="auto"/>
            <w:vAlign w:val="center"/>
          </w:tcPr>
          <w:p w14:paraId="58C1DA07">
            <w:pPr>
              <w:autoSpaceDE w:val="0"/>
              <w:autoSpaceDN w:val="0"/>
              <w:adjustRightInd w:val="0"/>
              <w:spacing w:after="120"/>
              <w:ind w:firstLine="0" w:firstLineChars="0"/>
              <w:jc w:val="center"/>
              <w:rPr>
                <w:rFonts w:hint="default" w:eastAsia="宋体" w:asciiTheme="minorHAnsi" w:hAnsiTheme="minorHAnsi" w:cstheme="minorBidi"/>
                <w:kern w:val="2"/>
                <w:sz w:val="21"/>
                <w:szCs w:val="24"/>
                <w:lang w:val="en-US" w:eastAsia="zh-CN" w:bidi="ar-SA"/>
              </w:rPr>
            </w:pPr>
            <w:r>
              <w:rPr>
                <w:rFonts w:hint="eastAsia"/>
                <w:lang w:val="en-US" w:eastAsia="zh-CN"/>
              </w:rPr>
              <w:t>8</w:t>
            </w:r>
          </w:p>
        </w:tc>
        <w:tc>
          <w:tcPr>
            <w:tcW w:w="4913" w:type="dxa"/>
            <w:shd w:val="clear" w:color="auto" w:fill="auto"/>
            <w:vAlign w:val="center"/>
          </w:tcPr>
          <w:p w14:paraId="16EECB10">
            <w:pPr>
              <w:autoSpaceDE w:val="0"/>
              <w:autoSpaceDN w:val="0"/>
              <w:adjustRightInd w:val="0"/>
              <w:spacing w:after="120"/>
              <w:ind w:firstLine="0" w:firstLineChars="0"/>
              <w:jc w:val="both"/>
              <w:rPr>
                <w:rFonts w:hint="eastAsia" w:eastAsia="宋体" w:asciiTheme="minorHAnsi" w:hAnsiTheme="minorHAnsi" w:cstheme="minorBidi"/>
                <w:kern w:val="2"/>
                <w:sz w:val="21"/>
                <w:szCs w:val="24"/>
                <w:lang w:val="en-US" w:eastAsia="zh-CN" w:bidi="ar-SA"/>
              </w:rPr>
            </w:pPr>
            <w:r>
              <w:rPr>
                <w:rFonts w:hint="eastAsia"/>
                <w:lang w:val="en-US" w:eastAsia="zh-CN"/>
              </w:rPr>
              <w:t>工作站底桌</w:t>
            </w:r>
          </w:p>
        </w:tc>
        <w:tc>
          <w:tcPr>
            <w:tcW w:w="3082" w:type="dxa"/>
            <w:shd w:val="clear" w:color="auto" w:fill="auto"/>
            <w:vAlign w:val="center"/>
          </w:tcPr>
          <w:p w14:paraId="403CE114">
            <w:pPr>
              <w:autoSpaceDE w:val="0"/>
              <w:autoSpaceDN w:val="0"/>
              <w:adjustRightInd w:val="0"/>
              <w:spacing w:after="120"/>
              <w:ind w:firstLine="0" w:firstLineChars="0"/>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6252A4EE">
            <w:pPr>
              <w:autoSpaceDE w:val="0"/>
              <w:autoSpaceDN w:val="0"/>
              <w:adjustRightInd w:val="0"/>
              <w:spacing w:after="120"/>
              <w:ind w:firstLine="0" w:firstLineChars="0"/>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4台</w:t>
            </w:r>
          </w:p>
        </w:tc>
        <w:tc>
          <w:tcPr>
            <w:tcW w:w="4358" w:type="dxa"/>
            <w:vAlign w:val="center"/>
          </w:tcPr>
          <w:p w14:paraId="6EC3CA1F">
            <w:pPr>
              <w:autoSpaceDE w:val="0"/>
              <w:autoSpaceDN w:val="0"/>
              <w:adjustRightInd w:val="0"/>
              <w:spacing w:after="120"/>
              <w:ind w:firstLine="0" w:firstLineChars="0"/>
              <w:jc w:val="both"/>
              <w:rPr>
                <w:rFonts w:hint="eastAsia"/>
                <w:lang w:val="en-US" w:eastAsia="zh-CN"/>
              </w:rPr>
            </w:pPr>
          </w:p>
        </w:tc>
      </w:tr>
      <w:tr w14:paraId="571E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7720B596">
            <w:pPr>
              <w:autoSpaceDE w:val="0"/>
              <w:autoSpaceDN w:val="0"/>
              <w:adjustRightInd w:val="0"/>
              <w:spacing w:after="120"/>
              <w:ind w:firstLine="0" w:firstLineChars="0"/>
              <w:jc w:val="center"/>
              <w:rPr>
                <w:rFonts w:hint="default"/>
                <w:lang w:val="en-US" w:eastAsia="zh-CN"/>
              </w:rPr>
            </w:pPr>
            <w:r>
              <w:rPr>
                <w:rFonts w:hint="eastAsia"/>
                <w:lang w:val="en-US" w:eastAsia="zh-CN"/>
              </w:rPr>
              <w:t>9</w:t>
            </w:r>
          </w:p>
        </w:tc>
        <w:tc>
          <w:tcPr>
            <w:tcW w:w="4913" w:type="dxa"/>
            <w:shd w:val="clear" w:color="auto" w:fill="auto"/>
            <w:vAlign w:val="center"/>
          </w:tcPr>
          <w:p w14:paraId="4233DBC1">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智能排队管理系统</w:t>
            </w:r>
          </w:p>
        </w:tc>
        <w:tc>
          <w:tcPr>
            <w:tcW w:w="3082" w:type="dxa"/>
            <w:shd w:val="clear" w:color="auto" w:fill="auto"/>
            <w:vAlign w:val="center"/>
          </w:tcPr>
          <w:p w14:paraId="60DD6A65">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7B9AC099">
            <w:pPr>
              <w:spacing w:line="240" w:lineRule="exact"/>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1套</w:t>
            </w:r>
          </w:p>
        </w:tc>
        <w:tc>
          <w:tcPr>
            <w:tcW w:w="4358" w:type="dxa"/>
            <w:vAlign w:val="center"/>
          </w:tcPr>
          <w:p w14:paraId="4CD253E5">
            <w:pPr>
              <w:autoSpaceDE w:val="0"/>
              <w:autoSpaceDN w:val="0"/>
              <w:adjustRightInd w:val="0"/>
              <w:spacing w:after="120"/>
              <w:ind w:firstLine="0" w:firstLineChars="0"/>
              <w:jc w:val="both"/>
              <w:rPr>
                <w:rFonts w:hint="default"/>
                <w:lang w:val="en-US" w:eastAsia="zh-CN"/>
              </w:rPr>
            </w:pPr>
          </w:p>
        </w:tc>
      </w:tr>
      <w:tr w14:paraId="5063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3A6D3F3A">
            <w:pPr>
              <w:autoSpaceDE w:val="0"/>
              <w:autoSpaceDN w:val="0"/>
              <w:adjustRightInd w:val="0"/>
              <w:spacing w:after="120"/>
              <w:ind w:firstLine="0" w:firstLineChars="0"/>
              <w:jc w:val="center"/>
              <w:rPr>
                <w:rFonts w:hint="default"/>
                <w:lang w:val="en-US" w:eastAsia="zh-CN"/>
              </w:rPr>
            </w:pPr>
            <w:r>
              <w:rPr>
                <w:rFonts w:hint="eastAsia"/>
                <w:lang w:val="en-US" w:eastAsia="zh-CN"/>
              </w:rPr>
              <w:t>10</w:t>
            </w:r>
          </w:p>
        </w:tc>
        <w:tc>
          <w:tcPr>
            <w:tcW w:w="4913" w:type="dxa"/>
            <w:shd w:val="clear" w:color="auto" w:fill="auto"/>
            <w:vAlign w:val="center"/>
          </w:tcPr>
          <w:p w14:paraId="47B14624">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叫号管理软件</w:t>
            </w:r>
          </w:p>
        </w:tc>
        <w:tc>
          <w:tcPr>
            <w:tcW w:w="3082" w:type="dxa"/>
            <w:shd w:val="clear" w:color="auto" w:fill="auto"/>
            <w:vAlign w:val="center"/>
          </w:tcPr>
          <w:p w14:paraId="0B7C1369">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00EB7A4A">
            <w:pPr>
              <w:spacing w:line="240" w:lineRule="exact"/>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1套</w:t>
            </w:r>
          </w:p>
        </w:tc>
        <w:tc>
          <w:tcPr>
            <w:tcW w:w="4358" w:type="dxa"/>
            <w:vAlign w:val="center"/>
          </w:tcPr>
          <w:p w14:paraId="318DFF04">
            <w:pPr>
              <w:autoSpaceDE w:val="0"/>
              <w:autoSpaceDN w:val="0"/>
              <w:adjustRightInd w:val="0"/>
              <w:spacing w:after="120"/>
              <w:ind w:firstLine="0" w:firstLineChars="0"/>
              <w:jc w:val="both"/>
              <w:rPr>
                <w:rFonts w:hint="eastAsia"/>
                <w:lang w:val="en-US" w:eastAsia="zh-CN"/>
              </w:rPr>
            </w:pPr>
          </w:p>
        </w:tc>
      </w:tr>
      <w:tr w14:paraId="516C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77" w:type="dxa"/>
            <w:vAlign w:val="center"/>
          </w:tcPr>
          <w:p w14:paraId="632465FA">
            <w:pPr>
              <w:autoSpaceDE w:val="0"/>
              <w:autoSpaceDN w:val="0"/>
              <w:adjustRightInd w:val="0"/>
              <w:spacing w:after="120"/>
              <w:ind w:firstLine="0" w:firstLineChars="0"/>
              <w:jc w:val="center"/>
              <w:rPr>
                <w:rFonts w:hint="default"/>
                <w:lang w:val="en-US" w:eastAsia="zh-CN"/>
              </w:rPr>
            </w:pPr>
            <w:r>
              <w:rPr>
                <w:rFonts w:hint="eastAsia"/>
                <w:lang w:val="en-US" w:eastAsia="zh-CN"/>
              </w:rPr>
              <w:t>11</w:t>
            </w:r>
          </w:p>
        </w:tc>
        <w:tc>
          <w:tcPr>
            <w:tcW w:w="4913" w:type="dxa"/>
            <w:shd w:val="clear" w:color="auto" w:fill="auto"/>
            <w:vAlign w:val="center"/>
          </w:tcPr>
          <w:p w14:paraId="41992A4E">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取号机</w:t>
            </w:r>
          </w:p>
        </w:tc>
        <w:tc>
          <w:tcPr>
            <w:tcW w:w="3082" w:type="dxa"/>
            <w:shd w:val="clear" w:color="auto" w:fill="auto"/>
            <w:vAlign w:val="center"/>
          </w:tcPr>
          <w:p w14:paraId="647D72D5">
            <w:pPr>
              <w:spacing w:line="240" w:lineRule="exact"/>
              <w:jc w:val="both"/>
              <w:rPr>
                <w:rFonts w:hint="eastAsia" w:asciiTheme="minorHAnsi" w:hAnsiTheme="minorHAnsi" w:eastAsiaTheme="minorEastAsia" w:cstheme="minorBidi"/>
                <w:kern w:val="2"/>
                <w:sz w:val="21"/>
                <w:szCs w:val="24"/>
                <w:lang w:val="en-US" w:eastAsia="zh-CN" w:bidi="ar-SA"/>
              </w:rPr>
            </w:pPr>
            <w:r>
              <w:rPr>
                <w:rFonts w:hint="eastAsia"/>
              </w:rPr>
              <w:t>珠海丰炎</w:t>
            </w:r>
            <w:r>
              <w:rPr>
                <w:rFonts w:hint="eastAsia"/>
                <w:lang w:val="en-US" w:eastAsia="zh-CN"/>
              </w:rPr>
              <w:t>-丰炎定制</w:t>
            </w:r>
          </w:p>
        </w:tc>
        <w:tc>
          <w:tcPr>
            <w:tcW w:w="1200" w:type="dxa"/>
            <w:shd w:val="clear" w:color="auto" w:fill="auto"/>
            <w:vAlign w:val="center"/>
          </w:tcPr>
          <w:p w14:paraId="0307BEAD">
            <w:pPr>
              <w:spacing w:line="240" w:lineRule="exact"/>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2台</w:t>
            </w:r>
          </w:p>
        </w:tc>
        <w:tc>
          <w:tcPr>
            <w:tcW w:w="4358" w:type="dxa"/>
            <w:vAlign w:val="center"/>
          </w:tcPr>
          <w:p w14:paraId="0DB1FBD8">
            <w:pPr>
              <w:autoSpaceDE w:val="0"/>
              <w:autoSpaceDN w:val="0"/>
              <w:adjustRightInd w:val="0"/>
              <w:spacing w:after="120"/>
              <w:ind w:firstLine="0" w:firstLineChars="0"/>
              <w:jc w:val="both"/>
              <w:rPr>
                <w:rFonts w:hint="default"/>
                <w:lang w:val="en-US" w:eastAsia="zh-CN"/>
              </w:rPr>
            </w:pPr>
            <w:r>
              <w:rPr>
                <w:rFonts w:hint="eastAsia" w:ascii="宋体" w:hAnsi="宋体" w:eastAsia="宋体" w:cs="宋体"/>
                <w:i w:val="0"/>
                <w:iCs w:val="0"/>
                <w:color w:val="0000FF"/>
                <w:kern w:val="0"/>
                <w:sz w:val="21"/>
                <w:szCs w:val="21"/>
                <w:u w:val="none"/>
                <w:lang w:val="en-US" w:eastAsia="zh-CN" w:bidi="ar"/>
              </w:rPr>
              <w:t>2台取号机需硬件升级，保障能够正常稳定运行。</w:t>
            </w:r>
          </w:p>
        </w:tc>
      </w:tr>
      <w:tr w14:paraId="5676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877" w:type="dxa"/>
            <w:vAlign w:val="center"/>
          </w:tcPr>
          <w:p w14:paraId="1EB798D8">
            <w:pPr>
              <w:autoSpaceDE w:val="0"/>
              <w:autoSpaceDN w:val="0"/>
              <w:adjustRightInd w:val="0"/>
              <w:spacing w:after="120"/>
              <w:ind w:firstLine="0" w:firstLineChars="0"/>
              <w:jc w:val="center"/>
              <w:rPr>
                <w:rFonts w:hint="eastAsia" w:eastAsia="宋体"/>
                <w:lang w:val="en-US" w:eastAsia="zh-CN"/>
              </w:rPr>
            </w:pPr>
            <w:r>
              <w:rPr>
                <w:rFonts w:hint="eastAsia"/>
                <w:lang w:val="en-US" w:eastAsia="zh-CN"/>
              </w:rPr>
              <w:t>12</w:t>
            </w:r>
          </w:p>
        </w:tc>
        <w:tc>
          <w:tcPr>
            <w:tcW w:w="4913" w:type="dxa"/>
            <w:vAlign w:val="center"/>
          </w:tcPr>
          <w:p w14:paraId="4B44ED8F">
            <w:pPr>
              <w:autoSpaceDE w:val="0"/>
              <w:autoSpaceDN w:val="0"/>
              <w:adjustRightInd w:val="0"/>
              <w:spacing w:after="120"/>
              <w:ind w:firstLine="0" w:firstLineChars="0"/>
              <w:jc w:val="both"/>
              <w:rPr>
                <w:rFonts w:hint="eastAsia" w:eastAsia="宋体"/>
                <w:lang w:val="en-US" w:eastAsia="zh-CN"/>
              </w:rPr>
            </w:pPr>
            <w:r>
              <w:rPr>
                <w:rFonts w:hint="eastAsia"/>
                <w:lang w:val="en-US" w:eastAsia="zh-CN"/>
              </w:rPr>
              <w:t>读卡器</w:t>
            </w:r>
          </w:p>
        </w:tc>
        <w:tc>
          <w:tcPr>
            <w:tcW w:w="3082" w:type="dxa"/>
            <w:vAlign w:val="center"/>
          </w:tcPr>
          <w:p w14:paraId="39BE79CE">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097B030F">
            <w:pPr>
              <w:autoSpaceDE w:val="0"/>
              <w:autoSpaceDN w:val="0"/>
              <w:adjustRightInd w:val="0"/>
              <w:spacing w:after="120"/>
              <w:ind w:firstLine="0" w:firstLineChars="0"/>
              <w:jc w:val="center"/>
              <w:rPr>
                <w:rFonts w:hint="eastAsia"/>
              </w:rPr>
            </w:pPr>
            <w:r>
              <w:rPr>
                <w:rFonts w:hint="eastAsia"/>
                <w:lang w:val="en-US" w:eastAsia="zh-CN"/>
              </w:rPr>
              <w:t>2台</w:t>
            </w:r>
          </w:p>
        </w:tc>
        <w:tc>
          <w:tcPr>
            <w:tcW w:w="4358" w:type="dxa"/>
            <w:vAlign w:val="center"/>
          </w:tcPr>
          <w:p w14:paraId="23530541">
            <w:pPr>
              <w:autoSpaceDE w:val="0"/>
              <w:autoSpaceDN w:val="0"/>
              <w:adjustRightInd w:val="0"/>
              <w:spacing w:after="120"/>
              <w:ind w:firstLine="0" w:firstLineChars="0"/>
              <w:jc w:val="both"/>
              <w:rPr>
                <w:rFonts w:hint="eastAsia"/>
                <w:lang w:val="en-US" w:eastAsia="zh-CN"/>
              </w:rPr>
            </w:pPr>
          </w:p>
        </w:tc>
      </w:tr>
      <w:tr w14:paraId="7B9A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877" w:type="dxa"/>
            <w:vAlign w:val="center"/>
          </w:tcPr>
          <w:p w14:paraId="7DD1FDA9">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13</w:t>
            </w:r>
          </w:p>
        </w:tc>
        <w:tc>
          <w:tcPr>
            <w:tcW w:w="4913" w:type="dxa"/>
            <w:vAlign w:val="center"/>
          </w:tcPr>
          <w:p w14:paraId="418B1E6E">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无线叫号器</w:t>
            </w:r>
          </w:p>
        </w:tc>
        <w:tc>
          <w:tcPr>
            <w:tcW w:w="3082" w:type="dxa"/>
            <w:vAlign w:val="center"/>
          </w:tcPr>
          <w:p w14:paraId="39AC1FE0">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0568DBF1">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29F81CCC">
            <w:pPr>
              <w:autoSpaceDE w:val="0"/>
              <w:autoSpaceDN w:val="0"/>
              <w:adjustRightInd w:val="0"/>
              <w:spacing w:after="120"/>
              <w:ind w:firstLine="0" w:firstLineChars="0"/>
              <w:jc w:val="both"/>
              <w:rPr>
                <w:rFonts w:hint="eastAsia"/>
                <w:lang w:val="en-US" w:eastAsia="zh-CN"/>
              </w:rPr>
            </w:pPr>
          </w:p>
        </w:tc>
      </w:tr>
      <w:tr w14:paraId="7A51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7" w:type="dxa"/>
            <w:vAlign w:val="center"/>
          </w:tcPr>
          <w:p w14:paraId="040F91C8">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14</w:t>
            </w:r>
          </w:p>
        </w:tc>
        <w:tc>
          <w:tcPr>
            <w:tcW w:w="4913" w:type="dxa"/>
            <w:vAlign w:val="center"/>
          </w:tcPr>
          <w:p w14:paraId="5E090012">
            <w:pPr>
              <w:autoSpaceDE w:val="0"/>
              <w:autoSpaceDN w:val="0"/>
              <w:adjustRightInd w:val="0"/>
              <w:spacing w:after="120"/>
              <w:ind w:firstLine="0" w:firstLineChars="0"/>
              <w:jc w:val="both"/>
              <w:rPr>
                <w:rFonts w:hint="default" w:eastAsia="宋体"/>
                <w:lang w:val="en-US" w:eastAsia="zh-CN"/>
              </w:rPr>
            </w:pPr>
            <w:r>
              <w:rPr>
                <w:rFonts w:hint="eastAsia"/>
                <w:lang w:val="en-US" w:eastAsia="zh-CN"/>
              </w:rPr>
              <w:t>高清LED显示屏</w:t>
            </w:r>
          </w:p>
        </w:tc>
        <w:tc>
          <w:tcPr>
            <w:tcW w:w="3082" w:type="dxa"/>
            <w:vAlign w:val="center"/>
          </w:tcPr>
          <w:p w14:paraId="06B159A7">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546E4F02">
            <w:pPr>
              <w:autoSpaceDE w:val="0"/>
              <w:autoSpaceDN w:val="0"/>
              <w:adjustRightInd w:val="0"/>
              <w:spacing w:after="120"/>
              <w:ind w:firstLine="0" w:firstLineChars="0"/>
              <w:jc w:val="center"/>
              <w:rPr>
                <w:rFonts w:hint="eastAsia"/>
              </w:rPr>
            </w:pPr>
            <w:r>
              <w:rPr>
                <w:rFonts w:hint="eastAsia"/>
                <w:lang w:val="en-US" w:eastAsia="zh-CN"/>
              </w:rPr>
              <w:t>8台</w:t>
            </w:r>
          </w:p>
        </w:tc>
        <w:tc>
          <w:tcPr>
            <w:tcW w:w="4358" w:type="dxa"/>
            <w:vAlign w:val="center"/>
          </w:tcPr>
          <w:p w14:paraId="1213721A">
            <w:pPr>
              <w:autoSpaceDE w:val="0"/>
              <w:autoSpaceDN w:val="0"/>
              <w:adjustRightInd w:val="0"/>
              <w:spacing w:after="120"/>
              <w:ind w:firstLine="0" w:firstLineChars="0"/>
              <w:jc w:val="both"/>
              <w:rPr>
                <w:rFonts w:hint="eastAsia"/>
                <w:lang w:val="en-US" w:eastAsia="zh-CN"/>
              </w:rPr>
            </w:pPr>
          </w:p>
        </w:tc>
      </w:tr>
      <w:tr w14:paraId="778D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77" w:type="dxa"/>
            <w:vAlign w:val="center"/>
          </w:tcPr>
          <w:p w14:paraId="7FD40F4F">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15</w:t>
            </w:r>
          </w:p>
        </w:tc>
        <w:tc>
          <w:tcPr>
            <w:tcW w:w="4913" w:type="dxa"/>
            <w:vAlign w:val="center"/>
          </w:tcPr>
          <w:p w14:paraId="600FE3CF">
            <w:pPr>
              <w:autoSpaceDE w:val="0"/>
              <w:autoSpaceDN w:val="0"/>
              <w:adjustRightInd w:val="0"/>
              <w:spacing w:after="120"/>
              <w:ind w:firstLine="0" w:firstLineChars="0"/>
              <w:jc w:val="both"/>
              <w:rPr>
                <w:rFonts w:hint="eastAsia" w:eastAsia="宋体"/>
                <w:lang w:val="en-US" w:eastAsia="zh-CN"/>
              </w:rPr>
            </w:pPr>
            <w:r>
              <w:rPr>
                <w:rFonts w:hint="eastAsia"/>
                <w:lang w:val="en-US" w:eastAsia="zh-CN"/>
              </w:rPr>
              <w:t>等候区高清LED显示屏</w:t>
            </w:r>
          </w:p>
        </w:tc>
        <w:tc>
          <w:tcPr>
            <w:tcW w:w="3082" w:type="dxa"/>
            <w:vAlign w:val="center"/>
          </w:tcPr>
          <w:p w14:paraId="4B4457E7">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6D2C2D21">
            <w:pPr>
              <w:autoSpaceDE w:val="0"/>
              <w:autoSpaceDN w:val="0"/>
              <w:adjustRightInd w:val="0"/>
              <w:spacing w:after="120"/>
              <w:ind w:firstLine="0" w:firstLineChars="0"/>
              <w:jc w:val="center"/>
              <w:rPr>
                <w:rFonts w:hint="default"/>
                <w:lang w:val="en-US" w:eastAsia="zh-CN"/>
              </w:rPr>
            </w:pPr>
            <w:r>
              <w:rPr>
                <w:rFonts w:hint="eastAsia"/>
                <w:lang w:val="en-US" w:eastAsia="zh-CN"/>
              </w:rPr>
              <w:t>1台</w:t>
            </w:r>
          </w:p>
        </w:tc>
        <w:tc>
          <w:tcPr>
            <w:tcW w:w="4358" w:type="dxa"/>
            <w:vAlign w:val="center"/>
          </w:tcPr>
          <w:p w14:paraId="494F62AC">
            <w:pPr>
              <w:autoSpaceDE w:val="0"/>
              <w:autoSpaceDN w:val="0"/>
              <w:adjustRightInd w:val="0"/>
              <w:spacing w:after="120"/>
              <w:ind w:firstLine="0" w:firstLineChars="0"/>
              <w:jc w:val="both"/>
              <w:rPr>
                <w:rFonts w:hint="eastAsia"/>
                <w:lang w:val="en-US" w:eastAsia="zh-CN"/>
              </w:rPr>
            </w:pPr>
          </w:p>
        </w:tc>
      </w:tr>
      <w:tr w14:paraId="7D4E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877" w:type="dxa"/>
            <w:vAlign w:val="center"/>
          </w:tcPr>
          <w:p w14:paraId="1C3186E0">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16</w:t>
            </w:r>
          </w:p>
        </w:tc>
        <w:tc>
          <w:tcPr>
            <w:tcW w:w="4913" w:type="dxa"/>
            <w:vAlign w:val="center"/>
          </w:tcPr>
          <w:p w14:paraId="01D29335">
            <w:pPr>
              <w:autoSpaceDE w:val="0"/>
              <w:autoSpaceDN w:val="0"/>
              <w:adjustRightInd w:val="0"/>
              <w:spacing w:after="120"/>
              <w:ind w:firstLine="0" w:firstLineChars="0"/>
              <w:jc w:val="both"/>
              <w:rPr>
                <w:rFonts w:hint="default" w:eastAsia="宋体"/>
                <w:lang w:val="en-US" w:eastAsia="zh-CN"/>
              </w:rPr>
            </w:pPr>
            <w:r>
              <w:rPr>
                <w:rFonts w:hint="eastAsia"/>
                <w:lang w:val="en-US" w:eastAsia="zh-CN"/>
              </w:rPr>
              <w:t>标本采血桌</w:t>
            </w:r>
          </w:p>
        </w:tc>
        <w:tc>
          <w:tcPr>
            <w:tcW w:w="3082" w:type="dxa"/>
            <w:vAlign w:val="center"/>
          </w:tcPr>
          <w:p w14:paraId="72DEA456">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77A8D91E">
            <w:pPr>
              <w:autoSpaceDE w:val="0"/>
              <w:autoSpaceDN w:val="0"/>
              <w:adjustRightInd w:val="0"/>
              <w:spacing w:after="120"/>
              <w:ind w:firstLine="0" w:firstLineChars="0"/>
              <w:jc w:val="center"/>
              <w:rPr>
                <w:rFonts w:hint="default"/>
                <w:lang w:val="en-US" w:eastAsia="zh-CN"/>
              </w:rPr>
            </w:pPr>
            <w:r>
              <w:rPr>
                <w:rFonts w:hint="eastAsia"/>
                <w:lang w:val="en-US" w:eastAsia="zh-CN"/>
              </w:rPr>
              <w:t>8张</w:t>
            </w:r>
          </w:p>
        </w:tc>
        <w:tc>
          <w:tcPr>
            <w:tcW w:w="4358" w:type="dxa"/>
            <w:vAlign w:val="center"/>
          </w:tcPr>
          <w:p w14:paraId="6076AE05">
            <w:pPr>
              <w:autoSpaceDE w:val="0"/>
              <w:autoSpaceDN w:val="0"/>
              <w:adjustRightInd w:val="0"/>
              <w:spacing w:after="120"/>
              <w:ind w:firstLine="0" w:firstLineChars="0"/>
              <w:jc w:val="both"/>
              <w:rPr>
                <w:rFonts w:hint="eastAsia"/>
                <w:lang w:val="en-US" w:eastAsia="zh-CN"/>
              </w:rPr>
            </w:pPr>
          </w:p>
        </w:tc>
      </w:tr>
      <w:tr w14:paraId="1D6E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877" w:type="dxa"/>
            <w:vAlign w:val="center"/>
          </w:tcPr>
          <w:p w14:paraId="245BC3D9">
            <w:pPr>
              <w:autoSpaceDE w:val="0"/>
              <w:autoSpaceDN w:val="0"/>
              <w:adjustRightInd w:val="0"/>
              <w:spacing w:after="120"/>
              <w:ind w:firstLine="0" w:firstLineChars="0"/>
              <w:jc w:val="center"/>
              <w:rPr>
                <w:rFonts w:hint="default" w:eastAsia="宋体"/>
                <w:lang w:val="en-US" w:eastAsia="zh-CN"/>
              </w:rPr>
            </w:pPr>
            <w:r>
              <w:rPr>
                <w:rFonts w:hint="eastAsia"/>
                <w:lang w:val="en-US" w:eastAsia="zh-CN"/>
              </w:rPr>
              <w:t>17</w:t>
            </w:r>
          </w:p>
        </w:tc>
        <w:tc>
          <w:tcPr>
            <w:tcW w:w="4913" w:type="dxa"/>
            <w:vAlign w:val="center"/>
          </w:tcPr>
          <w:p w14:paraId="6B3B1ADB">
            <w:pPr>
              <w:autoSpaceDE w:val="0"/>
              <w:autoSpaceDN w:val="0"/>
              <w:adjustRightInd w:val="0"/>
              <w:spacing w:after="120"/>
              <w:ind w:firstLine="0" w:firstLineChars="0"/>
              <w:jc w:val="both"/>
              <w:rPr>
                <w:rFonts w:hint="default" w:eastAsia="宋体"/>
                <w:lang w:val="en-US" w:eastAsia="zh-CN"/>
              </w:rPr>
            </w:pPr>
            <w:r>
              <w:rPr>
                <w:rFonts w:hint="eastAsia"/>
                <w:lang w:val="en-US" w:eastAsia="zh-CN"/>
              </w:rPr>
              <w:t>传输轨道</w:t>
            </w:r>
          </w:p>
        </w:tc>
        <w:tc>
          <w:tcPr>
            <w:tcW w:w="3082" w:type="dxa"/>
            <w:vAlign w:val="center"/>
          </w:tcPr>
          <w:p w14:paraId="4751327A">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26F1E2DA">
            <w:pPr>
              <w:autoSpaceDE w:val="0"/>
              <w:autoSpaceDN w:val="0"/>
              <w:adjustRightInd w:val="0"/>
              <w:spacing w:after="120"/>
              <w:ind w:firstLine="0" w:firstLineChars="0"/>
              <w:jc w:val="center"/>
              <w:rPr>
                <w:rFonts w:hint="default"/>
                <w:lang w:val="en-US" w:eastAsia="zh-CN"/>
              </w:rPr>
            </w:pPr>
            <w:r>
              <w:rPr>
                <w:rFonts w:hint="eastAsia"/>
                <w:lang w:val="en-US" w:eastAsia="zh-CN"/>
              </w:rPr>
              <w:t>8套</w:t>
            </w:r>
          </w:p>
        </w:tc>
        <w:tc>
          <w:tcPr>
            <w:tcW w:w="4358" w:type="dxa"/>
            <w:vAlign w:val="center"/>
          </w:tcPr>
          <w:p w14:paraId="50F18D47">
            <w:pPr>
              <w:autoSpaceDE w:val="0"/>
              <w:autoSpaceDN w:val="0"/>
              <w:adjustRightInd w:val="0"/>
              <w:spacing w:after="120"/>
              <w:ind w:firstLine="0" w:firstLineChars="0"/>
              <w:jc w:val="both"/>
              <w:rPr>
                <w:rFonts w:hint="eastAsia"/>
                <w:lang w:val="en-US" w:eastAsia="zh-CN"/>
              </w:rPr>
            </w:pPr>
          </w:p>
        </w:tc>
      </w:tr>
      <w:tr w14:paraId="2A68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77" w:type="dxa"/>
            <w:vMerge w:val="restart"/>
            <w:vAlign w:val="center"/>
          </w:tcPr>
          <w:p w14:paraId="06465DC2">
            <w:pPr>
              <w:autoSpaceDE w:val="0"/>
              <w:autoSpaceDN w:val="0"/>
              <w:adjustRightInd w:val="0"/>
              <w:spacing w:after="120"/>
              <w:ind w:firstLine="0" w:firstLineChars="0"/>
              <w:jc w:val="center"/>
              <w:rPr>
                <w:rFonts w:hint="default"/>
                <w:lang w:val="en-US"/>
              </w:rPr>
            </w:pPr>
            <w:r>
              <w:rPr>
                <w:rFonts w:hint="eastAsia"/>
                <w:lang w:val="en-US" w:eastAsia="zh-CN"/>
              </w:rPr>
              <w:t>18</w:t>
            </w:r>
          </w:p>
        </w:tc>
        <w:tc>
          <w:tcPr>
            <w:tcW w:w="4913" w:type="dxa"/>
            <w:vMerge w:val="restart"/>
            <w:vAlign w:val="center"/>
          </w:tcPr>
          <w:p w14:paraId="4A101F23">
            <w:pPr>
              <w:autoSpaceDE w:val="0"/>
              <w:autoSpaceDN w:val="0"/>
              <w:adjustRightInd w:val="0"/>
              <w:spacing w:after="120"/>
              <w:ind w:firstLine="0" w:firstLineChars="0"/>
              <w:jc w:val="both"/>
              <w:rPr>
                <w:rFonts w:hint="eastAsia"/>
              </w:rPr>
            </w:pPr>
            <w:r>
              <w:rPr>
                <w:rFonts w:hint="eastAsia"/>
                <w:lang w:val="en-US" w:eastAsia="zh-CN"/>
              </w:rPr>
              <w:t>采血窗口（含采血中心所有窗口玻璃隔断，患者隔断以及网络布置等）</w:t>
            </w:r>
          </w:p>
        </w:tc>
        <w:tc>
          <w:tcPr>
            <w:tcW w:w="3082" w:type="dxa"/>
            <w:vAlign w:val="center"/>
          </w:tcPr>
          <w:p w14:paraId="5A4CC99A">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0B14E6C4">
            <w:pPr>
              <w:autoSpaceDE w:val="0"/>
              <w:autoSpaceDN w:val="0"/>
              <w:adjustRightInd w:val="0"/>
              <w:spacing w:after="120"/>
              <w:ind w:firstLine="0" w:firstLineChars="0"/>
              <w:jc w:val="center"/>
              <w:rPr>
                <w:rFonts w:hint="eastAsia"/>
              </w:rPr>
            </w:pPr>
            <w:r>
              <w:rPr>
                <w:rFonts w:hint="eastAsia"/>
              </w:rPr>
              <w:t>8块</w:t>
            </w:r>
          </w:p>
        </w:tc>
        <w:tc>
          <w:tcPr>
            <w:tcW w:w="4358" w:type="dxa"/>
            <w:vAlign w:val="center"/>
          </w:tcPr>
          <w:p w14:paraId="5003B13F">
            <w:pPr>
              <w:autoSpaceDE w:val="0"/>
              <w:autoSpaceDN w:val="0"/>
              <w:adjustRightInd w:val="0"/>
              <w:spacing w:after="0" w:line="240" w:lineRule="auto"/>
              <w:jc w:val="both"/>
              <w:rPr>
                <w:rFonts w:hint="eastAsia"/>
                <w:lang w:val="en-US" w:eastAsia="zh-CN"/>
              </w:rPr>
            </w:pPr>
            <w:r>
              <w:rPr>
                <w:rFonts w:hint="eastAsia" w:ascii="仿宋" w:hAnsi="仿宋"/>
                <w:sz w:val="24"/>
                <w:lang w:val="en-US" w:eastAsia="zh-CN"/>
              </w:rPr>
              <w:t>窗口玻璃：</w:t>
            </w:r>
            <w:r>
              <w:rPr>
                <w:rFonts w:hint="eastAsia" w:ascii="仿宋" w:hAnsi="仿宋"/>
                <w:sz w:val="24"/>
              </w:rPr>
              <w:t>每块长1.5米，高1.5米，钢化玻璃。</w:t>
            </w:r>
          </w:p>
        </w:tc>
      </w:tr>
      <w:tr w14:paraId="5132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77" w:type="dxa"/>
            <w:vMerge w:val="continue"/>
            <w:vAlign w:val="center"/>
          </w:tcPr>
          <w:p w14:paraId="48DD5EB0">
            <w:pPr>
              <w:autoSpaceDE w:val="0"/>
              <w:autoSpaceDN w:val="0"/>
              <w:adjustRightInd w:val="0"/>
              <w:spacing w:after="120"/>
              <w:ind w:firstLine="0" w:firstLineChars="0"/>
              <w:jc w:val="both"/>
              <w:rPr>
                <w:rFonts w:hint="eastAsia"/>
              </w:rPr>
            </w:pPr>
          </w:p>
        </w:tc>
        <w:tc>
          <w:tcPr>
            <w:tcW w:w="4913" w:type="dxa"/>
            <w:vMerge w:val="continue"/>
            <w:vAlign w:val="center"/>
          </w:tcPr>
          <w:p w14:paraId="6AD3FFC4">
            <w:pPr>
              <w:autoSpaceDE w:val="0"/>
              <w:autoSpaceDN w:val="0"/>
              <w:adjustRightInd w:val="0"/>
              <w:spacing w:after="120"/>
              <w:ind w:firstLine="0" w:firstLineChars="0"/>
              <w:jc w:val="both"/>
              <w:rPr>
                <w:rFonts w:hint="eastAsia"/>
              </w:rPr>
            </w:pPr>
          </w:p>
        </w:tc>
        <w:tc>
          <w:tcPr>
            <w:tcW w:w="3082" w:type="dxa"/>
            <w:vAlign w:val="center"/>
          </w:tcPr>
          <w:p w14:paraId="645CC70D">
            <w:pPr>
              <w:autoSpaceDE w:val="0"/>
              <w:autoSpaceDN w:val="0"/>
              <w:adjustRightInd w:val="0"/>
              <w:spacing w:after="120"/>
              <w:ind w:firstLine="0" w:firstLineChars="0"/>
              <w:jc w:val="both"/>
              <w:rPr>
                <w:rFonts w:hint="eastAsia"/>
              </w:rPr>
            </w:pPr>
            <w:r>
              <w:rPr>
                <w:rFonts w:hint="eastAsia"/>
              </w:rPr>
              <w:t>珠海丰炎</w:t>
            </w:r>
            <w:r>
              <w:rPr>
                <w:rFonts w:hint="eastAsia"/>
                <w:lang w:val="en-US" w:eastAsia="zh-CN"/>
              </w:rPr>
              <w:t>-丰炎定制</w:t>
            </w:r>
          </w:p>
        </w:tc>
        <w:tc>
          <w:tcPr>
            <w:tcW w:w="1200" w:type="dxa"/>
            <w:vAlign w:val="center"/>
          </w:tcPr>
          <w:p w14:paraId="4CBD7E09">
            <w:pPr>
              <w:autoSpaceDE w:val="0"/>
              <w:autoSpaceDN w:val="0"/>
              <w:adjustRightInd w:val="0"/>
              <w:spacing w:after="120"/>
              <w:ind w:firstLine="0" w:firstLineChars="0"/>
              <w:jc w:val="center"/>
              <w:rPr>
                <w:rFonts w:hint="eastAsia"/>
              </w:rPr>
            </w:pPr>
            <w:r>
              <w:rPr>
                <w:rFonts w:hint="eastAsia"/>
              </w:rPr>
              <w:t>9块</w:t>
            </w:r>
          </w:p>
        </w:tc>
        <w:tc>
          <w:tcPr>
            <w:tcW w:w="4358" w:type="dxa"/>
            <w:vAlign w:val="center"/>
          </w:tcPr>
          <w:p w14:paraId="7317B780">
            <w:pPr>
              <w:autoSpaceDE w:val="0"/>
              <w:autoSpaceDN w:val="0"/>
              <w:adjustRightInd w:val="0"/>
              <w:spacing w:after="0" w:line="240" w:lineRule="auto"/>
              <w:jc w:val="both"/>
              <w:rPr>
                <w:rFonts w:hint="eastAsia"/>
                <w:lang w:val="en-US" w:eastAsia="zh-CN"/>
              </w:rPr>
            </w:pPr>
            <w:r>
              <w:rPr>
                <w:rFonts w:hint="eastAsia" w:ascii="仿宋" w:hAnsi="仿宋"/>
                <w:sz w:val="24"/>
              </w:rPr>
              <w:t>患者隔断：每块长1.5米，高1.5米，塑钢</w:t>
            </w:r>
            <w:r>
              <w:rPr>
                <w:rFonts w:hint="eastAsia" w:ascii="仿宋" w:hAnsi="仿宋"/>
                <w:sz w:val="24"/>
                <w:lang w:val="en-US" w:eastAsia="zh-CN"/>
              </w:rPr>
              <w:t>和</w:t>
            </w:r>
            <w:r>
              <w:rPr>
                <w:rFonts w:hint="eastAsia" w:ascii="仿宋" w:hAnsi="仿宋"/>
                <w:sz w:val="24"/>
              </w:rPr>
              <w:t>木质</w:t>
            </w:r>
            <w:r>
              <w:rPr>
                <w:rFonts w:hint="eastAsia" w:ascii="仿宋" w:hAnsi="仿宋"/>
                <w:sz w:val="24"/>
                <w:lang w:val="en-US" w:eastAsia="zh-CN"/>
              </w:rPr>
              <w:t>材料</w:t>
            </w:r>
            <w:r>
              <w:rPr>
                <w:rFonts w:hint="eastAsia" w:ascii="仿宋" w:hAnsi="仿宋"/>
                <w:sz w:val="24"/>
              </w:rPr>
              <w:t>。</w:t>
            </w:r>
          </w:p>
        </w:tc>
      </w:tr>
    </w:tbl>
    <w:p w14:paraId="48287D97">
      <w:pPr>
        <w:pStyle w:val="13"/>
        <w:rPr>
          <w:rFonts w:hint="eastAsia"/>
          <w:color w:val="auto"/>
          <w:lang w:val="en-US" w:eastAsia="zh-CN"/>
        </w:rPr>
      </w:pPr>
    </w:p>
    <w:p w14:paraId="6F605664">
      <w:pPr>
        <w:rPr>
          <w:b/>
          <w:bCs/>
          <w:color w:val="auto"/>
          <w:sz w:val="28"/>
          <w:szCs w:val="28"/>
        </w:rPr>
      </w:pPr>
      <w:r>
        <w:rPr>
          <w:rFonts w:hint="eastAsia"/>
          <w:b/>
          <w:bCs/>
          <w:color w:val="auto"/>
          <w:sz w:val="28"/>
          <w:szCs w:val="28"/>
          <w:lang w:eastAsia="zh-CN"/>
        </w:rPr>
        <w:t>（</w:t>
      </w:r>
      <w:r>
        <w:rPr>
          <w:rFonts w:hint="eastAsia"/>
          <w:b/>
          <w:bCs/>
          <w:color w:val="auto"/>
          <w:sz w:val="28"/>
          <w:szCs w:val="28"/>
          <w:lang w:val="en-US" w:eastAsia="zh-CN"/>
        </w:rPr>
        <w:t>三</w:t>
      </w:r>
      <w:r>
        <w:rPr>
          <w:rFonts w:hint="eastAsia"/>
          <w:b/>
          <w:bCs/>
          <w:color w:val="auto"/>
          <w:sz w:val="28"/>
          <w:szCs w:val="28"/>
          <w:lang w:eastAsia="zh-CN"/>
        </w:rPr>
        <w:t>）</w:t>
      </w:r>
      <w:r>
        <w:rPr>
          <w:rFonts w:hint="eastAsia"/>
          <w:b/>
          <w:bCs/>
          <w:color w:val="auto"/>
          <w:sz w:val="28"/>
          <w:szCs w:val="28"/>
        </w:rPr>
        <w:t>总体服务要求</w:t>
      </w:r>
    </w:p>
    <w:p w14:paraId="46658888">
      <w:pPr>
        <w:numPr>
          <w:ilvl w:val="0"/>
          <w:numId w:val="3"/>
        </w:numPr>
        <w:ind w:firstLine="420" w:firstLineChars="200"/>
        <w:rPr>
          <w:rFonts w:hint="eastAsia"/>
          <w:color w:val="auto"/>
          <w:lang w:val="en-US" w:eastAsia="zh-CN"/>
        </w:rPr>
      </w:pPr>
      <w:r>
        <w:rPr>
          <w:rFonts w:hint="eastAsia"/>
          <w:color w:val="auto"/>
          <w:lang w:val="en-US" w:eastAsia="zh-CN"/>
        </w:rPr>
        <w:t>项目相关软件、硬件进行日常维护，保障其正常运行</w:t>
      </w:r>
    </w:p>
    <w:p w14:paraId="0ED505B7">
      <w:pPr>
        <w:numPr>
          <w:ilvl w:val="0"/>
          <w:numId w:val="3"/>
        </w:numPr>
        <w:ind w:firstLine="420" w:firstLineChars="200"/>
        <w:rPr>
          <w:rFonts w:hint="eastAsia"/>
          <w:color w:val="auto"/>
          <w:lang w:val="en-US" w:eastAsia="zh-CN"/>
        </w:rPr>
      </w:pPr>
      <w:r>
        <w:rPr>
          <w:rFonts w:hint="eastAsia"/>
          <w:color w:val="auto"/>
          <w:lang w:val="en-US" w:eastAsia="zh-CN"/>
        </w:rPr>
        <w:t>系统出现故障，7×24小时随时电话响应。响应时间不得超过10分钟，日常故障（不影响业务正常开展，仅为系统功能异常）能立即解决的30分钟内解决，不能立即解决的3个工作日内解决。</w:t>
      </w:r>
    </w:p>
    <w:p w14:paraId="10E09F5D">
      <w:pPr>
        <w:numPr>
          <w:ilvl w:val="0"/>
          <w:numId w:val="3"/>
        </w:numPr>
        <w:ind w:firstLine="420" w:firstLineChars="200"/>
        <w:rPr>
          <w:rFonts w:hint="eastAsia"/>
          <w:color w:val="auto"/>
          <w:lang w:val="en-US" w:eastAsia="zh-CN"/>
        </w:rPr>
      </w:pPr>
      <w:r>
        <w:rPr>
          <w:rFonts w:hint="eastAsia"/>
          <w:color w:val="auto"/>
          <w:lang w:val="en-US" w:eastAsia="zh-CN"/>
        </w:rPr>
        <w:t>对医院在业务运行、管理工作中提出的优化要求，进行软件的优化升级。在进行软件升级、整改、发布等操作时，必须提前以书面形式告之采购人。包括但不仅限于：操作人员、操作时间、操作内容、后续影响等内容。征得采购人同意后方可进行操作。</w:t>
      </w:r>
    </w:p>
    <w:p w14:paraId="219CAE29">
      <w:pPr>
        <w:numPr>
          <w:ilvl w:val="0"/>
          <w:numId w:val="3"/>
        </w:numPr>
        <w:ind w:firstLine="420" w:firstLineChars="200"/>
        <w:rPr>
          <w:rFonts w:hint="eastAsia"/>
          <w:color w:val="auto"/>
          <w:lang w:val="en-US" w:eastAsia="zh-CN"/>
        </w:rPr>
      </w:pPr>
      <w:r>
        <w:rPr>
          <w:rFonts w:hint="eastAsia"/>
          <w:color w:val="auto"/>
          <w:lang w:val="en-US" w:eastAsia="zh-CN"/>
        </w:rPr>
        <w:t>在服务期间，硬件设备出现故障后，10分钟响应。12小时内派人到现场进行故障处理。若24小时内处理不好，则负责提供备用设备。同时负责对故障设备进行维修以及后续的安装、调试等工作。由此产生的一切费用包含在此次报价内。</w:t>
      </w:r>
    </w:p>
    <w:p w14:paraId="16B8B866">
      <w:pPr>
        <w:numPr>
          <w:ilvl w:val="0"/>
          <w:numId w:val="3"/>
        </w:numPr>
        <w:ind w:firstLine="420" w:firstLineChars="200"/>
        <w:rPr>
          <w:rFonts w:hint="eastAsia"/>
          <w:color w:val="auto"/>
          <w:lang w:val="en-US" w:eastAsia="zh-CN"/>
        </w:rPr>
      </w:pPr>
      <w:r>
        <w:rPr>
          <w:rFonts w:hint="eastAsia"/>
          <w:color w:val="auto"/>
          <w:lang w:val="en-US" w:eastAsia="zh-CN"/>
        </w:rPr>
        <w:t>定期巡检：包括软、硬件、网络的巡检、维护服务，每季度一次，并提供巡检报告，内容至少包括：巡检时间、巡检人、巡检情况、处理情况，就巡检异常情况提出整改建议等。</w:t>
      </w:r>
    </w:p>
    <w:p w14:paraId="6028D5F4">
      <w:pPr>
        <w:numPr>
          <w:ilvl w:val="0"/>
          <w:numId w:val="3"/>
        </w:numPr>
        <w:ind w:firstLine="420" w:firstLineChars="200"/>
        <w:rPr>
          <w:rFonts w:hint="eastAsia"/>
          <w:color w:val="auto"/>
          <w:lang w:val="en-US" w:eastAsia="zh-CN"/>
        </w:rPr>
      </w:pPr>
      <w:r>
        <w:rPr>
          <w:rFonts w:hint="eastAsia"/>
          <w:color w:val="auto"/>
          <w:lang w:val="en-US" w:eastAsia="zh-CN"/>
        </w:rPr>
        <w:t>须指派1名有3年及以上运维经验的人员专人负责与售后服务事宜：提供人员姓名、职务、联系电话（含座机、手机等）。</w:t>
      </w:r>
    </w:p>
    <w:p w14:paraId="1F3B5B61">
      <w:pPr>
        <w:numPr>
          <w:ilvl w:val="0"/>
          <w:numId w:val="3"/>
        </w:numPr>
        <w:ind w:firstLine="420" w:firstLineChars="200"/>
        <w:rPr>
          <w:rFonts w:hint="eastAsia"/>
          <w:color w:val="auto"/>
          <w:lang w:val="en-US" w:eastAsia="zh-CN"/>
        </w:rPr>
      </w:pPr>
      <w:r>
        <w:rPr>
          <w:rFonts w:hint="eastAsia"/>
          <w:b w:val="0"/>
          <w:bCs w:val="0"/>
          <w:color w:val="auto"/>
          <w:lang w:val="en-US" w:eastAsia="zh-CN"/>
        </w:rPr>
        <w:t>迁移、灾备要求。</w:t>
      </w:r>
      <w:r>
        <w:rPr>
          <w:rFonts w:hint="eastAsia"/>
          <w:color w:val="auto"/>
          <w:lang w:val="en-US" w:eastAsia="zh-CN"/>
        </w:rPr>
        <w:t>项目服务期内，若因国家政策调整、医院业务需求变化，需对本项目系统进行服务调整、数据迁移，或需按医院要求将业务系统及数据灾备部署至其他云环境、本地环境、异地环境的，供应商须无条件承接并实施相关工作。实施过程中须严格控制业务中断时长，确保业务中断时间≤24小时，保障医院业务连续稳定开展。</w:t>
      </w:r>
      <w:r>
        <w:rPr>
          <w:rFonts w:hint="eastAsia"/>
          <w:color w:val="auto"/>
        </w:rPr>
        <w:t>投标产品须满足</w:t>
      </w:r>
      <w:r>
        <w:rPr>
          <w:rFonts w:hint="eastAsia"/>
          <w:color w:val="auto"/>
          <w:lang w:eastAsia="zh-CN"/>
        </w:rPr>
        <w:t>医院</w:t>
      </w:r>
      <w:r>
        <w:rPr>
          <w:rFonts w:hint="eastAsia"/>
          <w:color w:val="auto"/>
        </w:rPr>
        <w:t>统一灾备适配需求，自带灾备机制，且兼容</w:t>
      </w:r>
      <w:r>
        <w:rPr>
          <w:rFonts w:hint="eastAsia"/>
          <w:color w:val="auto"/>
          <w:lang w:eastAsia="zh-CN"/>
        </w:rPr>
        <w:t>医院</w:t>
      </w:r>
      <w:r>
        <w:rPr>
          <w:rFonts w:hint="eastAsia"/>
          <w:color w:val="auto"/>
        </w:rPr>
        <w:t>现有及未来可能采用的灾备策略（如多云灾备、灾备一体机接入等），确保系统运行的连续性与高可用性。所有涉及的数据接口均须采用加密方式传输，保障数据传输安全。</w:t>
      </w:r>
      <w:r>
        <w:rPr>
          <w:rFonts w:hint="eastAsia"/>
          <w:color w:val="auto"/>
          <w:lang w:val="en-US" w:eastAsia="zh-CN"/>
        </w:rPr>
        <w:t>所有数据迁移、系统改造、配合实施、应急响应及灾备部署相关工作，供应商不得向医院或第三方收取任何费用，相关费用已包含在投标总价中。</w:t>
      </w:r>
    </w:p>
    <w:p w14:paraId="7D7BA174">
      <w:pPr>
        <w:numPr>
          <w:ilvl w:val="0"/>
          <w:numId w:val="3"/>
        </w:numPr>
        <w:ind w:firstLine="420" w:firstLineChars="200"/>
        <w:rPr>
          <w:rFonts w:hint="eastAsia"/>
          <w:color w:val="auto"/>
        </w:rPr>
      </w:pPr>
      <w:r>
        <w:rPr>
          <w:rFonts w:hint="eastAsia"/>
          <w:b w:val="0"/>
          <w:bCs w:val="0"/>
          <w:color w:val="auto"/>
        </w:rPr>
        <w:t>环境及信创要求</w:t>
      </w:r>
      <w:r>
        <w:rPr>
          <w:rFonts w:hint="eastAsia"/>
          <w:b w:val="0"/>
          <w:bCs w:val="0"/>
          <w:color w:val="auto"/>
          <w:lang w:eastAsia="zh-CN"/>
        </w:rPr>
        <w:t>。</w:t>
      </w:r>
      <w:r>
        <w:rPr>
          <w:rFonts w:hint="eastAsia"/>
          <w:color w:val="auto"/>
        </w:rPr>
        <w:t>按</w:t>
      </w:r>
      <w:r>
        <w:rPr>
          <w:rFonts w:hint="eastAsia"/>
          <w:color w:val="auto"/>
          <w:lang w:eastAsia="zh-CN"/>
        </w:rPr>
        <w:t>医院</w:t>
      </w:r>
      <w:r>
        <w:rPr>
          <w:rFonts w:hint="eastAsia"/>
          <w:color w:val="auto"/>
        </w:rPr>
        <w:t>要求，若系统部署于政务云，由</w:t>
      </w:r>
      <w:r>
        <w:rPr>
          <w:rFonts w:hint="eastAsia"/>
          <w:color w:val="auto"/>
          <w:lang w:eastAsia="zh-CN"/>
        </w:rPr>
        <w:t>医院</w:t>
      </w:r>
      <w:r>
        <w:rPr>
          <w:rFonts w:hint="eastAsia"/>
          <w:color w:val="auto"/>
        </w:rPr>
        <w:t>统一申请计算资源。软件服务器端须至少兼容CentOS7.1～7.9、openEuler20.03、openEuler22.03、Ubuntu22.04、欧拉2.0操作系统中的一种，支持断电恢复后服务自动启动；若因政策要求需迁移至资阳信创云，</w:t>
      </w:r>
      <w:r>
        <w:rPr>
          <w:rFonts w:hint="eastAsia"/>
          <w:color w:val="auto"/>
          <w:lang w:eastAsia="zh-CN"/>
        </w:rPr>
        <w:t>供应商</w:t>
      </w:r>
      <w:r>
        <w:rPr>
          <w:rFonts w:hint="eastAsia"/>
          <w:color w:val="auto"/>
        </w:rPr>
        <w:t>须无条件配合完成信创迁移及相关信创改造工作，所有相关费用已包含在投标总价中。</w:t>
      </w:r>
    </w:p>
    <w:p w14:paraId="487591E8">
      <w:pPr>
        <w:numPr>
          <w:ilvl w:val="0"/>
          <w:numId w:val="3"/>
        </w:numPr>
        <w:ind w:firstLine="420" w:firstLineChars="200"/>
        <w:rPr>
          <w:rFonts w:hint="eastAsia"/>
          <w:color w:val="auto"/>
        </w:rPr>
      </w:pPr>
      <w:r>
        <w:rPr>
          <w:rFonts w:hint="eastAsia"/>
          <w:b w:val="0"/>
          <w:bCs w:val="0"/>
          <w:color w:val="auto"/>
        </w:rPr>
        <w:t>软件兼容性要求</w:t>
      </w:r>
      <w:r>
        <w:rPr>
          <w:rFonts w:hint="eastAsia"/>
          <w:b w:val="0"/>
          <w:bCs w:val="0"/>
          <w:color w:val="auto"/>
          <w:lang w:eastAsia="zh-CN"/>
        </w:rPr>
        <w:t>。</w:t>
      </w:r>
      <w:r>
        <w:rPr>
          <w:rFonts w:hint="eastAsia"/>
          <w:color w:val="auto"/>
          <w:lang w:eastAsia="zh-CN"/>
        </w:rPr>
        <w:t>供应商</w:t>
      </w:r>
      <w:r>
        <w:rPr>
          <w:rFonts w:hint="eastAsia"/>
          <w:color w:val="auto"/>
        </w:rPr>
        <w:t>提供的软件产品须具备良好兼容性，保障</w:t>
      </w:r>
      <w:r>
        <w:rPr>
          <w:rFonts w:hint="eastAsia"/>
          <w:color w:val="auto"/>
          <w:lang w:eastAsia="zh-CN"/>
        </w:rPr>
        <w:t>医院</w:t>
      </w:r>
      <w:r>
        <w:rPr>
          <w:rFonts w:hint="eastAsia"/>
          <w:color w:val="auto"/>
        </w:rPr>
        <w:t>可长期正常使用。若因</w:t>
      </w:r>
      <w:r>
        <w:rPr>
          <w:rFonts w:hint="eastAsia"/>
          <w:color w:val="auto"/>
          <w:lang w:eastAsia="zh-CN"/>
        </w:rPr>
        <w:t>医院</w:t>
      </w:r>
      <w:r>
        <w:rPr>
          <w:rFonts w:hint="eastAsia"/>
          <w:color w:val="auto"/>
        </w:rPr>
        <w:t>服务器或终端设备操作系统升级，导致本项目软件无法兼容运行，无论是否在</w:t>
      </w:r>
      <w:r>
        <w:rPr>
          <w:rFonts w:hint="eastAsia"/>
          <w:color w:val="auto"/>
          <w:lang w:eastAsia="zh-CN"/>
        </w:rPr>
        <w:t>服务期</w:t>
      </w:r>
      <w:r>
        <w:rPr>
          <w:rFonts w:hint="eastAsia"/>
          <w:color w:val="auto"/>
        </w:rPr>
        <w:t>内，</w:t>
      </w:r>
      <w:r>
        <w:rPr>
          <w:rFonts w:hint="eastAsia"/>
          <w:color w:val="auto"/>
          <w:lang w:eastAsia="zh-CN"/>
        </w:rPr>
        <w:t>供应商</w:t>
      </w:r>
      <w:r>
        <w:rPr>
          <w:rFonts w:hint="eastAsia"/>
          <w:color w:val="auto"/>
        </w:rPr>
        <w:t>均须无条件向</w:t>
      </w:r>
      <w:r>
        <w:rPr>
          <w:rFonts w:hint="eastAsia"/>
          <w:color w:val="auto"/>
          <w:lang w:eastAsia="zh-CN"/>
        </w:rPr>
        <w:t>医院</w:t>
      </w:r>
      <w:r>
        <w:rPr>
          <w:rFonts w:hint="eastAsia"/>
          <w:color w:val="auto"/>
        </w:rPr>
        <w:t>提供可兼容运行的软件升级版本，且不得收取任何升级费用。</w:t>
      </w:r>
    </w:p>
    <w:p w14:paraId="3F87ACCC">
      <w:pPr>
        <w:numPr>
          <w:ilvl w:val="0"/>
          <w:numId w:val="3"/>
        </w:numPr>
        <w:ind w:firstLine="420" w:firstLineChars="200"/>
        <w:rPr>
          <w:rFonts w:hint="eastAsia"/>
          <w:color w:val="auto"/>
        </w:rPr>
      </w:pPr>
      <w:r>
        <w:rPr>
          <w:rFonts w:hint="eastAsia"/>
          <w:b w:val="0"/>
          <w:bCs w:val="0"/>
          <w:color w:val="auto"/>
          <w:lang w:val="en-US" w:eastAsia="zh-CN"/>
        </w:rPr>
        <w:t>互联互通及接口开放要求。</w:t>
      </w:r>
      <w:r>
        <w:rPr>
          <w:rFonts w:hint="eastAsia"/>
          <w:color w:val="auto"/>
          <w:lang w:val="en-US" w:eastAsia="zh-CN"/>
        </w:rPr>
        <w:t>本项目系统须具备数据互联互通能力，并提供永久开放的接口服务。在项目服务期间，</w:t>
      </w:r>
      <w:r>
        <w:rPr>
          <w:rFonts w:hint="eastAsia"/>
          <w:color w:val="auto"/>
        </w:rPr>
        <w:t>若院内其他关联系统发生升级，</w:t>
      </w:r>
      <w:r>
        <w:rPr>
          <w:rFonts w:hint="eastAsia"/>
          <w:color w:val="auto"/>
          <w:lang w:eastAsia="zh-CN"/>
        </w:rPr>
        <w:t>供应商</w:t>
      </w:r>
      <w:r>
        <w:rPr>
          <w:rFonts w:hint="eastAsia"/>
          <w:color w:val="auto"/>
        </w:rPr>
        <w:t>须无条件开放、开发相关接口，全程配合对接调试，保障系统稳定运行，不得向</w:t>
      </w:r>
      <w:r>
        <w:rPr>
          <w:rFonts w:hint="eastAsia"/>
          <w:color w:val="auto"/>
          <w:lang w:eastAsia="zh-CN"/>
        </w:rPr>
        <w:t>医院</w:t>
      </w:r>
      <w:r>
        <w:rPr>
          <w:rFonts w:hint="eastAsia"/>
          <w:color w:val="auto"/>
        </w:rPr>
        <w:t>或第三方收取任何接口费用，相关成本已包含在投标总价中。</w:t>
      </w:r>
    </w:p>
    <w:p w14:paraId="37333E4B">
      <w:pPr>
        <w:numPr>
          <w:ilvl w:val="0"/>
          <w:numId w:val="3"/>
        </w:numPr>
        <w:ind w:firstLine="420" w:firstLineChars="200"/>
        <w:rPr>
          <w:color w:val="auto"/>
        </w:rPr>
      </w:pPr>
      <w:r>
        <w:rPr>
          <w:rFonts w:hint="eastAsia"/>
          <w:color w:val="auto"/>
          <w:lang w:val="en-US" w:eastAsia="zh-CN"/>
        </w:rPr>
        <w:t>正版化要求。</w:t>
      </w:r>
      <w:r>
        <w:rPr>
          <w:rFonts w:hint="eastAsia"/>
          <w:color w:val="auto"/>
        </w:rPr>
        <w:t>系统须同时支持Windows平台与国产化平台，配合后期国产化适配改造工作。产品运行所需的操作系统、浏览器、数据库、中间件、容器等软件，均须为正版软件，中标后须提供授权给</w:t>
      </w:r>
      <w:r>
        <w:rPr>
          <w:rFonts w:hint="eastAsia"/>
          <w:color w:val="auto"/>
          <w:lang w:eastAsia="zh-CN"/>
        </w:rPr>
        <w:t>医院</w:t>
      </w:r>
      <w:r>
        <w:rPr>
          <w:rFonts w:hint="eastAsia"/>
          <w:color w:val="auto"/>
        </w:rPr>
        <w:t>的佐证资料，</w:t>
      </w:r>
      <w:r>
        <w:rPr>
          <w:rFonts w:hint="eastAsia"/>
          <w:color w:val="auto"/>
          <w:lang w:eastAsia="zh-CN"/>
        </w:rPr>
        <w:t>医院</w:t>
      </w:r>
      <w:r>
        <w:rPr>
          <w:rFonts w:hint="eastAsia"/>
          <w:color w:val="auto"/>
        </w:rPr>
        <w:t>有权核查，若发现虚假授权，将纳入违约条款处理。</w:t>
      </w:r>
      <w:r>
        <w:rPr>
          <w:rFonts w:hint="eastAsia"/>
          <w:color w:val="auto"/>
          <w:lang w:eastAsia="zh-CN"/>
        </w:rPr>
        <w:t>供应商</w:t>
      </w:r>
      <w:r>
        <w:rPr>
          <w:rFonts w:hint="eastAsia"/>
          <w:color w:val="auto"/>
        </w:rPr>
        <w:t>负责正版软件的升级、更换、调试及安装工作。所投产品须支持国产软硬件（含服务器、办公电脑、移动终端、国产操作系统、国产数据库），并可按</w:t>
      </w:r>
      <w:r>
        <w:rPr>
          <w:rFonts w:hint="eastAsia"/>
          <w:color w:val="auto"/>
          <w:lang w:eastAsia="zh-CN"/>
        </w:rPr>
        <w:t>医院</w:t>
      </w:r>
      <w:r>
        <w:rPr>
          <w:rFonts w:hint="eastAsia"/>
          <w:color w:val="auto"/>
        </w:rPr>
        <w:t>要求迁移至国产化硬件、操作系统及数据库中，所有相关费用包含在投标总价中。</w:t>
      </w:r>
    </w:p>
    <w:p w14:paraId="3AB59780">
      <w:pPr>
        <w:numPr>
          <w:ilvl w:val="0"/>
          <w:numId w:val="3"/>
        </w:numPr>
        <w:ind w:left="0" w:leftChars="0" w:firstLine="420" w:firstLineChars="200"/>
        <w:rPr>
          <w:rFonts w:hint="eastAsia"/>
          <w:color w:val="auto"/>
          <w:lang w:eastAsia="zh-CN"/>
        </w:rPr>
      </w:pPr>
      <w:r>
        <w:rPr>
          <w:rFonts w:hint="eastAsia"/>
          <w:color w:val="auto"/>
          <w:lang w:val="en-US" w:eastAsia="zh-CN"/>
        </w:rPr>
        <w:t>安全保障要求。</w:t>
      </w:r>
      <w:r>
        <w:rPr>
          <w:rFonts w:hint="eastAsia"/>
          <w:color w:val="auto"/>
        </w:rPr>
        <w:t>项目</w:t>
      </w:r>
      <w:r>
        <w:rPr>
          <w:rFonts w:hint="eastAsia"/>
          <w:color w:val="auto"/>
          <w:lang w:eastAsia="zh-CN"/>
        </w:rPr>
        <w:t>服务期</w:t>
      </w:r>
      <w:r>
        <w:rPr>
          <w:rFonts w:hint="eastAsia"/>
          <w:color w:val="auto"/>
        </w:rPr>
        <w:t>及</w:t>
      </w:r>
      <w:r>
        <w:rPr>
          <w:rFonts w:hint="eastAsia"/>
          <w:color w:val="auto"/>
          <w:lang w:eastAsia="zh-CN"/>
        </w:rPr>
        <w:t>服务期</w:t>
      </w:r>
      <w:r>
        <w:rPr>
          <w:rFonts w:hint="eastAsia"/>
          <w:color w:val="auto"/>
        </w:rPr>
        <w:t>满后，</w:t>
      </w:r>
      <w:r>
        <w:rPr>
          <w:rFonts w:hint="eastAsia"/>
          <w:color w:val="auto"/>
          <w:lang w:eastAsia="zh-CN"/>
        </w:rPr>
        <w:t>供应商</w:t>
      </w:r>
      <w:r>
        <w:rPr>
          <w:rFonts w:hint="eastAsia"/>
          <w:color w:val="auto"/>
        </w:rPr>
        <w:t>须严格按照国家、四川省、资阳市网络安全标准及政策要求，支持密码应用防护，完成本项目密码应用对接及密评相关工作，满足</w:t>
      </w:r>
      <w:r>
        <w:rPr>
          <w:rFonts w:hint="eastAsia"/>
          <w:color w:val="auto"/>
          <w:lang w:eastAsia="zh-CN"/>
        </w:rPr>
        <w:t>医院</w:t>
      </w:r>
      <w:r>
        <w:rPr>
          <w:rFonts w:hint="eastAsia"/>
          <w:color w:val="auto"/>
        </w:rPr>
        <w:t>自行或委托第三方开展的三级网络安全等级保护测评、商用密码应用安全性评估相关要求。对测评及上级部门、</w:t>
      </w:r>
      <w:r>
        <w:rPr>
          <w:rFonts w:hint="eastAsia"/>
          <w:color w:val="auto"/>
          <w:lang w:eastAsia="zh-CN"/>
        </w:rPr>
        <w:t>医院</w:t>
      </w:r>
      <w:r>
        <w:rPr>
          <w:rFonts w:hint="eastAsia"/>
          <w:color w:val="auto"/>
        </w:rPr>
        <w:t>检查发现的软硬件安全漏洞，须在规定期限内无条件修复、改造，并按要求提供第三方测评机构出具的功能、性能、安全等专项测评报告，所有相关费用均包含在投标总价中。系统上线后须持续符合国家、省、市信息系统安全相关要求，在各类安全检测中发现的安全隐患须无条件完成整改，</w:t>
      </w:r>
      <w:r>
        <w:rPr>
          <w:rFonts w:hint="eastAsia"/>
          <w:color w:val="auto"/>
          <w:lang w:val="en-US" w:eastAsia="zh-CN"/>
        </w:rPr>
        <w:t>所有整改及相关费用均包含在投标总价中，供应商不得额外收取任何费用。</w:t>
      </w:r>
    </w:p>
    <w:p w14:paraId="4BF8D82E">
      <w:pPr>
        <w:numPr>
          <w:ilvl w:val="0"/>
          <w:numId w:val="3"/>
        </w:numPr>
        <w:ind w:left="0" w:leftChars="0" w:firstLine="420" w:firstLineChars="200"/>
        <w:rPr>
          <w:rFonts w:hint="eastAsia"/>
          <w:color w:val="auto"/>
          <w:lang w:val="en-US" w:eastAsia="zh-CN"/>
        </w:rPr>
      </w:pPr>
      <w:r>
        <w:rPr>
          <w:rFonts w:hint="eastAsia"/>
          <w:color w:val="auto"/>
          <w:lang w:val="en-US" w:eastAsia="zh-CN"/>
        </w:rPr>
        <w:t>软件供应链与安全管理要求。供应商须严格遵守国家、四川省及资阳市关于软件供应链安全、网络安全、数据安全、密码应用等相关规定，全面落实软件供应链安全源头管控、安全审计、漏洞修复、源代码管理等要求，确保所提供产品与服务安全可控。供应商须配合医院无条件接受上级主管部门组织的软件供应链安全专项评估、源代码安全审计等各类安全检查工作。供应商应具备良好的安全开发能力与漏洞应急响应能力，近3年内无重大网络安全事件、无严重失信记录。须提供7×24小时漏洞修复响应服务：一般漏洞24小时内响应、7 个工作日内完成修复；高危漏洞4小时内响应、3 个工作日内完成修复。因供应商原因造成整改不力、逾期未整改或存在重大安全隐患的，医院有权拒绝验收、拒绝支付款项、追究违约责任，并上报行业主管部门。所有整改及相关费用均包含在投标总价中，供应商不得额外收取任何费用。</w:t>
      </w:r>
    </w:p>
    <w:p w14:paraId="730E20FC">
      <w:pPr>
        <w:numPr>
          <w:ilvl w:val="0"/>
          <w:numId w:val="3"/>
        </w:numPr>
        <w:ind w:left="0" w:leftChars="0" w:firstLine="420" w:firstLineChars="200"/>
        <w:rPr>
          <w:rFonts w:hint="default"/>
          <w:color w:val="auto"/>
          <w:lang w:val="en-US" w:eastAsia="zh-CN"/>
        </w:rPr>
      </w:pPr>
      <w:r>
        <w:rPr>
          <w:rFonts w:hint="default"/>
          <w:color w:val="auto"/>
          <w:lang w:val="en-US" w:eastAsia="zh-CN"/>
        </w:rPr>
        <w:t xml:space="preserve"> 弱口令安全管理要求</w:t>
      </w:r>
      <w:r>
        <w:rPr>
          <w:rFonts w:hint="eastAsia"/>
          <w:color w:val="auto"/>
          <w:lang w:val="en-US" w:eastAsia="zh-CN"/>
        </w:rPr>
        <w:t>。供应商须依据网络安全相关政策，对本项目系统开展全面排查，重点核查登录认证方式、口令复杂度策略、更新机制、弱口令校验、防暴力破解、口令加密传输存储及跨境登录管控等内容，建立台账并实施闭环整改。系统须落实多因子认证，不得采用单一认证方式；须严格执行口令复杂度与定期更新策略，具备弱口令自动校验及防暴力破解能力；口令传输、存储须全程加密，严禁跨境登录。对排查发现的风险隐患，供应商须无条件完成技术改造与整改，从源头消除弱口令风险。因弱口令问题导致安全事件、通报批评或测评不通过的，由供应商承担全部责任及费用，医院有权拒绝验收、拒付合同款项并追究违约责任。所有整改及相关费用均包含在投标总价中，供应商不得额外收取任何费用。</w:t>
      </w:r>
    </w:p>
    <w:p w14:paraId="50787DF7">
      <w:pPr>
        <w:rPr>
          <w:rFonts w:hint="eastAsia"/>
          <w:color w:val="auto"/>
          <w:lang w:val="en-US" w:eastAsia="zh-CN"/>
        </w:rPr>
      </w:pPr>
    </w:p>
    <w:p w14:paraId="660B84F9">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7439D2CA">
      <w:pPr>
        <w:pStyle w:val="4"/>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225"/>
        <w:gridCol w:w="3150"/>
        <w:gridCol w:w="3585"/>
        <w:gridCol w:w="1957"/>
        <w:gridCol w:w="1425"/>
        <w:gridCol w:w="2408"/>
      </w:tblGrid>
      <w:tr w14:paraId="57CC3DC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1225" w:type="dxa"/>
            <w:tcBorders>
              <w:left w:val="single" w:color="000000" w:sz="4" w:space="0"/>
              <w:bottom w:val="single" w:color="000000" w:sz="4" w:space="0"/>
              <w:right w:val="single" w:color="000000" w:sz="4" w:space="0"/>
            </w:tcBorders>
            <w:noWrap w:val="0"/>
            <w:vAlign w:val="center"/>
          </w:tcPr>
          <w:p w14:paraId="24291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3150" w:type="dxa"/>
            <w:tcBorders>
              <w:left w:val="single" w:color="000000" w:sz="4" w:space="0"/>
              <w:bottom w:val="single" w:color="000000" w:sz="4" w:space="0"/>
              <w:right w:val="single" w:color="000000" w:sz="4" w:space="0"/>
            </w:tcBorders>
            <w:noWrap w:val="0"/>
            <w:vAlign w:val="center"/>
          </w:tcPr>
          <w:p w14:paraId="1267E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3585" w:type="dxa"/>
            <w:tcBorders>
              <w:left w:val="single" w:color="000000" w:sz="4" w:space="0"/>
              <w:bottom w:val="single" w:color="000000" w:sz="4" w:space="0"/>
              <w:right w:val="single" w:color="000000" w:sz="4" w:space="0"/>
            </w:tcBorders>
            <w:noWrap w:val="0"/>
            <w:vAlign w:val="center"/>
          </w:tcPr>
          <w:p w14:paraId="29322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957" w:type="dxa"/>
            <w:tcBorders>
              <w:left w:val="single" w:color="000000" w:sz="4" w:space="0"/>
              <w:bottom w:val="single" w:color="000000" w:sz="4" w:space="0"/>
              <w:right w:val="single" w:color="000000" w:sz="4" w:space="0"/>
            </w:tcBorders>
            <w:noWrap w:val="0"/>
            <w:vAlign w:val="center"/>
          </w:tcPr>
          <w:p w14:paraId="62840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1D889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2408" w:type="dxa"/>
            <w:tcBorders>
              <w:left w:val="single" w:color="000000" w:sz="4" w:space="0"/>
              <w:bottom w:val="single" w:color="000000" w:sz="4" w:space="0"/>
              <w:right w:val="single" w:color="auto" w:sz="4" w:space="0"/>
            </w:tcBorders>
            <w:noWrap w:val="0"/>
            <w:vAlign w:val="center"/>
          </w:tcPr>
          <w:p w14:paraId="3B178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5BBACCD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42A6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42F6B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4D562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7B5D3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4398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52BD6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7C9082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A955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1F54E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42A47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098EF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13FA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486993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CA07A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6B60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7167CD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1CB50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667616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C44B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6A796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629922CA">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61AEB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41E16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0CBA0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4E595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192B2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00515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2A292DCC">
      <w:pPr>
        <w:pStyle w:val="13"/>
        <w:rPr>
          <w:rFonts w:hint="eastAsia" w:ascii="仿宋" w:hAnsi="仿宋" w:eastAsia="仿宋" w:cs="仿宋"/>
          <w:color w:val="auto"/>
          <w:kern w:val="2"/>
          <w:sz w:val="30"/>
          <w:szCs w:val="30"/>
        </w:rPr>
      </w:pPr>
    </w:p>
    <w:p w14:paraId="2ABB69EF">
      <w:pPr>
        <w:pStyle w:val="4"/>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p w14:paraId="27160BC7">
      <w:pPr>
        <w:rPr>
          <w:rFonts w:hint="default"/>
          <w:color w:val="auto"/>
          <w:lang w:val="en-US" w:eastAsia="zh-CN"/>
        </w:rPr>
      </w:pPr>
      <w:r>
        <w:rPr>
          <w:rFonts w:hint="eastAsia"/>
          <w:color w:val="auto"/>
          <w:lang w:val="en-US" w:eastAsia="zh-CN"/>
        </w:rPr>
        <w:t xml:space="preserve">    </w:t>
      </w:r>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225"/>
        <w:gridCol w:w="3150"/>
        <w:gridCol w:w="3585"/>
        <w:gridCol w:w="1957"/>
        <w:gridCol w:w="1425"/>
        <w:gridCol w:w="2408"/>
      </w:tblGrid>
      <w:tr w14:paraId="30F0FE9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1225" w:type="dxa"/>
            <w:tcBorders>
              <w:left w:val="single" w:color="000000" w:sz="4" w:space="0"/>
              <w:bottom w:val="single" w:color="000000" w:sz="4" w:space="0"/>
              <w:right w:val="single" w:color="000000" w:sz="4" w:space="0"/>
            </w:tcBorders>
            <w:noWrap w:val="0"/>
            <w:vAlign w:val="center"/>
          </w:tcPr>
          <w:p w14:paraId="1D1247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3150" w:type="dxa"/>
            <w:tcBorders>
              <w:left w:val="single" w:color="000000" w:sz="4" w:space="0"/>
              <w:bottom w:val="single" w:color="000000" w:sz="4" w:space="0"/>
              <w:right w:val="single" w:color="000000" w:sz="4" w:space="0"/>
            </w:tcBorders>
            <w:noWrap w:val="0"/>
            <w:vAlign w:val="center"/>
          </w:tcPr>
          <w:p w14:paraId="198F99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3585" w:type="dxa"/>
            <w:tcBorders>
              <w:left w:val="single" w:color="000000" w:sz="4" w:space="0"/>
              <w:bottom w:val="single" w:color="000000" w:sz="4" w:space="0"/>
              <w:right w:val="single" w:color="000000" w:sz="4" w:space="0"/>
            </w:tcBorders>
            <w:noWrap w:val="0"/>
            <w:vAlign w:val="center"/>
          </w:tcPr>
          <w:p w14:paraId="66011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957" w:type="dxa"/>
            <w:tcBorders>
              <w:left w:val="single" w:color="000000" w:sz="4" w:space="0"/>
              <w:bottom w:val="single" w:color="000000" w:sz="4" w:space="0"/>
              <w:right w:val="single" w:color="000000" w:sz="4" w:space="0"/>
            </w:tcBorders>
            <w:noWrap w:val="0"/>
            <w:vAlign w:val="center"/>
          </w:tcPr>
          <w:p w14:paraId="1D152A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93884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2408" w:type="dxa"/>
            <w:tcBorders>
              <w:left w:val="single" w:color="000000" w:sz="4" w:space="0"/>
              <w:bottom w:val="single" w:color="000000" w:sz="4" w:space="0"/>
              <w:right w:val="single" w:color="auto" w:sz="4" w:space="0"/>
            </w:tcBorders>
            <w:noWrap w:val="0"/>
            <w:vAlign w:val="center"/>
          </w:tcPr>
          <w:p w14:paraId="0478EB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40605EF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050A08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16C6BF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27258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1D061F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847A7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319EF6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33ADBC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47A66C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3315D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65BD72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71AC0C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1D6061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1C5146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3A25972">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7DCE90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55353D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627D98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674C52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36762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26A2AE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4A56835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1225" w:type="dxa"/>
            <w:tcBorders>
              <w:top w:val="single" w:color="000000" w:sz="4" w:space="0"/>
              <w:left w:val="single" w:color="000000" w:sz="4" w:space="0"/>
              <w:bottom w:val="single" w:color="000000" w:sz="4" w:space="0"/>
              <w:right w:val="single" w:color="000000" w:sz="4" w:space="0"/>
            </w:tcBorders>
            <w:noWrap w:val="0"/>
            <w:vAlign w:val="center"/>
          </w:tcPr>
          <w:p w14:paraId="34DC5F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3150" w:type="dxa"/>
            <w:tcBorders>
              <w:top w:val="single" w:color="000000" w:sz="4" w:space="0"/>
              <w:left w:val="single" w:color="000000" w:sz="4" w:space="0"/>
              <w:bottom w:val="single" w:color="000000" w:sz="4" w:space="0"/>
              <w:right w:val="single" w:color="000000" w:sz="4" w:space="0"/>
            </w:tcBorders>
            <w:noWrap w:val="0"/>
            <w:vAlign w:val="center"/>
          </w:tcPr>
          <w:p w14:paraId="49453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3585" w:type="dxa"/>
            <w:tcBorders>
              <w:top w:val="single" w:color="000000" w:sz="4" w:space="0"/>
              <w:left w:val="single" w:color="000000" w:sz="4" w:space="0"/>
              <w:bottom w:val="single" w:color="000000" w:sz="4" w:space="0"/>
              <w:right w:val="single" w:color="000000" w:sz="4" w:space="0"/>
            </w:tcBorders>
            <w:noWrap w:val="0"/>
            <w:vAlign w:val="center"/>
          </w:tcPr>
          <w:p w14:paraId="75E1A1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957" w:type="dxa"/>
            <w:tcBorders>
              <w:top w:val="single" w:color="000000" w:sz="4" w:space="0"/>
              <w:left w:val="single" w:color="000000" w:sz="4" w:space="0"/>
              <w:bottom w:val="single" w:color="000000" w:sz="4" w:space="0"/>
              <w:right w:val="single" w:color="000000" w:sz="4" w:space="0"/>
            </w:tcBorders>
            <w:noWrap w:val="0"/>
            <w:vAlign w:val="center"/>
          </w:tcPr>
          <w:p w14:paraId="588CD2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73174F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2408" w:type="dxa"/>
            <w:tcBorders>
              <w:top w:val="single" w:color="000000" w:sz="4" w:space="0"/>
              <w:left w:val="single" w:color="000000" w:sz="4" w:space="0"/>
              <w:bottom w:val="single" w:color="000000" w:sz="4" w:space="0"/>
              <w:right w:val="single" w:color="auto" w:sz="4" w:space="0"/>
            </w:tcBorders>
            <w:noWrap w:val="0"/>
            <w:vAlign w:val="center"/>
          </w:tcPr>
          <w:p w14:paraId="55BF02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18A1A38B">
      <w:pPr>
        <w:rPr>
          <w:rFonts w:hint="default"/>
          <w:color w:val="auto"/>
          <w:lang w:val="en-US" w:eastAsia="zh-CN"/>
        </w:rPr>
      </w:pPr>
    </w:p>
    <w:p w14:paraId="4BF8D2B4">
      <w:pPr>
        <w:pStyle w:val="4"/>
        <w:bidi w:val="0"/>
        <w:rPr>
          <w:rFonts w:hint="eastAsia"/>
          <w:color w:val="auto"/>
          <w:lang w:val="en-US" w:eastAsia="zh-CN"/>
        </w:rPr>
      </w:pPr>
      <w:bookmarkStart w:id="29" w:name="_Toc138151651"/>
      <w:bookmarkStart w:id="30" w:name="_Toc7986"/>
    </w:p>
    <w:p w14:paraId="554F7951">
      <w:pPr>
        <w:pStyle w:val="4"/>
        <w:bidi w:val="0"/>
        <w:ind w:firstLine="482" w:firstLineChars="200"/>
        <w:rPr>
          <w:rFonts w:hint="eastAsia"/>
          <w:color w:val="auto"/>
          <w:lang w:val="en-US" w:eastAsia="zh-CN"/>
        </w:rPr>
      </w:pPr>
      <w:r>
        <w:rPr>
          <w:rFonts w:hint="eastAsia"/>
          <w:color w:val="auto"/>
          <w:lang w:val="en-US" w:eastAsia="zh-CN"/>
        </w:rPr>
        <w:t>4.3三甲综合医院同类项目案例合同及验收佐证</w:t>
      </w:r>
      <w:bookmarkEnd w:id="29"/>
      <w:bookmarkEnd w:id="30"/>
    </w:p>
    <w:p w14:paraId="55D5800F">
      <w:pPr>
        <w:pStyle w:val="13"/>
        <w:spacing w:line="240" w:lineRule="auto"/>
        <w:rPr>
          <w:rFonts w:hint="eastAsia" w:ascii="仿宋" w:hAnsi="仿宋" w:eastAsia="仿宋" w:cs="仿宋"/>
          <w:b w:val="0"/>
          <w:color w:val="auto"/>
          <w:kern w:val="2"/>
          <w:sz w:val="24"/>
          <w:szCs w:val="24"/>
          <w:lang w:val="en-US" w:eastAsia="zh-CN" w:bidi="ar-SA"/>
        </w:rPr>
      </w:pPr>
    </w:p>
    <w:p w14:paraId="3C788A6C">
      <w:pPr>
        <w:pStyle w:val="3"/>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0B313E3F">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308BBF7">
      <w:pPr>
        <w:rPr>
          <w:rFonts w:hint="eastAsia"/>
          <w:color w:val="auto"/>
          <w:lang w:val="en-US" w:eastAsia="zh-CN"/>
        </w:rPr>
      </w:pPr>
    </w:p>
    <w:p w14:paraId="3417C892">
      <w:pPr>
        <w:rPr>
          <w:rFonts w:hint="eastAsia"/>
          <w:color w:val="auto"/>
          <w:lang w:val="en-US" w:eastAsia="zh-CN"/>
        </w:rPr>
      </w:pPr>
    </w:p>
    <w:p w14:paraId="48993DBB">
      <w:pPr>
        <w:rPr>
          <w:rFonts w:hint="default"/>
          <w:color w:val="auto"/>
          <w:lang w:val="en-US" w:eastAsia="zh-CN"/>
        </w:rPr>
      </w:pPr>
    </w:p>
    <w:p w14:paraId="439D6B0A"/>
    <w:sectPr>
      <w:pgSz w:w="16838" w:h="11906" w:orient="landscape"/>
      <w:pgMar w:top="1134" w:right="1134" w:bottom="56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9B2F1"/>
    <w:multiLevelType w:val="singleLevel"/>
    <w:tmpl w:val="A9D9B2F1"/>
    <w:lvl w:ilvl="0" w:tentative="0">
      <w:start w:val="1"/>
      <w:numFmt w:val="decimal"/>
      <w:suff w:val="nothing"/>
      <w:lvlText w:val="%1．"/>
      <w:lvlJc w:val="left"/>
      <w:pPr>
        <w:ind w:left="0" w:firstLine="400"/>
      </w:pPr>
      <w:rPr>
        <w:rFonts w:hint="default"/>
        <w:color w:val="7030A0"/>
      </w:rPr>
    </w:lvl>
  </w:abstractNum>
  <w:abstractNum w:abstractNumId="1">
    <w:nsid w:val="E64DC3CE"/>
    <w:multiLevelType w:val="singleLevel"/>
    <w:tmpl w:val="E64DC3CE"/>
    <w:lvl w:ilvl="0" w:tentative="0">
      <w:start w:val="1"/>
      <w:numFmt w:val="chineseCounting"/>
      <w:suff w:val="nothing"/>
      <w:lvlText w:val="（%1）"/>
      <w:lvlJc w:val="left"/>
      <w:rPr>
        <w:rFonts w:hint="eastAsia"/>
      </w:rPr>
    </w:lvl>
  </w:abstractNum>
  <w:abstractNum w:abstractNumId="2">
    <w:nsid w:val="23DEF404"/>
    <w:multiLevelType w:val="singleLevel"/>
    <w:tmpl w:val="23DEF404"/>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1843"/>
    <w:rsid w:val="01C25065"/>
    <w:rsid w:val="04043713"/>
    <w:rsid w:val="0612468B"/>
    <w:rsid w:val="08057A5A"/>
    <w:rsid w:val="08A76D63"/>
    <w:rsid w:val="097625DB"/>
    <w:rsid w:val="0A3665F0"/>
    <w:rsid w:val="0B8B2C37"/>
    <w:rsid w:val="0D570D57"/>
    <w:rsid w:val="0D9A6E39"/>
    <w:rsid w:val="0DA24D34"/>
    <w:rsid w:val="0DC61A39"/>
    <w:rsid w:val="0DCB5DF2"/>
    <w:rsid w:val="0DE82E67"/>
    <w:rsid w:val="0EEC255E"/>
    <w:rsid w:val="0F0740B7"/>
    <w:rsid w:val="102313C5"/>
    <w:rsid w:val="10C521AF"/>
    <w:rsid w:val="113833C8"/>
    <w:rsid w:val="11B20C52"/>
    <w:rsid w:val="12954B76"/>
    <w:rsid w:val="12E55CB0"/>
    <w:rsid w:val="159529BE"/>
    <w:rsid w:val="15E2762C"/>
    <w:rsid w:val="165733D1"/>
    <w:rsid w:val="17872239"/>
    <w:rsid w:val="18BD1268"/>
    <w:rsid w:val="195B1BCF"/>
    <w:rsid w:val="19EF2318"/>
    <w:rsid w:val="1A9C790D"/>
    <w:rsid w:val="1C512C50"/>
    <w:rsid w:val="1C5172BA"/>
    <w:rsid w:val="1C545906"/>
    <w:rsid w:val="1CCD6B3D"/>
    <w:rsid w:val="1DE40976"/>
    <w:rsid w:val="1E0B1D37"/>
    <w:rsid w:val="21AC1F19"/>
    <w:rsid w:val="22A624A8"/>
    <w:rsid w:val="23290648"/>
    <w:rsid w:val="233D0598"/>
    <w:rsid w:val="26527EB6"/>
    <w:rsid w:val="268E39D0"/>
    <w:rsid w:val="27385B7A"/>
    <w:rsid w:val="2759560B"/>
    <w:rsid w:val="27EF6421"/>
    <w:rsid w:val="28133675"/>
    <w:rsid w:val="28616A9F"/>
    <w:rsid w:val="29C77362"/>
    <w:rsid w:val="29CE6BBF"/>
    <w:rsid w:val="2A1A6F3D"/>
    <w:rsid w:val="2AAF15FA"/>
    <w:rsid w:val="2C26405E"/>
    <w:rsid w:val="2C372028"/>
    <w:rsid w:val="2C7548FE"/>
    <w:rsid w:val="2D33538C"/>
    <w:rsid w:val="2E3F3416"/>
    <w:rsid w:val="2F6F1AD9"/>
    <w:rsid w:val="2FFD0DF8"/>
    <w:rsid w:val="30405223"/>
    <w:rsid w:val="307B44AD"/>
    <w:rsid w:val="32981D13"/>
    <w:rsid w:val="333C43C8"/>
    <w:rsid w:val="33FC76B3"/>
    <w:rsid w:val="34533A5B"/>
    <w:rsid w:val="34C33F6F"/>
    <w:rsid w:val="358962CD"/>
    <w:rsid w:val="35A26038"/>
    <w:rsid w:val="36145188"/>
    <w:rsid w:val="37533A8E"/>
    <w:rsid w:val="3839769B"/>
    <w:rsid w:val="3AFB3AFA"/>
    <w:rsid w:val="3B325DC0"/>
    <w:rsid w:val="3B68647D"/>
    <w:rsid w:val="3BF07AFD"/>
    <w:rsid w:val="3C2105FF"/>
    <w:rsid w:val="3C74452F"/>
    <w:rsid w:val="3D574982"/>
    <w:rsid w:val="3D89020A"/>
    <w:rsid w:val="3D8C4A86"/>
    <w:rsid w:val="3E210442"/>
    <w:rsid w:val="3FE04E3F"/>
    <w:rsid w:val="404C1130"/>
    <w:rsid w:val="40A967B6"/>
    <w:rsid w:val="412D25B4"/>
    <w:rsid w:val="42650095"/>
    <w:rsid w:val="426D6D82"/>
    <w:rsid w:val="427A212C"/>
    <w:rsid w:val="443D2BD2"/>
    <w:rsid w:val="46271819"/>
    <w:rsid w:val="4652784F"/>
    <w:rsid w:val="46F37E02"/>
    <w:rsid w:val="476615BC"/>
    <w:rsid w:val="47DC63E0"/>
    <w:rsid w:val="48223E8E"/>
    <w:rsid w:val="49141F2E"/>
    <w:rsid w:val="49531697"/>
    <w:rsid w:val="498D2E30"/>
    <w:rsid w:val="49DC173C"/>
    <w:rsid w:val="4A1D390B"/>
    <w:rsid w:val="4BBB41D3"/>
    <w:rsid w:val="4D616AAD"/>
    <w:rsid w:val="4E687A17"/>
    <w:rsid w:val="4EAA7467"/>
    <w:rsid w:val="4F020D3F"/>
    <w:rsid w:val="4F97021F"/>
    <w:rsid w:val="500B7FA9"/>
    <w:rsid w:val="50403D20"/>
    <w:rsid w:val="504B414F"/>
    <w:rsid w:val="50746AF7"/>
    <w:rsid w:val="53CA7834"/>
    <w:rsid w:val="55864AD5"/>
    <w:rsid w:val="57006851"/>
    <w:rsid w:val="591A3FB4"/>
    <w:rsid w:val="59322AB7"/>
    <w:rsid w:val="59880D6A"/>
    <w:rsid w:val="5991071A"/>
    <w:rsid w:val="59943AD6"/>
    <w:rsid w:val="59B433BD"/>
    <w:rsid w:val="5A112DD4"/>
    <w:rsid w:val="5AC10B8B"/>
    <w:rsid w:val="5AC817C0"/>
    <w:rsid w:val="5B7B51DE"/>
    <w:rsid w:val="5B8B2F47"/>
    <w:rsid w:val="5DFE3EA4"/>
    <w:rsid w:val="5E2733FB"/>
    <w:rsid w:val="5E961085"/>
    <w:rsid w:val="5F230719"/>
    <w:rsid w:val="5F4E193D"/>
    <w:rsid w:val="5F4E490E"/>
    <w:rsid w:val="5F56419C"/>
    <w:rsid w:val="5F614678"/>
    <w:rsid w:val="5F96627A"/>
    <w:rsid w:val="5F9A7BFD"/>
    <w:rsid w:val="608A54F5"/>
    <w:rsid w:val="616A2A0F"/>
    <w:rsid w:val="62085FEB"/>
    <w:rsid w:val="62981044"/>
    <w:rsid w:val="64A7516D"/>
    <w:rsid w:val="64C002CD"/>
    <w:rsid w:val="65044496"/>
    <w:rsid w:val="654A79CF"/>
    <w:rsid w:val="65826DF3"/>
    <w:rsid w:val="65BB267B"/>
    <w:rsid w:val="65D976D1"/>
    <w:rsid w:val="65E240AB"/>
    <w:rsid w:val="667B1C1A"/>
    <w:rsid w:val="66994B10"/>
    <w:rsid w:val="66EA1965"/>
    <w:rsid w:val="68D26659"/>
    <w:rsid w:val="69DE6772"/>
    <w:rsid w:val="6B122D22"/>
    <w:rsid w:val="6B403D4E"/>
    <w:rsid w:val="6B694367"/>
    <w:rsid w:val="6CB34465"/>
    <w:rsid w:val="6D4370B1"/>
    <w:rsid w:val="6DA959D7"/>
    <w:rsid w:val="6DF956FA"/>
    <w:rsid w:val="6E7853F6"/>
    <w:rsid w:val="6EC57ECE"/>
    <w:rsid w:val="6F7639FA"/>
    <w:rsid w:val="6FB76F3B"/>
    <w:rsid w:val="6FFF37B8"/>
    <w:rsid w:val="70FF7962"/>
    <w:rsid w:val="71871854"/>
    <w:rsid w:val="72E46B9A"/>
    <w:rsid w:val="73263829"/>
    <w:rsid w:val="74911176"/>
    <w:rsid w:val="75470A38"/>
    <w:rsid w:val="763F0241"/>
    <w:rsid w:val="76B2270B"/>
    <w:rsid w:val="76B72400"/>
    <w:rsid w:val="77626200"/>
    <w:rsid w:val="77B97888"/>
    <w:rsid w:val="7A301431"/>
    <w:rsid w:val="7A9B4AFF"/>
    <w:rsid w:val="7AAE2C70"/>
    <w:rsid w:val="7BF2114F"/>
    <w:rsid w:val="7D901F30"/>
    <w:rsid w:val="7E437985"/>
    <w:rsid w:val="7F690ED1"/>
    <w:rsid w:val="7FA473DE"/>
    <w:rsid w:val="7FEC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toc 1"/>
    <w:basedOn w:val="1"/>
    <w:next w:val="1"/>
    <w:qFormat/>
    <w:uiPriority w:val="39"/>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6228</Words>
  <Characters>6528</Characters>
  <Lines>0</Lines>
  <Paragraphs>0</Paragraphs>
  <TotalTime>5</TotalTime>
  <ScaleCrop>false</ScaleCrop>
  <LinksUpToDate>false</LinksUpToDate>
  <CharactersWithSpaces>6627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2026-05-13T02:49:00Z</dcterms:created>
  <dc:creator>Admin</dc:creator>
  <cp:lastModifiedBy>Lina</cp:lastModifiedBy>
  <cp:lastPrinted>2026-07-03T09:08:50Z</cp:lastPrinted>
  <dcterms:modified xsi:type="dcterms:W3CDTF">2026-07-03T09:10:15Z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eyJoZGlkIjoiODYyMjk2YWVkMGQyM2Y1OGQzNGE1NWY5MDM3NDc0YzgifQ==</vt:lpwstr>
  </property>
  <property fmtid="{D5CDD505-2E9C-101B-9397-08002B2CF9AE}" pid="4" name="ICV">
    <vt:lpwstr>D622C8BF36AF4E52AAFC2D2AA5B81D3F_12</vt:lpwstr>
  </property>
</Properties>
</file>