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F449AF4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center"/>
        <w:rPr>
          <w:rFonts w:hint="default" w:ascii="微软雅黑" w:hAnsi="微软雅黑" w:eastAsia="微软雅黑" w:cs="微软雅黑"/>
          <w:i w:val="0"/>
          <w:iCs w:val="0"/>
          <w:color w:val="000000"/>
          <w:kern w:val="0"/>
          <w:sz w:val="36"/>
          <w:szCs w:val="36"/>
          <w:u w:val="none"/>
          <w:lang w:val="en-US" w:eastAsia="zh-CN" w:bidi="ar"/>
        </w:rPr>
      </w:pPr>
      <w:r>
        <w:rPr>
          <w:rFonts w:hint="eastAsia" w:ascii="微软雅黑" w:hAnsi="微软雅黑" w:eastAsia="微软雅黑" w:cs="微软雅黑"/>
          <w:i w:val="0"/>
          <w:iCs w:val="0"/>
          <w:color w:val="000000"/>
          <w:kern w:val="0"/>
          <w:sz w:val="36"/>
          <w:szCs w:val="36"/>
          <w:u w:val="none"/>
          <w:lang w:val="en-US" w:eastAsia="zh-CN" w:bidi="ar"/>
        </w:rPr>
        <w:t>资阳市中心医院</w:t>
      </w:r>
      <w:r>
        <w:rPr>
          <w:rFonts w:hint="eastAsia" w:ascii="微软雅黑" w:hAnsi="微软雅黑" w:eastAsia="微软雅黑" w:cs="微软雅黑"/>
          <w:i w:val="0"/>
          <w:iCs w:val="0"/>
          <w:color w:val="000000"/>
          <w:kern w:val="0"/>
          <w:sz w:val="36"/>
          <w:szCs w:val="36"/>
          <w:u w:val="none"/>
          <w:lang w:val="en-US" w:eastAsia="zh-CN" w:bidi="ar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olor w:val="000000"/>
          <w:kern w:val="0"/>
          <w:sz w:val="36"/>
          <w:szCs w:val="36"/>
          <w:u w:val="none"/>
          <w:lang w:val="en-US" w:eastAsia="zh-CN" w:bidi="ar"/>
        </w:rPr>
        <w:t>信息化终端设备服务调研公告</w:t>
      </w:r>
    </w:p>
    <w:p w14:paraId="1E43D7C9">
      <w:pPr>
        <w:pStyle w:val="6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560" w:firstLineChars="200"/>
        <w:rPr>
          <w:rFonts w:hint="eastAsia" w:ascii="仿宋" w:hAnsi="仿宋" w:eastAsia="仿宋" w:cs="仿宋"/>
          <w:i w:val="0"/>
          <w:iCs w:val="0"/>
          <w:color w:val="000000"/>
          <w:sz w:val="28"/>
          <w:szCs w:val="28"/>
          <w:u w:val="none"/>
          <w:lang w:val="en-US" w:eastAsia="zh-CN"/>
        </w:rPr>
      </w:pPr>
    </w:p>
    <w:p w14:paraId="1C1375AC">
      <w:pPr>
        <w:pStyle w:val="6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560" w:firstLineChars="200"/>
        <w:rPr>
          <w:rFonts w:hint="eastAsia" w:ascii="仿宋" w:hAnsi="仿宋" w:eastAsia="仿宋" w:cs="仿宋"/>
          <w:i w:val="0"/>
          <w:iCs w:val="0"/>
          <w:color w:val="000000"/>
          <w:sz w:val="28"/>
          <w:szCs w:val="28"/>
          <w:u w:val="none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olor w:val="000000"/>
          <w:sz w:val="28"/>
          <w:szCs w:val="28"/>
          <w:u w:val="none"/>
          <w:lang w:val="en-US" w:eastAsia="zh-CN"/>
        </w:rPr>
        <w:t>因医院业务</w:t>
      </w:r>
      <w:r>
        <w:rPr>
          <w:rFonts w:hint="eastAsia" w:ascii="仿宋" w:hAnsi="仿宋" w:cs="仿宋"/>
          <w:i w:val="0"/>
          <w:iCs w:val="0"/>
          <w:color w:val="000000"/>
          <w:sz w:val="28"/>
          <w:szCs w:val="28"/>
          <w:u w:val="none"/>
          <w:lang w:val="en-US" w:eastAsia="zh-CN"/>
        </w:rPr>
        <w:t>发展</w:t>
      </w:r>
      <w:r>
        <w:rPr>
          <w:rFonts w:hint="eastAsia" w:ascii="仿宋" w:hAnsi="仿宋" w:eastAsia="仿宋" w:cs="仿宋"/>
          <w:i w:val="0"/>
          <w:iCs w:val="0"/>
          <w:color w:val="000000"/>
          <w:sz w:val="28"/>
          <w:szCs w:val="28"/>
          <w:u w:val="none"/>
          <w:lang w:val="en-US" w:eastAsia="zh-CN"/>
        </w:rPr>
        <w:t>需要，</w:t>
      </w:r>
      <w:r>
        <w:rPr>
          <w:rFonts w:hint="eastAsia" w:ascii="仿宋" w:hAnsi="仿宋" w:cs="仿宋"/>
          <w:i w:val="0"/>
          <w:iCs w:val="0"/>
          <w:color w:val="000000"/>
          <w:sz w:val="28"/>
          <w:szCs w:val="28"/>
          <w:u w:val="none"/>
          <w:lang w:val="en-US" w:eastAsia="zh-CN"/>
        </w:rPr>
        <w:t>对医院信息化终端设备服务</w:t>
      </w:r>
      <w:r>
        <w:rPr>
          <w:rFonts w:hint="eastAsia" w:ascii="仿宋" w:hAnsi="仿宋" w:eastAsia="仿宋" w:cs="仿宋"/>
          <w:i w:val="0"/>
          <w:iCs w:val="0"/>
          <w:color w:val="000000"/>
          <w:sz w:val="28"/>
          <w:szCs w:val="28"/>
          <w:u w:val="none"/>
          <w:lang w:val="en-US" w:eastAsia="zh-CN"/>
        </w:rPr>
        <w:t>进行市场调研,现公开征集相关资料,欢迎各</w:t>
      </w:r>
      <w:r>
        <w:rPr>
          <w:rFonts w:hint="eastAsia" w:ascii="仿宋" w:hAnsi="仿宋" w:cs="仿宋"/>
          <w:i w:val="0"/>
          <w:iCs w:val="0"/>
          <w:color w:val="000000"/>
          <w:sz w:val="28"/>
          <w:szCs w:val="28"/>
          <w:u w:val="none"/>
          <w:lang w:val="en-US" w:eastAsia="zh-CN"/>
        </w:rPr>
        <w:t>潜在供应商</w:t>
      </w:r>
      <w:r>
        <w:rPr>
          <w:rFonts w:hint="eastAsia" w:ascii="仿宋" w:hAnsi="仿宋" w:eastAsia="仿宋" w:cs="仿宋"/>
          <w:i w:val="0"/>
          <w:iCs w:val="0"/>
          <w:color w:val="000000"/>
          <w:sz w:val="28"/>
          <w:szCs w:val="28"/>
          <w:u w:val="none"/>
          <w:lang w:val="en-US" w:eastAsia="zh-CN"/>
        </w:rPr>
        <w:t>进行报名，现将有关事宜公告如下：</w:t>
      </w:r>
    </w:p>
    <w:p w14:paraId="11AFD9D8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Chars="0" w:firstLine="560" w:firstLineChars="200"/>
        <w:jc w:val="both"/>
        <w:textAlignment w:val="center"/>
        <w:rPr>
          <w:rFonts w:hint="eastAsia" w:ascii="黑体" w:hAnsi="黑体" w:eastAsia="黑体" w:cs="黑体"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</w:pPr>
      <w:r>
        <w:rPr>
          <w:rFonts w:hint="eastAsia" w:ascii="黑体" w:hAnsi="黑体" w:eastAsia="黑体" w:cs="黑体"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  <w:t>一、项目概述</w:t>
      </w:r>
    </w:p>
    <w:p w14:paraId="07A13DBB">
      <w:pPr>
        <w:pStyle w:val="16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440" w:lineRule="exact"/>
        <w:ind w:firstLine="560" w:firstLineChars="200"/>
        <w:textAlignment w:val="auto"/>
        <w:rPr>
          <w:rFonts w:hint="eastAsia" w:ascii="仿宋" w:hAnsi="仿宋" w:eastAsia="仿宋" w:cs="仿宋"/>
          <w:i w:val="0"/>
          <w:iCs w:val="0"/>
          <w:color w:val="000000"/>
          <w:kern w:val="2"/>
          <w:sz w:val="28"/>
          <w:szCs w:val="28"/>
          <w:u w:val="none"/>
          <w:lang w:val="en-US" w:eastAsia="zh-CN" w:bidi="zh-CN"/>
        </w:rPr>
      </w:pPr>
      <w:r>
        <w:rPr>
          <w:rFonts w:hint="eastAsia" w:ascii="仿宋" w:hAnsi="仿宋" w:eastAsia="仿宋" w:cs="仿宋"/>
          <w:i w:val="0"/>
          <w:iCs w:val="0"/>
          <w:color w:val="000000"/>
          <w:kern w:val="2"/>
          <w:sz w:val="28"/>
          <w:szCs w:val="28"/>
          <w:u w:val="none"/>
          <w:lang w:val="en-US" w:eastAsia="zh-CN" w:bidi="zh-CN"/>
        </w:rPr>
        <w:t>本项目旨在通过专业的信息化终端设备服务，为医院提供全方位的信息化运维服务，涵盖前端硬件设备维修维护、办公设备周边耗材服务、运维软件服务、网络日常维护、突发紧急重大故障处理服务、设备健康巡检、备品备件库、机房及弱电井日常运维、中心机房专业运维等9项服务内容，保障医院各类信息系统、硬件设备、网络设施7×24小时稳定、安全、高效运行，全面提升医院信息化运维管理水平和服务质量。</w:t>
      </w:r>
    </w:p>
    <w:p w14:paraId="63D4F6D7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Chars="0" w:firstLine="560" w:firstLineChars="200"/>
        <w:jc w:val="both"/>
        <w:textAlignment w:val="center"/>
        <w:rPr>
          <w:rFonts w:hint="eastAsia" w:ascii="黑体" w:hAnsi="黑体" w:eastAsia="黑体" w:cs="黑体"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</w:pPr>
      <w:r>
        <w:rPr>
          <w:rFonts w:hint="eastAsia" w:ascii="黑体" w:hAnsi="黑体" w:eastAsia="黑体" w:cs="黑体"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  <w:t>二、报名时间、方式</w:t>
      </w:r>
    </w:p>
    <w:p w14:paraId="4F8CA69D">
      <w:pPr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560" w:firstLineChars="200"/>
        <w:jc w:val="both"/>
        <w:textAlignment w:val="center"/>
        <w:rPr>
          <w:rFonts w:hint="eastAsia" w:ascii="仿宋" w:hAnsi="仿宋" w:eastAsia="仿宋" w:cs="仿宋"/>
          <w:i w:val="0"/>
          <w:iCs w:val="0"/>
          <w:color w:val="000000"/>
          <w:sz w:val="28"/>
          <w:szCs w:val="28"/>
          <w:u w:val="none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olor w:val="000000"/>
          <w:sz w:val="28"/>
          <w:szCs w:val="28"/>
          <w:u w:val="none"/>
          <w:lang w:val="en-US" w:eastAsia="zh-CN"/>
        </w:rPr>
        <w:t>报名时间：本公告自挂网公告日起，截止时间为自发布公告起第5个工作日（包含发布当天），公告截止日期后递交的报名资料无效。</w:t>
      </w:r>
    </w:p>
    <w:p w14:paraId="324D4489">
      <w:pPr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560" w:firstLineChars="200"/>
        <w:jc w:val="both"/>
        <w:textAlignment w:val="center"/>
        <w:rPr>
          <w:rFonts w:hint="eastAsia" w:ascii="仿宋" w:hAnsi="仿宋" w:eastAsia="仿宋" w:cs="仿宋"/>
          <w:i w:val="0"/>
          <w:iCs w:val="0"/>
          <w:color w:val="000000"/>
          <w:sz w:val="28"/>
          <w:szCs w:val="28"/>
          <w:u w:val="none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olor w:val="000000"/>
          <w:sz w:val="28"/>
          <w:szCs w:val="28"/>
          <w:u w:val="none"/>
          <w:lang w:val="en-US" w:eastAsia="zh-CN"/>
        </w:rPr>
        <w:t>报名方式:本次市场调研活动采用邮箱报名，不接受现场报名。</w:t>
      </w:r>
    </w:p>
    <w:p w14:paraId="515E6808">
      <w:pPr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560" w:firstLineChars="200"/>
        <w:jc w:val="both"/>
        <w:textAlignment w:val="center"/>
        <w:rPr>
          <w:rFonts w:hint="eastAsia" w:ascii="仿宋" w:hAnsi="仿宋" w:eastAsia="仿宋" w:cs="仿宋"/>
          <w:i w:val="0"/>
          <w:iCs w:val="0"/>
          <w:color w:val="000000"/>
          <w:sz w:val="28"/>
          <w:szCs w:val="28"/>
          <w:u w:val="none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olor w:val="000000"/>
          <w:sz w:val="28"/>
          <w:szCs w:val="28"/>
          <w:u w:val="none"/>
          <w:lang w:val="en-US" w:eastAsia="zh-CN"/>
        </w:rPr>
        <w:t>1.报名资料按附件《报名须知》要求，将电子文档（盖章扫描件和可编辑版本）发送至</w:t>
      </w:r>
      <w:r>
        <w:rPr>
          <w:rFonts w:hint="eastAsia" w:ascii="仿宋" w:hAnsi="仿宋" w:eastAsia="仿宋" w:cs="仿宋"/>
          <w:b w:val="0"/>
          <w:bCs w:val="0"/>
          <w:color w:val="auto"/>
          <w:sz w:val="30"/>
          <w:szCs w:val="30"/>
          <w:lang w:val="en-US" w:eastAsia="zh-CN"/>
        </w:rPr>
        <w:t>zyszxyyxxb@163.com，</w:t>
      </w:r>
      <w:r>
        <w:rPr>
          <w:rFonts w:hint="eastAsia" w:ascii="仿宋" w:hAnsi="仿宋" w:eastAsia="仿宋" w:cs="仿宋"/>
          <w:i w:val="0"/>
          <w:iCs w:val="0"/>
          <w:color w:val="000000"/>
          <w:sz w:val="28"/>
          <w:szCs w:val="28"/>
          <w:u w:val="none"/>
          <w:lang w:val="en-US" w:eastAsia="zh-CN"/>
        </w:rPr>
        <w:t>并抄送至</w:t>
      </w:r>
      <w:r>
        <w:rPr>
          <w:rFonts w:hint="eastAsia" w:ascii="仿宋" w:hAnsi="仿宋" w:eastAsia="仿宋" w:cs="仿宋"/>
          <w:b w:val="0"/>
          <w:bCs w:val="0"/>
          <w:color w:val="auto"/>
          <w:sz w:val="30"/>
          <w:szCs w:val="30"/>
          <w:lang w:val="en-US" w:eastAsia="zh-CN"/>
        </w:rPr>
        <w:t>zyszxyyxxb001@163.com</w:t>
      </w:r>
      <w:r>
        <w:rPr>
          <w:rFonts w:hint="eastAsia" w:ascii="仿宋" w:hAnsi="仿宋" w:eastAsia="仿宋" w:cs="仿宋"/>
          <w:color w:val="000000"/>
          <w:sz w:val="28"/>
          <w:szCs w:val="28"/>
        </w:rPr>
        <w:t>。</w:t>
      </w:r>
      <w:r>
        <w:rPr>
          <w:rFonts w:hint="eastAsia" w:ascii="仿宋" w:hAnsi="仿宋" w:eastAsia="仿宋" w:cs="仿宋"/>
          <w:i w:val="0"/>
          <w:iCs w:val="0"/>
          <w:color w:val="000000"/>
          <w:sz w:val="28"/>
          <w:szCs w:val="28"/>
          <w:u w:val="none"/>
          <w:lang w:val="en-US" w:eastAsia="zh-CN"/>
        </w:rPr>
        <w:t>。邮件名称：“XXXX项目名称+公司名称+联系人+联系电话）”报名资料目录见附件。</w:t>
      </w:r>
    </w:p>
    <w:p w14:paraId="5191F009">
      <w:pPr>
        <w:pStyle w:val="6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560" w:firstLineChars="200"/>
        <w:rPr>
          <w:rFonts w:hint="eastAsia" w:ascii="仿宋" w:hAnsi="仿宋" w:eastAsia="仿宋" w:cs="仿宋"/>
          <w:i w:val="0"/>
          <w:iCs w:val="0"/>
          <w:color w:val="000000"/>
          <w:sz w:val="28"/>
          <w:szCs w:val="28"/>
          <w:u w:val="none"/>
          <w:lang w:val="en-US" w:eastAsia="zh-CN"/>
        </w:rPr>
      </w:pPr>
      <w:r>
        <w:rPr>
          <w:rFonts w:hint="eastAsia" w:ascii="仿宋" w:hAnsi="仿宋" w:cs="仿宋"/>
          <w:i w:val="0"/>
          <w:iCs w:val="0"/>
          <w:color w:val="000000"/>
          <w:sz w:val="28"/>
          <w:szCs w:val="28"/>
          <w:u w:val="none"/>
          <w:lang w:val="en-US" w:eastAsia="zh-CN"/>
        </w:rPr>
        <w:t>2</w:t>
      </w:r>
      <w:r>
        <w:rPr>
          <w:rFonts w:hint="eastAsia" w:ascii="仿宋" w:hAnsi="仿宋" w:eastAsia="仿宋" w:cs="仿宋"/>
          <w:i w:val="0"/>
          <w:iCs w:val="0"/>
          <w:color w:val="000000"/>
          <w:sz w:val="28"/>
          <w:szCs w:val="28"/>
          <w:u w:val="none"/>
          <w:lang w:val="en-US" w:eastAsia="zh-CN"/>
        </w:rPr>
        <w:t>.联系人：</w:t>
      </w:r>
      <w:r>
        <w:rPr>
          <w:rFonts w:hint="eastAsia" w:ascii="仿宋" w:hAnsi="仿宋" w:cs="仿宋"/>
          <w:i w:val="0"/>
          <w:iCs w:val="0"/>
          <w:color w:val="000000"/>
          <w:sz w:val="28"/>
          <w:szCs w:val="28"/>
          <w:u w:val="none"/>
          <w:lang w:val="en-US" w:eastAsia="zh-CN"/>
        </w:rPr>
        <w:t xml:space="preserve">陈老师  </w:t>
      </w:r>
      <w:r>
        <w:rPr>
          <w:rFonts w:hint="eastAsia" w:ascii="仿宋" w:hAnsi="仿宋" w:eastAsia="仿宋" w:cs="仿宋"/>
          <w:i w:val="0"/>
          <w:iCs w:val="0"/>
          <w:color w:val="000000"/>
          <w:sz w:val="28"/>
          <w:szCs w:val="28"/>
          <w:u w:val="none"/>
          <w:lang w:val="en-US" w:eastAsia="zh-CN"/>
        </w:rPr>
        <w:t>报名</w:t>
      </w:r>
      <w:r>
        <w:rPr>
          <w:rFonts w:hint="eastAsia" w:ascii="仿宋" w:hAnsi="仿宋" w:cs="仿宋"/>
          <w:i w:val="0"/>
          <w:iCs w:val="0"/>
          <w:color w:val="000000"/>
          <w:sz w:val="28"/>
          <w:szCs w:val="28"/>
          <w:u w:val="none"/>
          <w:lang w:val="en-US" w:eastAsia="zh-CN"/>
        </w:rPr>
        <w:t>咨</w:t>
      </w:r>
      <w:r>
        <w:rPr>
          <w:rFonts w:hint="eastAsia" w:ascii="仿宋" w:hAnsi="仿宋" w:eastAsia="仿宋" w:cs="仿宋"/>
          <w:i w:val="0"/>
          <w:iCs w:val="0"/>
          <w:color w:val="000000"/>
          <w:sz w:val="28"/>
          <w:szCs w:val="28"/>
          <w:u w:val="none"/>
          <w:lang w:val="en-US" w:eastAsia="zh-CN"/>
        </w:rPr>
        <w:t>询</w:t>
      </w:r>
      <w:r>
        <w:rPr>
          <w:rFonts w:hint="eastAsia" w:ascii="仿宋" w:hAnsi="仿宋" w:cs="仿宋"/>
          <w:i w:val="0"/>
          <w:iCs w:val="0"/>
          <w:color w:val="000000"/>
          <w:sz w:val="28"/>
          <w:szCs w:val="28"/>
          <w:u w:val="none"/>
          <w:lang w:val="en-US" w:eastAsia="zh-CN"/>
        </w:rPr>
        <w:t>电话</w:t>
      </w:r>
      <w:r>
        <w:rPr>
          <w:rFonts w:hint="eastAsia" w:ascii="仿宋" w:hAnsi="仿宋" w:eastAsia="仿宋" w:cs="仿宋"/>
          <w:i w:val="0"/>
          <w:iCs w:val="0"/>
          <w:color w:val="000000"/>
          <w:sz w:val="28"/>
          <w:szCs w:val="28"/>
          <w:u w:val="none"/>
          <w:lang w:val="en-US" w:eastAsia="zh-CN"/>
        </w:rPr>
        <w:t>：028-26219526</w:t>
      </w:r>
    </w:p>
    <w:p w14:paraId="6D0856DE">
      <w:pPr>
        <w:pStyle w:val="6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560" w:firstLineChars="200"/>
        <w:rPr>
          <w:rFonts w:hint="eastAsia" w:ascii="仿宋" w:hAnsi="仿宋" w:eastAsia="仿宋" w:cs="仿宋"/>
          <w:i w:val="0"/>
          <w:iCs w:val="0"/>
          <w:color w:val="000000"/>
          <w:sz w:val="28"/>
          <w:szCs w:val="28"/>
          <w:u w:val="none"/>
          <w:lang w:val="en-US" w:eastAsia="zh-CN"/>
        </w:rPr>
      </w:pPr>
      <w:r>
        <w:rPr>
          <w:rFonts w:hint="eastAsia" w:ascii="仿宋" w:hAnsi="仿宋" w:cs="仿宋"/>
          <w:i w:val="0"/>
          <w:iCs w:val="0"/>
          <w:color w:val="000000"/>
          <w:sz w:val="28"/>
          <w:szCs w:val="28"/>
          <w:u w:val="none"/>
          <w:lang w:val="en-US" w:eastAsia="zh-CN"/>
        </w:rPr>
        <w:t>3.</w:t>
      </w:r>
      <w:r>
        <w:rPr>
          <w:rFonts w:hint="eastAsia" w:ascii="仿宋" w:hAnsi="仿宋" w:eastAsia="仿宋" w:cs="仿宋"/>
          <w:i w:val="0"/>
          <w:iCs w:val="0"/>
          <w:color w:val="000000"/>
          <w:sz w:val="28"/>
          <w:szCs w:val="28"/>
          <w:u w:val="none"/>
          <w:lang w:val="en-US" w:eastAsia="zh-CN"/>
        </w:rPr>
        <w:t>线上或线下集中调研需求论证时间及地点，另行通知</w:t>
      </w:r>
      <w:r>
        <w:rPr>
          <w:rFonts w:hint="eastAsia" w:ascii="仿宋" w:hAnsi="仿宋" w:cs="仿宋"/>
          <w:i w:val="0"/>
          <w:iCs w:val="0"/>
          <w:color w:val="000000"/>
          <w:sz w:val="28"/>
          <w:szCs w:val="28"/>
          <w:u w:val="none"/>
          <w:lang w:val="en-US" w:eastAsia="zh-CN"/>
        </w:rPr>
        <w:t>，</w:t>
      </w:r>
      <w:r>
        <w:rPr>
          <w:rFonts w:hint="eastAsia" w:ascii="仿宋" w:hAnsi="仿宋" w:eastAsia="仿宋" w:cs="仿宋"/>
          <w:i w:val="0"/>
          <w:iCs w:val="0"/>
          <w:color w:val="000000"/>
          <w:sz w:val="28"/>
          <w:szCs w:val="28"/>
          <w:u w:val="none"/>
          <w:lang w:val="en-US" w:eastAsia="zh-CN"/>
        </w:rPr>
        <w:t>请参加调研会的</w:t>
      </w:r>
      <w:r>
        <w:rPr>
          <w:rFonts w:hint="eastAsia" w:ascii="仿宋" w:hAnsi="仿宋" w:cs="仿宋"/>
          <w:i w:val="0"/>
          <w:iCs w:val="0"/>
          <w:color w:val="000000"/>
          <w:sz w:val="28"/>
          <w:szCs w:val="28"/>
          <w:u w:val="none"/>
          <w:lang w:val="en-US" w:eastAsia="zh-CN"/>
        </w:rPr>
        <w:t>各潜在供应商</w:t>
      </w:r>
      <w:r>
        <w:rPr>
          <w:rFonts w:hint="eastAsia" w:ascii="仿宋" w:hAnsi="仿宋" w:eastAsia="仿宋" w:cs="仿宋"/>
          <w:i w:val="0"/>
          <w:iCs w:val="0"/>
          <w:color w:val="000000"/>
          <w:sz w:val="28"/>
          <w:szCs w:val="28"/>
          <w:u w:val="none"/>
          <w:lang w:val="en-US" w:eastAsia="zh-CN"/>
        </w:rPr>
        <w:t>准备相应的纸质版</w:t>
      </w:r>
      <w:r>
        <w:rPr>
          <w:rFonts w:hint="eastAsia" w:ascii="仿宋" w:hAnsi="仿宋" w:cs="仿宋"/>
          <w:i w:val="0"/>
          <w:iCs w:val="0"/>
          <w:color w:val="000000"/>
          <w:sz w:val="28"/>
          <w:szCs w:val="28"/>
          <w:u w:val="none"/>
          <w:lang w:val="en-US" w:eastAsia="zh-CN"/>
        </w:rPr>
        <w:t>报价表</w:t>
      </w:r>
      <w:r>
        <w:rPr>
          <w:rFonts w:hint="eastAsia" w:ascii="仿宋" w:hAnsi="仿宋" w:eastAsia="仿宋" w:cs="仿宋"/>
          <w:i w:val="0"/>
          <w:iCs w:val="0"/>
          <w:color w:val="000000"/>
          <w:sz w:val="28"/>
          <w:szCs w:val="28"/>
          <w:u w:val="none"/>
          <w:lang w:val="en-US" w:eastAsia="zh-CN"/>
        </w:rPr>
        <w:t>及汇报PPT等。</w:t>
      </w:r>
    </w:p>
    <w:p w14:paraId="78375170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Chars="0" w:firstLine="560" w:firstLineChars="200"/>
        <w:jc w:val="both"/>
        <w:textAlignment w:val="center"/>
        <w:rPr>
          <w:rFonts w:hint="default" w:ascii="黑体" w:hAnsi="黑体" w:eastAsia="黑体" w:cs="黑体"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</w:pPr>
      <w:r>
        <w:rPr>
          <w:rFonts w:hint="eastAsia" w:ascii="黑体" w:hAnsi="黑体" w:eastAsia="黑体" w:cs="黑体"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  <w:t>三、其他说明</w:t>
      </w:r>
    </w:p>
    <w:p w14:paraId="33E6A9D7">
      <w:pPr>
        <w:pStyle w:val="6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560" w:firstLineChars="200"/>
        <w:rPr>
          <w:rFonts w:hint="eastAsia" w:ascii="仿宋" w:hAnsi="仿宋" w:cs="仿宋"/>
          <w:i w:val="0"/>
          <w:iCs w:val="0"/>
          <w:color w:val="000000"/>
          <w:sz w:val="28"/>
          <w:szCs w:val="28"/>
          <w:u w:val="none"/>
          <w:lang w:val="en-US" w:eastAsia="zh-CN"/>
        </w:rPr>
      </w:pPr>
      <w:r>
        <w:rPr>
          <w:rFonts w:hint="eastAsia" w:ascii="仿宋" w:hAnsi="仿宋" w:cs="仿宋"/>
          <w:i w:val="0"/>
          <w:iCs w:val="0"/>
          <w:color w:val="000000"/>
          <w:sz w:val="28"/>
          <w:szCs w:val="28"/>
          <w:u w:val="none"/>
          <w:lang w:val="en-US" w:eastAsia="zh-CN"/>
        </w:rPr>
        <w:t>1.本次公开市场调研内容因市场了解的局限性，仅作为医院市场调研参考使用，</w:t>
      </w:r>
      <w:r>
        <w:rPr>
          <w:rFonts w:hint="eastAsia" w:ascii="仿宋" w:hAnsi="仿宋" w:eastAsia="仿宋" w:cs="仿宋"/>
          <w:i w:val="0"/>
          <w:iCs w:val="0"/>
          <w:color w:val="000000"/>
          <w:sz w:val="28"/>
          <w:szCs w:val="28"/>
          <w:u w:val="none"/>
          <w:lang w:val="en-US" w:eastAsia="zh-CN"/>
        </w:rPr>
        <w:t>我院有权使用所征集技术指标中的相关内容</w:t>
      </w:r>
      <w:r>
        <w:rPr>
          <w:rFonts w:hint="eastAsia" w:ascii="仿宋" w:hAnsi="仿宋" w:cs="仿宋"/>
          <w:i w:val="0"/>
          <w:iCs w:val="0"/>
          <w:color w:val="000000"/>
          <w:sz w:val="28"/>
          <w:szCs w:val="28"/>
          <w:u w:val="none"/>
          <w:lang w:val="en-US" w:eastAsia="zh-CN"/>
        </w:rPr>
        <w:t>，不作为正式采购依据，无任何针对性，如有不全之处，敬请理解，并请各潜在供应商详实介绍服务方案，本项目最终服务参数以采购时为准。对未公告服务要求的，请各潜在供应商自行提供。</w:t>
      </w:r>
    </w:p>
    <w:p w14:paraId="71B78830">
      <w:pPr>
        <w:pStyle w:val="6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560" w:firstLineChars="200"/>
        <w:rPr>
          <w:rFonts w:hint="eastAsia" w:ascii="仿宋" w:hAnsi="仿宋" w:cs="仿宋"/>
          <w:i w:val="0"/>
          <w:iCs w:val="0"/>
          <w:color w:val="000000"/>
          <w:sz w:val="28"/>
          <w:szCs w:val="28"/>
          <w:u w:val="none"/>
          <w:lang w:val="en-US" w:eastAsia="zh-CN"/>
        </w:rPr>
      </w:pPr>
      <w:r>
        <w:rPr>
          <w:rFonts w:hint="eastAsia" w:ascii="仿宋" w:hAnsi="仿宋" w:cs="仿宋"/>
          <w:i w:val="0"/>
          <w:iCs w:val="0"/>
          <w:color w:val="000000"/>
          <w:sz w:val="28"/>
          <w:szCs w:val="28"/>
          <w:u w:val="none"/>
          <w:lang w:val="en-US" w:eastAsia="zh-CN"/>
        </w:rPr>
        <w:t>2.参与本次市场调研活动的潜在供应商，我院不作任何承诺。因参与市场调研所产生的一切费用由报名潜在供应商自行承担，我院不支付任何相关费用。本次市场调研的后续工作及结果，我院不做任何解释。本次市场调研的解释权归院方。</w:t>
      </w:r>
    </w:p>
    <w:p w14:paraId="5CC3795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560" w:firstLineChars="200"/>
        <w:textAlignment w:val="auto"/>
        <w:rPr>
          <w:rFonts w:hint="eastAsia" w:ascii="仿宋" w:hAnsi="仿宋" w:eastAsia="仿宋" w:cs="仿宋"/>
          <w:i w:val="0"/>
          <w:iCs w:val="0"/>
          <w:color w:val="000000"/>
          <w:kern w:val="2"/>
          <w:sz w:val="28"/>
          <w:szCs w:val="28"/>
          <w:u w:val="none"/>
          <w:lang w:val="en-US" w:eastAsia="zh-CN" w:bidi="zh-CN"/>
        </w:rPr>
      </w:pPr>
    </w:p>
    <w:p w14:paraId="560BA35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560" w:firstLineChars="200"/>
        <w:textAlignment w:val="auto"/>
        <w:rPr>
          <w:rFonts w:hint="eastAsia" w:ascii="仿宋" w:hAnsi="仿宋" w:eastAsia="仿宋" w:cs="仿宋"/>
          <w:i w:val="0"/>
          <w:iCs w:val="0"/>
          <w:color w:val="000000"/>
          <w:kern w:val="2"/>
          <w:sz w:val="28"/>
          <w:szCs w:val="28"/>
          <w:u w:val="none"/>
          <w:lang w:val="en-US" w:eastAsia="zh-CN" w:bidi="zh-CN"/>
        </w:rPr>
      </w:pPr>
    </w:p>
    <w:p w14:paraId="6D2EEE4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560" w:firstLineChars="200"/>
        <w:textAlignment w:val="auto"/>
        <w:rPr>
          <w:rFonts w:hint="eastAsia" w:ascii="仿宋" w:hAnsi="仿宋" w:eastAsia="仿宋" w:cs="仿宋"/>
          <w:i w:val="0"/>
          <w:iCs w:val="0"/>
          <w:color w:val="000000"/>
          <w:kern w:val="2"/>
          <w:sz w:val="28"/>
          <w:szCs w:val="28"/>
          <w:u w:val="none"/>
          <w:lang w:val="en-US" w:eastAsia="zh-CN" w:bidi="zh-CN"/>
        </w:rPr>
      </w:pPr>
    </w:p>
    <w:p w14:paraId="20FF397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560" w:firstLineChars="200"/>
        <w:textAlignment w:val="auto"/>
        <w:rPr>
          <w:rFonts w:hint="eastAsia" w:ascii="仿宋" w:hAnsi="仿宋" w:eastAsia="仿宋" w:cs="仿宋"/>
          <w:i w:val="0"/>
          <w:iCs w:val="0"/>
          <w:color w:val="000000"/>
          <w:kern w:val="2"/>
          <w:sz w:val="28"/>
          <w:szCs w:val="28"/>
          <w:u w:val="none"/>
          <w:lang w:val="en-US" w:eastAsia="zh-CN" w:bidi="zh-CN"/>
        </w:rPr>
      </w:pPr>
    </w:p>
    <w:p w14:paraId="7AC6205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560" w:firstLineChars="200"/>
        <w:textAlignment w:val="auto"/>
        <w:rPr>
          <w:rFonts w:hint="eastAsia" w:ascii="仿宋" w:hAnsi="仿宋" w:eastAsia="仿宋" w:cs="仿宋"/>
          <w:i w:val="0"/>
          <w:iCs w:val="0"/>
          <w:color w:val="000000"/>
          <w:kern w:val="2"/>
          <w:sz w:val="28"/>
          <w:szCs w:val="28"/>
          <w:u w:val="none"/>
          <w:lang w:val="en-US" w:eastAsia="zh-CN" w:bidi="zh-CN"/>
        </w:rPr>
      </w:pPr>
    </w:p>
    <w:p w14:paraId="00460BA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560" w:firstLineChars="200"/>
        <w:textAlignment w:val="auto"/>
        <w:rPr>
          <w:rFonts w:hint="eastAsia" w:ascii="仿宋" w:hAnsi="仿宋" w:eastAsia="仿宋" w:cs="仿宋"/>
          <w:i w:val="0"/>
          <w:iCs w:val="0"/>
          <w:color w:val="000000"/>
          <w:kern w:val="2"/>
          <w:sz w:val="28"/>
          <w:szCs w:val="28"/>
          <w:u w:val="none"/>
          <w:lang w:val="en-US" w:eastAsia="zh-CN" w:bidi="zh-CN"/>
        </w:rPr>
      </w:pPr>
    </w:p>
    <w:p w14:paraId="75218DF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560" w:firstLineChars="200"/>
        <w:textAlignment w:val="auto"/>
        <w:rPr>
          <w:rFonts w:hint="eastAsia" w:ascii="仿宋" w:hAnsi="仿宋" w:eastAsia="仿宋" w:cs="仿宋"/>
          <w:i w:val="0"/>
          <w:iCs w:val="0"/>
          <w:color w:val="000000"/>
          <w:kern w:val="2"/>
          <w:sz w:val="28"/>
          <w:szCs w:val="28"/>
          <w:u w:val="none"/>
          <w:lang w:val="en-US" w:eastAsia="zh-CN" w:bidi="zh-CN"/>
        </w:rPr>
      </w:pPr>
    </w:p>
    <w:p w14:paraId="58EA090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560" w:firstLineChars="200"/>
        <w:textAlignment w:val="auto"/>
        <w:rPr>
          <w:rFonts w:hint="eastAsia" w:ascii="仿宋" w:hAnsi="仿宋" w:eastAsia="仿宋" w:cs="仿宋"/>
          <w:i w:val="0"/>
          <w:iCs w:val="0"/>
          <w:color w:val="000000"/>
          <w:kern w:val="2"/>
          <w:sz w:val="28"/>
          <w:szCs w:val="28"/>
          <w:u w:val="none"/>
          <w:lang w:val="en-US" w:eastAsia="zh-CN" w:bidi="zh-CN"/>
        </w:rPr>
      </w:pPr>
    </w:p>
    <w:p w14:paraId="04ABEE8C">
      <w:pPr>
        <w:pStyle w:val="16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360" w:lineRule="auto"/>
        <w:ind w:right="0" w:rightChars="0"/>
        <w:jc w:val="center"/>
        <w:rPr>
          <w:rFonts w:hint="eastAsia" w:ascii="仿宋" w:hAnsi="仿宋" w:eastAsia="仿宋" w:cs="仿宋"/>
          <w:b/>
          <w:bCs/>
          <w:color w:val="auto"/>
          <w:sz w:val="44"/>
          <w:szCs w:val="44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44"/>
          <w:szCs w:val="44"/>
          <w:lang w:val="en-US" w:eastAsia="zh-CN"/>
        </w:rPr>
        <w:t>报名注意事项</w:t>
      </w:r>
    </w:p>
    <w:p w14:paraId="0C100449">
      <w:pPr>
        <w:numPr>
          <w:ilvl w:val="0"/>
          <w:numId w:val="0"/>
        </w:numPr>
        <w:spacing w:line="500" w:lineRule="exact"/>
        <w:textAlignment w:val="baseline"/>
        <w:outlineLvl w:val="1"/>
        <w:rPr>
          <w:rFonts w:hint="eastAsia" w:ascii="仿宋" w:hAnsi="仿宋" w:eastAsia="仿宋" w:cs="仿宋"/>
          <w:b w:val="0"/>
          <w:bCs w:val="0"/>
          <w:color w:val="auto"/>
          <w:sz w:val="30"/>
          <w:szCs w:val="30"/>
          <w:lang w:val="en-US" w:eastAsia="zh-CN"/>
        </w:rPr>
      </w:pPr>
    </w:p>
    <w:p w14:paraId="4B0E8026">
      <w:pPr>
        <w:pStyle w:val="16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360" w:lineRule="auto"/>
        <w:ind w:left="0" w:leftChars="0" w:right="0" w:rightChars="0" w:firstLine="600"/>
        <w:rPr>
          <w:rFonts w:hint="eastAsia" w:ascii="仿宋" w:hAnsi="仿宋" w:eastAsia="仿宋" w:cs="仿宋"/>
          <w:b w:val="0"/>
          <w:bCs w:val="0"/>
          <w:color w:val="auto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0"/>
          <w:szCs w:val="30"/>
          <w:lang w:val="en-US" w:eastAsia="zh-CN"/>
        </w:rPr>
        <w:t>1.请参与报名的各潜在供应商在准备报名资料时，按照报名资料目录顺序和模板提交，若其中某项资料不需提供，请勿删除页面，自动跳过当前页即可。</w:t>
      </w:r>
    </w:p>
    <w:p w14:paraId="56FD6626">
      <w:pPr>
        <w:pStyle w:val="16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360" w:lineRule="auto"/>
        <w:ind w:right="0" w:rightChars="0" w:firstLine="600" w:firstLineChars="200"/>
        <w:rPr>
          <w:rFonts w:hint="eastAsia" w:ascii="仿宋" w:hAnsi="仿宋" w:eastAsia="仿宋" w:cs="仿宋"/>
          <w:b w:val="0"/>
          <w:bCs w:val="0"/>
          <w:color w:val="auto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0"/>
          <w:szCs w:val="30"/>
          <w:lang w:val="en-US" w:eastAsia="zh-CN"/>
        </w:rPr>
        <w:t>2.可根据项目方案内容通过PPT重点介绍产品功能、亮点及落地案例，15分钟。</w:t>
      </w:r>
    </w:p>
    <w:p w14:paraId="4AE730C0">
      <w:pPr>
        <w:pStyle w:val="16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360" w:lineRule="auto"/>
        <w:ind w:right="0" w:rightChars="0" w:firstLine="600" w:firstLineChars="200"/>
        <w:textAlignment w:val="auto"/>
        <w:rPr>
          <w:rFonts w:hint="eastAsia" w:ascii="仿宋" w:hAnsi="仿宋" w:eastAsia="仿宋" w:cs="仿宋"/>
          <w:b w:val="0"/>
          <w:bCs w:val="0"/>
          <w:color w:val="auto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0"/>
          <w:szCs w:val="30"/>
          <w:lang w:val="en-US" w:eastAsia="zh-CN"/>
        </w:rPr>
        <w:t>3.报名资料电子文档（盖章扫描件和可编辑版本）发送至zyszxyyxxb@163.com。邮件名称：</w:t>
      </w:r>
      <w:r>
        <w:rPr>
          <w:rFonts w:hint="eastAsia" w:ascii="仿宋" w:hAnsi="仿宋" w:eastAsia="仿宋" w:cs="仿宋"/>
          <w:b w:val="0"/>
          <w:bCs w:val="0"/>
          <w:color w:val="FF0000"/>
          <w:sz w:val="30"/>
          <w:szCs w:val="30"/>
          <w:lang w:val="en-US" w:eastAsia="zh-CN"/>
        </w:rPr>
        <w:t>“XXXX项目名称（公司名称+联系人+联系电话）</w:t>
      </w:r>
      <w:r>
        <w:rPr>
          <w:rFonts w:hint="eastAsia" w:ascii="仿宋" w:hAnsi="仿宋" w:eastAsia="仿宋" w:cs="仿宋"/>
          <w:b w:val="0"/>
          <w:bCs w:val="0"/>
          <w:color w:val="auto"/>
          <w:sz w:val="30"/>
          <w:szCs w:val="30"/>
          <w:lang w:val="en-US" w:eastAsia="zh-CN"/>
        </w:rPr>
        <w:t>”</w:t>
      </w:r>
    </w:p>
    <w:p w14:paraId="578E0399">
      <w:pPr>
        <w:pStyle w:val="16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360" w:lineRule="auto"/>
        <w:ind w:right="0" w:rightChars="0" w:firstLine="600" w:firstLineChars="200"/>
        <w:textAlignment w:val="auto"/>
        <w:rPr>
          <w:rFonts w:hint="eastAsia" w:ascii="仿宋" w:hAnsi="仿宋" w:eastAsia="仿宋" w:cs="仿宋"/>
          <w:b w:val="0"/>
          <w:bCs w:val="0"/>
          <w:color w:val="auto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0"/>
          <w:szCs w:val="30"/>
          <w:lang w:val="en-US" w:eastAsia="zh-CN"/>
        </w:rPr>
        <w:t>4.收到您的邮件即报名成功。特殊情况，我们会通过电话与您联系，请注意保持电话畅通。感谢您的积极参与！</w:t>
      </w:r>
    </w:p>
    <w:p w14:paraId="4CBFEAC5">
      <w:pPr>
        <w:pStyle w:val="16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360" w:lineRule="auto"/>
        <w:ind w:left="0" w:leftChars="0" w:right="0" w:rightChars="0"/>
        <w:rPr>
          <w:rFonts w:hint="eastAsia" w:ascii="宋体" w:hAnsi="宋体" w:eastAsia="宋体" w:cs="宋体"/>
          <w:b w:val="0"/>
          <w:bCs w:val="0"/>
          <w:color w:val="auto"/>
          <w:sz w:val="30"/>
          <w:szCs w:val="30"/>
          <w:lang w:val="en-US" w:eastAsia="zh-CN"/>
        </w:rPr>
      </w:pPr>
    </w:p>
    <w:p w14:paraId="21AB2F34">
      <w:pPr>
        <w:rPr>
          <w:rFonts w:hint="eastAsia"/>
          <w:lang w:val="en-US" w:eastAsia="zh-CN"/>
        </w:rPr>
      </w:pPr>
    </w:p>
    <w:p w14:paraId="20BE1E03">
      <w:pPr>
        <w:pStyle w:val="6"/>
        <w:rPr>
          <w:rFonts w:hint="default"/>
          <w:lang w:val="en-US" w:eastAsia="zh-CN"/>
        </w:rPr>
      </w:pPr>
    </w:p>
    <w:p w14:paraId="02043E00">
      <w:pPr>
        <w:pStyle w:val="6"/>
        <w:rPr>
          <w:rFonts w:hint="eastAsia"/>
          <w:lang w:eastAsia="zh-CN"/>
        </w:rPr>
      </w:pPr>
    </w:p>
    <w:p w14:paraId="0C6705FE">
      <w:pPr>
        <w:pStyle w:val="16"/>
      </w:pPr>
    </w:p>
    <w:p w14:paraId="4E022E04">
      <w:pPr>
        <w:pStyle w:val="16"/>
      </w:pPr>
    </w:p>
    <w:p w14:paraId="7B562D01">
      <w:pPr>
        <w:pStyle w:val="16"/>
      </w:pPr>
    </w:p>
    <w:p w14:paraId="2AACC706">
      <w:pPr>
        <w:pStyle w:val="16"/>
      </w:pPr>
    </w:p>
    <w:p w14:paraId="6121E002">
      <w:pPr>
        <w:pStyle w:val="16"/>
      </w:pPr>
    </w:p>
    <w:p w14:paraId="466F7595">
      <w:pPr>
        <w:pStyle w:val="16"/>
      </w:pPr>
    </w:p>
    <w:p w14:paraId="28FB3DA9">
      <w:pPr>
        <w:pStyle w:val="16"/>
      </w:pPr>
    </w:p>
    <w:p w14:paraId="5AF54E6C">
      <w:pPr>
        <w:pStyle w:val="16"/>
      </w:pPr>
    </w:p>
    <w:p w14:paraId="6DB5A362">
      <w:pPr>
        <w:pStyle w:val="16"/>
      </w:pPr>
    </w:p>
    <w:p w14:paraId="78DBE6C2">
      <w:pPr>
        <w:pStyle w:val="16"/>
      </w:pPr>
    </w:p>
    <w:p w14:paraId="69B88316">
      <w:pPr>
        <w:pStyle w:val="16"/>
      </w:pPr>
    </w:p>
    <w:p w14:paraId="46DB01FB">
      <w:pPr>
        <w:pStyle w:val="16"/>
      </w:pPr>
    </w:p>
    <w:p w14:paraId="475BD167">
      <w:pPr>
        <w:pStyle w:val="16"/>
      </w:pPr>
    </w:p>
    <w:p w14:paraId="758E5DC4">
      <w:pPr>
        <w:pStyle w:val="16"/>
      </w:pPr>
    </w:p>
    <w:p w14:paraId="793B3062">
      <w:pPr>
        <w:pStyle w:val="16"/>
      </w:pPr>
    </w:p>
    <w:p w14:paraId="1403CAC5">
      <w:pPr>
        <w:pStyle w:val="16"/>
      </w:pPr>
    </w:p>
    <w:sdt>
      <w:sdtPr>
        <w:rPr>
          <w:rFonts w:ascii="宋体" w:hAnsi="宋体" w:eastAsia="宋体" w:cstheme="minorBidi"/>
          <w:kern w:val="2"/>
          <w:sz w:val="28"/>
          <w:szCs w:val="36"/>
          <w:lang w:val="en-US" w:eastAsia="zh-CN" w:bidi="ar-SA"/>
        </w:rPr>
        <w:id w:val="147450881"/>
        <w15:color w:val="DBDBDB"/>
        <w:docPartObj>
          <w:docPartGallery w:val="Table of Contents"/>
          <w:docPartUnique/>
        </w:docPartObj>
      </w:sdtPr>
      <w:sdtEndPr>
        <w:rPr>
          <w:rFonts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sdtEndPr>
      <w:sdtContent>
        <w:p w14:paraId="20995604">
          <w:pPr>
            <w:spacing w:before="0" w:beforeLines="0" w:after="0" w:afterLines="0" w:line="240" w:lineRule="auto"/>
            <w:ind w:left="0" w:leftChars="0" w:right="0" w:rightChars="0" w:firstLine="0" w:firstLineChars="0"/>
            <w:jc w:val="center"/>
            <w:rPr>
              <w:rFonts w:hint="eastAsia" w:asciiTheme="minorEastAsia" w:hAnsiTheme="minorEastAsia" w:eastAsiaTheme="minorEastAsia" w:cstheme="minorEastAsia"/>
              <w:b/>
              <w:bCs/>
              <w:sz w:val="40"/>
              <w:szCs w:val="40"/>
            </w:rPr>
          </w:pPr>
          <w:r>
            <w:rPr>
              <w:rFonts w:hint="eastAsia" w:asciiTheme="minorEastAsia" w:hAnsiTheme="minorEastAsia" w:eastAsiaTheme="minorEastAsia" w:cstheme="minorEastAsia"/>
              <w:b/>
              <w:bCs/>
              <w:kern w:val="2"/>
              <w:sz w:val="40"/>
              <w:szCs w:val="40"/>
              <w:lang w:val="en-US" w:eastAsia="zh-CN" w:bidi="ar-SA"/>
            </w:rPr>
            <w:t>调研报名</w:t>
          </w:r>
          <w:r>
            <w:rPr>
              <w:rFonts w:hint="eastAsia" w:asciiTheme="minorEastAsia" w:hAnsiTheme="minorEastAsia" w:eastAsiaTheme="minorEastAsia" w:cstheme="minorEastAsia"/>
              <w:b/>
              <w:bCs/>
              <w:sz w:val="40"/>
              <w:szCs w:val="40"/>
            </w:rPr>
            <w:t>目录</w:t>
          </w:r>
        </w:p>
        <w:p w14:paraId="70983076">
          <w:pPr>
            <w:spacing w:before="0" w:beforeLines="0" w:after="0" w:afterLines="0" w:line="240" w:lineRule="auto"/>
            <w:ind w:left="0" w:leftChars="0" w:right="0" w:rightChars="0" w:firstLine="0" w:firstLineChars="0"/>
            <w:jc w:val="center"/>
          </w:pPr>
        </w:p>
        <w:p w14:paraId="0C7D9977">
          <w:pPr>
            <w:pStyle w:val="8"/>
            <w:tabs>
              <w:tab w:val="right" w:leader="dot" w:pos="8306"/>
            </w:tabs>
          </w:pPr>
          <w:r>
            <w:fldChar w:fldCharType="begin"/>
          </w:r>
          <w:r>
            <w:instrText xml:space="preserve">TOC \o "1-3" \h \u </w:instrText>
          </w:r>
          <w:r>
            <w:fldChar w:fldCharType="separate"/>
          </w:r>
          <w:r>
            <w:fldChar w:fldCharType="begin"/>
          </w:r>
          <w:r>
            <w:instrText xml:space="preserve"> HYPERLINK \l _Toc4916 </w:instrText>
          </w:r>
          <w:r>
            <w:fldChar w:fldCharType="separate"/>
          </w:r>
          <w:r>
            <w:rPr>
              <w:rFonts w:hint="eastAsia"/>
            </w:rPr>
            <w:t>一、 报名</w:t>
          </w:r>
          <w:r>
            <w:rPr>
              <w:rFonts w:hint="eastAsia"/>
              <w:lang w:eastAsia="zh-CN"/>
            </w:rPr>
            <w:t>登记</w:t>
          </w:r>
          <w:r>
            <w:rPr>
              <w:rFonts w:hint="eastAsia"/>
            </w:rPr>
            <w:t>表</w:t>
          </w:r>
          <w:r>
            <w:tab/>
          </w:r>
          <w:r>
            <w:fldChar w:fldCharType="begin"/>
          </w:r>
          <w:r>
            <w:instrText xml:space="preserve"> PAGEREF _Toc4916 \h </w:instrText>
          </w:r>
          <w:r>
            <w:fldChar w:fldCharType="separate"/>
          </w:r>
          <w:r>
            <w:t>4</w:t>
          </w:r>
          <w:r>
            <w:fldChar w:fldCharType="end"/>
          </w:r>
          <w:r>
            <w:fldChar w:fldCharType="end"/>
          </w:r>
        </w:p>
        <w:p w14:paraId="5CC548A6">
          <w:pPr>
            <w:pStyle w:val="8"/>
            <w:tabs>
              <w:tab w:val="right" w:leader="dot" w:pos="8306"/>
            </w:tabs>
          </w:pPr>
          <w:r>
            <w:fldChar w:fldCharType="begin"/>
          </w:r>
          <w:r>
            <w:instrText xml:space="preserve"> HYPERLINK \l _Toc7230 </w:instrText>
          </w:r>
          <w:r>
            <w:fldChar w:fldCharType="separate"/>
          </w:r>
          <w:r>
            <w:rPr>
              <w:rFonts w:hint="eastAsia"/>
              <w:lang w:val="en-US" w:eastAsia="zh-CN"/>
            </w:rPr>
            <w:t>二、资质：</w:t>
          </w:r>
          <w:r>
            <w:tab/>
          </w:r>
          <w:r>
            <w:fldChar w:fldCharType="begin"/>
          </w:r>
          <w:r>
            <w:instrText xml:space="preserve"> PAGEREF _Toc7230 \h </w:instrText>
          </w:r>
          <w:r>
            <w:fldChar w:fldCharType="separate"/>
          </w:r>
          <w:r>
            <w:t>4</w:t>
          </w:r>
          <w:r>
            <w:fldChar w:fldCharType="end"/>
          </w:r>
          <w:r>
            <w:fldChar w:fldCharType="end"/>
          </w:r>
        </w:p>
        <w:p w14:paraId="6097A5E8">
          <w:pPr>
            <w:pStyle w:val="9"/>
            <w:tabs>
              <w:tab w:val="right" w:leader="dot" w:pos="8306"/>
            </w:tabs>
          </w:pPr>
          <w:r>
            <w:fldChar w:fldCharType="begin"/>
          </w:r>
          <w:r>
            <w:instrText xml:space="preserve"> HYPERLINK \l _Toc21098 </w:instrText>
          </w:r>
          <w:r>
            <w:fldChar w:fldCharType="separate"/>
          </w:r>
          <w:r>
            <w:rPr>
              <w:rFonts w:hint="eastAsia"/>
              <w:lang w:val="en-US" w:eastAsia="zh-CN"/>
            </w:rPr>
            <w:t>2.1</w:t>
          </w:r>
          <w:r>
            <w:rPr>
              <w:rFonts w:hint="eastAsia"/>
            </w:rPr>
            <w:t>营业执照</w:t>
          </w:r>
          <w:r>
            <w:tab/>
          </w:r>
          <w:r>
            <w:fldChar w:fldCharType="begin"/>
          </w:r>
          <w:r>
            <w:instrText xml:space="preserve"> PAGEREF _Toc21098 \h </w:instrText>
          </w:r>
          <w:r>
            <w:fldChar w:fldCharType="separate"/>
          </w:r>
          <w:r>
            <w:t>4</w:t>
          </w:r>
          <w:r>
            <w:fldChar w:fldCharType="end"/>
          </w:r>
          <w:r>
            <w:fldChar w:fldCharType="end"/>
          </w:r>
        </w:p>
        <w:p w14:paraId="5D796337">
          <w:pPr>
            <w:pStyle w:val="9"/>
            <w:tabs>
              <w:tab w:val="right" w:leader="dot" w:pos="8306"/>
            </w:tabs>
          </w:pPr>
          <w:r>
            <w:fldChar w:fldCharType="begin"/>
          </w:r>
          <w:r>
            <w:instrText xml:space="preserve"> HYPERLINK \l _Toc16249 </w:instrText>
          </w:r>
          <w:r>
            <w:fldChar w:fldCharType="separate"/>
          </w:r>
          <w:r>
            <w:rPr>
              <w:rFonts w:hint="eastAsia"/>
              <w:lang w:val="en-US" w:eastAsia="zh-CN"/>
            </w:rPr>
            <w:t>2.1</w:t>
          </w:r>
          <w:r>
            <w:rPr>
              <w:rFonts w:hint="eastAsia"/>
              <w:lang w:eastAsia="zh-CN"/>
            </w:rPr>
            <w:t>法定代表人授权书</w:t>
          </w:r>
          <w:r>
            <w:tab/>
          </w:r>
          <w:r>
            <w:fldChar w:fldCharType="begin"/>
          </w:r>
          <w:r>
            <w:instrText xml:space="preserve"> PAGEREF _Toc16249 \h </w:instrText>
          </w:r>
          <w:r>
            <w:fldChar w:fldCharType="separate"/>
          </w:r>
          <w:r>
            <w:t>4</w:t>
          </w:r>
          <w:r>
            <w:fldChar w:fldCharType="end"/>
          </w:r>
          <w:r>
            <w:fldChar w:fldCharType="end"/>
          </w:r>
        </w:p>
        <w:p w14:paraId="25384FAA">
          <w:pPr>
            <w:pStyle w:val="9"/>
            <w:tabs>
              <w:tab w:val="right" w:leader="dot" w:pos="8306"/>
            </w:tabs>
          </w:pPr>
          <w:r>
            <w:fldChar w:fldCharType="begin"/>
          </w:r>
          <w:r>
            <w:instrText xml:space="preserve"> HYPERLINK \l _Toc32583 </w:instrText>
          </w:r>
          <w:r>
            <w:fldChar w:fldCharType="separate"/>
          </w:r>
          <w:r>
            <w:rPr>
              <w:rFonts w:hint="eastAsia"/>
              <w:lang w:val="en-US" w:eastAsia="zh-CN"/>
            </w:rPr>
            <w:t>2.3</w:t>
          </w:r>
          <w:r>
            <w:rPr>
              <w:rFonts w:hint="eastAsia"/>
              <w:lang w:eastAsia="zh-CN"/>
            </w:rPr>
            <w:t>法人及被授权人身份证</w:t>
          </w:r>
          <w:r>
            <w:tab/>
          </w:r>
          <w:r>
            <w:fldChar w:fldCharType="begin"/>
          </w:r>
          <w:r>
            <w:instrText xml:space="preserve"> PAGEREF _Toc32583 \h </w:instrText>
          </w:r>
          <w:r>
            <w:fldChar w:fldCharType="separate"/>
          </w:r>
          <w:r>
            <w:t>4</w:t>
          </w:r>
          <w:r>
            <w:fldChar w:fldCharType="end"/>
          </w:r>
          <w:r>
            <w:fldChar w:fldCharType="end"/>
          </w:r>
        </w:p>
        <w:p w14:paraId="49C73E6C">
          <w:pPr>
            <w:pStyle w:val="9"/>
            <w:tabs>
              <w:tab w:val="right" w:leader="dot" w:pos="8306"/>
            </w:tabs>
          </w:pPr>
          <w:r>
            <w:fldChar w:fldCharType="begin"/>
          </w:r>
          <w:r>
            <w:instrText xml:space="preserve"> HYPERLINK \l _Toc18909 </w:instrText>
          </w:r>
          <w:r>
            <w:fldChar w:fldCharType="separate"/>
          </w:r>
          <w:r>
            <w:rPr>
              <w:rFonts w:hint="eastAsia"/>
              <w:lang w:val="en-US" w:eastAsia="zh-CN"/>
            </w:rPr>
            <w:t>2.4</w:t>
          </w:r>
          <w:r>
            <w:rPr>
              <w:rFonts w:hint="eastAsia"/>
              <w:lang w:eastAsia="zh-CN"/>
            </w:rPr>
            <w:t>公司资质</w:t>
          </w:r>
          <w:r>
            <w:tab/>
          </w:r>
          <w:r>
            <w:fldChar w:fldCharType="begin"/>
          </w:r>
          <w:r>
            <w:instrText xml:space="preserve"> PAGEREF _Toc18909 \h </w:instrText>
          </w:r>
          <w:r>
            <w:fldChar w:fldCharType="separate"/>
          </w:r>
          <w:r>
            <w:t>4</w:t>
          </w:r>
          <w:r>
            <w:fldChar w:fldCharType="end"/>
          </w:r>
          <w:r>
            <w:fldChar w:fldCharType="end"/>
          </w:r>
        </w:p>
        <w:p w14:paraId="19F77A93">
          <w:pPr>
            <w:pStyle w:val="9"/>
            <w:tabs>
              <w:tab w:val="right" w:leader="dot" w:pos="8306"/>
            </w:tabs>
          </w:pPr>
          <w:r>
            <w:fldChar w:fldCharType="begin"/>
          </w:r>
          <w:r>
            <w:instrText xml:space="preserve"> HYPERLINK \l _Toc12108 </w:instrText>
          </w:r>
          <w:r>
            <w:fldChar w:fldCharType="separate"/>
          </w:r>
          <w:r>
            <w:rPr>
              <w:rFonts w:hint="eastAsia"/>
              <w:lang w:val="en-US" w:eastAsia="zh-CN"/>
            </w:rPr>
            <w:t>2.5软件资质</w:t>
          </w:r>
          <w:r>
            <w:tab/>
          </w:r>
          <w:r>
            <w:fldChar w:fldCharType="begin"/>
          </w:r>
          <w:r>
            <w:instrText xml:space="preserve"> PAGEREF _Toc12108 \h </w:instrText>
          </w:r>
          <w:r>
            <w:fldChar w:fldCharType="separate"/>
          </w:r>
          <w:r>
            <w:t>4</w:t>
          </w:r>
          <w:r>
            <w:fldChar w:fldCharType="end"/>
          </w:r>
          <w:r>
            <w:fldChar w:fldCharType="end"/>
          </w:r>
        </w:p>
        <w:p w14:paraId="105A436E">
          <w:pPr>
            <w:pStyle w:val="9"/>
            <w:tabs>
              <w:tab w:val="right" w:leader="dot" w:pos="8306"/>
            </w:tabs>
          </w:pPr>
          <w:r>
            <w:fldChar w:fldCharType="begin"/>
          </w:r>
          <w:r>
            <w:instrText xml:space="preserve"> HYPERLINK \l _Toc17878 </w:instrText>
          </w:r>
          <w:r>
            <w:fldChar w:fldCharType="separate"/>
          </w:r>
          <w:r>
            <w:rPr>
              <w:rFonts w:hint="eastAsia"/>
              <w:lang w:val="en-US" w:eastAsia="zh-CN"/>
            </w:rPr>
            <w:t>2.6本项目涉及</w:t>
          </w:r>
          <w:r>
            <w:rPr>
              <w:rFonts w:hint="eastAsia"/>
              <w:lang w:eastAsia="zh-CN"/>
            </w:rPr>
            <w:t>资质</w:t>
          </w:r>
          <w:r>
            <w:tab/>
          </w:r>
          <w:r>
            <w:fldChar w:fldCharType="begin"/>
          </w:r>
          <w:r>
            <w:instrText xml:space="preserve"> PAGEREF _Toc17878 \h </w:instrText>
          </w:r>
          <w:r>
            <w:fldChar w:fldCharType="separate"/>
          </w:r>
          <w:r>
            <w:t>4</w:t>
          </w:r>
          <w:r>
            <w:fldChar w:fldCharType="end"/>
          </w:r>
          <w:r>
            <w:fldChar w:fldCharType="end"/>
          </w:r>
        </w:p>
        <w:p w14:paraId="03BD3FBF">
          <w:pPr>
            <w:pStyle w:val="9"/>
            <w:tabs>
              <w:tab w:val="right" w:leader="dot" w:pos="8306"/>
            </w:tabs>
          </w:pPr>
          <w:r>
            <w:fldChar w:fldCharType="begin"/>
          </w:r>
          <w:r>
            <w:instrText xml:space="preserve"> HYPERLINK \l _Toc10850 </w:instrText>
          </w:r>
          <w:r>
            <w:fldChar w:fldCharType="separate"/>
          </w:r>
          <w:r>
            <w:rPr>
              <w:rFonts w:hint="eastAsia"/>
              <w:lang w:val="en-US" w:eastAsia="zh-CN"/>
            </w:rPr>
            <w:t>2.7开发商委托销售授权函</w:t>
          </w:r>
          <w:r>
            <w:tab/>
          </w:r>
          <w:r>
            <w:fldChar w:fldCharType="begin"/>
          </w:r>
          <w:r>
            <w:instrText xml:space="preserve"> PAGEREF _Toc10850 \h </w:instrText>
          </w:r>
          <w:r>
            <w:fldChar w:fldCharType="separate"/>
          </w:r>
          <w:r>
            <w:t>4</w:t>
          </w:r>
          <w:r>
            <w:fldChar w:fldCharType="end"/>
          </w:r>
          <w:r>
            <w:fldChar w:fldCharType="end"/>
          </w:r>
        </w:p>
        <w:p w14:paraId="6D7DA4F9">
          <w:pPr>
            <w:pStyle w:val="8"/>
            <w:tabs>
              <w:tab w:val="right" w:leader="dot" w:pos="8306"/>
            </w:tabs>
          </w:pPr>
          <w:r>
            <w:fldChar w:fldCharType="begin"/>
          </w:r>
          <w:r>
            <w:instrText xml:space="preserve"> HYPERLINK \l _Toc20019 </w:instrText>
          </w:r>
          <w:r>
            <w:fldChar w:fldCharType="separate"/>
          </w:r>
          <w:r>
            <w:rPr>
              <w:rFonts w:hint="eastAsia"/>
              <w:lang w:val="en-US" w:eastAsia="zh-CN"/>
            </w:rPr>
            <w:t>三、单一来源说明及佐证材料</w:t>
          </w:r>
          <w:r>
            <w:tab/>
          </w:r>
          <w:r>
            <w:fldChar w:fldCharType="begin"/>
          </w:r>
          <w:r>
            <w:instrText xml:space="preserve"> PAGEREF _Toc20019 \h </w:instrText>
          </w:r>
          <w:r>
            <w:fldChar w:fldCharType="separate"/>
          </w:r>
          <w:r>
            <w:t>4</w:t>
          </w:r>
          <w:r>
            <w:fldChar w:fldCharType="end"/>
          </w:r>
          <w:r>
            <w:fldChar w:fldCharType="end"/>
          </w:r>
        </w:p>
        <w:p w14:paraId="32CA2CE7">
          <w:pPr>
            <w:pStyle w:val="8"/>
            <w:tabs>
              <w:tab w:val="right" w:leader="dot" w:pos="8306"/>
            </w:tabs>
          </w:pPr>
          <w:r>
            <w:fldChar w:fldCharType="begin"/>
          </w:r>
          <w:r>
            <w:instrText xml:space="preserve"> HYPERLINK \l _Toc20631 </w:instrText>
          </w:r>
          <w:r>
            <w:fldChar w:fldCharType="separate"/>
          </w:r>
          <w:r>
            <w:rPr>
              <w:rFonts w:hint="eastAsia"/>
              <w:lang w:val="en-US" w:eastAsia="zh-CN"/>
            </w:rPr>
            <w:t>四、项目调研情况一览汇总表</w:t>
          </w:r>
          <w:r>
            <w:tab/>
          </w:r>
          <w:r>
            <w:fldChar w:fldCharType="begin"/>
          </w:r>
          <w:r>
            <w:instrText xml:space="preserve"> PAGEREF _Toc20631 \h </w:instrText>
          </w:r>
          <w:r>
            <w:fldChar w:fldCharType="separate"/>
          </w:r>
          <w:r>
            <w:t>5</w:t>
          </w:r>
          <w:r>
            <w:fldChar w:fldCharType="end"/>
          </w:r>
          <w:r>
            <w:fldChar w:fldCharType="end"/>
          </w:r>
        </w:p>
        <w:p w14:paraId="48BA9C28">
          <w:pPr>
            <w:pStyle w:val="9"/>
            <w:tabs>
              <w:tab w:val="right" w:leader="dot" w:pos="8306"/>
            </w:tabs>
          </w:pPr>
          <w:r>
            <w:fldChar w:fldCharType="begin"/>
          </w:r>
          <w:r>
            <w:instrText xml:space="preserve"> HYPERLINK \l _Toc6483 </w:instrText>
          </w:r>
          <w:r>
            <w:fldChar w:fldCharType="separate"/>
          </w:r>
          <w:r>
            <w:rPr>
              <w:rFonts w:hint="eastAsia"/>
              <w:lang w:val="en-US" w:eastAsia="zh-CN"/>
            </w:rPr>
            <w:t>4.1报价表</w:t>
          </w:r>
          <w:r>
            <w:tab/>
          </w:r>
          <w:r>
            <w:fldChar w:fldCharType="begin"/>
          </w:r>
          <w:r>
            <w:instrText xml:space="preserve"> PAGEREF _Toc6483 \h </w:instrText>
          </w:r>
          <w:r>
            <w:fldChar w:fldCharType="separate"/>
          </w:r>
          <w:r>
            <w:t>5</w:t>
          </w:r>
          <w:r>
            <w:fldChar w:fldCharType="end"/>
          </w:r>
          <w:r>
            <w:fldChar w:fldCharType="end"/>
          </w:r>
        </w:p>
        <w:p w14:paraId="392EFD54">
          <w:pPr>
            <w:pStyle w:val="9"/>
            <w:tabs>
              <w:tab w:val="right" w:leader="dot" w:pos="8306"/>
            </w:tabs>
          </w:pPr>
          <w:r>
            <w:fldChar w:fldCharType="begin"/>
          </w:r>
          <w:r>
            <w:instrText xml:space="preserve"> HYPERLINK \l _Toc17174 </w:instrText>
          </w:r>
          <w:r>
            <w:fldChar w:fldCharType="separate"/>
          </w:r>
          <w:r>
            <w:rPr>
              <w:rFonts w:hint="eastAsia"/>
              <w:lang w:val="en-US" w:eastAsia="zh-CN"/>
            </w:rPr>
            <w:t>4.2服务要求</w:t>
          </w:r>
          <w:r>
            <w:tab/>
          </w:r>
          <w:r>
            <w:fldChar w:fldCharType="begin"/>
          </w:r>
          <w:r>
            <w:instrText xml:space="preserve"> PAGEREF _Toc17174 \h </w:instrText>
          </w:r>
          <w:r>
            <w:fldChar w:fldCharType="separate"/>
          </w:r>
          <w:r>
            <w:t>6</w:t>
          </w:r>
          <w:r>
            <w:fldChar w:fldCharType="end"/>
          </w:r>
          <w:r>
            <w:fldChar w:fldCharType="end"/>
          </w:r>
        </w:p>
        <w:p w14:paraId="4E3DC7DA">
          <w:pPr>
            <w:pStyle w:val="8"/>
            <w:tabs>
              <w:tab w:val="right" w:leader="dot" w:pos="8306"/>
            </w:tabs>
          </w:pPr>
          <w:r>
            <w:fldChar w:fldCharType="begin"/>
          </w:r>
          <w:r>
            <w:instrText xml:space="preserve"> HYPERLINK \l _Toc7903 </w:instrText>
          </w:r>
          <w:r>
            <w:fldChar w:fldCharType="separate"/>
          </w:r>
          <w:r>
            <w:rPr>
              <w:rFonts w:hint="eastAsia"/>
              <w:lang w:val="en-US" w:eastAsia="zh-CN"/>
            </w:rPr>
            <w:t>五、三甲综合医院同类项目案例</w:t>
          </w:r>
          <w:r>
            <w:tab/>
          </w:r>
          <w:r>
            <w:fldChar w:fldCharType="begin"/>
          </w:r>
          <w:r>
            <w:instrText xml:space="preserve"> PAGEREF _Toc7903 \h </w:instrText>
          </w:r>
          <w:r>
            <w:fldChar w:fldCharType="separate"/>
          </w:r>
          <w:r>
            <w:t>13</w:t>
          </w:r>
          <w:r>
            <w:fldChar w:fldCharType="end"/>
          </w:r>
          <w:r>
            <w:fldChar w:fldCharType="end"/>
          </w:r>
        </w:p>
        <w:p w14:paraId="6A38DC76">
          <w:pPr>
            <w:pStyle w:val="9"/>
            <w:tabs>
              <w:tab w:val="right" w:leader="dot" w:pos="8306"/>
            </w:tabs>
          </w:pPr>
          <w:r>
            <w:fldChar w:fldCharType="begin"/>
          </w:r>
          <w:r>
            <w:instrText xml:space="preserve"> HYPERLINK \l _Toc4476 </w:instrText>
          </w:r>
          <w:r>
            <w:fldChar w:fldCharType="separate"/>
          </w:r>
          <w:r>
            <w:rPr>
              <w:rFonts w:hint="eastAsia"/>
              <w:lang w:val="en-US" w:eastAsia="zh-CN"/>
            </w:rPr>
            <w:t>5.1四川省内（）家</w:t>
          </w:r>
          <w:r>
            <w:tab/>
          </w:r>
          <w:r>
            <w:fldChar w:fldCharType="begin"/>
          </w:r>
          <w:r>
            <w:instrText xml:space="preserve"> PAGEREF _Toc4476 \h </w:instrText>
          </w:r>
          <w:r>
            <w:fldChar w:fldCharType="separate"/>
          </w:r>
          <w:r>
            <w:t>13</w:t>
          </w:r>
          <w:r>
            <w:fldChar w:fldCharType="end"/>
          </w:r>
          <w:r>
            <w:fldChar w:fldCharType="end"/>
          </w:r>
        </w:p>
        <w:p w14:paraId="0F8955E5">
          <w:pPr>
            <w:pStyle w:val="9"/>
            <w:tabs>
              <w:tab w:val="right" w:leader="dot" w:pos="8306"/>
            </w:tabs>
          </w:pPr>
          <w:r>
            <w:fldChar w:fldCharType="begin"/>
          </w:r>
          <w:r>
            <w:instrText xml:space="preserve"> HYPERLINK \l _Toc13355 </w:instrText>
          </w:r>
          <w:r>
            <w:fldChar w:fldCharType="separate"/>
          </w:r>
          <w:r>
            <w:rPr>
              <w:rFonts w:hint="eastAsia"/>
              <w:lang w:val="en-US" w:eastAsia="zh-CN"/>
            </w:rPr>
            <w:t>5.2四川省外（）家</w:t>
          </w:r>
          <w:r>
            <w:tab/>
          </w:r>
          <w:r>
            <w:fldChar w:fldCharType="begin"/>
          </w:r>
          <w:r>
            <w:instrText xml:space="preserve"> PAGEREF _Toc13355 \h </w:instrText>
          </w:r>
          <w:r>
            <w:fldChar w:fldCharType="separate"/>
          </w:r>
          <w:r>
            <w:t>13</w:t>
          </w:r>
          <w:r>
            <w:fldChar w:fldCharType="end"/>
          </w:r>
          <w:r>
            <w:fldChar w:fldCharType="end"/>
          </w:r>
        </w:p>
        <w:p w14:paraId="6AEADB06">
          <w:pPr>
            <w:pStyle w:val="9"/>
            <w:tabs>
              <w:tab w:val="right" w:leader="dot" w:pos="8306"/>
            </w:tabs>
          </w:pPr>
          <w:r>
            <w:fldChar w:fldCharType="begin"/>
          </w:r>
          <w:r>
            <w:instrText xml:space="preserve"> HYPERLINK \l _Toc30521 </w:instrText>
          </w:r>
          <w:r>
            <w:fldChar w:fldCharType="separate"/>
          </w:r>
          <w:r>
            <w:rPr>
              <w:rFonts w:hint="eastAsia"/>
              <w:lang w:val="en-US" w:eastAsia="zh-CN"/>
            </w:rPr>
            <w:t>5.3三甲综合医院同类项目案例合同及验收佐证</w:t>
          </w:r>
          <w:r>
            <w:tab/>
          </w:r>
          <w:r>
            <w:fldChar w:fldCharType="begin"/>
          </w:r>
          <w:r>
            <w:instrText xml:space="preserve"> PAGEREF _Toc30521 \h </w:instrText>
          </w:r>
          <w:r>
            <w:fldChar w:fldCharType="separate"/>
          </w:r>
          <w:r>
            <w:t>13</w:t>
          </w:r>
          <w:r>
            <w:fldChar w:fldCharType="end"/>
          </w:r>
          <w:r>
            <w:fldChar w:fldCharType="end"/>
          </w:r>
        </w:p>
        <w:p w14:paraId="47079FF0">
          <w:pPr>
            <w:pStyle w:val="8"/>
            <w:tabs>
              <w:tab w:val="right" w:leader="dot" w:pos="8306"/>
            </w:tabs>
          </w:pPr>
          <w:r>
            <w:fldChar w:fldCharType="begin"/>
          </w:r>
          <w:r>
            <w:instrText xml:space="preserve"> HYPERLINK \l _Toc7342 </w:instrText>
          </w:r>
          <w:r>
            <w:fldChar w:fldCharType="separate"/>
          </w:r>
          <w:r>
            <w:rPr>
              <w:rFonts w:hint="eastAsia"/>
              <w:lang w:val="en-US" w:eastAsia="zh-CN"/>
            </w:rPr>
            <w:t>六、服务方案</w:t>
          </w:r>
          <w:r>
            <w:tab/>
          </w:r>
          <w:r>
            <w:fldChar w:fldCharType="begin"/>
          </w:r>
          <w:r>
            <w:instrText xml:space="preserve"> PAGEREF _Toc7342 \h </w:instrText>
          </w:r>
          <w:r>
            <w:fldChar w:fldCharType="separate"/>
          </w:r>
          <w:r>
            <w:t>13</w:t>
          </w:r>
          <w:r>
            <w:fldChar w:fldCharType="end"/>
          </w:r>
          <w:r>
            <w:fldChar w:fldCharType="end"/>
          </w:r>
        </w:p>
        <w:p w14:paraId="1860074C">
          <w:r>
            <w:fldChar w:fldCharType="end"/>
          </w:r>
        </w:p>
      </w:sdtContent>
    </w:sdt>
    <w:p w14:paraId="2E4DF8A4"/>
    <w:p w14:paraId="03CC10E0"/>
    <w:p w14:paraId="045481C5"/>
    <w:p w14:paraId="6E460F13"/>
    <w:p w14:paraId="0BB5B4F9"/>
    <w:p w14:paraId="62B23199"/>
    <w:p w14:paraId="4C58EDDF"/>
    <w:p w14:paraId="3F969AA0"/>
    <w:p w14:paraId="00284FF9"/>
    <w:p w14:paraId="3640C6FD"/>
    <w:p w14:paraId="755A702C"/>
    <w:p w14:paraId="3F16D029">
      <w:pPr>
        <w:sectPr>
          <w:pgSz w:w="11906" w:h="16838"/>
          <w:pgMar w:top="1134" w:right="1800" w:bottom="1134" w:left="1800" w:header="851" w:footer="992" w:gutter="0"/>
          <w:cols w:space="425" w:num="1"/>
          <w:docGrid w:type="lines" w:linePitch="312" w:charSpace="0"/>
        </w:sectPr>
      </w:pPr>
    </w:p>
    <w:p w14:paraId="534FD3C0">
      <w:pPr>
        <w:pStyle w:val="2"/>
        <w:keepNext/>
        <w:keepLines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00" w:after="100"/>
        <w:jc w:val="both"/>
        <w:textAlignment w:val="auto"/>
        <w:rPr>
          <w:rFonts w:hint="eastAsia"/>
        </w:rPr>
      </w:pPr>
      <w:bookmarkStart w:id="0" w:name="_Toc10065"/>
      <w:bookmarkStart w:id="1" w:name="_Toc144974876"/>
      <w:bookmarkStart w:id="2" w:name="_Toc7415"/>
      <w:bookmarkStart w:id="3" w:name="_Toc247514300"/>
      <w:bookmarkStart w:id="4" w:name="_Toc247527848"/>
      <w:bookmarkStart w:id="5" w:name="_Toc427002393"/>
      <w:bookmarkStart w:id="6" w:name="_Toc152045808"/>
      <w:bookmarkStart w:id="7" w:name="_Toc4916"/>
      <w:bookmarkStart w:id="8" w:name="_Toc152042597"/>
      <w:r>
        <w:rPr>
          <w:rFonts w:hint="eastAsia"/>
        </w:rPr>
        <w:t>报名</w:t>
      </w:r>
      <w:r>
        <w:rPr>
          <w:rFonts w:hint="eastAsia"/>
          <w:lang w:eastAsia="zh-CN"/>
        </w:rPr>
        <w:t>登记</w:t>
      </w:r>
      <w:r>
        <w:rPr>
          <w:rFonts w:hint="eastAsia"/>
        </w:rPr>
        <w:t>表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</w:p>
    <w:tbl>
      <w:tblPr>
        <w:tblStyle w:val="11"/>
        <w:tblW w:w="5461" w:type="pct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9"/>
        <w:gridCol w:w="1511"/>
        <w:gridCol w:w="1026"/>
        <w:gridCol w:w="1282"/>
        <w:gridCol w:w="2254"/>
        <w:gridCol w:w="1108"/>
        <w:gridCol w:w="1568"/>
      </w:tblGrid>
      <w:tr w14:paraId="68D6A6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300" w:type="pct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480E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811" w:type="pct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79A1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各潜在供应商名称</w:t>
            </w:r>
          </w:p>
        </w:tc>
        <w:tc>
          <w:tcPr>
            <w:tcW w:w="551" w:type="pct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583A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联系人</w:t>
            </w:r>
          </w:p>
        </w:tc>
        <w:tc>
          <w:tcPr>
            <w:tcW w:w="688" w:type="pct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571F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1210" w:type="pct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D833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联系邮箱</w:t>
            </w:r>
          </w:p>
          <w:p w14:paraId="50728C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（与报名邮箱一致）</w:t>
            </w:r>
          </w:p>
        </w:tc>
        <w:tc>
          <w:tcPr>
            <w:tcW w:w="595" w:type="pct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58519050">
            <w:pPr>
              <w:jc w:val="center"/>
              <w:rPr>
                <w:rFonts w:hint="eastAsi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是否为中小企业</w:t>
            </w:r>
          </w:p>
        </w:tc>
        <w:tc>
          <w:tcPr>
            <w:tcW w:w="842" w:type="pct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3A4ECD1A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 w14:paraId="1A8FA0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300" w:type="pct"/>
            <w:tcBorders>
              <w:top w:val="single" w:color="000000" w:sz="4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shd w:val="clear" w:color="auto" w:fill="auto"/>
            <w:vAlign w:val="center"/>
          </w:tcPr>
          <w:p w14:paraId="5786DE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811" w:type="pct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vAlign w:val="center"/>
          </w:tcPr>
          <w:p w14:paraId="06C8FEB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51" w:type="pct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vAlign w:val="center"/>
          </w:tcPr>
          <w:p w14:paraId="616E35B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88" w:type="pct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vAlign w:val="center"/>
          </w:tcPr>
          <w:p w14:paraId="5C95D7C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10" w:type="pct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vAlign w:val="center"/>
          </w:tcPr>
          <w:p w14:paraId="1656283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95" w:type="pct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BA05B9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42" w:type="pct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E0A861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</w:tbl>
    <w:p w14:paraId="5E16A6B5">
      <w:pPr>
        <w:numPr>
          <w:ilvl w:val="0"/>
          <w:numId w:val="0"/>
        </w:numPr>
        <w:rPr>
          <w:rFonts w:hint="eastAsia"/>
        </w:rPr>
      </w:pPr>
    </w:p>
    <w:p w14:paraId="4E5CFD16">
      <w:pPr>
        <w:pStyle w:val="2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00" w:after="100"/>
        <w:jc w:val="both"/>
        <w:textAlignment w:val="auto"/>
        <w:rPr>
          <w:rFonts w:hint="eastAsia"/>
          <w:lang w:val="en-US" w:eastAsia="zh-CN"/>
        </w:rPr>
      </w:pPr>
      <w:bookmarkStart w:id="9" w:name="_Toc7230"/>
      <w:bookmarkStart w:id="10" w:name="_Toc2669"/>
      <w:r>
        <w:rPr>
          <w:rFonts w:hint="eastAsia"/>
          <w:lang w:val="en-US" w:eastAsia="zh-CN"/>
        </w:rPr>
        <w:t>二、资质：</w:t>
      </w:r>
      <w:bookmarkEnd w:id="9"/>
    </w:p>
    <w:p w14:paraId="7F06158F">
      <w:pPr>
        <w:pStyle w:val="3"/>
        <w:bidi w:val="0"/>
        <w:rPr>
          <w:rFonts w:hint="eastAsia"/>
        </w:rPr>
      </w:pPr>
      <w:bookmarkStart w:id="11" w:name="_Toc21098"/>
      <w:r>
        <w:rPr>
          <w:rFonts w:hint="eastAsia"/>
          <w:lang w:val="en-US" w:eastAsia="zh-CN"/>
        </w:rPr>
        <w:t>2.1</w:t>
      </w:r>
      <w:r>
        <w:rPr>
          <w:rFonts w:hint="eastAsia"/>
        </w:rPr>
        <w:t>营业执照</w:t>
      </w:r>
      <w:bookmarkEnd w:id="10"/>
      <w:bookmarkEnd w:id="11"/>
      <w:bookmarkStart w:id="12" w:name="_Toc3036"/>
    </w:p>
    <w:p w14:paraId="40C1620F">
      <w:pPr>
        <w:pStyle w:val="3"/>
        <w:bidi w:val="0"/>
        <w:rPr>
          <w:rFonts w:hint="eastAsia"/>
          <w:lang w:val="en-US" w:eastAsia="zh-CN"/>
        </w:rPr>
      </w:pPr>
      <w:bookmarkStart w:id="13" w:name="_Toc16249"/>
      <w:r>
        <w:rPr>
          <w:rFonts w:hint="eastAsia"/>
          <w:lang w:val="en-US" w:eastAsia="zh-CN"/>
        </w:rPr>
        <w:t>2.1</w:t>
      </w:r>
      <w:r>
        <w:rPr>
          <w:rFonts w:hint="eastAsia"/>
          <w:lang w:eastAsia="zh-CN"/>
        </w:rPr>
        <w:t>法定代表人授权书</w:t>
      </w:r>
      <w:bookmarkEnd w:id="12"/>
      <w:bookmarkEnd w:id="13"/>
    </w:p>
    <w:p w14:paraId="3771381C">
      <w:pPr>
        <w:pStyle w:val="3"/>
        <w:bidi w:val="0"/>
        <w:rPr>
          <w:rFonts w:hint="eastAsia"/>
          <w:lang w:eastAsia="zh-CN"/>
        </w:rPr>
      </w:pPr>
      <w:bookmarkStart w:id="14" w:name="_Toc32583"/>
      <w:bookmarkStart w:id="15" w:name="_Toc5131"/>
      <w:r>
        <w:rPr>
          <w:rFonts w:hint="eastAsia"/>
          <w:lang w:val="en-US" w:eastAsia="zh-CN"/>
        </w:rPr>
        <w:t>2.3</w:t>
      </w:r>
      <w:r>
        <w:rPr>
          <w:rFonts w:hint="eastAsia"/>
          <w:lang w:eastAsia="zh-CN"/>
        </w:rPr>
        <w:t>法人及被授权人身份证</w:t>
      </w:r>
      <w:bookmarkEnd w:id="14"/>
      <w:bookmarkEnd w:id="15"/>
    </w:p>
    <w:p w14:paraId="3AA75AAA">
      <w:pPr>
        <w:pStyle w:val="3"/>
        <w:bidi w:val="0"/>
        <w:rPr>
          <w:rFonts w:hint="eastAsia"/>
          <w:lang w:eastAsia="zh-CN"/>
        </w:rPr>
      </w:pPr>
      <w:bookmarkStart w:id="16" w:name="_Toc22588"/>
      <w:bookmarkStart w:id="17" w:name="_Toc18909"/>
      <w:r>
        <w:rPr>
          <w:rFonts w:hint="eastAsia"/>
          <w:lang w:val="en-US" w:eastAsia="zh-CN"/>
        </w:rPr>
        <w:t>2.4</w:t>
      </w:r>
      <w:r>
        <w:rPr>
          <w:rFonts w:hint="eastAsia"/>
          <w:lang w:eastAsia="zh-CN"/>
        </w:rPr>
        <w:t>公司资质</w:t>
      </w:r>
      <w:bookmarkEnd w:id="16"/>
      <w:bookmarkEnd w:id="17"/>
    </w:p>
    <w:p w14:paraId="3B9E3166">
      <w:pPr>
        <w:pStyle w:val="3"/>
        <w:bidi w:val="0"/>
        <w:rPr>
          <w:rFonts w:hint="default"/>
          <w:lang w:val="en-US" w:eastAsia="zh-CN"/>
        </w:rPr>
      </w:pPr>
      <w:bookmarkStart w:id="18" w:name="_Toc12108"/>
      <w:r>
        <w:rPr>
          <w:rFonts w:hint="eastAsia"/>
          <w:lang w:val="en-US" w:eastAsia="zh-CN"/>
        </w:rPr>
        <w:t>2.5软件资质</w:t>
      </w:r>
      <w:bookmarkEnd w:id="18"/>
    </w:p>
    <w:p w14:paraId="04149700">
      <w:pPr>
        <w:pStyle w:val="3"/>
        <w:bidi w:val="0"/>
        <w:rPr>
          <w:rFonts w:hint="eastAsia"/>
          <w:lang w:eastAsia="zh-CN"/>
        </w:rPr>
      </w:pPr>
      <w:bookmarkStart w:id="19" w:name="_Toc11995"/>
      <w:bookmarkStart w:id="20" w:name="_Toc17878"/>
      <w:r>
        <w:rPr>
          <w:rFonts w:hint="eastAsia"/>
          <w:lang w:val="en-US" w:eastAsia="zh-CN"/>
        </w:rPr>
        <w:t>2.6本项目涉及</w:t>
      </w:r>
      <w:r>
        <w:rPr>
          <w:rFonts w:hint="eastAsia"/>
          <w:lang w:eastAsia="zh-CN"/>
        </w:rPr>
        <w:t>资质</w:t>
      </w:r>
      <w:bookmarkEnd w:id="19"/>
      <w:bookmarkEnd w:id="20"/>
    </w:p>
    <w:p w14:paraId="5F361545">
      <w:pPr>
        <w:pStyle w:val="3"/>
        <w:bidi w:val="0"/>
        <w:rPr>
          <w:rFonts w:hint="eastAsia" w:ascii="宋体" w:hAnsi="宋体" w:eastAsia="宋体" w:cs="宋体"/>
          <w:sz w:val="24"/>
          <w:szCs w:val="24"/>
        </w:rPr>
      </w:pPr>
      <w:bookmarkStart w:id="21" w:name="_Toc21787"/>
      <w:bookmarkStart w:id="22" w:name="_Toc10850"/>
      <w:r>
        <w:rPr>
          <w:rFonts w:hint="eastAsia"/>
          <w:b/>
          <w:lang w:val="en-US" w:eastAsia="zh-CN"/>
        </w:rPr>
        <w:t>2.7开发商委托销售授权函</w:t>
      </w:r>
      <w:bookmarkEnd w:id="21"/>
      <w:bookmarkEnd w:id="22"/>
    </w:p>
    <w:p w14:paraId="2D89F460">
      <w:pPr>
        <w:pStyle w:val="2"/>
        <w:keepNext/>
        <w:keepLines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00" w:after="100"/>
        <w:jc w:val="both"/>
        <w:textAlignment w:val="auto"/>
        <w:rPr>
          <w:rFonts w:hint="default"/>
          <w:lang w:val="en-US" w:eastAsia="zh-CN"/>
        </w:rPr>
      </w:pPr>
      <w:bookmarkStart w:id="23" w:name="_Toc20019"/>
      <w:r>
        <w:rPr>
          <w:rFonts w:hint="eastAsia"/>
          <w:lang w:val="en-US" w:eastAsia="zh-CN"/>
        </w:rPr>
        <w:t>三、单一来源说明及佐证材料</w:t>
      </w:r>
      <w:bookmarkEnd w:id="23"/>
    </w:p>
    <w:p w14:paraId="4A8FEC16">
      <w:pPr>
        <w:pStyle w:val="16"/>
        <w:rPr>
          <w:rFonts w:hint="eastAsia" w:ascii="宋体" w:hAnsi="宋体" w:eastAsia="宋体" w:cs="宋体"/>
          <w:sz w:val="24"/>
          <w:szCs w:val="24"/>
        </w:rPr>
      </w:pPr>
    </w:p>
    <w:p w14:paraId="0A2415B7">
      <w:pPr>
        <w:pStyle w:val="16"/>
        <w:rPr>
          <w:rFonts w:hint="eastAsia" w:ascii="宋体" w:hAnsi="宋体" w:eastAsia="宋体" w:cs="宋体"/>
          <w:sz w:val="24"/>
          <w:szCs w:val="24"/>
        </w:rPr>
      </w:pPr>
    </w:p>
    <w:p w14:paraId="00C60657">
      <w:pPr>
        <w:pStyle w:val="16"/>
        <w:rPr>
          <w:rFonts w:hint="eastAsia" w:ascii="宋体" w:hAnsi="宋体" w:eastAsia="宋体" w:cs="宋体"/>
          <w:sz w:val="24"/>
          <w:szCs w:val="24"/>
        </w:rPr>
      </w:pPr>
    </w:p>
    <w:p w14:paraId="022F31E4">
      <w:pPr>
        <w:pStyle w:val="16"/>
        <w:rPr>
          <w:rFonts w:hint="eastAsia" w:ascii="宋体" w:hAnsi="宋体" w:eastAsia="宋体" w:cs="宋体"/>
          <w:sz w:val="24"/>
          <w:szCs w:val="24"/>
        </w:rPr>
      </w:pPr>
    </w:p>
    <w:p w14:paraId="3FD28250">
      <w:pPr>
        <w:pStyle w:val="16"/>
        <w:rPr>
          <w:rFonts w:hint="eastAsia" w:ascii="宋体" w:hAnsi="宋体" w:eastAsia="宋体" w:cs="宋体"/>
          <w:sz w:val="24"/>
          <w:szCs w:val="24"/>
        </w:rPr>
      </w:pPr>
    </w:p>
    <w:p w14:paraId="642FBADD">
      <w:pPr>
        <w:rPr>
          <w:rFonts w:hint="eastAsia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53474EA3">
      <w:pPr>
        <w:pStyle w:val="2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00" w:after="100"/>
        <w:jc w:val="both"/>
        <w:textAlignment w:val="auto"/>
        <w:rPr>
          <w:rFonts w:hint="eastAsia"/>
          <w:lang w:val="en-US" w:eastAsia="zh-CN"/>
        </w:rPr>
      </w:pPr>
      <w:bookmarkStart w:id="24" w:name="_Toc20631"/>
      <w:r>
        <w:rPr>
          <w:rFonts w:hint="eastAsia"/>
          <w:lang w:val="en-US" w:eastAsia="zh-CN"/>
        </w:rPr>
        <w:t>四、项目调研情况一览汇总表</w:t>
      </w:r>
      <w:bookmarkEnd w:id="24"/>
    </w:p>
    <w:p w14:paraId="3E6C3BF6">
      <w:pPr>
        <w:pStyle w:val="6"/>
        <w:spacing w:line="360" w:lineRule="auto"/>
        <w:ind w:firstLine="720" w:firstLineChars="300"/>
        <w:rPr>
          <w:rFonts w:hint="eastAsia" w:ascii="仿宋" w:hAnsi="仿宋" w:eastAsia="仿宋" w:cs="仿宋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  <w:r>
        <w:rPr>
          <w:rFonts w:hint="eastAsia" w:ascii="仿宋" w:hAnsi="仿宋" w:eastAsia="仿宋" w:cs="仿宋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项目名称：信息化终端设备服务</w:t>
      </w:r>
      <w:r>
        <w:rPr>
          <w:rFonts w:hint="eastAsia" w:ascii="仿宋" w:hAnsi="仿宋" w:cs="仿宋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 xml:space="preserve">                                </w:t>
      </w:r>
      <w:r>
        <w:rPr>
          <w:rFonts w:hint="eastAsia" w:ascii="仿宋" w:hAnsi="仿宋" w:eastAsia="仿宋" w:cs="仿宋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采购品目分类名称：</w:t>
      </w:r>
    </w:p>
    <w:p w14:paraId="184F0710">
      <w:pPr>
        <w:pStyle w:val="6"/>
        <w:spacing w:line="360" w:lineRule="auto"/>
        <w:ind w:firstLine="720" w:firstLineChars="300"/>
        <w:rPr>
          <w:rFonts w:hint="eastAsia" w:ascii="仿宋" w:hAnsi="仿宋" w:eastAsia="仿宋" w:cs="仿宋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  <w:r>
        <w:rPr>
          <w:rFonts w:hint="eastAsia" w:ascii="仿宋" w:hAnsi="仿宋" w:cs="仿宋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各潜在供应商</w:t>
      </w:r>
      <w:r>
        <w:rPr>
          <w:rFonts w:hint="eastAsia" w:ascii="仿宋" w:hAnsi="仿宋" w:eastAsia="仿宋" w:cs="仿宋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名称：</w:t>
      </w:r>
      <w:r>
        <w:rPr>
          <w:rFonts w:hint="eastAsia" w:ascii="仿宋" w:hAnsi="仿宋" w:cs="仿宋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 xml:space="preserve">                                          </w:t>
      </w:r>
      <w:r>
        <w:rPr>
          <w:rFonts w:hint="eastAsia" w:ascii="仿宋" w:hAnsi="仿宋" w:eastAsia="仿宋" w:cs="仿宋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联系人及联系电话：</w:t>
      </w:r>
    </w:p>
    <w:p w14:paraId="4C2DD488">
      <w:pPr>
        <w:pStyle w:val="3"/>
        <w:bidi w:val="0"/>
        <w:rPr>
          <w:rFonts w:hint="default"/>
          <w:b/>
          <w:lang w:val="en-US" w:eastAsia="zh-CN"/>
        </w:rPr>
      </w:pPr>
      <w:bookmarkStart w:id="25" w:name="_Toc6483"/>
      <w:r>
        <w:rPr>
          <w:rFonts w:hint="eastAsia"/>
          <w:b/>
          <w:lang w:val="en-US" w:eastAsia="zh-CN"/>
        </w:rPr>
        <w:t>4.1报价表</w:t>
      </w:r>
      <w:bookmarkEnd w:id="25"/>
    </w:p>
    <w:tbl>
      <w:tblPr>
        <w:tblStyle w:val="11"/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865"/>
        <w:gridCol w:w="5570"/>
        <w:gridCol w:w="2650"/>
        <w:gridCol w:w="2510"/>
        <w:gridCol w:w="1350"/>
        <w:gridCol w:w="1444"/>
      </w:tblGrid>
      <w:tr w14:paraId="5B168C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5" w:hRule="atLeast"/>
          <w:jc w:val="center"/>
        </w:trPr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6AAC94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  <w:p w14:paraId="744F95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  <w:t>序号</w:t>
            </w:r>
          </w:p>
        </w:tc>
        <w:tc>
          <w:tcPr>
            <w:tcW w:w="5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448FF6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  <w:p w14:paraId="24A23E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  <w:t>服务名称</w:t>
            </w:r>
          </w:p>
        </w:tc>
        <w:tc>
          <w:tcPr>
            <w:tcW w:w="2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73FC78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  <w:p w14:paraId="382B33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  <w:t>服务期3年报价（万元）</w:t>
            </w:r>
          </w:p>
        </w:tc>
        <w:tc>
          <w:tcPr>
            <w:tcW w:w="25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68ED96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  <w:t>与技术服务要求相比是否有正负偏离（若有请详细例举）</w:t>
            </w: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5F63B0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  <w:t>在国内三甲医院用户案例</w:t>
            </w:r>
          </w:p>
        </w:tc>
        <w:tc>
          <w:tcPr>
            <w:tcW w:w="14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3D68E3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  <w:t>备注</w:t>
            </w:r>
          </w:p>
        </w:tc>
      </w:tr>
      <w:tr w14:paraId="1A0771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5" w:hRule="atLeast"/>
          <w:jc w:val="center"/>
        </w:trPr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18849F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  <w:t>1</w:t>
            </w:r>
          </w:p>
        </w:tc>
        <w:tc>
          <w:tcPr>
            <w:tcW w:w="5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5CDF8D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  <w:t>全院前端硬件设备维修维护服务</w:t>
            </w:r>
          </w:p>
        </w:tc>
        <w:tc>
          <w:tcPr>
            <w:tcW w:w="2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2C6C43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  <w:t> </w:t>
            </w:r>
          </w:p>
        </w:tc>
        <w:tc>
          <w:tcPr>
            <w:tcW w:w="25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4FC4A3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  <w:t> </w:t>
            </w: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403FFF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4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680C88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  <w:t> </w:t>
            </w:r>
          </w:p>
        </w:tc>
      </w:tr>
      <w:tr w14:paraId="53C254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5" w:hRule="atLeast"/>
          <w:jc w:val="center"/>
        </w:trPr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2C78F6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  <w:t>2</w:t>
            </w:r>
          </w:p>
        </w:tc>
        <w:tc>
          <w:tcPr>
            <w:tcW w:w="5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52BE40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  <w:t>办公设备周边耗材服务</w:t>
            </w:r>
          </w:p>
        </w:tc>
        <w:tc>
          <w:tcPr>
            <w:tcW w:w="2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540669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  <w:t> </w:t>
            </w:r>
          </w:p>
        </w:tc>
        <w:tc>
          <w:tcPr>
            <w:tcW w:w="25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2E4C77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  <w:t> </w:t>
            </w: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7E3715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4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5F45A775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default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66D110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5" w:hRule="atLeast"/>
          <w:jc w:val="center"/>
        </w:trPr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15D5E6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  <w:t>3</w:t>
            </w:r>
          </w:p>
        </w:tc>
        <w:tc>
          <w:tcPr>
            <w:tcW w:w="5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47E82F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  <w:t>运维软件服务</w:t>
            </w:r>
          </w:p>
        </w:tc>
        <w:tc>
          <w:tcPr>
            <w:tcW w:w="2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063A36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  <w:t> </w:t>
            </w:r>
          </w:p>
        </w:tc>
        <w:tc>
          <w:tcPr>
            <w:tcW w:w="25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23B13F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  <w:t> </w:t>
            </w: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1602F2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4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526594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  <w:t> </w:t>
            </w:r>
          </w:p>
        </w:tc>
      </w:tr>
      <w:tr w14:paraId="1B2939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5" w:hRule="atLeast"/>
          <w:jc w:val="center"/>
        </w:trPr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379CEC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  <w:t>4</w:t>
            </w:r>
          </w:p>
        </w:tc>
        <w:tc>
          <w:tcPr>
            <w:tcW w:w="5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18F7F4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  <w:t>网络日常维护服务</w:t>
            </w:r>
          </w:p>
        </w:tc>
        <w:tc>
          <w:tcPr>
            <w:tcW w:w="2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5FF834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  <w:t> </w:t>
            </w:r>
          </w:p>
        </w:tc>
        <w:tc>
          <w:tcPr>
            <w:tcW w:w="25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5EA645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  <w:t> </w:t>
            </w: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6D93D1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4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4B9C16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  <w:t> </w:t>
            </w:r>
          </w:p>
        </w:tc>
      </w:tr>
      <w:tr w14:paraId="689EC3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5" w:hRule="atLeast"/>
          <w:jc w:val="center"/>
        </w:trPr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1F7852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  <w:t>5</w:t>
            </w:r>
          </w:p>
        </w:tc>
        <w:tc>
          <w:tcPr>
            <w:tcW w:w="5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5E9FDB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  <w:t>突发紧急重大故障处理服务</w:t>
            </w:r>
          </w:p>
        </w:tc>
        <w:tc>
          <w:tcPr>
            <w:tcW w:w="2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1CADA2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  <w:t> </w:t>
            </w:r>
          </w:p>
        </w:tc>
        <w:tc>
          <w:tcPr>
            <w:tcW w:w="25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5EF7FE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  <w:t> </w:t>
            </w: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020345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4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66C1FE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  <w:t> </w:t>
            </w:r>
          </w:p>
        </w:tc>
      </w:tr>
      <w:tr w14:paraId="532E26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5" w:hRule="atLeast"/>
          <w:jc w:val="center"/>
        </w:trPr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79F8CD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  <w:t>6</w:t>
            </w:r>
          </w:p>
        </w:tc>
        <w:tc>
          <w:tcPr>
            <w:tcW w:w="5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0742FC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  <w:t>设备健康检查及技术顾问服务</w:t>
            </w:r>
          </w:p>
        </w:tc>
        <w:tc>
          <w:tcPr>
            <w:tcW w:w="2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4A865C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  <w:t> </w:t>
            </w:r>
          </w:p>
        </w:tc>
        <w:tc>
          <w:tcPr>
            <w:tcW w:w="25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2D70CC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  <w:t> </w:t>
            </w: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54A934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4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5EA07F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  <w:t> </w:t>
            </w:r>
          </w:p>
        </w:tc>
      </w:tr>
      <w:tr w14:paraId="085E08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5" w:hRule="atLeast"/>
          <w:jc w:val="center"/>
        </w:trPr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61D0A3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  <w:t>7</w:t>
            </w:r>
          </w:p>
        </w:tc>
        <w:tc>
          <w:tcPr>
            <w:tcW w:w="5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2BBB84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  <w:t>备品备件库服务</w:t>
            </w:r>
          </w:p>
        </w:tc>
        <w:tc>
          <w:tcPr>
            <w:tcW w:w="2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7E24E3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  <w:t> </w:t>
            </w:r>
          </w:p>
        </w:tc>
        <w:tc>
          <w:tcPr>
            <w:tcW w:w="25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4515D4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  <w:t> </w:t>
            </w: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48D083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4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7B048C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  <w:t> </w:t>
            </w:r>
          </w:p>
        </w:tc>
      </w:tr>
      <w:tr w14:paraId="6C3C8D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5" w:hRule="atLeast"/>
          <w:jc w:val="center"/>
        </w:trPr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7FE6BE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  <w:t>8</w:t>
            </w:r>
          </w:p>
        </w:tc>
        <w:tc>
          <w:tcPr>
            <w:tcW w:w="5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4C18F0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  <w:t>机房、弱电井日常运维服务</w:t>
            </w:r>
          </w:p>
        </w:tc>
        <w:tc>
          <w:tcPr>
            <w:tcW w:w="2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23A8DF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  <w:t> </w:t>
            </w:r>
          </w:p>
        </w:tc>
        <w:tc>
          <w:tcPr>
            <w:tcW w:w="25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1EFC57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  <w:t> </w:t>
            </w: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318C1F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4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7AD52D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  <w:t> </w:t>
            </w:r>
          </w:p>
        </w:tc>
      </w:tr>
      <w:tr w14:paraId="09EAC2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5" w:hRule="atLeast"/>
          <w:jc w:val="center"/>
        </w:trPr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011785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  <w:t>9</w:t>
            </w:r>
          </w:p>
        </w:tc>
        <w:tc>
          <w:tcPr>
            <w:tcW w:w="5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707E38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  <w:t>中心机房专业运行维护服务</w:t>
            </w:r>
          </w:p>
        </w:tc>
        <w:tc>
          <w:tcPr>
            <w:tcW w:w="2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2BCF13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  <w:t> </w:t>
            </w:r>
          </w:p>
        </w:tc>
        <w:tc>
          <w:tcPr>
            <w:tcW w:w="25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1C32BD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  <w:t> </w:t>
            </w: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6D749D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4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019856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  <w:t> </w:t>
            </w:r>
          </w:p>
        </w:tc>
      </w:tr>
      <w:tr w14:paraId="0ED207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5" w:hRule="atLeast"/>
          <w:jc w:val="center"/>
        </w:trPr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31CAD933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/>
              </w:rPr>
              <w:t> </w:t>
            </w:r>
          </w:p>
        </w:tc>
        <w:tc>
          <w:tcPr>
            <w:tcW w:w="5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3250EAAD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pacing w:val="0"/>
                <w:w w:val="100"/>
                <w:sz w:val="18"/>
                <w:szCs w:val="18"/>
                <w:vertAlign w:val="baseline"/>
              </w:rPr>
              <w:t>总报价</w:t>
            </w:r>
          </w:p>
        </w:tc>
        <w:tc>
          <w:tcPr>
            <w:tcW w:w="2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3F274F13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/>
              </w:rPr>
              <w:t> </w:t>
            </w:r>
          </w:p>
        </w:tc>
        <w:tc>
          <w:tcPr>
            <w:tcW w:w="25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2EB802B7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/>
              </w:rPr>
              <w:t> </w:t>
            </w: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32E2F30F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/>
              </w:rPr>
            </w:pPr>
          </w:p>
        </w:tc>
        <w:tc>
          <w:tcPr>
            <w:tcW w:w="14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22BC1607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/>
              </w:rPr>
              <w:t> </w:t>
            </w:r>
          </w:p>
        </w:tc>
      </w:tr>
    </w:tbl>
    <w:p w14:paraId="59D44AE5">
      <w:pPr>
        <w:rPr>
          <w:rFonts w:hint="eastAsia"/>
          <w:lang w:val="en-US" w:eastAsia="zh-CN"/>
        </w:rPr>
        <w:sectPr>
          <w:pgSz w:w="16838" w:h="11906" w:orient="landscape"/>
          <w:pgMar w:top="1134" w:right="1134" w:bottom="567" w:left="1134" w:header="851" w:footer="992" w:gutter="0"/>
          <w:cols w:space="425" w:num="1"/>
          <w:docGrid w:type="lines" w:linePitch="312" w:charSpace="0"/>
        </w:sectPr>
      </w:pPr>
    </w:p>
    <w:p w14:paraId="1D271A12">
      <w:pPr>
        <w:pStyle w:val="3"/>
        <w:bidi w:val="0"/>
        <w:rPr>
          <w:rFonts w:hint="default"/>
          <w:b/>
          <w:lang w:val="en-US" w:eastAsia="zh-CN"/>
        </w:rPr>
      </w:pPr>
      <w:bookmarkStart w:id="26" w:name="_Toc17174"/>
      <w:r>
        <w:rPr>
          <w:rFonts w:hint="eastAsia"/>
          <w:b/>
          <w:lang w:val="en-US" w:eastAsia="zh-CN"/>
        </w:rPr>
        <w:t>4.2服务要求</w:t>
      </w:r>
      <w:bookmarkEnd w:id="26"/>
    </w:p>
    <w:tbl>
      <w:tblPr>
        <w:tblStyle w:val="11"/>
        <w:tblW w:w="9655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1"/>
        <w:gridCol w:w="2334"/>
        <w:gridCol w:w="6570"/>
      </w:tblGrid>
      <w:tr w14:paraId="3189CE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75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10BAB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233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42B7B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服务名称</w:t>
            </w:r>
          </w:p>
        </w:tc>
        <w:tc>
          <w:tcPr>
            <w:tcW w:w="65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A6945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服务内容描述</w:t>
            </w:r>
          </w:p>
        </w:tc>
      </w:tr>
      <w:tr w14:paraId="3F361D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0" w:hRule="atLeast"/>
          <w:jc w:val="center"/>
        </w:trPr>
        <w:tc>
          <w:tcPr>
            <w:tcW w:w="75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76F20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33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2A74B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全院前端硬件设备维修维护服务</w:t>
            </w:r>
          </w:p>
        </w:tc>
        <w:tc>
          <w:tcPr>
            <w:tcW w:w="65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9883CCF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全院前端硬件设备维修维护服务覆盖全院一体机、台式机、笔记本、显示器、打印机等各类办公外设的全生命周期运维，具体包含以下内容：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br w:type="textWrapping"/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br w:type="textWrapping"/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（一）硬件维修维护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br w:type="textWrapping"/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1. 提供月度巡检、季度深度保养、年度设备评估；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br w:type="textWrapping"/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2. 7×24小时分级故障报修上门维修，按业务优先级承诺响应修复时限；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br w:type="textWrapping"/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3. 院内常备备件库，故障设备免费替换备用机；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br w:type="textWrapping"/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4. LED屏幕、自助机、叫号屏幕、落地广告屏幕等的日常巡检和日常故障排查处理（包工包料），含配件维修、更换、迁移、线路规整、耗材提供等。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br w:type="textWrapping"/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br w:type="textWrapping"/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（二）系统与软件维护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br w:type="textWrapping"/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 xml:space="preserve">1. 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  <w:lang w:val="en-US" w:eastAsia="zh-CN"/>
              </w:rPr>
              <w:t>全院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电脑操作系统安装与重装（Windows系列），含驱动程序安装调试</w:t>
            </w:r>
            <w:r>
              <w:rPr>
                <w:rFonts w:hint="eastAsia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  <w:lang w:eastAsia="zh-CN"/>
              </w:rPr>
              <w:t>（</w:t>
            </w:r>
            <w:r>
              <w:rPr>
                <w:rFonts w:hint="eastAsia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  <w:lang w:val="en-US" w:eastAsia="zh-CN"/>
              </w:rPr>
              <w:t>非新购电脑</w:t>
            </w:r>
            <w:r>
              <w:rPr>
                <w:rFonts w:hint="eastAsia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  <w:lang w:eastAsia="zh-CN"/>
              </w:rPr>
              <w:t>）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；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br w:type="textWrapping"/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2. 医院各类应用软件（HIS/LIS/PACS/电子病历等客户端）的安装部署、升级更新、故障调试；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br w:type="textWrapping"/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3. 科室搬迁时的电脑拆装、系统调试、外设重新部署；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br w:type="textWrapping"/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4. 报废设备的数据安全销毁（硬盘数据擦除或物理销毁）；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br w:type="textWrapping"/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 w:themeColor="text1"/>
                <w:spacing w:val="0"/>
                <w:w w:val="100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  <w:t>5. 信息安全基础运维（杀毒软件安装更新、系统补丁升级、病毒查杀处置）。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 w:themeColor="text1"/>
                <w:spacing w:val="0"/>
                <w:w w:val="100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br w:type="textWrapping"/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（三）服务管理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br w:type="textWrapping"/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1. 配备固定驻场工程师，定期提交运维台账、故障分析报告；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br w:type="textWrapping"/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2. 严格遵守医院保密、院感管理要求；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br w:type="textWrapping"/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3. 按月开展服务质量考核；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br w:type="textWrapping"/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4. 每季度提供设备使用培训；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br w:type="textWrapping"/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5. 重大业务期间驻场应急保障。</w:t>
            </w:r>
          </w:p>
        </w:tc>
      </w:tr>
      <w:tr w14:paraId="6687F2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0" w:hRule="atLeast"/>
          <w:jc w:val="center"/>
        </w:trPr>
        <w:tc>
          <w:tcPr>
            <w:tcW w:w="75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6884F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233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A6A14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办公设备周边耗材服务</w:t>
            </w:r>
          </w:p>
        </w:tc>
        <w:tc>
          <w:tcPr>
            <w:tcW w:w="65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CC3A5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2"/>
                <w:sz w:val="21"/>
                <w:szCs w:val="21"/>
                <w:vertAlign w:val="baseline"/>
                <w:lang w:val="en-US" w:eastAsia="zh-CN" w:bidi="ar-SA"/>
              </w:rPr>
              <w:t>为全院办公设备周边耗材一体化服务，覆盖全院打印机、复印机、票据设备、电脑外设全部打印纸、硒鼓、墨盒、色带、热敏标签纸、数据线、易损小件等耗材；提供原厂/合规兼容耗材按需极速配送，分业务优先级承诺送达时效；院内设立耗材周转库存，实行耗材代管、月度盘点；配送同步免费提供打印机清洁、卡纸调试等配套维护；免费上门回收废旧危废耗材并建立回收台账；提供耗材使用培训、应急驻场保障、月度消耗统计报表，全程保障收费、临床诊疗设备耗材不间断供</w:t>
            </w:r>
            <w:bookmarkStart w:id="34" w:name="_GoBack"/>
            <w:bookmarkEnd w:id="34"/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2"/>
                <w:sz w:val="21"/>
                <w:szCs w:val="21"/>
                <w:vertAlign w:val="baseline"/>
                <w:lang w:val="en-US" w:eastAsia="zh-CN" w:bidi="ar-SA"/>
              </w:rPr>
              <w:t>应。</w:t>
            </w:r>
          </w:p>
        </w:tc>
      </w:tr>
      <w:tr w14:paraId="6B00CB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75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86A33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233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4FDDA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运维软件服务</w:t>
            </w:r>
          </w:p>
        </w:tc>
        <w:tc>
          <w:tcPr>
            <w:tcW w:w="65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84E1C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2"/>
                <w:sz w:val="21"/>
                <w:szCs w:val="21"/>
                <w:vertAlign w:val="baseline"/>
                <w:lang w:val="en-US" w:eastAsia="zh-CN" w:bidi="ar-SA"/>
              </w:rPr>
              <w:t>以现有运维派单软件运行现状、临床及后勤运维痛点、医院信息化运维管理规范为基础，保留原有成熟核心能力，针对现有系统短板、业务流程漏洞、适配性不足等问题进行迭代升级，同时贴合医院设备运维、信息化运维、后勤设施运维的全场景工作需求，实现派单智能化、流程规范化、管理精细化、数据可视化、运维可溯源，全面提升医院运维工作效率与服务质量。主要包括：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2"/>
                <w:sz w:val="21"/>
                <w:szCs w:val="21"/>
                <w:vertAlign w:val="baseline"/>
                <w:lang w:val="en-US" w:eastAsia="zh-CN" w:bidi="ar-SA"/>
              </w:rPr>
              <w:br w:type="textWrapping"/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2"/>
                <w:sz w:val="21"/>
                <w:szCs w:val="21"/>
                <w:vertAlign w:val="baseline"/>
                <w:lang w:val="en-US" w:eastAsia="zh-CN" w:bidi="ar-SA"/>
              </w:rPr>
              <w:t>一、总体建设原则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2"/>
                <w:sz w:val="21"/>
                <w:szCs w:val="21"/>
                <w:vertAlign w:val="baseline"/>
                <w:lang w:val="en-US" w:eastAsia="zh-CN" w:bidi="ar-SA"/>
              </w:rPr>
              <w:br w:type="textWrapping"/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2"/>
                <w:sz w:val="21"/>
                <w:szCs w:val="21"/>
                <w:vertAlign w:val="baseline"/>
                <w:lang w:val="en-US" w:eastAsia="zh-CN" w:bidi="ar-SA"/>
              </w:rPr>
              <w:t>1. 兼容延续性：完全兼容现有系统历史数据、用户权限、对接接口、业务流程，实现新旧系统无缝切换，历史工单、派单记录、运维档案完整迁移，不丢失任何原始数据，医护及运维人员无需大幅更改操作习惯。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2"/>
                <w:sz w:val="21"/>
                <w:szCs w:val="21"/>
                <w:vertAlign w:val="baseline"/>
                <w:lang w:val="en-US" w:eastAsia="zh-CN" w:bidi="ar-SA"/>
              </w:rPr>
              <w:br w:type="textWrapping"/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2"/>
                <w:sz w:val="21"/>
                <w:szCs w:val="21"/>
                <w:vertAlign w:val="baseline"/>
                <w:lang w:val="en-US" w:eastAsia="zh-CN" w:bidi="ar-SA"/>
              </w:rPr>
              <w:t>2. 痛点优化性：针对现有系统派单人工干预多、智能分配弱、超时无预警、溯源能力差、数据统计单一、移动端适配差、特殊场景派单缺失等问题进行专项优化升级。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2"/>
                <w:sz w:val="21"/>
                <w:szCs w:val="21"/>
                <w:vertAlign w:val="baseline"/>
                <w:lang w:val="en-US" w:eastAsia="zh-CN" w:bidi="ar-SA"/>
              </w:rPr>
              <w:br w:type="textWrapping"/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2"/>
                <w:sz w:val="21"/>
                <w:szCs w:val="21"/>
                <w:vertAlign w:val="baseline"/>
                <w:lang w:val="en-US" w:eastAsia="zh-CN" w:bidi="ar-SA"/>
              </w:rPr>
              <w:t>3. 医院场景适配性：贴合医院7×24小时不间断运维、急诊优先、科室优先级区分、设备维保周期、突发故障应急派单等医疗行业专属场景，区别于通用运维派单系统。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2"/>
                <w:sz w:val="21"/>
                <w:szCs w:val="21"/>
                <w:vertAlign w:val="baseline"/>
                <w:lang w:val="en-US" w:eastAsia="zh-CN" w:bidi="ar-SA"/>
              </w:rPr>
              <w:br w:type="textWrapping"/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2"/>
                <w:sz w:val="21"/>
                <w:szCs w:val="21"/>
                <w:vertAlign w:val="baseline"/>
                <w:lang w:val="en-US" w:eastAsia="zh-CN" w:bidi="ar-SA"/>
              </w:rPr>
              <w:t>4. 安全合规性：符合医院等保要求、医疗数据安全规范，运维工单、设备信息、科室数据全程加密，操作留痕、权限分级，杜绝数据泄露、误操作篡改问题。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2"/>
                <w:sz w:val="21"/>
                <w:szCs w:val="21"/>
                <w:vertAlign w:val="baseline"/>
                <w:lang w:val="en-US" w:eastAsia="zh-CN" w:bidi="ar-SA"/>
              </w:rPr>
              <w:br w:type="textWrapping"/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2"/>
                <w:sz w:val="21"/>
                <w:szCs w:val="21"/>
                <w:vertAlign w:val="baseline"/>
                <w:lang w:val="en-US" w:eastAsia="zh-CN" w:bidi="ar-SA"/>
              </w:rPr>
              <w:t>二、基础能力保留与优化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2"/>
                <w:sz w:val="21"/>
                <w:szCs w:val="21"/>
                <w:vertAlign w:val="baseline"/>
                <w:lang w:val="en-US" w:eastAsia="zh-CN" w:bidi="ar-SA"/>
              </w:rPr>
              <w:br w:type="textWrapping"/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2"/>
                <w:sz w:val="21"/>
                <w:szCs w:val="21"/>
                <w:vertAlign w:val="baseline"/>
                <w:lang w:val="en-US" w:eastAsia="zh-CN" w:bidi="ar-SA"/>
              </w:rPr>
              <w:t>保留现有系统工单创建、手动派单、人员绑定、基础流程流转、简单状态更新、基础用户管理等核心功能，并进行功能优化、体验升级、效率提升。提供至少三台报故障座机电话，并且三台座机可并发。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2"/>
                <w:sz w:val="21"/>
                <w:szCs w:val="21"/>
                <w:vertAlign w:val="baseline"/>
                <w:lang w:val="en-US" w:eastAsia="zh-CN" w:bidi="ar-SA"/>
              </w:rPr>
              <w:br w:type="textWrapping"/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2"/>
                <w:sz w:val="21"/>
                <w:szCs w:val="21"/>
                <w:vertAlign w:val="baseline"/>
                <w:lang w:val="en-US" w:eastAsia="zh-CN" w:bidi="ar-SA"/>
              </w:rPr>
              <w:t>1. 工单管理模块升级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2"/>
                <w:sz w:val="21"/>
                <w:szCs w:val="21"/>
                <w:vertAlign w:val="baseline"/>
                <w:lang w:val="en-US" w:eastAsia="zh-CN" w:bidi="ar-SA"/>
              </w:rPr>
              <w:br w:type="textWrapping"/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2"/>
                <w:sz w:val="21"/>
                <w:szCs w:val="21"/>
                <w:vertAlign w:val="baseline"/>
                <w:lang w:val="en-US" w:eastAsia="zh-CN" w:bidi="ar-SA"/>
              </w:rPr>
              <w:t>优化现有工单创建模式，新增多渠道工单录入能力，解决原有工单信息填写不规范、字段缺失、分类混乱等问题。支持科室人员PC端、移动端自主报单、电话代录工单、系统自动触发工单（设备到期维保、故障预警）；完善工单字段体系，新增医疗设备类型、故障等级、紧急程度、就诊影响范围、所需运维技能、配件需求等医疗专属字段；支持工单草稿、修改、撤回、补录、加急申请等操作，杜绝无效工单、信息残缺工单流转。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2"/>
                <w:sz w:val="21"/>
                <w:szCs w:val="21"/>
                <w:vertAlign w:val="baseline"/>
                <w:lang w:val="en-US" w:eastAsia="zh-CN" w:bidi="ar-SA"/>
              </w:rPr>
              <w:br w:type="textWrapping"/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2"/>
                <w:sz w:val="21"/>
                <w:szCs w:val="21"/>
                <w:vertAlign w:val="baseline"/>
                <w:lang w:val="en-US" w:eastAsia="zh-CN" w:bidi="ar-SA"/>
              </w:rPr>
              <w:t>2. 基础派单功能优化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2"/>
                <w:sz w:val="21"/>
                <w:szCs w:val="21"/>
                <w:vertAlign w:val="baseline"/>
                <w:lang w:val="en-US" w:eastAsia="zh-CN" w:bidi="ar-SA"/>
              </w:rPr>
              <w:br w:type="textWrapping"/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2"/>
                <w:sz w:val="21"/>
                <w:szCs w:val="21"/>
                <w:vertAlign w:val="baseline"/>
                <w:lang w:val="en-US" w:eastAsia="zh-CN" w:bidi="ar-SA"/>
              </w:rPr>
              <w:t>保留人工手动派单、指定运维人员派单功能，优化原有派单操作繁琐、批量派单困难的问题。支持批量工单统一派单、批量改派、批量完结；支持按时间段、科室、运维人员筛选待排工单；优化派单界面布局，直观展示人员在岗状态、当前工单量、空闲时段，辅助人工精准派单，避免人员过载、工单积压。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2"/>
                <w:sz w:val="21"/>
                <w:szCs w:val="21"/>
                <w:vertAlign w:val="baseline"/>
                <w:lang w:val="en-US" w:eastAsia="zh-CN" w:bidi="ar-SA"/>
              </w:rPr>
              <w:br w:type="textWrapping"/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2"/>
                <w:sz w:val="21"/>
                <w:szCs w:val="21"/>
                <w:vertAlign w:val="baseline"/>
                <w:lang w:val="en-US" w:eastAsia="zh-CN" w:bidi="ar-SA"/>
              </w:rPr>
              <w:t>3. 工单流转状态完善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2"/>
                <w:sz w:val="21"/>
                <w:szCs w:val="21"/>
                <w:vertAlign w:val="baseline"/>
                <w:lang w:val="en-US" w:eastAsia="zh-CN" w:bidi="ar-SA"/>
              </w:rPr>
              <w:br w:type="textWrapping"/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2"/>
                <w:sz w:val="21"/>
                <w:szCs w:val="21"/>
                <w:vertAlign w:val="baseline"/>
                <w:lang w:val="en-US" w:eastAsia="zh-CN" w:bidi="ar-SA"/>
              </w:rPr>
              <w:t>优化现有工单状态单一、流程断层问题，细化全流程状态：待派单、已派单、运维中、待回访、已完结、超时未处理、撤销、返修、暂缓处理。每个状态流转自动留痕，记录操作人、操作时间、操作备注，解决原有流程无法溯源、状态混乱的问题。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2"/>
                <w:sz w:val="21"/>
                <w:szCs w:val="21"/>
                <w:vertAlign w:val="baseline"/>
                <w:lang w:val="en-US" w:eastAsia="zh-CN" w:bidi="ar-SA"/>
              </w:rPr>
              <w:br w:type="textWrapping"/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2"/>
                <w:sz w:val="21"/>
                <w:szCs w:val="21"/>
                <w:vertAlign w:val="baseline"/>
                <w:lang w:val="en-US" w:eastAsia="zh-CN" w:bidi="ar-SA"/>
              </w:rPr>
              <w:t>三、全流程运维管理服务升级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2"/>
                <w:sz w:val="21"/>
                <w:szCs w:val="21"/>
                <w:vertAlign w:val="baseline"/>
                <w:lang w:val="en-US" w:eastAsia="zh-CN" w:bidi="ar-SA"/>
              </w:rPr>
              <w:br w:type="textWrapping"/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2"/>
                <w:sz w:val="21"/>
                <w:szCs w:val="21"/>
                <w:vertAlign w:val="baseline"/>
                <w:lang w:val="en-US" w:eastAsia="zh-CN" w:bidi="ar-SA"/>
              </w:rPr>
              <w:t>1. 运维过程精细化管控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2"/>
                <w:sz w:val="21"/>
                <w:szCs w:val="21"/>
                <w:vertAlign w:val="baseline"/>
                <w:lang w:val="en-US" w:eastAsia="zh-CN" w:bidi="ar-SA"/>
              </w:rPr>
              <w:br w:type="textWrapping"/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2"/>
                <w:sz w:val="21"/>
                <w:szCs w:val="21"/>
                <w:vertAlign w:val="baseline"/>
                <w:lang w:val="en-US" w:eastAsia="zh-CN" w:bidi="ar-SA"/>
              </w:rPr>
              <w:t>优化现有系统仅记录首尾状态的问题，新增运维过程全记录功能。运维人员接单后可实时更新进度、上传故障照片、填写排查日志、记录配件更换信息、标注故障原因；支持现场签到、位置核验，杜绝虚假运维；返修工单自动关联历史故障记录，方便溯源排查重复故障问题。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2"/>
                <w:sz w:val="21"/>
                <w:szCs w:val="21"/>
                <w:vertAlign w:val="baseline"/>
                <w:lang w:val="en-US" w:eastAsia="zh-CN" w:bidi="ar-SA"/>
              </w:rPr>
              <w:br w:type="textWrapping"/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2"/>
                <w:sz w:val="21"/>
                <w:szCs w:val="21"/>
                <w:vertAlign w:val="baseline"/>
                <w:lang w:val="en-US" w:eastAsia="zh-CN" w:bidi="ar-SA"/>
              </w:rPr>
              <w:t>2. 电脑打印机维修明细统计台账与耗材服务统计台账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2"/>
                <w:sz w:val="21"/>
                <w:szCs w:val="21"/>
                <w:vertAlign w:val="baseline"/>
                <w:lang w:val="en-US" w:eastAsia="zh-CN" w:bidi="ar-SA"/>
              </w:rPr>
              <w:br w:type="textWrapping"/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2"/>
                <w:sz w:val="21"/>
                <w:szCs w:val="21"/>
                <w:vertAlign w:val="baseline"/>
                <w:lang w:val="en-US" w:eastAsia="zh-CN" w:bidi="ar-SA"/>
              </w:rPr>
              <w:t>统计电脑、打印机等前端设备的故障报修记录、维修工单、配件更换明细、维修费用，形成设备维修全流程明细台账；关联耗材申领配送记录，按科室、设备类型、耗材品类自动汇总统计打印纸、硒鼓、墨盒、色带等耗材使用量与费用，生成耗材消耗明细报表与月度/年度统计分析，替代原有人工统计模式，为设备维修成本核算、耗材预算编制、设备更新评估提供精准数据支撑。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2"/>
                <w:sz w:val="21"/>
                <w:szCs w:val="21"/>
                <w:vertAlign w:val="baseline"/>
                <w:lang w:val="en-US" w:eastAsia="zh-CN" w:bidi="ar-SA"/>
              </w:rPr>
              <w:br w:type="textWrapping"/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2"/>
                <w:sz w:val="21"/>
                <w:szCs w:val="21"/>
                <w:vertAlign w:val="baseline"/>
                <w:lang w:val="en-US" w:eastAsia="zh-CN" w:bidi="ar-SA"/>
              </w:rPr>
              <w:t>四、数据统计与可视化分析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2"/>
                <w:sz w:val="21"/>
                <w:szCs w:val="21"/>
                <w:vertAlign w:val="baseline"/>
                <w:lang w:val="en-US" w:eastAsia="zh-CN" w:bidi="ar-SA"/>
              </w:rPr>
              <w:br w:type="textWrapping"/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2"/>
                <w:sz w:val="21"/>
                <w:szCs w:val="21"/>
                <w:vertAlign w:val="baseline"/>
                <w:lang w:val="en-US" w:eastAsia="zh-CN" w:bidi="ar-SA"/>
              </w:rPr>
              <w:t>提供全方位数据报表与可视化看板，实现运维数据可查、可析、可管。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2"/>
                <w:sz w:val="21"/>
                <w:szCs w:val="21"/>
                <w:vertAlign w:val="baseline"/>
                <w:lang w:val="en-US" w:eastAsia="zh-CN" w:bidi="ar-SA"/>
              </w:rPr>
              <w:br w:type="textWrapping"/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2"/>
                <w:sz w:val="21"/>
                <w:szCs w:val="21"/>
                <w:vertAlign w:val="baseline"/>
                <w:lang w:val="en-US" w:eastAsia="zh-CN" w:bidi="ar-SA"/>
              </w:rPr>
              <w:t>1. 基础数据统计：自动统计每日/每月/每年工单总量、已完结、超时、撤销、返修工单数量，科室报修频次、运维人员工作量、工单完成率、及时率、满意度评分。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2"/>
                <w:sz w:val="21"/>
                <w:szCs w:val="21"/>
                <w:vertAlign w:val="baseline"/>
                <w:lang w:val="en-US" w:eastAsia="zh-CN" w:bidi="ar-SA"/>
              </w:rPr>
              <w:br w:type="textWrapping"/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2"/>
                <w:sz w:val="21"/>
                <w:szCs w:val="21"/>
                <w:vertAlign w:val="baseline"/>
                <w:lang w:val="en-US" w:eastAsia="zh-CN" w:bidi="ar-SA"/>
              </w:rPr>
              <w:t>2. 故障数据分析：按设备类型、科室、故障原因统计高频故障问题，输出故障分析报表，为设备预防性维保、设备更新换代提供数据依据。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2"/>
                <w:sz w:val="21"/>
                <w:szCs w:val="21"/>
                <w:vertAlign w:val="baseline"/>
                <w:lang w:val="en-US" w:eastAsia="zh-CN" w:bidi="ar-SA"/>
              </w:rPr>
              <w:br w:type="textWrapping"/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2"/>
                <w:sz w:val="21"/>
                <w:szCs w:val="21"/>
                <w:vertAlign w:val="baseline"/>
                <w:lang w:val="en-US" w:eastAsia="zh-CN" w:bidi="ar-SA"/>
              </w:rPr>
              <w:t>3. 可视化大屏：支持运维态势大屏展示，实时展示当前待处理工单、在岗运维人员、超时工单、各科室运维状态，让管理人员直观掌握全院运维工作全貌。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2"/>
                <w:sz w:val="21"/>
                <w:szCs w:val="21"/>
                <w:vertAlign w:val="baseline"/>
                <w:lang w:val="en-US" w:eastAsia="zh-CN" w:bidi="ar-SA"/>
              </w:rPr>
              <w:br w:type="textWrapping"/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2"/>
                <w:sz w:val="21"/>
                <w:szCs w:val="21"/>
                <w:vertAlign w:val="baseline"/>
                <w:lang w:val="en-US" w:eastAsia="zh-CN" w:bidi="ar-SA"/>
              </w:rPr>
              <w:t>五、系统适配与对接服务要求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2"/>
                <w:sz w:val="21"/>
                <w:szCs w:val="21"/>
                <w:vertAlign w:val="baseline"/>
                <w:lang w:val="en-US" w:eastAsia="zh-CN" w:bidi="ar-SA"/>
              </w:rPr>
              <w:br w:type="textWrapping"/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2"/>
                <w:sz w:val="21"/>
                <w:szCs w:val="21"/>
                <w:vertAlign w:val="baseline"/>
                <w:lang w:val="en-US" w:eastAsia="zh-CN" w:bidi="ar-SA"/>
              </w:rPr>
              <w:t>1. 新旧系统数据迁移服务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2"/>
                <w:sz w:val="21"/>
                <w:szCs w:val="21"/>
                <w:vertAlign w:val="baseline"/>
                <w:lang w:val="en-US" w:eastAsia="zh-CN" w:bidi="ar-SA"/>
              </w:rPr>
              <w:br w:type="textWrapping"/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2"/>
                <w:sz w:val="21"/>
                <w:szCs w:val="21"/>
                <w:vertAlign w:val="baseline"/>
                <w:lang w:val="en-US" w:eastAsia="zh-CN" w:bidi="ar-SA"/>
              </w:rPr>
              <w:t>服务商需完成现有旧系统全量历史数据迁移，包括所有历史工单、用户信息、权限配置、设备台账、运维记录，确保数据100%完整、准确、可查询，迁移后提供数据校验报告，保障业务无缝衔接。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2"/>
                <w:sz w:val="21"/>
                <w:szCs w:val="21"/>
                <w:vertAlign w:val="baseline"/>
                <w:lang w:val="en-US" w:eastAsia="zh-CN" w:bidi="ar-SA"/>
              </w:rPr>
              <w:br w:type="textWrapping"/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2"/>
                <w:sz w:val="21"/>
                <w:szCs w:val="21"/>
                <w:vertAlign w:val="baseline"/>
                <w:lang w:val="en-US" w:eastAsia="zh-CN" w:bidi="ar-SA"/>
              </w:rPr>
              <w:t>2. 院内系统对接适配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2"/>
                <w:sz w:val="21"/>
                <w:szCs w:val="21"/>
                <w:vertAlign w:val="baseline"/>
                <w:lang w:val="en-US" w:eastAsia="zh-CN" w:bidi="ar-SA"/>
              </w:rPr>
              <w:br w:type="textWrapping"/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2"/>
                <w:sz w:val="21"/>
                <w:szCs w:val="21"/>
                <w:vertAlign w:val="baseline"/>
                <w:lang w:val="en-US" w:eastAsia="zh-CN" w:bidi="ar-SA"/>
              </w:rPr>
              <w:t>保留原有对接接口，优化接口稳定性，支持与医院HIS系统、LIS系统、设备管理系统、OA系统、门禁考勤系统对接，实现数据互通；新增消息对接能力，支持院内企业微信、钉钉、短信推送工单提醒、超时通知、回访通知。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2"/>
                <w:sz w:val="21"/>
                <w:szCs w:val="21"/>
                <w:vertAlign w:val="baseline"/>
                <w:lang w:val="en-US" w:eastAsia="zh-CN" w:bidi="ar-SA"/>
              </w:rPr>
              <w:br w:type="textWrapping"/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2"/>
                <w:sz w:val="21"/>
                <w:szCs w:val="21"/>
                <w:vertAlign w:val="baseline"/>
                <w:lang w:val="en-US" w:eastAsia="zh-CN" w:bidi="ar-SA"/>
              </w:rPr>
              <w:t>3. 多终端适配优化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2"/>
                <w:sz w:val="21"/>
                <w:szCs w:val="21"/>
                <w:vertAlign w:val="baseline"/>
                <w:lang w:val="en-US" w:eastAsia="zh-CN" w:bidi="ar-SA"/>
              </w:rPr>
              <w:br w:type="textWrapping"/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2"/>
                <w:sz w:val="21"/>
                <w:szCs w:val="21"/>
                <w:vertAlign w:val="baseline"/>
                <w:lang w:val="en-US" w:eastAsia="zh-CN" w:bidi="ar-SA"/>
              </w:rPr>
              <w:t>优化现有移动端适配卡顿、功能缺失问题，完善手机端、平板端全功能操作，支持移动端接单、派单、改派、进度更新、查看报表、接收提醒，实现运维工作移动化、轻量化。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2"/>
                <w:sz w:val="21"/>
                <w:szCs w:val="21"/>
                <w:vertAlign w:val="baseline"/>
                <w:lang w:val="en-US" w:eastAsia="zh-CN" w:bidi="ar-SA"/>
              </w:rPr>
              <w:br w:type="textWrapping"/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2"/>
                <w:sz w:val="21"/>
                <w:szCs w:val="21"/>
                <w:vertAlign w:val="baseline"/>
                <w:lang w:val="en-US" w:eastAsia="zh-CN" w:bidi="ar-SA"/>
              </w:rPr>
              <w:t>六、权限管理与安全升级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2"/>
                <w:sz w:val="21"/>
                <w:szCs w:val="21"/>
                <w:vertAlign w:val="baseline"/>
                <w:lang w:val="en-US" w:eastAsia="zh-CN" w:bidi="ar-SA"/>
              </w:rPr>
              <w:br w:type="textWrapping"/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2"/>
                <w:sz w:val="21"/>
                <w:szCs w:val="21"/>
                <w:vertAlign w:val="baseline"/>
                <w:lang w:val="en-US" w:eastAsia="zh-CN" w:bidi="ar-SA"/>
              </w:rPr>
              <w:t>1. 精细化分级权限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2"/>
                <w:sz w:val="21"/>
                <w:szCs w:val="21"/>
                <w:vertAlign w:val="baseline"/>
                <w:lang w:val="en-US" w:eastAsia="zh-CN" w:bidi="ar-SA"/>
              </w:rPr>
              <w:br w:type="textWrapping"/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2"/>
                <w:sz w:val="21"/>
                <w:szCs w:val="21"/>
                <w:vertAlign w:val="baseline"/>
                <w:lang w:val="en-US" w:eastAsia="zh-CN" w:bidi="ar-SA"/>
              </w:rPr>
              <w:t>优化现有权限粗放的问题，细分超级管理员、运维管理员、排班管理员、普通运维人员、科室报修人员、查看人员等多角色权限，精准控制派单权限、改派权限、数据查看权限、报表导出权限、系统配置权限，杜绝越权操作。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2"/>
                <w:sz w:val="21"/>
                <w:szCs w:val="21"/>
                <w:vertAlign w:val="baseline"/>
                <w:lang w:val="en-US" w:eastAsia="zh-CN" w:bidi="ar-SA"/>
              </w:rPr>
              <w:br w:type="textWrapping"/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2"/>
                <w:sz w:val="21"/>
                <w:szCs w:val="21"/>
                <w:vertAlign w:val="baseline"/>
                <w:lang w:val="en-US" w:eastAsia="zh-CN" w:bidi="ar-SA"/>
              </w:rPr>
              <w:t>2. 数据安全与操作溯源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2"/>
                <w:sz w:val="21"/>
                <w:szCs w:val="21"/>
                <w:vertAlign w:val="baseline"/>
                <w:lang w:val="en-US" w:eastAsia="zh-CN" w:bidi="ar-SA"/>
              </w:rPr>
              <w:br w:type="textWrapping"/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2"/>
                <w:sz w:val="21"/>
                <w:szCs w:val="21"/>
                <w:vertAlign w:val="baseline"/>
                <w:lang w:val="en-US" w:eastAsia="zh-CN" w:bidi="ar-SA"/>
              </w:rPr>
              <w:t>所有操作全程日志记录，包含登录、派单、改派、修改工单、导出数据、删除记录等操作，日志永久留存、不可删除篡改；系统数据自动定时备份，支持异常数据恢复，保障运维数据安全合规。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2"/>
                <w:sz w:val="21"/>
                <w:szCs w:val="21"/>
                <w:vertAlign w:val="baseline"/>
                <w:lang w:val="en-US" w:eastAsia="zh-CN" w:bidi="ar-SA"/>
              </w:rPr>
              <w:br w:type="textWrapping"/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2"/>
                <w:sz w:val="21"/>
                <w:szCs w:val="21"/>
                <w:vertAlign w:val="baseline"/>
                <w:lang w:val="en-US" w:eastAsia="zh-CN" w:bidi="ar-SA"/>
              </w:rPr>
              <w:t>七、售后与运维服务保障要求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2"/>
                <w:sz w:val="21"/>
                <w:szCs w:val="21"/>
                <w:vertAlign w:val="baseline"/>
                <w:lang w:val="en-US" w:eastAsia="zh-CN" w:bidi="ar-SA"/>
              </w:rPr>
              <w:br w:type="textWrapping"/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2"/>
                <w:sz w:val="21"/>
                <w:szCs w:val="21"/>
                <w:vertAlign w:val="baseline"/>
                <w:lang w:val="en-US" w:eastAsia="zh-CN" w:bidi="ar-SA"/>
              </w:rPr>
              <w:t>1. 部署与培训服务：完成系统部署、调试、上线，针对管理员、运维人员、科室操作人员开展分层培训，提供操作手册、视频教程，确保全员熟练使用。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2"/>
                <w:sz w:val="21"/>
                <w:szCs w:val="21"/>
                <w:vertAlign w:val="baseline"/>
                <w:lang w:val="en-US" w:eastAsia="zh-CN" w:bidi="ar-SA"/>
              </w:rPr>
              <w:br w:type="textWrapping"/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2"/>
                <w:sz w:val="21"/>
                <w:szCs w:val="21"/>
                <w:vertAlign w:val="baseline"/>
                <w:lang w:val="en-US" w:eastAsia="zh-CN" w:bidi="ar-SA"/>
              </w:rPr>
              <w:t>2. 质保与迭代服务：提供至少1年免费质保，期间系统bug修复、常规功能优化、规则调试、数据维护；支持根据医院业务变化，微调派单规则、报表模板、工单字段。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2"/>
                <w:sz w:val="21"/>
                <w:szCs w:val="21"/>
                <w:vertAlign w:val="baseline"/>
                <w:lang w:val="en-US" w:eastAsia="zh-CN" w:bidi="ar-SA"/>
              </w:rPr>
              <w:br w:type="textWrapping"/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2"/>
                <w:sz w:val="21"/>
                <w:szCs w:val="21"/>
                <w:vertAlign w:val="baseline"/>
                <w:lang w:val="en-US" w:eastAsia="zh-CN" w:bidi="ar-SA"/>
              </w:rPr>
              <w:t>3. 7×24小时技术支持：提供全天候技术响应服务，系统故障及时排查处理，保障医院运维派单工作不间断运行。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2"/>
                <w:sz w:val="21"/>
                <w:szCs w:val="21"/>
                <w:vertAlign w:val="baseline"/>
                <w:lang w:val="en-US" w:eastAsia="zh-CN" w:bidi="ar-SA"/>
              </w:rPr>
              <w:br w:type="textWrapping"/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2"/>
                <w:sz w:val="21"/>
                <w:szCs w:val="21"/>
                <w:vertAlign w:val="baseline"/>
                <w:lang w:val="en-US" w:eastAsia="zh-CN" w:bidi="ar-SA"/>
              </w:rPr>
              <w:t>八、整体交付标准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2"/>
                <w:sz w:val="21"/>
                <w:szCs w:val="21"/>
                <w:vertAlign w:val="baseline"/>
                <w:lang w:val="en-US" w:eastAsia="zh-CN" w:bidi="ar-SA"/>
              </w:rPr>
              <w:br w:type="textWrapping"/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2"/>
                <w:sz w:val="21"/>
                <w:szCs w:val="21"/>
                <w:vertAlign w:val="baseline"/>
                <w:lang w:val="en-US" w:eastAsia="zh-CN" w:bidi="ar-SA"/>
              </w:rPr>
              <w:t>1. 完全落地本次所有升级功能，兼容原有全部合法业务功能，无功能缺失、无数据错乱、无流程卡顿。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2"/>
                <w:sz w:val="21"/>
                <w:szCs w:val="21"/>
                <w:vertAlign w:val="baseline"/>
                <w:lang w:val="en-US" w:eastAsia="zh-CN" w:bidi="ar-SA"/>
              </w:rPr>
              <w:br w:type="textWrapping"/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2"/>
                <w:sz w:val="21"/>
                <w:szCs w:val="21"/>
                <w:vertAlign w:val="baseline"/>
                <w:lang w:val="en-US" w:eastAsia="zh-CN" w:bidi="ar-SA"/>
              </w:rPr>
              <w:t>2. 系统运行稳定，响应速度快，高并发工单场景下无卡顿、无丢失、无报错。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2"/>
                <w:sz w:val="21"/>
                <w:szCs w:val="21"/>
                <w:vertAlign w:val="baseline"/>
                <w:lang w:val="en-US" w:eastAsia="zh-CN" w:bidi="ar-SA"/>
              </w:rPr>
              <w:br w:type="textWrapping"/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2"/>
                <w:sz w:val="21"/>
                <w:szCs w:val="21"/>
                <w:vertAlign w:val="baseline"/>
                <w:lang w:val="en-US" w:eastAsia="zh-CN" w:bidi="ar-SA"/>
              </w:rPr>
              <w:t>3. 交付完整的系统源码、部署文档、数据迁移报告、操作手册、培训记录、售后保障协议。</w:t>
            </w:r>
          </w:p>
        </w:tc>
      </w:tr>
      <w:tr w14:paraId="536EE9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0" w:hRule="atLeast"/>
          <w:jc w:val="center"/>
        </w:trPr>
        <w:tc>
          <w:tcPr>
            <w:tcW w:w="75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1A285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233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203F9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人员配置服务</w:t>
            </w:r>
          </w:p>
        </w:tc>
        <w:tc>
          <w:tcPr>
            <w:tcW w:w="65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46EBB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 w:themeColor="text1"/>
                <w:spacing w:val="0"/>
                <w:w w:val="100"/>
                <w:kern w:val="2"/>
                <w:sz w:val="21"/>
                <w:szCs w:val="21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 w:themeColor="text1"/>
                <w:spacing w:val="0"/>
                <w:w w:val="100"/>
                <w:kern w:val="2"/>
                <w:sz w:val="21"/>
                <w:szCs w:val="21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在服务期间供应商安排不低于7名的专职技术人员驻场（含一名项目负责人），供应商须和采购人签订安全责任书，所有派遣人员上班时间参照采购人内部工作人员，且遵纪守法、严格遵守采购人所有规章制度。若违反则参照采购人规章制度进行处罚且承担相应的法律责任。须明确派遣人员名单且必须为本公司工作人员，并提供劳动关系证明；派遣人员相对固定，不得随意变动，如确需变动需经过采购人的同意。派遣人员须具备相应的专业技能，有良好的职业操守。在服务中了解和接触到的采购人的相关秘密必须严格保密，不得上传、转发。若派遣人员不能胜任工作，采购人有权提出更换派遣人员，不得影响采购人的正常办公。</w:t>
            </w:r>
          </w:p>
        </w:tc>
      </w:tr>
      <w:tr w14:paraId="553819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  <w:jc w:val="center"/>
        </w:trPr>
        <w:tc>
          <w:tcPr>
            <w:tcW w:w="75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F8F58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233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85275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网络日常维护服务</w:t>
            </w:r>
          </w:p>
        </w:tc>
        <w:tc>
          <w:tcPr>
            <w:tcW w:w="65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68997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2"/>
                <w:sz w:val="21"/>
                <w:szCs w:val="21"/>
                <w:vertAlign w:val="baseline"/>
                <w:lang w:val="en-US" w:eastAsia="zh-CN" w:bidi="ar-SA"/>
              </w:rPr>
              <w:t>提供电脑至墙面网口段网络维护（包含网线等相关配件），提供网络设备的日常运维、线路规整。若有新增设备需要入网必须向采购人汇报，征得同意后方可接入。包含每年新增50个网络点位（包工包料）。需按照采购人意见，结合实际使用场景进行布置。包含网络故障排除、网络交换机安装、配置和管理、网络综合布线、网络规划和设计，处理终端电脑网络配置，网络、终端路由器故障处理、优化终端网络设置，上报不合规网络连接方式（如私自串联交换机，私接路由器等）。</w:t>
            </w:r>
          </w:p>
        </w:tc>
      </w:tr>
      <w:tr w14:paraId="5CCE75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70" w:hRule="atLeast"/>
          <w:jc w:val="center"/>
        </w:trPr>
        <w:tc>
          <w:tcPr>
            <w:tcW w:w="75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2B199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233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15691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突发紧急重大故障处理服务</w:t>
            </w:r>
          </w:p>
        </w:tc>
        <w:tc>
          <w:tcPr>
            <w:tcW w:w="65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21261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FF0000"/>
                <w:spacing w:val="0"/>
                <w:w w:val="10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 w:themeColor="text1"/>
                <w:spacing w:val="0"/>
                <w:w w:val="100"/>
                <w:kern w:val="2"/>
                <w:sz w:val="21"/>
                <w:szCs w:val="21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包含但不仅限于服务器操作系统安装和维护（含Windows和Linux）、服务器基础软件的安装和维护、服务器数据库的安装和日常维护、服务器中间件的安装和日常维护，必要时应派强大的技术团队对医院网络、信息系统、数据库的安全、高效、稳定运行做专业技术支撑保障，协助医院处理突发重大信息化故障处理服务。</w:t>
            </w:r>
          </w:p>
        </w:tc>
      </w:tr>
      <w:tr w14:paraId="4B4F12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75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732E0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7</w:t>
            </w:r>
          </w:p>
        </w:tc>
        <w:tc>
          <w:tcPr>
            <w:tcW w:w="233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D4E3A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设备健康检查及技术顾问服务</w:t>
            </w:r>
          </w:p>
        </w:tc>
        <w:tc>
          <w:tcPr>
            <w:tcW w:w="65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84C9E3D">
            <w:r>
              <w:rPr>
                <w:sz w:val="21"/>
              </w:rPr>
              <w:t>每季度进行至少一次定期的前端设备现场巡检，巡检内容包括所有办公终端（一体机、台式机、笔记本）、办公设备（打印机、复印机、扫描仪等）、监控设备、LED屏幕、自助机、叫号屏幕、落地广告屏幕等硬件运行状态、电源、告警及设备运行环境的检查、清理。发现设备存在的隐患，及时处理，减少故障发生率，保证设备稳定、良性运行。</w:t>
            </w:r>
            <w:r>
              <w:rPr>
                <w:sz w:val="21"/>
              </w:rPr>
              <w:br w:type="textWrapping"/>
            </w:r>
            <w:r>
              <w:rPr>
                <w:sz w:val="21"/>
              </w:rPr>
              <w:t>通过巡检建立前端设备资产档案（设备型号、配置、购置日期、维保记录），评估设备运行情况，向采购人提供设备升级、改造、淘汰替换的建议或方案。</w:t>
            </w:r>
            <w:r>
              <w:rPr>
                <w:sz w:val="21"/>
              </w:rPr>
              <w:br w:type="textWrapping"/>
            </w:r>
            <w:r>
              <w:rPr>
                <w:sz w:val="21"/>
              </w:rPr>
              <w:t>每季度输出前端设备健康评估报告，包含设备故障率统计、老化程度分析、替换优先级建议，为医院信息化设备预算规划提供技术依据。</w:t>
            </w:r>
            <w:r>
              <w:rPr>
                <w:sz w:val="21"/>
              </w:rPr>
              <w:br w:type="textWrapping"/>
            </w:r>
            <w:r>
              <w:rPr>
                <w:sz w:val="21"/>
              </w:rPr>
              <w:t>巡检记录通过运维助手/运维软件上传系统备查。</w:t>
            </w:r>
          </w:p>
        </w:tc>
      </w:tr>
      <w:tr w14:paraId="14A3D4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0" w:hRule="atLeast"/>
          <w:jc w:val="center"/>
        </w:trPr>
        <w:tc>
          <w:tcPr>
            <w:tcW w:w="75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2465C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8</w:t>
            </w:r>
          </w:p>
        </w:tc>
        <w:tc>
          <w:tcPr>
            <w:tcW w:w="233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31423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备品备件库服务</w:t>
            </w:r>
          </w:p>
        </w:tc>
        <w:tc>
          <w:tcPr>
            <w:tcW w:w="65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97969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/>
                <w:sz w:val="21"/>
                <w:lang w:val="en-US" w:eastAsia="zh-CN"/>
              </w:rPr>
              <w:t>1小时内无法通过更换配件维修好的设备，立即提供相应的备用设备，保证工作的正常开展。故障设备完成维修并经过测试后，方可重新使用。打印机维保服务、桌面运维服务要求对医院未报废的设备，均由服务提供商负责维护维修，对无法修复的设备，由供应商在服务期内提供备用机。其中：日常备用机数量最低要求为电脑备用机不得少于5台/年，打印设备备用机不得少于10台/年、打印复印一体机备用机不得少于3台/年。网络设备维保服务要求对医院未报废的设备，均由供应商负责维护维修。</w:t>
            </w:r>
          </w:p>
        </w:tc>
      </w:tr>
      <w:tr w14:paraId="60DEFD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1" w:hRule="atLeast"/>
          <w:jc w:val="center"/>
        </w:trPr>
        <w:tc>
          <w:tcPr>
            <w:tcW w:w="75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0C7CB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9</w:t>
            </w:r>
          </w:p>
        </w:tc>
        <w:tc>
          <w:tcPr>
            <w:tcW w:w="233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CD986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机房、弱电井日常</w:t>
            </w:r>
          </w:p>
          <w:p w14:paraId="3872A7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运维服务</w:t>
            </w:r>
          </w:p>
        </w:tc>
        <w:tc>
          <w:tcPr>
            <w:tcW w:w="65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12248D0">
            <w:r>
              <w:rPr>
                <w:sz w:val="21"/>
              </w:rPr>
              <w:t>医院机房、弱电井日常运维工作由驻场人员执行，聚焦每日/每周可完成的日常巡查与基础维护，不涉及需要专业资质或专业仪器的深度维保（该类工作由第11项负责）。主要工作内容分为【日常巡检、环境维护、基础保障、台账管理、专项配合】五大块：</w:t>
            </w:r>
            <w:r>
              <w:rPr>
                <w:sz w:val="21"/>
              </w:rPr>
              <w:br w:type="textWrapping"/>
            </w:r>
            <w:r>
              <w:rPr>
                <w:sz w:val="21"/>
              </w:rPr>
              <w:br w:type="textWrapping"/>
            </w:r>
            <w:r>
              <w:rPr>
                <w:sz w:val="21"/>
              </w:rPr>
              <w:t>（一）中心机房日常巡检（每日1次）</w:t>
            </w:r>
            <w:r>
              <w:rPr>
                <w:sz w:val="21"/>
              </w:rPr>
              <w:br w:type="textWrapping"/>
            </w:r>
            <w:r>
              <w:rPr>
                <w:sz w:val="21"/>
              </w:rPr>
              <w:t>1. 机房环境巡查：查看温湿度仪表读数并记录、查看消防设备外观及压力表状态（不操作消防系统）、检查机房卫生及防尘状况、检查门禁系统是否正常锁闭；</w:t>
            </w:r>
            <w:r>
              <w:rPr>
                <w:sz w:val="21"/>
              </w:rPr>
              <w:br w:type="textWrapping"/>
            </w:r>
            <w:r>
              <w:rPr>
                <w:sz w:val="21"/>
              </w:rPr>
              <w:t>2. 供配电基础巡查：查看UPS主机面板指示灯及运行参数（不操作UPS）、查看PDU及配电柜指示灯状态、检查机房照明是否正常；</w:t>
            </w:r>
            <w:r>
              <w:rPr>
                <w:sz w:val="21"/>
              </w:rPr>
              <w:br w:type="textWrapping"/>
            </w:r>
            <w:r>
              <w:rPr>
                <w:sz w:val="21"/>
              </w:rPr>
              <w:t>3. 网络与硬件设备基础巡查：查看核心交换机/防火墙/路由器</w:t>
            </w:r>
            <w:r>
              <w:rPr>
                <w:rFonts w:hint="eastAsia"/>
                <w:sz w:val="21"/>
                <w:lang w:val="en-US" w:eastAsia="zh-CN"/>
              </w:rPr>
              <w:t>等设备</w:t>
            </w:r>
            <w:r>
              <w:rPr>
                <w:sz w:val="21"/>
              </w:rPr>
              <w:t>面板指示灯是否正常（不登录设备操作）、查看服务器/存储设备</w:t>
            </w:r>
            <w:r>
              <w:rPr>
                <w:rFonts w:hint="eastAsia"/>
                <w:sz w:val="21"/>
                <w:lang w:val="en-US" w:eastAsia="zh-CN"/>
              </w:rPr>
              <w:t>等设备</w:t>
            </w:r>
            <w:r>
              <w:rPr>
                <w:sz w:val="21"/>
              </w:rPr>
              <w:t>面板告警灯、检查光纤配线架及线缆外观；</w:t>
            </w:r>
            <w:r>
              <w:rPr>
                <w:sz w:val="21"/>
              </w:rPr>
              <w:br w:type="textWrapping"/>
            </w:r>
            <w:r>
              <w:rPr>
                <w:sz w:val="21"/>
              </w:rPr>
              <w:t>4. 异常上报：发现任何异常指示灯、告警声、异味、异响等，立即记录并通知第11项专业维保人员或相关责任人处理。</w:t>
            </w:r>
            <w:r>
              <w:rPr>
                <w:sz w:val="21"/>
              </w:rPr>
              <w:br w:type="textWrapping"/>
            </w:r>
            <w:r>
              <w:rPr>
                <w:sz w:val="21"/>
              </w:rPr>
              <w:br w:type="textWrapping"/>
            </w:r>
            <w:r>
              <w:rPr>
                <w:sz w:val="21"/>
              </w:rPr>
              <w:t>（二）弱电井/楼层弱电间日常巡检（每周不少于1次）</w:t>
            </w:r>
            <w:r>
              <w:rPr>
                <w:sz w:val="21"/>
              </w:rPr>
              <w:br w:type="textWrapping"/>
            </w:r>
            <w:r>
              <w:rPr>
                <w:sz w:val="21"/>
              </w:rPr>
              <w:t>1. 环境安全巡查：检查门锁是否完好、井内是否有杂物堆积、是否有渗水/鼠患/虫害迹象、通风散热是否正常；</w:t>
            </w:r>
            <w:r>
              <w:rPr>
                <w:sz w:val="21"/>
              </w:rPr>
              <w:br w:type="textWrapping"/>
            </w:r>
            <w:r>
              <w:rPr>
                <w:sz w:val="21"/>
              </w:rPr>
              <w:t>2. 井内通信设备基础巡查：查看交换机/光收发器/ONU</w:t>
            </w:r>
            <w:r>
              <w:rPr>
                <w:rFonts w:hint="eastAsia"/>
                <w:sz w:val="21"/>
                <w:lang w:val="en-US" w:eastAsia="zh-CN"/>
              </w:rPr>
              <w:t>等</w:t>
            </w:r>
            <w:r>
              <w:rPr>
                <w:sz w:val="21"/>
              </w:rPr>
              <w:t>设备面板指示灯是否正常、检查端口有无告警、查看电源适配器外观是否完好；</w:t>
            </w:r>
            <w:r>
              <w:rPr>
                <w:sz w:val="21"/>
              </w:rPr>
              <w:br w:type="textWrapping"/>
            </w:r>
            <w:r>
              <w:rPr>
                <w:sz w:val="21"/>
              </w:rPr>
              <w:t>3. 线路规范化管理：检查线缆标签是否脱落、强弱电是否分开布设、清理废旧线缆、检查光纤保护套管是否完好。</w:t>
            </w:r>
            <w:r>
              <w:rPr>
                <w:sz w:val="21"/>
              </w:rPr>
              <w:br w:type="textWrapping"/>
            </w:r>
            <w:r>
              <w:rPr>
                <w:sz w:val="21"/>
              </w:rPr>
              <w:br w:type="textWrapping"/>
            </w:r>
            <w:r>
              <w:rPr>
                <w:sz w:val="21"/>
              </w:rPr>
              <w:t>（三）机房环境基础维护（日常/季度）</w:t>
            </w:r>
            <w:r>
              <w:rPr>
                <w:sz w:val="21"/>
              </w:rPr>
              <w:br w:type="textWrapping"/>
            </w:r>
            <w:r>
              <w:rPr>
                <w:sz w:val="21"/>
              </w:rPr>
              <w:t>1. 每日：机房地面清洁、设备表面除尘；</w:t>
            </w:r>
            <w:r>
              <w:rPr>
                <w:sz w:val="21"/>
              </w:rPr>
              <w:br w:type="textWrapping"/>
            </w:r>
            <w:r>
              <w:rPr>
                <w:sz w:val="21"/>
              </w:rPr>
              <w:t>2. 每季度：机房深度除尘（设备表面及地面）、静电地板下除尘、机柜外部除尘、接线端子紧固检查。</w:t>
            </w:r>
            <w:r>
              <w:rPr>
                <w:sz w:val="21"/>
              </w:rPr>
              <w:br w:type="textWrapping"/>
            </w:r>
            <w:r>
              <w:rPr>
                <w:sz w:val="21"/>
              </w:rPr>
              <w:br w:type="textWrapping"/>
            </w:r>
            <w:r>
              <w:rPr>
                <w:sz w:val="21"/>
              </w:rPr>
              <w:t>（四）台账与文档管理</w:t>
            </w:r>
            <w:r>
              <w:rPr>
                <w:sz w:val="21"/>
              </w:rPr>
              <w:br w:type="textWrapping"/>
            </w:r>
            <w:r>
              <w:rPr>
                <w:sz w:val="21"/>
              </w:rPr>
              <w:t>1. 维护并更新设备资产清单、网络拓扑图、IP地址分配表；</w:t>
            </w:r>
            <w:r>
              <w:rPr>
                <w:sz w:val="21"/>
              </w:rPr>
              <w:br w:type="textWrapping"/>
            </w:r>
            <w:r>
              <w:rPr>
                <w:sz w:val="21"/>
              </w:rPr>
              <w:t>2. 每日填写机房巡检记录表（温湿度、设备状态、异常记录）；</w:t>
            </w:r>
            <w:r>
              <w:rPr>
                <w:sz w:val="21"/>
              </w:rPr>
              <w:br w:type="textWrapping"/>
            </w:r>
            <w:r>
              <w:rPr>
                <w:sz w:val="21"/>
              </w:rPr>
              <w:t>3. 汇总巡检记录生成月度巡检报告；</w:t>
            </w:r>
            <w:r>
              <w:rPr>
                <w:sz w:val="21"/>
              </w:rPr>
              <w:br w:type="textWrapping"/>
            </w:r>
            <w:r>
              <w:rPr>
                <w:sz w:val="21"/>
              </w:rPr>
              <w:t>4. 管理维保档案（巡检记录、故障记录、设备变更记录）。</w:t>
            </w:r>
            <w:r>
              <w:rPr>
                <w:sz w:val="21"/>
              </w:rPr>
              <w:br w:type="textWrapping"/>
            </w:r>
            <w:r>
              <w:rPr>
                <w:sz w:val="21"/>
              </w:rPr>
              <w:br w:type="textWrapping"/>
            </w:r>
            <w:r>
              <w:rPr>
                <w:sz w:val="21"/>
              </w:rPr>
              <w:t>（五）专项保障配合</w:t>
            </w:r>
            <w:r>
              <w:rPr>
                <w:sz w:val="21"/>
              </w:rPr>
              <w:br w:type="textWrapping"/>
            </w:r>
            <w:r>
              <w:rPr>
                <w:sz w:val="21"/>
              </w:rPr>
              <w:t>1. 等级医院评审/网信安全检查/等保测评</w:t>
            </w:r>
            <w:r>
              <w:rPr>
                <w:rFonts w:hint="eastAsia"/>
                <w:sz w:val="21"/>
                <w:lang w:val="en-US" w:eastAsia="zh-CN"/>
              </w:rPr>
              <w:t>等</w:t>
            </w:r>
            <w:r>
              <w:rPr>
                <w:sz w:val="21"/>
              </w:rPr>
              <w:t>期间，配合准备机房管理相关资料（巡检记录、资产台账</w:t>
            </w:r>
            <w:r>
              <w:rPr>
                <w:rFonts w:hint="eastAsia"/>
                <w:sz w:val="21"/>
                <w:lang w:val="en-US" w:eastAsia="zh-CN"/>
              </w:rPr>
              <w:t>等文件</w:t>
            </w:r>
            <w:r>
              <w:rPr>
                <w:sz w:val="21"/>
              </w:rPr>
              <w:t>）；</w:t>
            </w:r>
            <w:r>
              <w:rPr>
                <w:sz w:val="21"/>
              </w:rPr>
              <w:br w:type="textWrapping"/>
            </w:r>
            <w:r>
              <w:rPr>
                <w:sz w:val="21"/>
              </w:rPr>
              <w:t>2. 节假日/就诊高峰期加强巡检频次；</w:t>
            </w:r>
            <w:r>
              <w:rPr>
                <w:sz w:val="21"/>
              </w:rPr>
              <w:br w:type="textWrapping"/>
            </w:r>
            <w:r>
              <w:rPr>
                <w:rFonts w:hint="eastAsia"/>
                <w:sz w:val="21"/>
                <w:lang w:val="en-US" w:eastAsia="zh-CN"/>
              </w:rPr>
              <w:t>3</w:t>
            </w:r>
            <w:r>
              <w:rPr>
                <w:sz w:val="21"/>
              </w:rPr>
              <w:t>. 暴雨/高温季节机房防水/弱电井防渗水专项排查；</w:t>
            </w:r>
            <w:r>
              <w:rPr>
                <w:sz w:val="21"/>
              </w:rPr>
              <w:br w:type="textWrapping"/>
            </w:r>
            <w:r>
              <w:rPr>
                <w:rFonts w:hint="eastAsia"/>
                <w:sz w:val="21"/>
                <w:lang w:val="en-US" w:eastAsia="zh-CN"/>
              </w:rPr>
              <w:t>4</w:t>
            </w:r>
            <w:r>
              <w:rPr>
                <w:sz w:val="21"/>
              </w:rPr>
              <w:t>. 配合第11项专业维保人员完成年度专项检测（如UPS电池检测、防雷检测、消防联动测试等）时的现场协调与保障。</w:t>
            </w:r>
          </w:p>
        </w:tc>
      </w:tr>
      <w:tr w14:paraId="5EAF57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75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ACDD7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233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A1E23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中心机房专业运行</w:t>
            </w:r>
          </w:p>
          <w:p w14:paraId="32AAB9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维护服务</w:t>
            </w:r>
          </w:p>
        </w:tc>
        <w:tc>
          <w:tcPr>
            <w:tcW w:w="65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C8CAF83">
            <w:r>
              <w:rPr>
                <w:sz w:val="21"/>
              </w:rPr>
              <w:t>专业资质、专业工具和专业技术的深度维保服务，由具备相应资质的技术人员周期性（月/季/半年）执行。</w:t>
            </w:r>
            <w:r>
              <w:rPr>
                <w:sz w:val="21"/>
              </w:rPr>
              <w:br w:type="textWrapping"/>
            </w:r>
            <w:r>
              <w:rPr>
                <w:sz w:val="21"/>
              </w:rPr>
              <w:br w:type="textWrapping"/>
            </w:r>
            <w:r>
              <w:rPr>
                <w:sz w:val="21"/>
              </w:rPr>
              <w:t>（一）精密空调系统专业维保（每月/季度）</w:t>
            </w:r>
            <w:r>
              <w:rPr>
                <w:sz w:val="21"/>
              </w:rPr>
              <w:br w:type="textWrapping"/>
            </w:r>
            <w:r>
              <w:rPr>
                <w:sz w:val="21"/>
              </w:rPr>
              <w:t>1. 每月对精密空调主机进行深度检查：压缩机运行状态诊断、制冷剂压力检测、冷凝器/蒸发器状态评估、加湿系统功能检测、电气控制系统测试；</w:t>
            </w:r>
            <w:r>
              <w:rPr>
                <w:sz w:val="21"/>
              </w:rPr>
              <w:br w:type="textWrapping"/>
            </w:r>
            <w:r>
              <w:rPr>
                <w:sz w:val="21"/>
              </w:rPr>
              <w:t>2. 每季度根据暖通换季（冷/热变换）进行适应性调优维护；</w:t>
            </w:r>
            <w:r>
              <w:rPr>
                <w:sz w:val="21"/>
              </w:rPr>
              <w:br w:type="textWrapping"/>
            </w:r>
            <w:r>
              <w:rPr>
                <w:sz w:val="21"/>
              </w:rPr>
              <w:t>3. 每年4次标准过滤棉更换，1次加湿罐更换，4次室外机冷凝器深度清洗；</w:t>
            </w:r>
            <w:r>
              <w:rPr>
                <w:sz w:val="21"/>
              </w:rPr>
              <w:br w:type="textWrapping"/>
            </w:r>
            <w:r>
              <w:rPr>
                <w:sz w:val="21"/>
              </w:rPr>
              <w:t>4. 压缩机皮带每半年检查更换，风机轴承润滑保养；</w:t>
            </w:r>
            <w:r>
              <w:rPr>
                <w:sz w:val="21"/>
              </w:rPr>
              <w:br w:type="textWrapping"/>
            </w:r>
            <w:r>
              <w:rPr>
                <w:sz w:val="21"/>
              </w:rPr>
              <w:t>5. 制冷剂压力检测与补充，冷凝水排水系统疏通除垢；</w:t>
            </w:r>
            <w:r>
              <w:rPr>
                <w:sz w:val="21"/>
              </w:rPr>
              <w:br w:type="textWrapping"/>
            </w:r>
            <w:r>
              <w:rPr>
                <w:sz w:val="21"/>
              </w:rPr>
              <w:t>6. 空调系统配电箱内接线端子紧固、电气安全检测；</w:t>
            </w:r>
            <w:r>
              <w:rPr>
                <w:sz w:val="21"/>
              </w:rPr>
              <w:br w:type="textWrapping"/>
            </w:r>
            <w:r>
              <w:rPr>
                <w:sz w:val="21"/>
              </w:rPr>
              <w:t>7. 精密空调故障时提供原厂级配件免费更换和维修（含压缩机、控制主板、风扇、传感器等核心部件），不再另收配件费。</w:t>
            </w:r>
            <w:r>
              <w:rPr>
                <w:sz w:val="21"/>
              </w:rPr>
              <w:br w:type="textWrapping"/>
            </w:r>
            <w:r>
              <w:rPr>
                <w:sz w:val="21"/>
              </w:rPr>
              <w:br w:type="textWrapping"/>
            </w:r>
            <w:r>
              <w:rPr>
                <w:sz w:val="21"/>
              </w:rPr>
              <w:t>（二）UPS不间断电源及蓄电池系统专业维保（每季度/半年）</w:t>
            </w:r>
            <w:r>
              <w:rPr>
                <w:sz w:val="21"/>
              </w:rPr>
              <w:br w:type="textWrapping"/>
            </w:r>
            <w:r>
              <w:rPr>
                <w:sz w:val="21"/>
              </w:rPr>
              <w:t>1. 每季度对UPS主机进行深度检测维护：输入输出电压电流波形分析、负载率评估、电容状态检测、散热风扇运行检测、控制主板自检；</w:t>
            </w:r>
            <w:r>
              <w:rPr>
                <w:sz w:val="21"/>
              </w:rPr>
              <w:br w:type="textWrapping"/>
            </w:r>
            <w:r>
              <w:rPr>
                <w:sz w:val="21"/>
              </w:rPr>
              <w:t>2. 每季度对蓄电池组进行专业内阻测试（使用专业蓄电池内阻仪），逐节记录内阻值、端电压、温度，出具蓄电池健康度评估报告；</w:t>
            </w:r>
            <w:r>
              <w:rPr>
                <w:sz w:val="21"/>
              </w:rPr>
              <w:br w:type="textWrapping"/>
            </w:r>
            <w:r>
              <w:rPr>
                <w:sz w:val="21"/>
              </w:rPr>
              <w:t>3. 每半年进行一次预防性深度放电测试（带真实负载放电），验证电池后备时间是否满足设计要求；</w:t>
            </w:r>
            <w:r>
              <w:rPr>
                <w:sz w:val="21"/>
              </w:rPr>
              <w:br w:type="textWrapping"/>
            </w:r>
            <w:r>
              <w:rPr>
                <w:sz w:val="21"/>
              </w:rPr>
              <w:t>4. 蓄电池连接线缆、接线柱专业维护（抗氧化处理、力矩校验）；</w:t>
            </w:r>
            <w:r>
              <w:rPr>
                <w:sz w:val="21"/>
              </w:rPr>
              <w:br w:type="textWrapping"/>
            </w:r>
            <w:r>
              <w:rPr>
                <w:sz w:val="21"/>
              </w:rPr>
              <w:t>5. UPS系统整机内故障配件（控制主板、功率模块、电容、散热风扇、蓄电池等）免费更换维护；</w:t>
            </w:r>
            <w:r>
              <w:rPr>
                <w:sz w:val="21"/>
              </w:rPr>
              <w:br w:type="textWrapping"/>
            </w:r>
            <w:r>
              <w:rPr>
                <w:sz w:val="21"/>
              </w:rPr>
              <w:t>6. 异常/报废蓄电池按国家危废管理规定进行回收并无害化环保处理。</w:t>
            </w:r>
            <w:r>
              <w:rPr>
                <w:sz w:val="21"/>
              </w:rPr>
              <w:br w:type="textWrapping"/>
            </w:r>
            <w:r>
              <w:rPr>
                <w:sz w:val="21"/>
              </w:rPr>
              <w:br w:type="textWrapping"/>
            </w:r>
            <w:r>
              <w:rPr>
                <w:sz w:val="21"/>
              </w:rPr>
              <w:t>（三）消防气体灭火系统专业维保（每月/季度/半年）</w:t>
            </w:r>
            <w:r>
              <w:rPr>
                <w:sz w:val="21"/>
              </w:rPr>
              <w:br w:type="textWrapping"/>
            </w:r>
            <w:r>
              <w:rPr>
                <w:sz w:val="21"/>
              </w:rPr>
              <w:t>1. 每月检查七氟丙烷（或其他气体）灭火装置钢瓶压力、瓶体外观、阀门状态；</w:t>
            </w:r>
            <w:r>
              <w:rPr>
                <w:sz w:val="21"/>
              </w:rPr>
              <w:br w:type="textWrapping"/>
            </w:r>
            <w:r>
              <w:rPr>
                <w:sz w:val="21"/>
              </w:rPr>
              <w:t>2. 每季度检查消防报警控制主机运行状态、联动测试功能；</w:t>
            </w:r>
            <w:r>
              <w:rPr>
                <w:sz w:val="21"/>
              </w:rPr>
              <w:br w:type="textWrapping"/>
            </w:r>
            <w:r>
              <w:rPr>
                <w:sz w:val="21"/>
              </w:rPr>
              <w:t>3. 每半年进行烟感/温感探测器灵敏度测试和校准；</w:t>
            </w:r>
            <w:r>
              <w:rPr>
                <w:sz w:val="21"/>
              </w:rPr>
              <w:br w:type="textWrapping"/>
            </w:r>
            <w:r>
              <w:rPr>
                <w:sz w:val="21"/>
              </w:rPr>
              <w:t>4. 消防气体灭火系统触发装置、警铃、声光报警器、放气指示灯功能测试；</w:t>
            </w:r>
            <w:r>
              <w:rPr>
                <w:sz w:val="21"/>
              </w:rPr>
              <w:br w:type="textWrapping"/>
            </w:r>
            <w:r>
              <w:rPr>
                <w:sz w:val="21"/>
              </w:rPr>
              <w:t>5. 消防气瓶定期检验到期提醒和送检协调；</w:t>
            </w:r>
            <w:r>
              <w:rPr>
                <w:sz w:val="21"/>
              </w:rPr>
              <w:br w:type="textWrapping"/>
            </w:r>
            <w:r>
              <w:rPr>
                <w:sz w:val="21"/>
              </w:rPr>
              <w:t>（四）防雷接地系统专业检测（每季度/年度）</w:t>
            </w:r>
            <w:r>
              <w:rPr>
                <w:sz w:val="21"/>
              </w:rPr>
              <w:br w:type="textWrapping"/>
            </w:r>
            <w:r>
              <w:rPr>
                <w:sz w:val="21"/>
              </w:rPr>
              <w:t>1. 每季度使用专业接地电阻测试仪测量机房接地电阻值，确保符合GB 50057规范要求（≤4Ω或≤1Ω根据设计要求）；</w:t>
            </w:r>
            <w:r>
              <w:rPr>
                <w:sz w:val="21"/>
              </w:rPr>
              <w:br w:type="textWrapping"/>
            </w:r>
            <w:r>
              <w:rPr>
                <w:sz w:val="21"/>
              </w:rPr>
              <w:t>2. 等电位连接带、接地母排、设备接地线连接可靠性检查；</w:t>
            </w:r>
            <w:r>
              <w:rPr>
                <w:sz w:val="21"/>
              </w:rPr>
              <w:br w:type="textWrapping"/>
            </w:r>
            <w:r>
              <w:rPr>
                <w:sz w:val="21"/>
              </w:rPr>
              <w:t>3. 电源防雷器（SPD）状态检查，失效模块免费更换；</w:t>
            </w:r>
            <w:r>
              <w:rPr>
                <w:sz w:val="21"/>
              </w:rPr>
              <w:br w:type="textWrapping"/>
            </w:r>
            <w:r>
              <w:rPr>
                <w:sz w:val="21"/>
              </w:rPr>
              <w:br w:type="textWrapping"/>
            </w:r>
            <w:r>
              <w:rPr>
                <w:sz w:val="21"/>
              </w:rPr>
              <w:t>（五）动力环境集中监控系统深度维护（每季度）</w:t>
            </w:r>
            <w:r>
              <w:rPr>
                <w:sz w:val="21"/>
              </w:rPr>
              <w:br w:type="textWrapping"/>
            </w:r>
            <w:r>
              <w:rPr>
                <w:sz w:val="21"/>
              </w:rPr>
              <w:t>1. 每季度对动环监控系统进行全面校准：温湿度传感器精度校准、漏水检测绳灵敏度测试、电量监测仪精度校验；</w:t>
            </w:r>
            <w:r>
              <w:rPr>
                <w:sz w:val="21"/>
              </w:rPr>
              <w:br w:type="textWrapping"/>
            </w:r>
            <w:r>
              <w:rPr>
                <w:sz w:val="21"/>
              </w:rPr>
              <w:t>2. 动环监控软件平台维护升级、数据库优化清理、告警策略配置优化；</w:t>
            </w:r>
            <w:r>
              <w:rPr>
                <w:sz w:val="21"/>
              </w:rPr>
              <w:br w:type="textWrapping"/>
            </w:r>
            <w:r>
              <w:rPr>
                <w:sz w:val="21"/>
              </w:rPr>
              <w:t>3. 告警联动功能测试（短信、电话、APP推送、声光报警）；</w:t>
            </w:r>
            <w:r>
              <w:rPr>
                <w:sz w:val="21"/>
              </w:rPr>
              <w:br w:type="textWrapping"/>
            </w:r>
            <w:r>
              <w:rPr>
                <w:sz w:val="21"/>
              </w:rPr>
              <w:t>4. 动环系统故障时提供原厂级技术支持与备件更换。</w:t>
            </w:r>
            <w:r>
              <w:rPr>
                <w:sz w:val="21"/>
              </w:rPr>
              <w:br w:type="textWrapping"/>
            </w:r>
            <w:r>
              <w:rPr>
                <w:sz w:val="21"/>
              </w:rPr>
              <w:br w:type="textWrapping"/>
            </w:r>
            <w:r>
              <w:rPr>
                <w:sz w:val="21"/>
              </w:rPr>
              <w:t>（六）机房基础设施专项评估与优化</w:t>
            </w:r>
            <w:r>
              <w:rPr>
                <w:sz w:val="21"/>
              </w:rPr>
              <w:br w:type="textWrapping"/>
            </w:r>
            <w:r>
              <w:rPr>
                <w:sz w:val="21"/>
              </w:rPr>
              <w:t>1. 维保合同签订后30日内，出具完整的机房基础设施现状评估报告，包括供配电系统带载能力评估、制冷系统制冷量匹配评估、UPS后备时间测试结果、设备老化程度评估、隐患风险清单及整改建议；</w:t>
            </w:r>
            <w:r>
              <w:rPr>
                <w:sz w:val="21"/>
              </w:rPr>
              <w:br w:type="textWrapping"/>
            </w:r>
            <w:r>
              <w:rPr>
                <w:sz w:val="21"/>
              </w:rPr>
              <w:t>2. 每季度输出机房基础设施运行趋势分析报告（用电量变化、制冷效率变化、设备故障率趋势）；</w:t>
            </w:r>
            <w:r>
              <w:rPr>
                <w:sz w:val="21"/>
              </w:rPr>
              <w:br w:type="textWrapping"/>
            </w:r>
            <w:r>
              <w:rPr>
                <w:sz w:val="21"/>
              </w:rPr>
              <w:t>3. 根据医院业务增长情况，每年提供机房扩容/改造技术咨询建议。</w:t>
            </w:r>
            <w:r>
              <w:rPr>
                <w:sz w:val="21"/>
              </w:rPr>
              <w:br w:type="textWrapping"/>
            </w:r>
            <w:r>
              <w:rPr>
                <w:sz w:val="21"/>
              </w:rPr>
              <w:br w:type="textWrapping"/>
            </w:r>
            <w:r>
              <w:rPr>
                <w:sz w:val="21"/>
              </w:rPr>
              <w:t>（七）应急演练与专业培训</w:t>
            </w:r>
            <w:r>
              <w:rPr>
                <w:sz w:val="21"/>
              </w:rPr>
              <w:br w:type="textWrapping"/>
            </w:r>
            <w:r>
              <w:rPr>
                <w:sz w:val="21"/>
              </w:rPr>
              <w:t>1. 每半年组织一次机房基础设施专项应急演练（UPS故障切换演练、精密空调故障应急演练、消防气体灭火应急演练），编写演练方案和总结报告；</w:t>
            </w:r>
            <w:r>
              <w:rPr>
                <w:sz w:val="21"/>
              </w:rPr>
              <w:br w:type="textWrapping"/>
            </w:r>
            <w:r>
              <w:rPr>
                <w:sz w:val="21"/>
              </w:rPr>
              <w:t>2. 每年对机房管理人员进行不少于2次的基础设施运维专业培训。</w:t>
            </w:r>
            <w:r>
              <w:rPr>
                <w:sz w:val="21"/>
              </w:rPr>
              <w:br w:type="textWrapping"/>
            </w:r>
            <w:r>
              <w:rPr>
                <w:sz w:val="21"/>
              </w:rPr>
              <w:br w:type="textWrapping"/>
            </w:r>
            <w:r>
              <w:rPr>
                <w:sz w:val="21"/>
              </w:rPr>
              <w:t>（八）服务响应与配件保障</w:t>
            </w:r>
            <w:r>
              <w:rPr>
                <w:sz w:val="21"/>
              </w:rPr>
              <w:br w:type="textWrapping"/>
            </w:r>
            <w:r>
              <w:rPr>
                <w:sz w:val="21"/>
              </w:rPr>
              <w:t>1. 提供7×24小时机房基础设施专业故障响应服务；</w:t>
            </w:r>
            <w:r>
              <w:rPr>
                <w:sz w:val="21"/>
              </w:rPr>
              <w:br w:type="textWrapping"/>
            </w:r>
            <w:r>
              <w:rPr>
                <w:sz w:val="21"/>
              </w:rPr>
              <w:t>2. 精密空调、UPS等关键设备故障，30分钟内远程响应、2小时内到达现场；</w:t>
            </w:r>
            <w:r>
              <w:rPr>
                <w:sz w:val="21"/>
              </w:rPr>
              <w:br w:type="textWrapping"/>
            </w:r>
            <w:r>
              <w:rPr>
                <w:sz w:val="21"/>
              </w:rPr>
              <w:t>3. 建立关键设备备件库（UPS功率模块、空调压缩机、控制主板、传感器、过滤网、加湿罐等常用备件），确保故障后4小时内可更换修复；</w:t>
            </w:r>
            <w:r>
              <w:rPr>
                <w:sz w:val="21"/>
              </w:rPr>
              <w:br w:type="textWrapping"/>
            </w:r>
            <w:r>
              <w:rPr>
                <w:sz w:val="21"/>
              </w:rPr>
              <w:t>4. 所有更换配件须为原厂正品或同等质量替代品（替代品须经院方书面确认）；</w:t>
            </w:r>
            <w:r>
              <w:rPr>
                <w:sz w:val="21"/>
              </w:rPr>
              <w:br w:type="textWrapping"/>
            </w:r>
            <w:r>
              <w:rPr>
                <w:sz w:val="21"/>
              </w:rPr>
              <w:t>5. 每次故障处理完成后48小时内提交故障处理报告（含故障原因、处理过程、预防措施）。</w:t>
            </w:r>
            <w:r>
              <w:rPr>
                <w:sz w:val="21"/>
              </w:rPr>
              <w:br w:type="textWrapping"/>
            </w:r>
            <w:r>
              <w:rPr>
                <w:sz w:val="21"/>
              </w:rPr>
              <w:br w:type="textWrapping"/>
            </w:r>
            <w:r>
              <w:rPr>
                <w:sz w:val="21"/>
              </w:rPr>
              <w:t>（九）与原厂及第三方协调</w:t>
            </w:r>
            <w:r>
              <w:rPr>
                <w:sz w:val="21"/>
              </w:rPr>
              <w:br w:type="textWrapping"/>
            </w:r>
            <w:r>
              <w:rPr>
                <w:sz w:val="21"/>
              </w:rPr>
              <w:t>1. 负责协调UPS、精密空调、消防气体灭火等设备原厂的技术支持资源；</w:t>
            </w:r>
            <w:r>
              <w:rPr>
                <w:sz w:val="21"/>
              </w:rPr>
              <w:br w:type="textWrapping"/>
            </w:r>
            <w:r>
              <w:rPr>
                <w:sz w:val="21"/>
              </w:rPr>
              <w:t>2. 配合院方完成等级医院评审、等保测评、网信安全检查中涉及机房基础设施的专业整改工作；</w:t>
            </w:r>
            <w:r>
              <w:rPr>
                <w:sz w:val="21"/>
              </w:rPr>
              <w:br w:type="textWrapping"/>
            </w:r>
            <w:r>
              <w:rPr>
                <w:sz w:val="21"/>
              </w:rPr>
              <w:t>3. 配合院方协调供电部门、防雷检测机构、消防维保单位等相关第三方。</w:t>
            </w:r>
          </w:p>
        </w:tc>
      </w:tr>
    </w:tbl>
    <w:p w14:paraId="18B3071B">
      <w:pPr>
        <w:rPr>
          <w:rFonts w:hint="eastAsia"/>
          <w:lang w:val="en-US" w:eastAsia="zh-CN"/>
        </w:rPr>
        <w:sectPr>
          <w:pgSz w:w="11906" w:h="16838"/>
          <w:pgMar w:top="1134" w:right="567" w:bottom="1134" w:left="1134" w:header="851" w:footer="992" w:gutter="0"/>
          <w:cols w:space="425" w:num="1"/>
          <w:docGrid w:type="lines" w:linePitch="312" w:charSpace="0"/>
        </w:sectPr>
      </w:pPr>
    </w:p>
    <w:p w14:paraId="7E703842">
      <w:pPr>
        <w:pStyle w:val="16"/>
        <w:rPr>
          <w:rFonts w:hint="eastAsia"/>
          <w:lang w:val="en-US" w:eastAsia="zh-CN"/>
        </w:rPr>
      </w:pPr>
    </w:p>
    <w:p w14:paraId="18DD3D7E">
      <w:pPr>
        <w:pStyle w:val="2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00" w:after="100"/>
        <w:jc w:val="both"/>
        <w:textAlignment w:val="auto"/>
        <w:rPr>
          <w:rFonts w:hint="eastAsia"/>
          <w:lang w:val="en-US" w:eastAsia="zh-CN"/>
        </w:rPr>
      </w:pPr>
      <w:bookmarkStart w:id="27" w:name="_Toc7903"/>
      <w:r>
        <w:rPr>
          <w:rFonts w:hint="eastAsia"/>
          <w:lang w:val="en-US" w:eastAsia="zh-CN"/>
        </w:rPr>
        <w:t>五、三甲综合医院同类项目案例</w:t>
      </w:r>
      <w:bookmarkEnd w:id="27"/>
    </w:p>
    <w:p w14:paraId="7AB2E5A9">
      <w:pPr>
        <w:pStyle w:val="3"/>
        <w:bidi w:val="0"/>
        <w:ind w:firstLine="482" w:firstLineChars="200"/>
        <w:rPr>
          <w:rFonts w:hint="eastAsia"/>
          <w:lang w:val="en-US" w:eastAsia="zh-CN"/>
        </w:rPr>
      </w:pPr>
      <w:bookmarkStart w:id="28" w:name="_Toc4476"/>
      <w:r>
        <w:rPr>
          <w:rFonts w:hint="eastAsia"/>
          <w:lang w:val="en-US" w:eastAsia="zh-CN"/>
        </w:rPr>
        <w:t>5.1四川省内（）家</w:t>
      </w:r>
      <w:bookmarkEnd w:id="28"/>
    </w:p>
    <w:tbl>
      <w:tblPr>
        <w:tblStyle w:val="11"/>
        <w:tblpPr w:leftFromText="180" w:rightFromText="180" w:vertAnchor="text" w:horzAnchor="page" w:tblpXSpec="center" w:tblpY="285"/>
        <w:tblOverlap w:val="never"/>
        <w:tblW w:w="0" w:type="auto"/>
        <w:jc w:val="center"/>
        <w:tblBorders>
          <w:top w:val="single" w:color="000000" w:sz="4" w:space="0"/>
          <w:left w:val="none" w:color="auto" w:sz="4" w:space="0"/>
          <w:bottom w:val="none" w:color="auto" w:sz="4" w:space="0"/>
          <w:right w:val="none" w:color="auto" w:sz="4" w:space="0"/>
          <w:insideH w:val="none" w:color="auto" w:sz="4" w:space="0"/>
          <w:insideV w:val="non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8"/>
        <w:gridCol w:w="2421"/>
        <w:gridCol w:w="1710"/>
        <w:gridCol w:w="1350"/>
        <w:gridCol w:w="1425"/>
        <w:gridCol w:w="1410"/>
      </w:tblGrid>
      <w:tr w14:paraId="2A846463">
        <w:tblPrEx>
          <w:tblBorders>
            <w:top w:val="single" w:color="000000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exact"/>
          <w:jc w:val="center"/>
        </w:trPr>
        <w:tc>
          <w:tcPr>
            <w:tcW w:w="808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042C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  <w:t>序号</w:t>
            </w:r>
          </w:p>
        </w:tc>
        <w:tc>
          <w:tcPr>
            <w:tcW w:w="2421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B06E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  <w:t>医院名称</w:t>
            </w:r>
          </w:p>
        </w:tc>
        <w:tc>
          <w:tcPr>
            <w:tcW w:w="1710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2005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  <w:t>合同标的</w:t>
            </w:r>
          </w:p>
        </w:tc>
        <w:tc>
          <w:tcPr>
            <w:tcW w:w="1350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C4A6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  <w:t>合同金额</w:t>
            </w:r>
          </w:p>
        </w:tc>
        <w:tc>
          <w:tcPr>
            <w:tcW w:w="1425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7613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  <w:t>实施年份</w:t>
            </w:r>
          </w:p>
        </w:tc>
        <w:tc>
          <w:tcPr>
            <w:tcW w:w="1410" w:type="dxa"/>
            <w:tcBorders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7F3C62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  <w:t>验收时间</w:t>
            </w:r>
          </w:p>
        </w:tc>
      </w:tr>
      <w:tr w14:paraId="3C76D484">
        <w:tblPrEx>
          <w:tblBorders>
            <w:top w:val="single" w:color="000000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" w:hRule="exact"/>
          <w:jc w:val="center"/>
        </w:trPr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BC2C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  <w:t>1</w:t>
            </w:r>
          </w:p>
        </w:tc>
        <w:tc>
          <w:tcPr>
            <w:tcW w:w="2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D807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82FD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CCAB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F86D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51111B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515CE5A6">
        <w:tblPrEx>
          <w:tblBorders>
            <w:top w:val="single" w:color="000000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exact"/>
          <w:jc w:val="center"/>
        </w:trPr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8C50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  <w:t>1</w:t>
            </w:r>
          </w:p>
        </w:tc>
        <w:tc>
          <w:tcPr>
            <w:tcW w:w="2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E75E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D533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471A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6DAF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5674BD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7872F2AC">
        <w:tblPrEx>
          <w:tblBorders>
            <w:top w:val="single" w:color="000000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exact"/>
          <w:jc w:val="center"/>
        </w:trPr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3977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  <w:t>3</w:t>
            </w:r>
          </w:p>
        </w:tc>
        <w:tc>
          <w:tcPr>
            <w:tcW w:w="2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E753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1C24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5C27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B5A7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421E3A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657AFF2D">
        <w:tblPrEx>
          <w:tblBorders>
            <w:top w:val="single" w:color="000000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exact"/>
          <w:jc w:val="center"/>
        </w:trPr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0AF6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  <w:t>...</w:t>
            </w:r>
          </w:p>
        </w:tc>
        <w:tc>
          <w:tcPr>
            <w:tcW w:w="2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51C6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0CB4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6D10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D795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02E5D7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</w:tbl>
    <w:p w14:paraId="643454EC">
      <w:pPr>
        <w:pStyle w:val="24"/>
        <w:ind w:firstLine="0" w:firstLineChars="0"/>
        <w:rPr>
          <w:rFonts w:hint="eastAsia" w:ascii="仿宋" w:hAnsi="仿宋" w:eastAsia="仿宋" w:cs="仿宋"/>
          <w:sz w:val="30"/>
          <w:szCs w:val="30"/>
        </w:rPr>
      </w:pPr>
    </w:p>
    <w:p w14:paraId="4337E2B5">
      <w:pPr>
        <w:pStyle w:val="16"/>
        <w:rPr>
          <w:rFonts w:hint="eastAsia" w:ascii="仿宋" w:hAnsi="仿宋" w:eastAsia="仿宋" w:cs="仿宋"/>
          <w:kern w:val="2"/>
          <w:sz w:val="30"/>
          <w:szCs w:val="30"/>
        </w:rPr>
      </w:pPr>
    </w:p>
    <w:p w14:paraId="607BD5F6">
      <w:pPr>
        <w:pStyle w:val="16"/>
        <w:rPr>
          <w:rFonts w:hint="eastAsia" w:ascii="仿宋" w:hAnsi="仿宋" w:eastAsia="仿宋" w:cs="仿宋"/>
          <w:kern w:val="2"/>
          <w:sz w:val="30"/>
          <w:szCs w:val="30"/>
        </w:rPr>
      </w:pPr>
    </w:p>
    <w:p w14:paraId="22586352">
      <w:pPr>
        <w:pStyle w:val="16"/>
        <w:rPr>
          <w:rFonts w:hint="eastAsia" w:ascii="仿宋" w:hAnsi="仿宋" w:eastAsia="仿宋" w:cs="仿宋"/>
          <w:kern w:val="2"/>
          <w:sz w:val="30"/>
          <w:szCs w:val="30"/>
        </w:rPr>
      </w:pPr>
    </w:p>
    <w:p w14:paraId="6CC2E8DE">
      <w:pPr>
        <w:pStyle w:val="16"/>
        <w:rPr>
          <w:rFonts w:hint="eastAsia" w:ascii="仿宋" w:hAnsi="仿宋" w:eastAsia="仿宋" w:cs="仿宋"/>
          <w:kern w:val="2"/>
          <w:sz w:val="30"/>
          <w:szCs w:val="30"/>
        </w:rPr>
      </w:pPr>
    </w:p>
    <w:p w14:paraId="1D180795">
      <w:pPr>
        <w:pStyle w:val="16"/>
        <w:rPr>
          <w:rFonts w:hint="eastAsia" w:ascii="仿宋" w:hAnsi="仿宋" w:eastAsia="仿宋" w:cs="仿宋"/>
          <w:kern w:val="2"/>
          <w:sz w:val="30"/>
          <w:szCs w:val="30"/>
        </w:rPr>
      </w:pPr>
    </w:p>
    <w:p w14:paraId="7A5F7BF4">
      <w:pPr>
        <w:pStyle w:val="3"/>
        <w:bidi w:val="0"/>
        <w:ind w:firstLine="482" w:firstLineChars="200"/>
        <w:rPr>
          <w:rFonts w:hint="eastAsia"/>
          <w:lang w:val="en-US" w:eastAsia="zh-CN"/>
        </w:rPr>
      </w:pPr>
      <w:bookmarkStart w:id="29" w:name="_Toc13355"/>
      <w:r>
        <w:rPr>
          <w:rFonts w:hint="eastAsia"/>
          <w:lang w:val="en-US" w:eastAsia="zh-CN"/>
        </w:rPr>
        <w:t>5.2四川省外（）家</w:t>
      </w:r>
      <w:bookmarkEnd w:id="29"/>
    </w:p>
    <w:tbl>
      <w:tblPr>
        <w:tblStyle w:val="11"/>
        <w:tblpPr w:leftFromText="180" w:rightFromText="180" w:vertAnchor="text" w:horzAnchor="page" w:tblpXSpec="center" w:tblpY="285"/>
        <w:tblOverlap w:val="never"/>
        <w:tblW w:w="0" w:type="auto"/>
        <w:jc w:val="center"/>
        <w:tblBorders>
          <w:top w:val="single" w:color="000000" w:sz="4" w:space="0"/>
          <w:left w:val="none" w:color="auto" w:sz="4" w:space="0"/>
          <w:bottom w:val="none" w:color="auto" w:sz="4" w:space="0"/>
          <w:right w:val="none" w:color="auto" w:sz="4" w:space="0"/>
          <w:insideH w:val="none" w:color="auto" w:sz="4" w:space="0"/>
          <w:insideV w:val="non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8"/>
        <w:gridCol w:w="2421"/>
        <w:gridCol w:w="1710"/>
        <w:gridCol w:w="1350"/>
        <w:gridCol w:w="1425"/>
        <w:gridCol w:w="1410"/>
      </w:tblGrid>
      <w:tr w14:paraId="13DFCBCF">
        <w:tblPrEx>
          <w:tblBorders>
            <w:top w:val="single" w:color="000000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exact"/>
          <w:jc w:val="center"/>
        </w:trPr>
        <w:tc>
          <w:tcPr>
            <w:tcW w:w="808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5D08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  <w:t>序号</w:t>
            </w:r>
          </w:p>
        </w:tc>
        <w:tc>
          <w:tcPr>
            <w:tcW w:w="2421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40CB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  <w:t>医院名称</w:t>
            </w:r>
          </w:p>
        </w:tc>
        <w:tc>
          <w:tcPr>
            <w:tcW w:w="1710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E033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  <w:t>合同标的</w:t>
            </w:r>
          </w:p>
        </w:tc>
        <w:tc>
          <w:tcPr>
            <w:tcW w:w="1350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215A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  <w:t>合同金额</w:t>
            </w:r>
          </w:p>
        </w:tc>
        <w:tc>
          <w:tcPr>
            <w:tcW w:w="1425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8C39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  <w:t>实施年份</w:t>
            </w:r>
          </w:p>
        </w:tc>
        <w:tc>
          <w:tcPr>
            <w:tcW w:w="1410" w:type="dxa"/>
            <w:tcBorders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0A2505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  <w:t>验收时间</w:t>
            </w:r>
          </w:p>
        </w:tc>
      </w:tr>
      <w:tr w14:paraId="13B582A7">
        <w:tblPrEx>
          <w:tblBorders>
            <w:top w:val="single" w:color="000000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" w:hRule="exact"/>
          <w:jc w:val="center"/>
        </w:trPr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7943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  <w:t>1</w:t>
            </w:r>
          </w:p>
        </w:tc>
        <w:tc>
          <w:tcPr>
            <w:tcW w:w="2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7C77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EB2D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9C8A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1CA0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7B4FB5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44322D26">
        <w:tblPrEx>
          <w:tblBorders>
            <w:top w:val="single" w:color="000000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exact"/>
          <w:jc w:val="center"/>
        </w:trPr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DAE8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  <w:t>1</w:t>
            </w:r>
          </w:p>
        </w:tc>
        <w:tc>
          <w:tcPr>
            <w:tcW w:w="2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2C75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F515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E5D9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8E04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519472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528ECAF1">
        <w:tblPrEx>
          <w:tblBorders>
            <w:top w:val="single" w:color="000000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exact"/>
          <w:jc w:val="center"/>
        </w:trPr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0712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  <w:t>3</w:t>
            </w:r>
          </w:p>
        </w:tc>
        <w:tc>
          <w:tcPr>
            <w:tcW w:w="2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570A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907A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5120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4976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437F39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16D58C70">
        <w:tblPrEx>
          <w:tblBorders>
            <w:top w:val="single" w:color="000000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exact"/>
          <w:jc w:val="center"/>
        </w:trPr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AC1A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  <w:t>...</w:t>
            </w:r>
          </w:p>
        </w:tc>
        <w:tc>
          <w:tcPr>
            <w:tcW w:w="2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660F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4060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837E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06D2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257E01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</w:tbl>
    <w:p w14:paraId="7A10F7B0">
      <w:pPr>
        <w:rPr>
          <w:rFonts w:hint="eastAsia"/>
          <w:lang w:val="en-US" w:eastAsia="zh-CN"/>
        </w:rPr>
      </w:pPr>
    </w:p>
    <w:p w14:paraId="17A922E8">
      <w:pPr>
        <w:pStyle w:val="2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00" w:after="100"/>
        <w:jc w:val="both"/>
        <w:textAlignment w:val="auto"/>
        <w:rPr>
          <w:rFonts w:hint="eastAsia"/>
          <w:lang w:val="en-US" w:eastAsia="zh-CN"/>
        </w:rPr>
      </w:pPr>
    </w:p>
    <w:p w14:paraId="3C796354">
      <w:pPr>
        <w:pStyle w:val="2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00" w:after="100"/>
        <w:jc w:val="both"/>
        <w:textAlignment w:val="auto"/>
        <w:rPr>
          <w:rFonts w:hint="eastAsia"/>
          <w:lang w:val="en-US" w:eastAsia="zh-CN"/>
        </w:rPr>
      </w:pPr>
    </w:p>
    <w:p w14:paraId="69868A95">
      <w:pPr>
        <w:pStyle w:val="2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00" w:after="100"/>
        <w:jc w:val="both"/>
        <w:textAlignment w:val="auto"/>
        <w:rPr>
          <w:rFonts w:hint="eastAsia"/>
          <w:lang w:val="en-US" w:eastAsia="zh-CN"/>
        </w:rPr>
      </w:pPr>
    </w:p>
    <w:p w14:paraId="0B12C8A5">
      <w:pPr>
        <w:pStyle w:val="2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00" w:after="100"/>
        <w:jc w:val="both"/>
        <w:textAlignment w:val="auto"/>
        <w:rPr>
          <w:rFonts w:hint="eastAsia"/>
          <w:lang w:val="en-US" w:eastAsia="zh-CN"/>
        </w:rPr>
      </w:pPr>
    </w:p>
    <w:p w14:paraId="346ACD2B">
      <w:pPr>
        <w:pStyle w:val="3"/>
        <w:bidi w:val="0"/>
        <w:ind w:firstLine="482" w:firstLineChars="200"/>
        <w:rPr>
          <w:rFonts w:hint="eastAsia"/>
          <w:lang w:val="en-US" w:eastAsia="zh-CN"/>
        </w:rPr>
      </w:pPr>
    </w:p>
    <w:p w14:paraId="2825E0AF">
      <w:pPr>
        <w:pStyle w:val="3"/>
        <w:bidi w:val="0"/>
        <w:ind w:firstLine="482" w:firstLineChars="200"/>
        <w:rPr>
          <w:rFonts w:hint="eastAsia"/>
          <w:lang w:val="en-US" w:eastAsia="zh-CN"/>
        </w:rPr>
      </w:pPr>
      <w:bookmarkStart w:id="30" w:name="_Toc138151651"/>
      <w:bookmarkStart w:id="31" w:name="_Toc30521"/>
      <w:r>
        <w:rPr>
          <w:rFonts w:hint="eastAsia"/>
          <w:lang w:val="en-US" w:eastAsia="zh-CN"/>
        </w:rPr>
        <w:t>5.3三甲综合医院同类项目案例合同及验收佐证</w:t>
      </w:r>
      <w:bookmarkEnd w:id="30"/>
      <w:bookmarkEnd w:id="31"/>
    </w:p>
    <w:p w14:paraId="0796EAF6">
      <w:pPr>
        <w:pStyle w:val="16"/>
        <w:spacing w:line="240" w:lineRule="auto"/>
        <w:rPr>
          <w:rFonts w:hint="eastAsia" w:ascii="仿宋" w:hAnsi="仿宋" w:eastAsia="仿宋" w:cs="仿宋"/>
          <w:b w:val="0"/>
          <w:color w:val="0000FF"/>
          <w:kern w:val="2"/>
          <w:sz w:val="24"/>
          <w:szCs w:val="24"/>
          <w:lang w:val="en-US" w:eastAsia="zh-CN" w:bidi="ar-SA"/>
        </w:rPr>
      </w:pPr>
    </w:p>
    <w:p w14:paraId="6066B77B">
      <w:pPr>
        <w:pStyle w:val="2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00" w:after="100"/>
        <w:jc w:val="both"/>
        <w:textAlignment w:val="auto"/>
        <w:rPr>
          <w:rFonts w:hint="default" w:ascii="仿宋" w:hAnsi="仿宋" w:eastAsia="仿宋" w:cs="仿宋"/>
          <w:b w:val="0"/>
          <w:color w:val="000000"/>
          <w:kern w:val="2"/>
          <w:sz w:val="24"/>
          <w:szCs w:val="24"/>
          <w:lang w:val="en-US" w:eastAsia="zh-CN" w:bidi="ar-SA"/>
        </w:rPr>
      </w:pPr>
      <w:bookmarkStart w:id="32" w:name="_Toc7342"/>
      <w:r>
        <w:rPr>
          <w:rFonts w:hint="eastAsia"/>
          <w:lang w:val="en-US" w:eastAsia="zh-CN"/>
        </w:rPr>
        <w:t>六、服务方案</w:t>
      </w:r>
      <w:bookmarkEnd w:id="32"/>
    </w:p>
    <w:p w14:paraId="69AE2DAA">
      <w:pPr>
        <w:bidi w:val="0"/>
        <w:rPr>
          <w:rFonts w:hint="eastAsia"/>
          <w:lang w:val="en-US" w:eastAsia="zh-CN"/>
        </w:rPr>
      </w:pPr>
      <w:bookmarkStart w:id="33" w:name="_Toc138151653"/>
      <w:r>
        <w:rPr>
          <w:rFonts w:hint="eastAsia"/>
          <w:lang w:val="en-US" w:eastAsia="zh-CN"/>
        </w:rPr>
        <w:t>（包含以上内容，其他内容自拟）</w:t>
      </w:r>
    </w:p>
    <w:bookmarkEnd w:id="33"/>
    <w:p w14:paraId="6CB9F6A8">
      <w:pPr>
        <w:rPr>
          <w:rFonts w:hint="eastAsia"/>
          <w:lang w:val="en-US" w:eastAsia="zh-CN"/>
        </w:rPr>
      </w:pPr>
    </w:p>
    <w:p w14:paraId="1C3A7D4D">
      <w:pPr>
        <w:rPr>
          <w:rFonts w:hint="eastAsia"/>
          <w:lang w:val="en-US" w:eastAsia="zh-CN"/>
        </w:rPr>
      </w:pPr>
    </w:p>
    <w:p w14:paraId="59E3E2BD">
      <w:pPr>
        <w:rPr>
          <w:rFonts w:hint="default"/>
          <w:lang w:val="en-US" w:eastAsia="zh-CN"/>
        </w:rPr>
      </w:pPr>
    </w:p>
    <w:sectPr>
      <w:pgSz w:w="11906" w:h="16838"/>
      <w:pgMar w:top="1134" w:right="567" w:bottom="1134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56D411B0-261F-416B-833D-C21B63B22E32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B5BF52EA-C02E-4FBE-A6E4-526EF98AF87F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2D8AC460-8A7D-4CA7-94CF-4F43091E8EFA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  <w:embedRegular r:id="rId4" w:fontKey="{A34C5DC5-C6DD-4AC4-AC01-2BAF8B1773D4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64DC3CE"/>
    <w:multiLevelType w:val="singleLevel"/>
    <w:tmpl w:val="E64DC3CE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abstractNum w:abstractNumId="1">
    <w:nsid w:val="23DEF404"/>
    <w:multiLevelType w:val="singleLevel"/>
    <w:tmpl w:val="23DEF404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JlZWZkZDMxMzg2MTBmMjU2YTlhNWI3ZmFjNDQ4MWUifQ=="/>
  </w:docVars>
  <w:rsids>
    <w:rsidRoot w:val="00000000"/>
    <w:rsid w:val="003675E8"/>
    <w:rsid w:val="01D52A58"/>
    <w:rsid w:val="021006E5"/>
    <w:rsid w:val="0224038E"/>
    <w:rsid w:val="02CE7139"/>
    <w:rsid w:val="03163E1D"/>
    <w:rsid w:val="03552A08"/>
    <w:rsid w:val="03BB6210"/>
    <w:rsid w:val="03BB642D"/>
    <w:rsid w:val="03D3104E"/>
    <w:rsid w:val="04593878"/>
    <w:rsid w:val="050339CA"/>
    <w:rsid w:val="052B1309"/>
    <w:rsid w:val="05D7519E"/>
    <w:rsid w:val="062156C2"/>
    <w:rsid w:val="07925438"/>
    <w:rsid w:val="07B611C8"/>
    <w:rsid w:val="07C115F6"/>
    <w:rsid w:val="07C537D5"/>
    <w:rsid w:val="07CF7222"/>
    <w:rsid w:val="07E9598A"/>
    <w:rsid w:val="07F76D1E"/>
    <w:rsid w:val="085B7E12"/>
    <w:rsid w:val="088E0B0F"/>
    <w:rsid w:val="089F023E"/>
    <w:rsid w:val="09EF4DDA"/>
    <w:rsid w:val="0A4B342C"/>
    <w:rsid w:val="0A5A448A"/>
    <w:rsid w:val="0AED6E12"/>
    <w:rsid w:val="0B307376"/>
    <w:rsid w:val="0C603D76"/>
    <w:rsid w:val="0C811C7B"/>
    <w:rsid w:val="0CDC4161"/>
    <w:rsid w:val="0D041EBC"/>
    <w:rsid w:val="0D5422FE"/>
    <w:rsid w:val="0D907DC5"/>
    <w:rsid w:val="0DD4413B"/>
    <w:rsid w:val="0DFB1411"/>
    <w:rsid w:val="0E266744"/>
    <w:rsid w:val="0EA93CA3"/>
    <w:rsid w:val="0EAC0638"/>
    <w:rsid w:val="10151202"/>
    <w:rsid w:val="10AE73EC"/>
    <w:rsid w:val="10BD6274"/>
    <w:rsid w:val="1118101A"/>
    <w:rsid w:val="113B145B"/>
    <w:rsid w:val="11DA6532"/>
    <w:rsid w:val="121A3D4C"/>
    <w:rsid w:val="12492C39"/>
    <w:rsid w:val="12833A99"/>
    <w:rsid w:val="134306AA"/>
    <w:rsid w:val="135A02D0"/>
    <w:rsid w:val="13712447"/>
    <w:rsid w:val="14461E0A"/>
    <w:rsid w:val="148B7538"/>
    <w:rsid w:val="14E013D0"/>
    <w:rsid w:val="15C73093"/>
    <w:rsid w:val="15CF1F26"/>
    <w:rsid w:val="15DB7F42"/>
    <w:rsid w:val="16207B77"/>
    <w:rsid w:val="16B36D4D"/>
    <w:rsid w:val="1799286B"/>
    <w:rsid w:val="17CE675B"/>
    <w:rsid w:val="185B5474"/>
    <w:rsid w:val="18D92EBD"/>
    <w:rsid w:val="18F65F6C"/>
    <w:rsid w:val="190C14F0"/>
    <w:rsid w:val="1AAF2DD5"/>
    <w:rsid w:val="1AC85C22"/>
    <w:rsid w:val="1AE31E7C"/>
    <w:rsid w:val="1B46204F"/>
    <w:rsid w:val="1BBC5511"/>
    <w:rsid w:val="1BEB00C0"/>
    <w:rsid w:val="1C036DD3"/>
    <w:rsid w:val="1D12234E"/>
    <w:rsid w:val="1DBE13B8"/>
    <w:rsid w:val="1E053C26"/>
    <w:rsid w:val="1E073016"/>
    <w:rsid w:val="1E4A73F0"/>
    <w:rsid w:val="1E77318B"/>
    <w:rsid w:val="1EB94F81"/>
    <w:rsid w:val="1ED65F1E"/>
    <w:rsid w:val="20390524"/>
    <w:rsid w:val="20E172DD"/>
    <w:rsid w:val="20E3342D"/>
    <w:rsid w:val="210E5779"/>
    <w:rsid w:val="21726AD2"/>
    <w:rsid w:val="217F7DF1"/>
    <w:rsid w:val="218E0668"/>
    <w:rsid w:val="22A273FF"/>
    <w:rsid w:val="22A56ED4"/>
    <w:rsid w:val="22B3482A"/>
    <w:rsid w:val="239605DE"/>
    <w:rsid w:val="23DC39DF"/>
    <w:rsid w:val="23E3036F"/>
    <w:rsid w:val="25380CA0"/>
    <w:rsid w:val="257D0110"/>
    <w:rsid w:val="25886937"/>
    <w:rsid w:val="25C63BAB"/>
    <w:rsid w:val="25C67C05"/>
    <w:rsid w:val="260F404F"/>
    <w:rsid w:val="263578BE"/>
    <w:rsid w:val="265E0AEC"/>
    <w:rsid w:val="26A70C65"/>
    <w:rsid w:val="270C409F"/>
    <w:rsid w:val="2777374E"/>
    <w:rsid w:val="277E783A"/>
    <w:rsid w:val="27C9523F"/>
    <w:rsid w:val="27CF4822"/>
    <w:rsid w:val="283860D8"/>
    <w:rsid w:val="286E270D"/>
    <w:rsid w:val="28710CD1"/>
    <w:rsid w:val="29FF496C"/>
    <w:rsid w:val="2A1F28C7"/>
    <w:rsid w:val="2A2A3E76"/>
    <w:rsid w:val="2B8925CC"/>
    <w:rsid w:val="2C376479"/>
    <w:rsid w:val="2C6F6170"/>
    <w:rsid w:val="2C9F6F43"/>
    <w:rsid w:val="2D672D4A"/>
    <w:rsid w:val="2D755A60"/>
    <w:rsid w:val="2E8E10D4"/>
    <w:rsid w:val="2E9A5803"/>
    <w:rsid w:val="2F8D0CD0"/>
    <w:rsid w:val="2F9D3423"/>
    <w:rsid w:val="305F1B4D"/>
    <w:rsid w:val="3062425E"/>
    <w:rsid w:val="3079550C"/>
    <w:rsid w:val="30893524"/>
    <w:rsid w:val="30C93B1B"/>
    <w:rsid w:val="31595845"/>
    <w:rsid w:val="32024D28"/>
    <w:rsid w:val="337511B1"/>
    <w:rsid w:val="34A93520"/>
    <w:rsid w:val="34B66051"/>
    <w:rsid w:val="34E42C16"/>
    <w:rsid w:val="34EF00BE"/>
    <w:rsid w:val="34F62354"/>
    <w:rsid w:val="351550AE"/>
    <w:rsid w:val="35C97E96"/>
    <w:rsid w:val="36C21BE7"/>
    <w:rsid w:val="36C450EA"/>
    <w:rsid w:val="372B5D93"/>
    <w:rsid w:val="375B0AE1"/>
    <w:rsid w:val="382D2F86"/>
    <w:rsid w:val="384A4E91"/>
    <w:rsid w:val="386C41A1"/>
    <w:rsid w:val="38761053"/>
    <w:rsid w:val="38A762B5"/>
    <w:rsid w:val="38A804E3"/>
    <w:rsid w:val="38E01351"/>
    <w:rsid w:val="39106763"/>
    <w:rsid w:val="39C62C3D"/>
    <w:rsid w:val="3A985554"/>
    <w:rsid w:val="3AAB598F"/>
    <w:rsid w:val="3AD0638B"/>
    <w:rsid w:val="3B547DD5"/>
    <w:rsid w:val="3B9C785C"/>
    <w:rsid w:val="3C0E1309"/>
    <w:rsid w:val="3C4D1AF8"/>
    <w:rsid w:val="3D033860"/>
    <w:rsid w:val="3D877BF2"/>
    <w:rsid w:val="3D8E5A8D"/>
    <w:rsid w:val="3E2619C7"/>
    <w:rsid w:val="3E4D7489"/>
    <w:rsid w:val="3E924036"/>
    <w:rsid w:val="3EBE4976"/>
    <w:rsid w:val="3EF73899"/>
    <w:rsid w:val="3F0F1038"/>
    <w:rsid w:val="3F917849"/>
    <w:rsid w:val="407F6724"/>
    <w:rsid w:val="4179753E"/>
    <w:rsid w:val="41F702EE"/>
    <w:rsid w:val="421D6643"/>
    <w:rsid w:val="426B6130"/>
    <w:rsid w:val="428970E4"/>
    <w:rsid w:val="42BD668F"/>
    <w:rsid w:val="42D82436"/>
    <w:rsid w:val="43064C90"/>
    <w:rsid w:val="44BE1658"/>
    <w:rsid w:val="45B40105"/>
    <w:rsid w:val="46495D4E"/>
    <w:rsid w:val="46C53FAB"/>
    <w:rsid w:val="47823284"/>
    <w:rsid w:val="47E67906"/>
    <w:rsid w:val="485E35F8"/>
    <w:rsid w:val="488717E9"/>
    <w:rsid w:val="49550899"/>
    <w:rsid w:val="49BA2D04"/>
    <w:rsid w:val="49BB0786"/>
    <w:rsid w:val="4A45370A"/>
    <w:rsid w:val="4B33778A"/>
    <w:rsid w:val="4B643ABC"/>
    <w:rsid w:val="4B9F639D"/>
    <w:rsid w:val="4BC230D9"/>
    <w:rsid w:val="4D696680"/>
    <w:rsid w:val="4E2B74D5"/>
    <w:rsid w:val="4E3C4E24"/>
    <w:rsid w:val="4E844AD0"/>
    <w:rsid w:val="4F4F10AC"/>
    <w:rsid w:val="4F5F64BA"/>
    <w:rsid w:val="4FB545D4"/>
    <w:rsid w:val="502E58AD"/>
    <w:rsid w:val="50F91249"/>
    <w:rsid w:val="51B13361"/>
    <w:rsid w:val="51B47BC2"/>
    <w:rsid w:val="52CB19E0"/>
    <w:rsid w:val="5339476F"/>
    <w:rsid w:val="536B2A7D"/>
    <w:rsid w:val="53DE59A8"/>
    <w:rsid w:val="53E51F5E"/>
    <w:rsid w:val="541505F1"/>
    <w:rsid w:val="54400E09"/>
    <w:rsid w:val="545266C4"/>
    <w:rsid w:val="54D20740"/>
    <w:rsid w:val="550810AE"/>
    <w:rsid w:val="556B799E"/>
    <w:rsid w:val="55B6522E"/>
    <w:rsid w:val="5715646F"/>
    <w:rsid w:val="57C224F5"/>
    <w:rsid w:val="581F4981"/>
    <w:rsid w:val="58CB413F"/>
    <w:rsid w:val="59410223"/>
    <w:rsid w:val="59723D50"/>
    <w:rsid w:val="59E91D42"/>
    <w:rsid w:val="59EA71B5"/>
    <w:rsid w:val="5A264F65"/>
    <w:rsid w:val="5A864B12"/>
    <w:rsid w:val="5A920D49"/>
    <w:rsid w:val="5AB460CC"/>
    <w:rsid w:val="5B4B35D6"/>
    <w:rsid w:val="5BA97C89"/>
    <w:rsid w:val="5BB10EFE"/>
    <w:rsid w:val="5C121CA4"/>
    <w:rsid w:val="5D077297"/>
    <w:rsid w:val="5D2D190B"/>
    <w:rsid w:val="5D3C6BEF"/>
    <w:rsid w:val="5D762C66"/>
    <w:rsid w:val="5DEA79AF"/>
    <w:rsid w:val="5E1128DA"/>
    <w:rsid w:val="5E2F3B42"/>
    <w:rsid w:val="5F4131D6"/>
    <w:rsid w:val="5F526965"/>
    <w:rsid w:val="5F684284"/>
    <w:rsid w:val="5F6F0822"/>
    <w:rsid w:val="5F744CAA"/>
    <w:rsid w:val="5F957CDE"/>
    <w:rsid w:val="5FC205CB"/>
    <w:rsid w:val="5FDD7E71"/>
    <w:rsid w:val="602B6FE5"/>
    <w:rsid w:val="60627DEA"/>
    <w:rsid w:val="62561308"/>
    <w:rsid w:val="62927E29"/>
    <w:rsid w:val="632E15A0"/>
    <w:rsid w:val="634D7898"/>
    <w:rsid w:val="63545E9E"/>
    <w:rsid w:val="63C11A36"/>
    <w:rsid w:val="640D6CAC"/>
    <w:rsid w:val="64105038"/>
    <w:rsid w:val="644B199A"/>
    <w:rsid w:val="64927383"/>
    <w:rsid w:val="64D6157E"/>
    <w:rsid w:val="655D64CF"/>
    <w:rsid w:val="65694555"/>
    <w:rsid w:val="656A4F30"/>
    <w:rsid w:val="65B14764"/>
    <w:rsid w:val="65D55C25"/>
    <w:rsid w:val="66295949"/>
    <w:rsid w:val="67CB7B5D"/>
    <w:rsid w:val="68014CBD"/>
    <w:rsid w:val="687304EE"/>
    <w:rsid w:val="68783C73"/>
    <w:rsid w:val="689B58B8"/>
    <w:rsid w:val="693862AF"/>
    <w:rsid w:val="693A43C0"/>
    <w:rsid w:val="69557BB0"/>
    <w:rsid w:val="6A3B5729"/>
    <w:rsid w:val="6A961A6F"/>
    <w:rsid w:val="6A987C6E"/>
    <w:rsid w:val="6ACB7AD0"/>
    <w:rsid w:val="6B905DD2"/>
    <w:rsid w:val="6BE524F2"/>
    <w:rsid w:val="6D4B29EE"/>
    <w:rsid w:val="6D6D71FE"/>
    <w:rsid w:val="6DDE468A"/>
    <w:rsid w:val="6E2B3418"/>
    <w:rsid w:val="6E7736BC"/>
    <w:rsid w:val="6E92169B"/>
    <w:rsid w:val="6EC06CA8"/>
    <w:rsid w:val="6EED01BE"/>
    <w:rsid w:val="6F176088"/>
    <w:rsid w:val="6F382128"/>
    <w:rsid w:val="6FCD7A7D"/>
    <w:rsid w:val="709E1F5D"/>
    <w:rsid w:val="712612D9"/>
    <w:rsid w:val="714C1B55"/>
    <w:rsid w:val="71B04852"/>
    <w:rsid w:val="71B2000E"/>
    <w:rsid w:val="72307267"/>
    <w:rsid w:val="725577F4"/>
    <w:rsid w:val="72B513C2"/>
    <w:rsid w:val="73A103C3"/>
    <w:rsid w:val="73A51066"/>
    <w:rsid w:val="740C7A72"/>
    <w:rsid w:val="742227FA"/>
    <w:rsid w:val="74457D84"/>
    <w:rsid w:val="74AB4B27"/>
    <w:rsid w:val="74BE1DD0"/>
    <w:rsid w:val="74EE1F10"/>
    <w:rsid w:val="74FC7C89"/>
    <w:rsid w:val="75AA5052"/>
    <w:rsid w:val="75BE2C2C"/>
    <w:rsid w:val="75BF7348"/>
    <w:rsid w:val="763554A4"/>
    <w:rsid w:val="765F4A43"/>
    <w:rsid w:val="76EB7264"/>
    <w:rsid w:val="76F73A24"/>
    <w:rsid w:val="771256CE"/>
    <w:rsid w:val="774B2533"/>
    <w:rsid w:val="77F5610B"/>
    <w:rsid w:val="78A832CE"/>
    <w:rsid w:val="78C97F79"/>
    <w:rsid w:val="79175759"/>
    <w:rsid w:val="794270DA"/>
    <w:rsid w:val="7A5E34A4"/>
    <w:rsid w:val="7A9F77BB"/>
    <w:rsid w:val="7B453D8F"/>
    <w:rsid w:val="7CEF5984"/>
    <w:rsid w:val="7D433BC5"/>
    <w:rsid w:val="7D65005C"/>
    <w:rsid w:val="7E122809"/>
    <w:rsid w:val="7E283B0C"/>
    <w:rsid w:val="7E543940"/>
    <w:rsid w:val="7E7519CA"/>
    <w:rsid w:val="7EF240BF"/>
    <w:rsid w:val="7F2C38B2"/>
    <w:rsid w:val="7F2D0FB6"/>
    <w:rsid w:val="7F962F62"/>
    <w:rsid w:val="7FE05D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39" w:semiHidden="0" w:name="toc 1"/>
    <w:lsdException w:qFormat="1"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iPriority="9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360" w:lineRule="auto"/>
      <w:jc w:val="center"/>
      <w:outlineLvl w:val="0"/>
    </w:pPr>
    <w:rPr>
      <w:rFonts w:asciiTheme="minorAscii" w:hAnsiTheme="minorAscii"/>
      <w:b/>
      <w:kern w:val="44"/>
      <w:sz w:val="30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Lines="0" w:beforeAutospacing="0" w:afterLines="0" w:afterAutospacing="0" w:line="360" w:lineRule="auto"/>
      <w:outlineLvl w:val="1"/>
    </w:pPr>
    <w:rPr>
      <w:rFonts w:ascii="Arial" w:hAnsi="Arial" w:eastAsia="黑体"/>
      <w:b/>
      <w:sz w:val="24"/>
    </w:rPr>
  </w:style>
  <w:style w:type="character" w:default="1" w:styleId="13">
    <w:name w:val="Default Paragraph Font"/>
    <w:semiHidden/>
    <w:qFormat/>
    <w:uiPriority w:val="0"/>
  </w:style>
  <w:style w:type="table" w:default="1" w:styleId="11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Indent"/>
    <w:basedOn w:val="1"/>
    <w:next w:val="1"/>
    <w:qFormat/>
    <w:uiPriority w:val="0"/>
    <w:pPr>
      <w:ind w:firstLine="420" w:firstLineChars="200"/>
    </w:pPr>
  </w:style>
  <w:style w:type="paragraph" w:styleId="5">
    <w:name w:val="annotation text"/>
    <w:basedOn w:val="1"/>
    <w:qFormat/>
    <w:uiPriority w:val="0"/>
    <w:pPr>
      <w:jc w:val="left"/>
    </w:pPr>
  </w:style>
  <w:style w:type="paragraph" w:styleId="6">
    <w:name w:val="Body Text"/>
    <w:basedOn w:val="1"/>
    <w:next w:val="1"/>
    <w:qFormat/>
    <w:uiPriority w:val="0"/>
    <w:pPr>
      <w:spacing w:before="1" w:line="360" w:lineRule="auto"/>
    </w:pPr>
    <w:rPr>
      <w:rFonts w:ascii="宋体" w:hAnsi="宋体" w:eastAsia="仿宋" w:cs="宋体"/>
      <w:sz w:val="24"/>
      <w:szCs w:val="24"/>
      <w:lang w:val="zh-CN" w:bidi="zh-CN"/>
    </w:r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toc 1"/>
    <w:basedOn w:val="1"/>
    <w:next w:val="1"/>
    <w:qFormat/>
    <w:uiPriority w:val="39"/>
  </w:style>
  <w:style w:type="paragraph" w:styleId="9">
    <w:name w:val="toc 2"/>
    <w:basedOn w:val="1"/>
    <w:next w:val="1"/>
    <w:qFormat/>
    <w:uiPriority w:val="0"/>
    <w:pPr>
      <w:ind w:left="420" w:leftChars="200"/>
    </w:pPr>
  </w:style>
  <w:style w:type="paragraph" w:styleId="10">
    <w:name w:val="Normal (Web)"/>
    <w:basedOn w:val="1"/>
    <w:unhideWhenUsed/>
    <w:qFormat/>
    <w:uiPriority w:val="99"/>
    <w:pPr>
      <w:adjustRightInd/>
      <w:snapToGrid/>
      <w:spacing w:before="100" w:beforeAutospacing="1" w:after="100" w:afterAutospacing="1"/>
    </w:pPr>
    <w:rPr>
      <w:rFonts w:ascii="宋体" w:hAnsi="宋体" w:eastAsia="宋体" w:cs="宋体"/>
      <w:sz w:val="24"/>
      <w:szCs w:val="24"/>
    </w:rPr>
  </w:style>
  <w:style w:type="table" w:styleId="12">
    <w:name w:val="Table Grid"/>
    <w:basedOn w:val="11"/>
    <w:unhideWhenUsed/>
    <w:qFormat/>
    <w:uiPriority w:val="9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4">
    <w:name w:val="Strong"/>
    <w:basedOn w:val="13"/>
    <w:qFormat/>
    <w:uiPriority w:val="0"/>
    <w:rPr>
      <w:b/>
    </w:rPr>
  </w:style>
  <w:style w:type="character" w:styleId="15">
    <w:name w:val="Emphasis"/>
    <w:basedOn w:val="13"/>
    <w:qFormat/>
    <w:uiPriority w:val="0"/>
    <w:rPr>
      <w:i/>
    </w:rPr>
  </w:style>
  <w:style w:type="paragraph" w:customStyle="1" w:styleId="16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color w:val="000000"/>
      <w:sz w:val="24"/>
      <w:szCs w:val="24"/>
      <w:lang w:val="en-US" w:eastAsia="zh-CN" w:bidi="ar-SA"/>
    </w:rPr>
  </w:style>
  <w:style w:type="character" w:customStyle="1" w:styleId="17">
    <w:name w:val="font81"/>
    <w:basedOn w:val="13"/>
    <w:qFormat/>
    <w:uiPriority w:val="0"/>
    <w:rPr>
      <w:rFonts w:hint="eastAsia" w:ascii="仿宋" w:hAnsi="仿宋" w:eastAsia="仿宋" w:cs="仿宋"/>
      <w:color w:val="FF0000"/>
      <w:sz w:val="24"/>
      <w:szCs w:val="24"/>
      <w:u w:val="none"/>
    </w:rPr>
  </w:style>
  <w:style w:type="character" w:customStyle="1" w:styleId="18">
    <w:name w:val="font61"/>
    <w:basedOn w:val="13"/>
    <w:qFormat/>
    <w:uiPriority w:val="0"/>
    <w:rPr>
      <w:rFonts w:hint="eastAsia" w:ascii="仿宋" w:hAnsi="仿宋" w:eastAsia="仿宋" w:cs="仿宋"/>
      <w:color w:val="000000"/>
      <w:sz w:val="24"/>
      <w:szCs w:val="24"/>
      <w:u w:val="none"/>
    </w:rPr>
  </w:style>
  <w:style w:type="character" w:customStyle="1" w:styleId="19">
    <w:name w:val="font41"/>
    <w:basedOn w:val="13"/>
    <w:qFormat/>
    <w:uiPriority w:val="0"/>
    <w:rPr>
      <w:rFonts w:hint="eastAsia" w:ascii="仿宋" w:hAnsi="仿宋" w:eastAsia="仿宋" w:cs="仿宋"/>
      <w:color w:val="000000"/>
      <w:sz w:val="24"/>
      <w:szCs w:val="24"/>
      <w:u w:val="none"/>
    </w:rPr>
  </w:style>
  <w:style w:type="character" w:customStyle="1" w:styleId="20">
    <w:name w:val="font71"/>
    <w:basedOn w:val="13"/>
    <w:qFormat/>
    <w:uiPriority w:val="0"/>
    <w:rPr>
      <w:rFonts w:hint="eastAsia" w:ascii="仿宋" w:hAnsi="仿宋" w:eastAsia="仿宋" w:cs="仿宋"/>
      <w:color w:val="0070C0"/>
      <w:sz w:val="24"/>
      <w:szCs w:val="24"/>
      <w:u w:val="none"/>
    </w:rPr>
  </w:style>
  <w:style w:type="character" w:customStyle="1" w:styleId="21">
    <w:name w:val="font51"/>
    <w:basedOn w:val="13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22">
    <w:name w:val="font21"/>
    <w:basedOn w:val="13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23">
    <w:name w:val="font11"/>
    <w:basedOn w:val="13"/>
    <w:qFormat/>
    <w:uiPriority w:val="0"/>
    <w:rPr>
      <w:rFonts w:hint="eastAsia" w:ascii="宋体" w:hAnsi="宋体" w:eastAsia="宋体" w:cs="宋体"/>
      <w:b/>
      <w:bCs/>
      <w:color w:val="000000"/>
      <w:sz w:val="24"/>
      <w:szCs w:val="24"/>
      <w:u w:val="none"/>
    </w:rPr>
  </w:style>
  <w:style w:type="paragraph" w:customStyle="1" w:styleId="24">
    <w:name w:val="段"/>
    <w:next w:val="1"/>
    <w:qFormat/>
    <w:uiPriority w:val="0"/>
    <w:pPr>
      <w:autoSpaceDE w:val="0"/>
      <w:autoSpaceDN w:val="0"/>
      <w:adjustRightInd w:val="0"/>
      <w:snapToGrid w:val="0"/>
      <w:spacing w:line="360" w:lineRule="auto"/>
      <w:ind w:firstLine="200" w:firstLineChars="200"/>
      <w:jc w:val="both"/>
    </w:pPr>
    <w:rPr>
      <w:rFonts w:ascii="宋体" w:hAnsi="Calibri" w:eastAsia="宋体" w:cs="Times New Roman"/>
      <w:sz w:val="24"/>
      <w:szCs w:val="22"/>
      <w:lang w:val="en-US" w:eastAsia="zh-CN" w:bidi="ar-SA"/>
    </w:rPr>
  </w:style>
  <w:style w:type="character" w:customStyle="1" w:styleId="25">
    <w:name w:val="font31"/>
    <w:basedOn w:val="13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26">
    <w:name w:val="font01"/>
    <w:basedOn w:val="13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paragraph" w:customStyle="1" w:styleId="27">
    <w:name w:val="null3"/>
    <w:hidden/>
    <w:qFormat/>
    <w:uiPriority w:val="0"/>
    <w:rPr>
      <w:rFonts w:hint="eastAsia" w:asciiTheme="minorHAnsi" w:hAnsiTheme="minorHAnsi" w:eastAsiaTheme="minorEastAsia" w:cstheme="minorBidi"/>
      <w:lang w:val="en-US" w:eastAsia="zh-Hans" w:bidi="ar-SA"/>
    </w:rPr>
  </w:style>
  <w:style w:type="paragraph" w:customStyle="1" w:styleId="28">
    <w:name w:val="标题 5（有编号）（绿盟科技）"/>
    <w:basedOn w:val="1"/>
    <w:next w:val="29"/>
    <w:qFormat/>
    <w:uiPriority w:val="0"/>
    <w:pPr>
      <w:keepNext/>
      <w:keepLines/>
      <w:widowControl w:val="0"/>
      <w:tabs>
        <w:tab w:val="left" w:pos="4832"/>
      </w:tabs>
      <w:spacing w:before="280" w:after="156" w:line="377" w:lineRule="auto"/>
      <w:ind w:left="4832" w:hanging="992"/>
      <w:outlineLvl w:val="4"/>
    </w:pPr>
    <w:rPr>
      <w:rFonts w:ascii="Arial" w:hAnsi="Arial" w:eastAsia="黑体"/>
      <w:b/>
      <w:sz w:val="24"/>
      <w:szCs w:val="28"/>
    </w:rPr>
  </w:style>
  <w:style w:type="paragraph" w:customStyle="1" w:styleId="29">
    <w:name w:val="正文（绿盟科技）"/>
    <w:qFormat/>
    <w:uiPriority w:val="0"/>
    <w:pPr>
      <w:spacing w:line="300" w:lineRule="auto"/>
    </w:pPr>
    <w:rPr>
      <w:rFonts w:ascii="Arial" w:hAnsi="Arial" w:eastAsia="宋体" w:cs="黑体"/>
      <w:sz w:val="21"/>
      <w:szCs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13</Pages>
  <Words>2010</Words>
  <Characters>2180</Characters>
  <Lines>0</Lines>
  <Paragraphs>0</Paragraphs>
  <TotalTime>45</TotalTime>
  <ScaleCrop>false</ScaleCrop>
  <LinksUpToDate>false</LinksUpToDate>
  <CharactersWithSpaces>2322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2023-07-17T06:43:00Z</dcterms:created>
  <dc:creator>Administrator</dc:creator>
  <cp:lastModifiedBy>陈星材</cp:lastModifiedBy>
  <cp:lastPrinted>2025-07-04T05:21:00Z</cp:lastPrinted>
  <dcterms:modified xsi:type="dcterms:W3CDTF">2026-07-23T09:57:06Z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1699AAD725F4408FAC1581F141FA1A4C_13</vt:lpwstr>
  </property>
  <property fmtid="{D5CDD505-2E9C-101B-9397-08002B2CF9AE}" pid="4" name="KSOTemplateDocerSaveRecord">
    <vt:lpwstr>eyJoZGlkIjoiMjQyNDhmOTM2ZTFmMzI0NWNlOWQ4YjMzNDBjYmNiZTkiLCJ1c2VySWQiOiIxNTY4OTgzOTkzIn0=</vt:lpwstr>
  </property>
</Properties>
</file>