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F449AF4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center"/>
        <w:textAlignment w:val="center"/>
        <w:rPr>
          <w:rFonts w:hint="default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资阳市中心医院</w:t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br w:type="textWrapping"/>
      </w:r>
      <w:r>
        <w:rPr>
          <w:rFonts w:hint="eastAsia" w:ascii="微软雅黑" w:hAnsi="微软雅黑" w:eastAsia="微软雅黑" w:cs="微软雅黑"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信息化终端设备服务调研公告（第二次）</w:t>
      </w:r>
    </w:p>
    <w:p w14:paraId="1E43D7C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</w:p>
    <w:p w14:paraId="1C1375AC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因医院业务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发展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需要，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对医院信息化终端设备服务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进行市场调研,现公开征集相关资料,欢迎各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潜在供应商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进行报名，现将有关事宜公告如下：</w:t>
      </w:r>
    </w:p>
    <w:p w14:paraId="11AFD9D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一、项目概述</w:t>
      </w:r>
    </w:p>
    <w:p w14:paraId="07A13DBB">
      <w:pPr>
        <w:pStyle w:val="16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4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  <w:t>本项目旨在通过专业的信息化终端设备服务，为医院提供全方位的信息化运维服务，涵盖前端硬件设备维修维护、办公设备周边耗材服务、运维软件服务、网络日常维护、突发紧急重大故障处理服务、设备健康巡检、备品备件库、机房及弱电井日常运维、中心机房专业运维等9项服务内容，保障医院各类信息系统、硬件设备、网络设施7×24小时稳定、安全、高效运行，全面提升医院信息化运维管理水平和服务质量。</w:t>
      </w:r>
    </w:p>
    <w:p w14:paraId="63D4F6D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二、报名时间、方式</w:t>
      </w:r>
    </w:p>
    <w:p w14:paraId="4F8CA69D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报名时间：本公告自挂网公告日起，截止时间为自发布公告起第3</w:t>
      </w:r>
      <w:bookmarkStart w:id="34" w:name="_GoBack"/>
      <w:bookmarkEnd w:id="34"/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个工作日（包含发布当天），公告截止日期后递交的报名资料无效。</w:t>
      </w:r>
    </w:p>
    <w:p w14:paraId="324D4489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报名方式:本次市场调研活动采用邮箱报名，不接受现场报名。</w:t>
      </w:r>
    </w:p>
    <w:p w14:paraId="515E6808">
      <w:pPr>
        <w:keepNext w:val="0"/>
        <w:keepLines w:val="0"/>
        <w:pageBreakBefore w:val="0"/>
        <w:widowControl/>
        <w:numPr>
          <w:ilvl w:val="0"/>
          <w:numId w:val="1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jc w:val="both"/>
        <w:textAlignment w:val="center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1.报名资料按附件《报名须知》要求，将电子文档（盖章扫描件和可编辑版本）发送至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zyszxyyxxb@163.com，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并抄送至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zyszxyyxxb001@163.com</w:t>
      </w:r>
      <w:r>
        <w:rPr>
          <w:rFonts w:hint="eastAsia" w:ascii="仿宋" w:hAnsi="仿宋" w:eastAsia="仿宋" w:cs="仿宋"/>
          <w:color w:val="000000"/>
          <w:sz w:val="28"/>
          <w:szCs w:val="28"/>
        </w:rPr>
        <w:t>。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。邮件名称：“XXXX项目名称+公司名称+联系人+联系电话）”报名资料目录见附件。</w:t>
      </w:r>
    </w:p>
    <w:p w14:paraId="5191F009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2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.联系人：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 xml:space="preserve">陈老师  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报名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咨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询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电话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：028-26219526</w:t>
      </w:r>
    </w:p>
    <w:p w14:paraId="6D0856DE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3.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线上或线下集中调研需求论证时间及地点，另行通知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请参加调研会的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各潜在供应商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准备相应的纸质版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报价表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及汇报PPT等。</w:t>
      </w:r>
    </w:p>
    <w:p w14:paraId="78375170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Chars="0" w:firstLine="560" w:firstLineChars="200"/>
        <w:jc w:val="both"/>
        <w:textAlignment w:val="center"/>
        <w:rPr>
          <w:rFonts w:hint="default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黑体" w:hAnsi="黑体" w:eastAsia="黑体" w:cs="黑体"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三、其他说明</w:t>
      </w:r>
    </w:p>
    <w:p w14:paraId="33E6A9D7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1.本次公开市场调研内容因市场了解的局限性，仅作为医院市场调研参考使用，</w:t>
      </w:r>
      <w:r>
        <w:rPr>
          <w:rFonts w:hint="eastAsia" w:ascii="仿宋" w:hAnsi="仿宋" w:eastAsia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我院有权使用所征集技术指标中的相关内容</w:t>
      </w: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，不作为正式采购依据，无任何针对性，如有不全之处，敬请理解，并请各潜在供应商详实介绍服务方案，本项目最终服务参数以采购时为准。对未公告服务要求的，请各潜在供应商自行提供。</w:t>
      </w:r>
    </w:p>
    <w:p w14:paraId="71B78830">
      <w:pPr>
        <w:pStyle w:val="6"/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仿宋" w:hAnsi="仿宋" w:cs="仿宋"/>
          <w:i w:val="0"/>
          <w:iCs w:val="0"/>
          <w:color w:val="000000"/>
          <w:sz w:val="28"/>
          <w:szCs w:val="28"/>
          <w:u w:val="none"/>
          <w:lang w:val="en-US" w:eastAsia="zh-CN"/>
        </w:rPr>
        <w:t>2.参与本次市场调研活动的潜在供应商，我院不作任何承诺。因参与市场调研所产生的一切费用由报名潜在供应商自行承担，我院不支付任何相关费用。本次市场调研的后续工作及结果，我院不做任何解释。本次市场调研的解释权归院方。</w:t>
      </w:r>
    </w:p>
    <w:p w14:paraId="5CC3795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560BA3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6D2EEE4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20FF397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7AC6205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00460BA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75218DF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58EA09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firstLine="560" w:firstLineChars="200"/>
        <w:textAlignment w:val="auto"/>
        <w:rPr>
          <w:rFonts w:hint="eastAsia" w:ascii="仿宋" w:hAnsi="仿宋" w:eastAsia="仿宋" w:cs="仿宋"/>
          <w:i w:val="0"/>
          <w:iCs w:val="0"/>
          <w:color w:val="000000"/>
          <w:kern w:val="2"/>
          <w:sz w:val="28"/>
          <w:szCs w:val="28"/>
          <w:u w:val="none"/>
          <w:lang w:val="en-US" w:eastAsia="zh-CN" w:bidi="zh-CN"/>
        </w:rPr>
      </w:pPr>
    </w:p>
    <w:p w14:paraId="04ABEE8C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0" w:rightChars="0"/>
        <w:jc w:val="center"/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b/>
          <w:bCs/>
          <w:color w:val="auto"/>
          <w:sz w:val="44"/>
          <w:szCs w:val="44"/>
          <w:lang w:val="en-US" w:eastAsia="zh-CN"/>
        </w:rPr>
        <w:t>报名注意事项</w:t>
      </w:r>
    </w:p>
    <w:p w14:paraId="0C100449">
      <w:pPr>
        <w:numPr>
          <w:ilvl w:val="0"/>
          <w:numId w:val="0"/>
        </w:numPr>
        <w:spacing w:line="500" w:lineRule="exact"/>
        <w:textAlignment w:val="baseline"/>
        <w:outlineLvl w:val="1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</w:p>
    <w:p w14:paraId="4B0E802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 w:firstLine="6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1.请参与报名的各潜在供应商在准备报名资料时，按照报名资料目录顺序和模板提交，若其中某项资料不需提供，请勿删除页面，自动跳过当前页即可。</w:t>
      </w:r>
    </w:p>
    <w:p w14:paraId="56FD6626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right="0" w:rightChars="0" w:firstLine="600" w:firstLineChars="200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2.可根据项目方案内容通过PPT重点介绍产品功能、亮点及落地案例，15分钟。</w:t>
      </w:r>
    </w:p>
    <w:p w14:paraId="4AE730C0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0" w:righ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3.报名资料电子文档（盖章扫描件和可编辑版本）发送至zyszxyyxxb@163.com。邮件名称：</w:t>
      </w:r>
      <w:r>
        <w:rPr>
          <w:rFonts w:hint="eastAsia" w:ascii="仿宋" w:hAnsi="仿宋" w:eastAsia="仿宋" w:cs="仿宋"/>
          <w:b w:val="0"/>
          <w:bCs w:val="0"/>
          <w:color w:val="FF0000"/>
          <w:sz w:val="30"/>
          <w:szCs w:val="30"/>
          <w:lang w:val="en-US" w:eastAsia="zh-CN"/>
        </w:rPr>
        <w:t>“XXXX项目名称（公司名称+联系人+联系电话）</w:t>
      </w: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”</w:t>
      </w:r>
    </w:p>
    <w:p w14:paraId="578E0399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360" w:lineRule="auto"/>
        <w:ind w:right="0" w:rightChars="0" w:firstLine="600" w:firstLineChars="200"/>
        <w:textAlignment w:val="auto"/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auto"/>
          <w:sz w:val="30"/>
          <w:szCs w:val="30"/>
          <w:lang w:val="en-US" w:eastAsia="zh-CN"/>
        </w:rPr>
        <w:t>4.收到您的邮件即报名成功。特殊情况，我们会通过电话与您联系，请注意保持电话畅通。感谢您的积极参与！</w:t>
      </w:r>
    </w:p>
    <w:p w14:paraId="4CBFEAC5">
      <w:pPr>
        <w:pStyle w:val="16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360" w:lineRule="auto"/>
        <w:ind w:left="0" w:leftChars="0" w:right="0" w:rightChars="0"/>
        <w:rPr>
          <w:rFonts w:hint="eastAsia" w:ascii="宋体" w:hAnsi="宋体" w:eastAsia="宋体" w:cs="宋体"/>
          <w:b w:val="0"/>
          <w:bCs w:val="0"/>
          <w:color w:val="auto"/>
          <w:sz w:val="30"/>
          <w:szCs w:val="30"/>
          <w:lang w:val="en-US" w:eastAsia="zh-CN"/>
        </w:rPr>
      </w:pPr>
    </w:p>
    <w:p w14:paraId="21AB2F34">
      <w:pPr>
        <w:rPr>
          <w:rFonts w:hint="eastAsia"/>
          <w:lang w:val="en-US" w:eastAsia="zh-CN"/>
        </w:rPr>
      </w:pPr>
    </w:p>
    <w:p w14:paraId="20BE1E03">
      <w:pPr>
        <w:pStyle w:val="6"/>
        <w:rPr>
          <w:rFonts w:hint="default"/>
          <w:lang w:val="en-US" w:eastAsia="zh-CN"/>
        </w:rPr>
      </w:pPr>
    </w:p>
    <w:p w14:paraId="02043E00">
      <w:pPr>
        <w:pStyle w:val="6"/>
        <w:rPr>
          <w:rFonts w:hint="eastAsia"/>
          <w:lang w:eastAsia="zh-CN"/>
        </w:rPr>
      </w:pPr>
    </w:p>
    <w:p w14:paraId="0C6705FE">
      <w:pPr>
        <w:pStyle w:val="16"/>
      </w:pPr>
    </w:p>
    <w:p w14:paraId="4E022E04">
      <w:pPr>
        <w:pStyle w:val="16"/>
      </w:pPr>
    </w:p>
    <w:p w14:paraId="7B562D01">
      <w:pPr>
        <w:pStyle w:val="16"/>
      </w:pPr>
    </w:p>
    <w:p w14:paraId="2AACC706">
      <w:pPr>
        <w:pStyle w:val="16"/>
      </w:pPr>
    </w:p>
    <w:p w14:paraId="6121E002">
      <w:pPr>
        <w:pStyle w:val="16"/>
      </w:pPr>
    </w:p>
    <w:p w14:paraId="466F7595">
      <w:pPr>
        <w:pStyle w:val="16"/>
      </w:pPr>
    </w:p>
    <w:p w14:paraId="28FB3DA9">
      <w:pPr>
        <w:pStyle w:val="16"/>
      </w:pPr>
    </w:p>
    <w:p w14:paraId="5AF54E6C">
      <w:pPr>
        <w:pStyle w:val="16"/>
      </w:pPr>
    </w:p>
    <w:p w14:paraId="6DB5A362">
      <w:pPr>
        <w:pStyle w:val="16"/>
      </w:pPr>
    </w:p>
    <w:p w14:paraId="78DBE6C2">
      <w:pPr>
        <w:pStyle w:val="16"/>
      </w:pPr>
    </w:p>
    <w:p w14:paraId="69B88316">
      <w:pPr>
        <w:pStyle w:val="16"/>
      </w:pPr>
    </w:p>
    <w:p w14:paraId="46DB01FB">
      <w:pPr>
        <w:pStyle w:val="16"/>
      </w:pPr>
    </w:p>
    <w:p w14:paraId="475BD167">
      <w:pPr>
        <w:pStyle w:val="16"/>
      </w:pPr>
    </w:p>
    <w:p w14:paraId="758E5DC4">
      <w:pPr>
        <w:pStyle w:val="16"/>
      </w:pPr>
    </w:p>
    <w:p w14:paraId="793B3062">
      <w:pPr>
        <w:pStyle w:val="16"/>
      </w:pPr>
    </w:p>
    <w:p w14:paraId="1403CAC5">
      <w:pPr>
        <w:pStyle w:val="16"/>
      </w:pPr>
    </w:p>
    <w:sdt>
      <w:sdtPr>
        <w:rPr>
          <w:rFonts w:ascii="宋体" w:hAnsi="宋体" w:eastAsia="宋体" w:cstheme="minorBidi"/>
          <w:kern w:val="2"/>
          <w:sz w:val="28"/>
          <w:szCs w:val="36"/>
          <w:lang w:val="en-US" w:eastAsia="zh-CN" w:bidi="ar-SA"/>
        </w:rPr>
        <w:id w:val="147450881"/>
        <w15:color w:val="DBDBDB"/>
        <w:docPartObj>
          <w:docPartGallery w:val="Table of Contents"/>
          <w:docPartUnique/>
        </w:docPartObj>
      </w:sdtPr>
      <w:sdtEndPr>
        <w:rPr>
          <w:rFonts w:asciiTheme="minorHAnsi" w:hAnsiTheme="minorHAnsi" w:eastAsiaTheme="minorEastAsia" w:cstheme="minorBidi"/>
          <w:kern w:val="2"/>
          <w:sz w:val="21"/>
          <w:szCs w:val="24"/>
          <w:lang w:val="en-US" w:eastAsia="zh-CN" w:bidi="ar-SA"/>
        </w:rPr>
      </w:sdtEndPr>
      <w:sdtContent>
        <w:p w14:paraId="20995604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  <w:rPr>
              <w:rFonts w:hint="eastAsia" w:asciiTheme="minorEastAsia" w:hAnsiTheme="minorEastAsia" w:eastAsiaTheme="minorEastAsia" w:cstheme="minorEastAsia"/>
              <w:b/>
              <w:bCs/>
              <w:sz w:val="40"/>
              <w:szCs w:val="40"/>
            </w:rPr>
          </w:pPr>
          <w:r>
            <w:rPr>
              <w:rFonts w:hint="eastAsia" w:asciiTheme="minorEastAsia" w:hAnsiTheme="minorEastAsia" w:eastAsiaTheme="minorEastAsia" w:cstheme="minorEastAsia"/>
              <w:b/>
              <w:bCs/>
              <w:kern w:val="2"/>
              <w:sz w:val="40"/>
              <w:szCs w:val="40"/>
              <w:lang w:val="en-US" w:eastAsia="zh-CN" w:bidi="ar-SA"/>
            </w:rPr>
            <w:t>调研报名</w:t>
          </w:r>
          <w:r>
            <w:rPr>
              <w:rFonts w:hint="eastAsia" w:asciiTheme="minorEastAsia" w:hAnsiTheme="minorEastAsia" w:eastAsiaTheme="minorEastAsia" w:cstheme="minorEastAsia"/>
              <w:b/>
              <w:bCs/>
              <w:sz w:val="40"/>
              <w:szCs w:val="40"/>
            </w:rPr>
            <w:t>目录</w:t>
          </w:r>
        </w:p>
        <w:p w14:paraId="70983076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</w:p>
        <w:p w14:paraId="0C7D9977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TOC \o "1-3" \h \u </w:instrText>
          </w:r>
          <w:r>
            <w:fldChar w:fldCharType="separate"/>
          </w:r>
          <w:r>
            <w:fldChar w:fldCharType="begin"/>
          </w:r>
          <w:r>
            <w:instrText xml:space="preserve"> HYPERLINK \l _Toc4916 </w:instrText>
          </w:r>
          <w:r>
            <w:fldChar w:fldCharType="separate"/>
          </w:r>
          <w:r>
            <w:rPr>
              <w:rFonts w:hint="eastAsia"/>
            </w:rPr>
            <w:t>一、 报名</w:t>
          </w:r>
          <w:r>
            <w:rPr>
              <w:rFonts w:hint="eastAsia"/>
              <w:lang w:eastAsia="zh-CN"/>
            </w:rPr>
            <w:t>登记</w:t>
          </w:r>
          <w:r>
            <w:rPr>
              <w:rFonts w:hint="eastAsia"/>
            </w:rPr>
            <w:t>表</w:t>
          </w:r>
          <w:r>
            <w:tab/>
          </w:r>
          <w:r>
            <w:fldChar w:fldCharType="begin"/>
          </w:r>
          <w:r>
            <w:instrText xml:space="preserve"> PAGEREF _Toc4916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CC548A6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_Toc7230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二、资质：</w:t>
          </w:r>
          <w:r>
            <w:tab/>
          </w:r>
          <w:r>
            <w:fldChar w:fldCharType="begin"/>
          </w:r>
          <w:r>
            <w:instrText xml:space="preserve"> PAGEREF _Toc7230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097A5E8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_Toc21098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</w:t>
          </w:r>
          <w:r>
            <w:rPr>
              <w:rFonts w:hint="eastAsia"/>
            </w:rPr>
            <w:t>营业执照</w:t>
          </w:r>
          <w:r>
            <w:tab/>
          </w:r>
          <w:r>
            <w:fldChar w:fldCharType="begin"/>
          </w:r>
          <w:r>
            <w:instrText xml:space="preserve"> PAGEREF _Toc21098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5D796337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_Toc16249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2.1</w:t>
          </w:r>
          <w:r>
            <w:rPr>
              <w:rFonts w:hint="eastAsia"/>
              <w:lang w:eastAsia="zh-CN"/>
            </w:rPr>
            <w:t>法定代表人授权书</w:t>
          </w:r>
          <w:r>
            <w:tab/>
          </w:r>
          <w:r>
            <w:fldChar w:fldCharType="begin"/>
          </w:r>
          <w:r>
            <w:instrText xml:space="preserve"> PAGEREF _Toc16249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25384FAA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_Toc32583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2.3</w:t>
          </w:r>
          <w:r>
            <w:rPr>
              <w:rFonts w:hint="eastAsia"/>
              <w:lang w:eastAsia="zh-CN"/>
            </w:rPr>
            <w:t>法人及被授权人身份证</w:t>
          </w:r>
          <w:r>
            <w:tab/>
          </w:r>
          <w:r>
            <w:fldChar w:fldCharType="begin"/>
          </w:r>
          <w:r>
            <w:instrText xml:space="preserve"> PAGEREF _Toc32583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49C73E6C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_Toc18909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2.4</w:t>
          </w:r>
          <w:r>
            <w:rPr>
              <w:rFonts w:hint="eastAsia"/>
              <w:lang w:eastAsia="zh-CN"/>
            </w:rPr>
            <w:t>公司资质</w:t>
          </w:r>
          <w:r>
            <w:tab/>
          </w:r>
          <w:r>
            <w:fldChar w:fldCharType="begin"/>
          </w:r>
          <w:r>
            <w:instrText xml:space="preserve"> PAGEREF _Toc18909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9F77A93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_Toc12108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2.5软件资质</w:t>
          </w:r>
          <w:r>
            <w:tab/>
          </w:r>
          <w:r>
            <w:fldChar w:fldCharType="begin"/>
          </w:r>
          <w:r>
            <w:instrText xml:space="preserve"> PAGEREF _Toc12108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105A436E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_Toc17878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2.6本项目涉及</w:t>
          </w:r>
          <w:r>
            <w:rPr>
              <w:rFonts w:hint="eastAsia"/>
              <w:lang w:eastAsia="zh-CN"/>
            </w:rPr>
            <w:t>资质</w:t>
          </w:r>
          <w:r>
            <w:tab/>
          </w:r>
          <w:r>
            <w:fldChar w:fldCharType="begin"/>
          </w:r>
          <w:r>
            <w:instrText xml:space="preserve"> PAGEREF _Toc17878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03BD3FBF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_Toc10850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2.7开发商委托销售授权函</w:t>
          </w:r>
          <w:r>
            <w:tab/>
          </w:r>
          <w:r>
            <w:fldChar w:fldCharType="begin"/>
          </w:r>
          <w:r>
            <w:instrText xml:space="preserve"> PAGEREF _Toc10850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6D7DA4F9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_Toc20019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三、单一来源说明及佐证材料</w:t>
          </w:r>
          <w:r>
            <w:tab/>
          </w:r>
          <w:r>
            <w:fldChar w:fldCharType="begin"/>
          </w:r>
          <w:r>
            <w:instrText xml:space="preserve"> PAGEREF _Toc20019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fldChar w:fldCharType="end"/>
          </w:r>
        </w:p>
        <w:p w14:paraId="32CA2CE7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_Toc20631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四、项目调研情况一览汇总表</w:t>
          </w:r>
          <w:r>
            <w:tab/>
          </w:r>
          <w:r>
            <w:fldChar w:fldCharType="begin"/>
          </w:r>
          <w:r>
            <w:instrText xml:space="preserve"> PAGEREF _Toc20631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48BA9C28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_Toc6483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4.1报价表</w:t>
          </w:r>
          <w:r>
            <w:tab/>
          </w:r>
          <w:r>
            <w:fldChar w:fldCharType="begin"/>
          </w:r>
          <w:r>
            <w:instrText xml:space="preserve"> PAGEREF _Toc6483 \h </w:instrText>
          </w:r>
          <w:r>
            <w:fldChar w:fldCharType="separate"/>
          </w:r>
          <w:r>
            <w:t>5</w:t>
          </w:r>
          <w:r>
            <w:fldChar w:fldCharType="end"/>
          </w:r>
          <w:r>
            <w:fldChar w:fldCharType="end"/>
          </w:r>
        </w:p>
        <w:p w14:paraId="392EFD54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_Toc17174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4.2服务要求</w:t>
          </w:r>
          <w:r>
            <w:tab/>
          </w:r>
          <w:r>
            <w:fldChar w:fldCharType="begin"/>
          </w:r>
          <w:r>
            <w:instrText xml:space="preserve"> PAGEREF _Toc17174 \h </w:instrText>
          </w:r>
          <w:r>
            <w:fldChar w:fldCharType="separate"/>
          </w:r>
          <w:r>
            <w:t>6</w:t>
          </w:r>
          <w:r>
            <w:fldChar w:fldCharType="end"/>
          </w:r>
          <w:r>
            <w:fldChar w:fldCharType="end"/>
          </w:r>
        </w:p>
        <w:p w14:paraId="4E3DC7DA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_Toc7903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五、三甲综合医院同类项目案例</w:t>
          </w:r>
          <w:r>
            <w:tab/>
          </w:r>
          <w:r>
            <w:fldChar w:fldCharType="begin"/>
          </w:r>
          <w:r>
            <w:instrText xml:space="preserve"> PAGEREF _Toc7903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6A38DC76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_Toc4476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5.1四川省内（）家</w:t>
          </w:r>
          <w:r>
            <w:tab/>
          </w:r>
          <w:r>
            <w:fldChar w:fldCharType="begin"/>
          </w:r>
          <w:r>
            <w:instrText xml:space="preserve"> PAGEREF _Toc4476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0F8955E5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_Toc13355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5.2四川省外（）家</w:t>
          </w:r>
          <w:r>
            <w:tab/>
          </w:r>
          <w:r>
            <w:fldChar w:fldCharType="begin"/>
          </w:r>
          <w:r>
            <w:instrText xml:space="preserve"> PAGEREF _Toc13355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6AEADB06">
          <w:pPr>
            <w:pStyle w:val="9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_Toc30521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5.3三甲综合医院同类项目案例合同及验收佐证</w:t>
          </w:r>
          <w:r>
            <w:tab/>
          </w:r>
          <w:r>
            <w:fldChar w:fldCharType="begin"/>
          </w:r>
          <w:r>
            <w:instrText xml:space="preserve"> PAGEREF _Toc30521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47079FF0">
          <w:pPr>
            <w:pStyle w:val="8"/>
            <w:tabs>
              <w:tab w:val="right" w:leader="dot" w:pos="8306"/>
            </w:tabs>
          </w:pPr>
          <w:r>
            <w:fldChar w:fldCharType="begin"/>
          </w:r>
          <w:r>
            <w:instrText xml:space="preserve"> HYPERLINK \l _Toc7342 </w:instrText>
          </w:r>
          <w:r>
            <w:fldChar w:fldCharType="separate"/>
          </w:r>
          <w:r>
            <w:rPr>
              <w:rFonts w:hint="eastAsia"/>
              <w:lang w:val="en-US" w:eastAsia="zh-CN"/>
            </w:rPr>
            <w:t>六、服务方案</w:t>
          </w:r>
          <w:r>
            <w:tab/>
          </w:r>
          <w:r>
            <w:fldChar w:fldCharType="begin"/>
          </w:r>
          <w:r>
            <w:instrText xml:space="preserve"> PAGEREF _Toc7342 \h </w:instrText>
          </w:r>
          <w:r>
            <w:fldChar w:fldCharType="separate"/>
          </w:r>
          <w:r>
            <w:t>13</w:t>
          </w:r>
          <w:r>
            <w:fldChar w:fldCharType="end"/>
          </w:r>
          <w:r>
            <w:fldChar w:fldCharType="end"/>
          </w:r>
        </w:p>
        <w:p w14:paraId="1860074C">
          <w:r>
            <w:fldChar w:fldCharType="end"/>
          </w:r>
        </w:p>
      </w:sdtContent>
    </w:sdt>
    <w:p w14:paraId="2E4DF8A4"/>
    <w:p w14:paraId="03CC10E0"/>
    <w:p w14:paraId="045481C5"/>
    <w:p w14:paraId="6E460F13"/>
    <w:p w14:paraId="0BB5B4F9"/>
    <w:p w14:paraId="62B23199"/>
    <w:p w14:paraId="4C58EDDF"/>
    <w:p w14:paraId="3F969AA0"/>
    <w:p w14:paraId="00284FF9"/>
    <w:p w14:paraId="3640C6FD"/>
    <w:p w14:paraId="755A702C"/>
    <w:p w14:paraId="3F16D029">
      <w:pPr>
        <w:sectPr>
          <w:pgSz w:w="11906" w:h="16838"/>
          <w:pgMar w:top="1134" w:right="1800" w:bottom="1134" w:left="1800" w:header="851" w:footer="992" w:gutter="0"/>
          <w:cols w:space="425" w:num="1"/>
          <w:docGrid w:type="lines" w:linePitch="312" w:charSpace="0"/>
        </w:sectPr>
      </w:pPr>
    </w:p>
    <w:p w14:paraId="534FD3C0">
      <w:pPr>
        <w:pStyle w:val="2"/>
        <w:keepNext/>
        <w:keepLines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</w:rPr>
      </w:pPr>
      <w:bookmarkStart w:id="0" w:name="_Toc144974876"/>
      <w:bookmarkStart w:id="1" w:name="_Toc10065"/>
      <w:bookmarkStart w:id="2" w:name="_Toc247527848"/>
      <w:bookmarkStart w:id="3" w:name="_Toc152045808"/>
      <w:bookmarkStart w:id="4" w:name="_Toc7415"/>
      <w:bookmarkStart w:id="5" w:name="_Toc247514300"/>
      <w:bookmarkStart w:id="6" w:name="_Toc152042597"/>
      <w:bookmarkStart w:id="7" w:name="_Toc4916"/>
      <w:bookmarkStart w:id="8" w:name="_Toc427002393"/>
      <w:r>
        <w:rPr>
          <w:rFonts w:hint="eastAsia"/>
        </w:rPr>
        <w:t>报名</w:t>
      </w:r>
      <w:r>
        <w:rPr>
          <w:rFonts w:hint="eastAsia"/>
          <w:lang w:eastAsia="zh-CN"/>
        </w:rPr>
        <w:t>登记</w:t>
      </w:r>
      <w:r>
        <w:rPr>
          <w:rFonts w:hint="eastAsia"/>
        </w:rPr>
        <w:t>表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</w:p>
    <w:tbl>
      <w:tblPr>
        <w:tblStyle w:val="11"/>
        <w:tblW w:w="5461" w:type="pct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9"/>
        <w:gridCol w:w="1511"/>
        <w:gridCol w:w="1026"/>
        <w:gridCol w:w="1282"/>
        <w:gridCol w:w="2254"/>
        <w:gridCol w:w="1108"/>
        <w:gridCol w:w="1568"/>
      </w:tblGrid>
      <w:tr w14:paraId="68D6A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  <w:jc w:val="center"/>
        </w:trPr>
        <w:tc>
          <w:tcPr>
            <w:tcW w:w="300" w:type="pct"/>
            <w:tcBorders>
              <w:top w:val="single" w:color="000000" w:sz="8" w:space="0"/>
              <w:left w:val="single" w:color="000000" w:sz="8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480E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序号</w:t>
            </w:r>
          </w:p>
        </w:tc>
        <w:tc>
          <w:tcPr>
            <w:tcW w:w="81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79A1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各潜在供应商名称</w:t>
            </w:r>
          </w:p>
        </w:tc>
        <w:tc>
          <w:tcPr>
            <w:tcW w:w="551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583A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688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571F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1210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D8332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联系邮箱</w:t>
            </w:r>
          </w:p>
          <w:p w14:paraId="50728C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（与报名邮箱一致）</w:t>
            </w:r>
          </w:p>
        </w:tc>
        <w:tc>
          <w:tcPr>
            <w:tcW w:w="595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8519050">
            <w:pPr>
              <w:jc w:val="center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是否为中小企业</w:t>
            </w:r>
          </w:p>
        </w:tc>
        <w:tc>
          <w:tcPr>
            <w:tcW w:w="842" w:type="pct"/>
            <w:tcBorders>
              <w:top w:val="single" w:color="000000" w:sz="8" w:space="0"/>
              <w:left w:val="single" w:color="000000" w:sz="4" w:space="0"/>
              <w:bottom w:val="single" w:color="000000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A4ECD1A">
            <w:pPr>
              <w:jc w:val="center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备注</w:t>
            </w:r>
          </w:p>
        </w:tc>
      </w:tr>
      <w:tr w14:paraId="1A8FA0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0" w:hRule="atLeast"/>
          <w:jc w:val="center"/>
        </w:trPr>
        <w:tc>
          <w:tcPr>
            <w:tcW w:w="300" w:type="pct"/>
            <w:tcBorders>
              <w:top w:val="single" w:color="000000" w:sz="4" w:space="0"/>
              <w:left w:val="single" w:color="000000" w:sz="8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786DE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81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06C8FEB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51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616E35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688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5C95D7C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1210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4" w:space="0"/>
            </w:tcBorders>
            <w:shd w:val="clear" w:color="auto" w:fill="auto"/>
            <w:vAlign w:val="center"/>
          </w:tcPr>
          <w:p w14:paraId="1656283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595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2BA05B9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842" w:type="pct"/>
            <w:tcBorders>
              <w:top w:val="single" w:color="000000" w:sz="4" w:space="0"/>
              <w:left w:val="single" w:color="000000" w:sz="4" w:space="0"/>
              <w:bottom w:val="single" w:color="000000" w:sz="8" w:space="0"/>
              <w:right w:val="single" w:color="000000" w:sz="8" w:space="0"/>
            </w:tcBorders>
            <w:shd w:val="clear" w:color="auto" w:fill="auto"/>
            <w:noWrap/>
            <w:vAlign w:val="center"/>
          </w:tcPr>
          <w:p w14:paraId="5E0A861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 w14:paraId="5E16A6B5">
      <w:pPr>
        <w:numPr>
          <w:ilvl w:val="0"/>
          <w:numId w:val="0"/>
        </w:numPr>
        <w:rPr>
          <w:rFonts w:hint="eastAsia"/>
        </w:rPr>
      </w:pPr>
    </w:p>
    <w:p w14:paraId="4E5CFD16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9" w:name="_Toc7230"/>
      <w:bookmarkStart w:id="10" w:name="_Toc2669"/>
      <w:r>
        <w:rPr>
          <w:rFonts w:hint="eastAsia"/>
          <w:lang w:val="en-US" w:eastAsia="zh-CN"/>
        </w:rPr>
        <w:t>二、资质：</w:t>
      </w:r>
      <w:bookmarkEnd w:id="9"/>
    </w:p>
    <w:p w14:paraId="7F06158F">
      <w:pPr>
        <w:pStyle w:val="3"/>
        <w:bidi w:val="0"/>
        <w:rPr>
          <w:rFonts w:hint="eastAsia"/>
        </w:rPr>
      </w:pPr>
      <w:bookmarkStart w:id="11" w:name="_Toc21098"/>
      <w:r>
        <w:rPr>
          <w:rFonts w:hint="eastAsia"/>
          <w:lang w:val="en-US" w:eastAsia="zh-CN"/>
        </w:rPr>
        <w:t>2.1</w:t>
      </w:r>
      <w:r>
        <w:rPr>
          <w:rFonts w:hint="eastAsia"/>
        </w:rPr>
        <w:t>营业执照</w:t>
      </w:r>
      <w:bookmarkEnd w:id="10"/>
      <w:bookmarkEnd w:id="11"/>
      <w:bookmarkStart w:id="12" w:name="_Toc3036"/>
    </w:p>
    <w:p w14:paraId="40C1620F">
      <w:pPr>
        <w:pStyle w:val="3"/>
        <w:bidi w:val="0"/>
        <w:rPr>
          <w:rFonts w:hint="eastAsia"/>
          <w:lang w:val="en-US" w:eastAsia="zh-CN"/>
        </w:rPr>
      </w:pPr>
      <w:bookmarkStart w:id="13" w:name="_Toc16249"/>
      <w:r>
        <w:rPr>
          <w:rFonts w:hint="eastAsia"/>
          <w:lang w:val="en-US" w:eastAsia="zh-CN"/>
        </w:rPr>
        <w:t>2.1</w:t>
      </w:r>
      <w:r>
        <w:rPr>
          <w:rFonts w:hint="eastAsia"/>
          <w:lang w:eastAsia="zh-CN"/>
        </w:rPr>
        <w:t>法定代表人授权书</w:t>
      </w:r>
      <w:bookmarkEnd w:id="12"/>
      <w:bookmarkEnd w:id="13"/>
    </w:p>
    <w:p w14:paraId="3771381C">
      <w:pPr>
        <w:pStyle w:val="3"/>
        <w:bidi w:val="0"/>
        <w:rPr>
          <w:rFonts w:hint="eastAsia"/>
          <w:lang w:eastAsia="zh-CN"/>
        </w:rPr>
      </w:pPr>
      <w:bookmarkStart w:id="14" w:name="_Toc5131"/>
      <w:bookmarkStart w:id="15" w:name="_Toc32583"/>
      <w:r>
        <w:rPr>
          <w:rFonts w:hint="eastAsia"/>
          <w:lang w:val="en-US" w:eastAsia="zh-CN"/>
        </w:rPr>
        <w:t>2.3</w:t>
      </w:r>
      <w:r>
        <w:rPr>
          <w:rFonts w:hint="eastAsia"/>
          <w:lang w:eastAsia="zh-CN"/>
        </w:rPr>
        <w:t>法人及被授权人身份证</w:t>
      </w:r>
      <w:bookmarkEnd w:id="14"/>
      <w:bookmarkEnd w:id="15"/>
    </w:p>
    <w:p w14:paraId="3AA75AAA">
      <w:pPr>
        <w:pStyle w:val="3"/>
        <w:bidi w:val="0"/>
        <w:rPr>
          <w:rFonts w:hint="eastAsia"/>
          <w:lang w:eastAsia="zh-CN"/>
        </w:rPr>
      </w:pPr>
      <w:bookmarkStart w:id="16" w:name="_Toc22588"/>
      <w:bookmarkStart w:id="17" w:name="_Toc18909"/>
      <w:r>
        <w:rPr>
          <w:rFonts w:hint="eastAsia"/>
          <w:lang w:val="en-US" w:eastAsia="zh-CN"/>
        </w:rPr>
        <w:t>2.4</w:t>
      </w:r>
      <w:r>
        <w:rPr>
          <w:rFonts w:hint="eastAsia"/>
          <w:lang w:eastAsia="zh-CN"/>
        </w:rPr>
        <w:t>公司资质</w:t>
      </w:r>
      <w:bookmarkEnd w:id="16"/>
      <w:bookmarkEnd w:id="17"/>
    </w:p>
    <w:p w14:paraId="3B9E3166">
      <w:pPr>
        <w:pStyle w:val="3"/>
        <w:bidi w:val="0"/>
        <w:rPr>
          <w:rFonts w:hint="default"/>
          <w:lang w:val="en-US" w:eastAsia="zh-CN"/>
        </w:rPr>
      </w:pPr>
      <w:bookmarkStart w:id="18" w:name="_Toc12108"/>
      <w:r>
        <w:rPr>
          <w:rFonts w:hint="eastAsia"/>
          <w:lang w:val="en-US" w:eastAsia="zh-CN"/>
        </w:rPr>
        <w:t>2.5软件资质</w:t>
      </w:r>
      <w:bookmarkEnd w:id="18"/>
    </w:p>
    <w:p w14:paraId="04149700">
      <w:pPr>
        <w:pStyle w:val="3"/>
        <w:bidi w:val="0"/>
        <w:rPr>
          <w:rFonts w:hint="eastAsia"/>
          <w:lang w:eastAsia="zh-CN"/>
        </w:rPr>
      </w:pPr>
      <w:bookmarkStart w:id="19" w:name="_Toc17878"/>
      <w:bookmarkStart w:id="20" w:name="_Toc11995"/>
      <w:r>
        <w:rPr>
          <w:rFonts w:hint="eastAsia"/>
          <w:lang w:val="en-US" w:eastAsia="zh-CN"/>
        </w:rPr>
        <w:t>2.6本项目涉及</w:t>
      </w:r>
      <w:r>
        <w:rPr>
          <w:rFonts w:hint="eastAsia"/>
          <w:lang w:eastAsia="zh-CN"/>
        </w:rPr>
        <w:t>资质</w:t>
      </w:r>
      <w:bookmarkEnd w:id="19"/>
      <w:bookmarkEnd w:id="20"/>
    </w:p>
    <w:p w14:paraId="5F361545">
      <w:pPr>
        <w:pStyle w:val="3"/>
        <w:bidi w:val="0"/>
        <w:rPr>
          <w:rFonts w:hint="eastAsia" w:ascii="宋体" w:hAnsi="宋体" w:eastAsia="宋体" w:cs="宋体"/>
          <w:sz w:val="24"/>
          <w:szCs w:val="24"/>
        </w:rPr>
      </w:pPr>
      <w:bookmarkStart w:id="21" w:name="_Toc10850"/>
      <w:bookmarkStart w:id="22" w:name="_Toc21787"/>
      <w:r>
        <w:rPr>
          <w:rFonts w:hint="eastAsia"/>
          <w:b/>
          <w:lang w:val="en-US" w:eastAsia="zh-CN"/>
        </w:rPr>
        <w:t>2.7开发商委托销售授权函</w:t>
      </w:r>
      <w:bookmarkEnd w:id="21"/>
      <w:bookmarkEnd w:id="22"/>
    </w:p>
    <w:p w14:paraId="2D89F460">
      <w:pPr>
        <w:pStyle w:val="2"/>
        <w:keepNext/>
        <w:keepLines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default"/>
          <w:lang w:val="en-US" w:eastAsia="zh-CN"/>
        </w:rPr>
      </w:pPr>
      <w:bookmarkStart w:id="23" w:name="_Toc20019"/>
      <w:r>
        <w:rPr>
          <w:rFonts w:hint="eastAsia"/>
          <w:lang w:val="en-US" w:eastAsia="zh-CN"/>
        </w:rPr>
        <w:t>三、单一来源说明及佐证材料</w:t>
      </w:r>
      <w:bookmarkEnd w:id="23"/>
    </w:p>
    <w:p w14:paraId="4A8FEC16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A2415B7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0C60657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022F31E4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3FD28250">
      <w:pPr>
        <w:pStyle w:val="16"/>
        <w:rPr>
          <w:rFonts w:hint="eastAsia" w:ascii="宋体" w:hAnsi="宋体" w:eastAsia="宋体" w:cs="宋体"/>
          <w:sz w:val="24"/>
          <w:szCs w:val="24"/>
        </w:rPr>
      </w:pPr>
    </w:p>
    <w:p w14:paraId="642FBADD">
      <w:pPr>
        <w:rPr>
          <w:rFonts w:hint="eastAsia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 w14:paraId="53474EA3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24" w:name="_Toc20631"/>
      <w:r>
        <w:rPr>
          <w:rFonts w:hint="eastAsia"/>
          <w:lang w:val="en-US" w:eastAsia="zh-CN"/>
        </w:rPr>
        <w:t>四、项目调研情况一览汇总表</w:t>
      </w:r>
      <w:bookmarkEnd w:id="24"/>
    </w:p>
    <w:p w14:paraId="3E6C3BF6">
      <w:pPr>
        <w:pStyle w:val="6"/>
        <w:spacing w:line="360" w:lineRule="auto"/>
        <w:ind w:firstLine="720" w:firstLineChars="300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项目名称：信息化终端设备服务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采购品目分类名称：</w:t>
      </w:r>
    </w:p>
    <w:p w14:paraId="184F0710">
      <w:pPr>
        <w:pStyle w:val="6"/>
        <w:spacing w:line="360" w:lineRule="auto"/>
        <w:ind w:firstLine="720" w:firstLineChars="300"/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各潜在供应商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名称：</w:t>
      </w:r>
      <w:r>
        <w:rPr>
          <w:rFonts w:hint="eastAsia" w:ascii="仿宋" w:hAnsi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 xml:space="preserve">                                          </w:t>
      </w:r>
      <w:r>
        <w:rPr>
          <w:rFonts w:hint="eastAsia" w:ascii="仿宋" w:hAnsi="仿宋" w:eastAsia="仿宋" w:cs="仿宋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联系人及联系电话：</w:t>
      </w:r>
    </w:p>
    <w:p w14:paraId="4C2DD488">
      <w:pPr>
        <w:pStyle w:val="3"/>
        <w:bidi w:val="0"/>
        <w:rPr>
          <w:rFonts w:hint="default"/>
          <w:b/>
          <w:lang w:val="en-US" w:eastAsia="zh-CN"/>
        </w:rPr>
      </w:pPr>
      <w:bookmarkStart w:id="25" w:name="_Toc6483"/>
      <w:r>
        <w:rPr>
          <w:rFonts w:hint="eastAsia"/>
          <w:b/>
          <w:lang w:val="en-US" w:eastAsia="zh-CN"/>
        </w:rPr>
        <w:t>4.1报价表</w:t>
      </w:r>
      <w:bookmarkEnd w:id="25"/>
    </w:p>
    <w:tbl>
      <w:tblPr>
        <w:tblStyle w:val="11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15" w:type="dxa"/>
          <w:left w:w="15" w:type="dxa"/>
          <w:bottom w:w="15" w:type="dxa"/>
          <w:right w:w="15" w:type="dxa"/>
        </w:tblCellMar>
      </w:tblPr>
      <w:tblGrid>
        <w:gridCol w:w="865"/>
        <w:gridCol w:w="5570"/>
        <w:gridCol w:w="2650"/>
        <w:gridCol w:w="2510"/>
        <w:gridCol w:w="1350"/>
        <w:gridCol w:w="1444"/>
      </w:tblGrid>
      <w:tr w14:paraId="5B168C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AAC94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744F95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48FF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24A23E5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服务名称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3FC78A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  <w:p w14:paraId="382B331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服务期3年报价（万元）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ED967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与技术服务要求相比是否有正负偏离（若有请详细例举）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63B0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在国内三甲医院用户案例</w:t>
            </w: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D68E3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备注</w:t>
            </w:r>
          </w:p>
        </w:tc>
      </w:tr>
      <w:tr w14:paraId="1A07718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849F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CDF8D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全院前端硬件设备维修维护服务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6C43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FC4A3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03FF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80C885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53C254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C78F6F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BE400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办公设备周边耗材服务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0669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4C77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37150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45A77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both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6D110B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5D5E60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7E82FF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运维软件服务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63A36A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B13F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602F28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26594B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1B2939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79CEC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4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8F7F43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网络日常维护服务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FF8346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A645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93D15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B9C16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689EC37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F7852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5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9FDB0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突发紧急重大故障处理服务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ADA2A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F7FE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203459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6C1FED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532E26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9F8CD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6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742FCE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设备健康检查及技术顾问服务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A865C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D70CC9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4A9348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5EA07F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085E08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1D0A3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7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BB84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备品备件库服务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E24E32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515D48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8D083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B048CC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6C3C8D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FE6BE9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8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4C18F0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机房、弱电井日常运维服务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3A8DF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EFC57B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8C1F4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AD52D9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09EAC2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117853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default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707E380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中心机房专业运行维护服务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BCF13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1C32BD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6D749DC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0198569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 </w:t>
            </w:r>
          </w:p>
        </w:tc>
      </w:tr>
      <w:tr w14:paraId="0ED20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15" w:type="dxa"/>
            <w:left w:w="15" w:type="dxa"/>
            <w:bottom w:w="15" w:type="dxa"/>
            <w:right w:w="15" w:type="dxa"/>
          </w:tblCellMar>
        </w:tblPrEx>
        <w:trPr>
          <w:trHeight w:val="405" w:hRule="atLeast"/>
          <w:jc w:val="center"/>
        </w:trPr>
        <w:tc>
          <w:tcPr>
            <w:tcW w:w="8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1CAD93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557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50EAAD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pacing w:val="0"/>
                <w:w w:val="100"/>
                <w:sz w:val="18"/>
                <w:szCs w:val="18"/>
                <w:vertAlign w:val="baseline"/>
              </w:rPr>
              <w:t>总报价</w:t>
            </w:r>
          </w:p>
        </w:tc>
        <w:tc>
          <w:tcPr>
            <w:tcW w:w="26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F274F13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251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EB802B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  <w:tc>
          <w:tcPr>
            <w:tcW w:w="13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32E2F30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</w:pPr>
          </w:p>
        </w:tc>
        <w:tc>
          <w:tcPr>
            <w:tcW w:w="14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top"/>
          </w:tcPr>
          <w:p w14:paraId="22BC1607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left"/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4"/>
                <w:szCs w:val="24"/>
                <w:vertAlign w:val="baseline"/>
                <w:lang w:val="en-US"/>
              </w:rPr>
              <w:t> </w:t>
            </w:r>
          </w:p>
        </w:tc>
      </w:tr>
    </w:tbl>
    <w:p w14:paraId="59D44AE5">
      <w:pPr>
        <w:rPr>
          <w:rFonts w:hint="eastAsia"/>
          <w:lang w:val="en-US" w:eastAsia="zh-CN"/>
        </w:rPr>
        <w:sectPr>
          <w:pgSz w:w="16838" w:h="11906" w:orient="landscape"/>
          <w:pgMar w:top="1134" w:right="1134" w:bottom="567" w:left="1134" w:header="851" w:footer="992" w:gutter="0"/>
          <w:cols w:space="425" w:num="1"/>
          <w:docGrid w:type="lines" w:linePitch="312" w:charSpace="0"/>
        </w:sectPr>
      </w:pPr>
    </w:p>
    <w:p w14:paraId="1D271A12">
      <w:pPr>
        <w:pStyle w:val="3"/>
        <w:bidi w:val="0"/>
        <w:rPr>
          <w:rFonts w:hint="default"/>
          <w:b/>
          <w:lang w:val="en-US" w:eastAsia="zh-CN"/>
        </w:rPr>
      </w:pPr>
      <w:bookmarkStart w:id="26" w:name="_Toc17174"/>
      <w:r>
        <w:rPr>
          <w:rFonts w:hint="eastAsia"/>
          <w:b/>
          <w:lang w:val="en-US" w:eastAsia="zh-CN"/>
        </w:rPr>
        <w:t>4.2服务要求</w:t>
      </w:r>
      <w:bookmarkEnd w:id="26"/>
    </w:p>
    <w:tbl>
      <w:tblPr>
        <w:tblStyle w:val="11"/>
        <w:tblW w:w="965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1"/>
        <w:gridCol w:w="2334"/>
        <w:gridCol w:w="6570"/>
      </w:tblGrid>
      <w:tr w14:paraId="3189CE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10BA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2B7B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服务名称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6945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服务内容描述</w:t>
            </w:r>
          </w:p>
        </w:tc>
      </w:tr>
      <w:tr w14:paraId="3F361D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76F20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A74B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全院前端硬件设备维修维护服务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883CCF">
            <w:pPr>
              <w:pStyle w:val="10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全院前端硬件设备维修维护服务覆盖全院一体机、台式机、笔记本、显示器、打印机等各类办公外设的全生命周期运维，具体包含以下内容：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（一）硬件维修维护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 提供月度巡检、季度深度保养、年度设备评估；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 7×24小时分级故障报修上门维修，按业务优先级承诺响应修复时限；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 院内常备备件库，故障设备免费替换备用机；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4. LED屏幕、自助机、叫号屏幕、落地广告屏幕等的日常巡检和日常故障排查处理（包工包料），含配件维修、更换、迁移、线路规整、耗材提供等。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（二）系统与软件维护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 xml:space="preserve">1. 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全院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电脑操作系统安装与重装（Windows系列），含驱动程序安装调试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（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val="en-US" w:eastAsia="zh-CN"/>
              </w:rPr>
              <w:t>非新购电脑</w:t>
            </w:r>
            <w:r>
              <w:rPr>
                <w:rFonts w:hint="eastAsia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 医院各类应用软件（HIS/LIS/PACS/电子病历等客户端）的安装部署、升级更新、故障调试；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 科室搬迁时的电脑拆装、系统调试、外设重新部署；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4. 报废设备的数据安全销毁（硬盘数据擦除或物理销毁）；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t>5. 信息安全基础运维（杀毒软件安装更新、系统补丁升级、病毒查杀处置）。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sz w:val="21"/>
                <w:szCs w:val="21"/>
                <w:vertAlign w:val="baseline"/>
                <w14:textFill>
                  <w14:solidFill>
                    <w14:schemeClr w14:val="tx1"/>
                  </w14:solidFill>
                </w14:textFill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（三）服务管理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1. 配备固定驻场工程师，定期提交运维台账、故障分析报告；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2. 严格遵守医院保密、院感管理要求；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3. 按月开展服务质量考核；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4. 每季度提供设备使用培训；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sz w:val="21"/>
                <w:szCs w:val="21"/>
                <w:vertAlign w:val="baseline"/>
              </w:rPr>
              <w:t>5. 重大业务期间驻场应急保障。</w:t>
            </w:r>
          </w:p>
        </w:tc>
      </w:tr>
      <w:tr w14:paraId="6687F2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6884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A6A14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办公设备周边耗材服务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CC3A5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为全院办公设备周边耗材一体化服务，覆盖全院打印机、复印机、票据设备、电脑外设全部打印纸、硒鼓、墨盒、色带、热敏标签纸、数据线、易损小件等耗材；提供原厂/合规兼容耗材按需极速配送，分业务优先级承诺送达时效；院内设立耗材周转库存，实行耗材代管、月度盘点；配送同步免费提供打印机清洁、卡纸调试等配套维护；免费上门回收废旧危废耗材并建立回收台账；提供耗材使用培训、应急驻场保障、月度消耗统计报表，全程保障收费、临床诊疗设备耗材不间断供应。</w:t>
            </w:r>
          </w:p>
        </w:tc>
      </w:tr>
      <w:tr w14:paraId="6B00CB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6A33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4FDD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运维软件服务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4E1C3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以现有运维派单软件运行现状、临床及后勤运维痛点、医院信息化运维管理规范为基础，保留原有成熟核心能力，针对现有系统短板、业务流程漏洞、适配性不足等问题进行迭代升级，同时贴合医院设备运维、信息化运维、后勤设施运维的全场景工作需求，实现派单智能化、流程规范化、管理精细化、数据可视化、运维可溯源，全面提升医院运维工作效率与服务质量。主要包括：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一、总体建设原则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兼容延续性：完全兼容现有系统历史数据、用户权限、对接接口、业务流程，实现新旧系统无缝切换，历史工单、派单记录、运维档案完整迁移，不丢失任何原始数据，医护及运维人员无需大幅更改操作习惯。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痛点优化性：针对现有系统派单人工干预多、智能分配弱、超时无预警、溯源能力差、数据统计单一、移动端适配差、特殊场景派单缺失等问题进行专项优化升级。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 医院场景适配性：贴合医院7×24小时不间断运维、急诊优先、科室优先级区分、设备维保周期、突发故障应急派单等医疗行业专属场景，区别于通用运维派单系统。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4. 安全合规性：符合医院等保要求、医疗数据安全规范，运维工单、设备信息、科室数据全程加密，操作留痕、权限分级，杜绝数据泄露、误操作篡改问题。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二、基础能力保留与优化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保留现有系统工单创建、手动派单、人员绑定、基础流程流转、简单状态更新、基础用户管理等核心功能，并进行功能优化、体验升级、效率提升。提供至少三台报故障座机电话，并且三台座机可并发。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工单管理模块升级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化现有工单创建模式，新增多渠道工单录入能力，解决原有工单信息填写不规范、字段缺失、分类混乱等问题。支持科室人员PC端、移动端自主报单、电话代录工单、系统自动触发工单（设备到期维保、故障预警）；完善工单字段体系，新增医疗设备类型、故障等级、紧急程度、就诊影响范围、所需运维技能、配件需求等医疗专属字段；支持工单草稿、修改、撤回、补录、加急申请等操作，杜绝无效工单、信息残缺工单流转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基础派单功能优化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保留人工手动派单、指定运维人员派单功能，优化原有派单操作繁琐、批量派单困难的问题。支持批量工单统一派单、批量改派、批量完结；支持按时间段、科室、运维人员筛选待排工单；优化派单界面布局，直观展示人员在岗状态、当前工单量、空闲时段，辅助人工精准派单，避免人员过载、工单积压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 工单流转状态完善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化现有工单状态单一、流程断层问题，细化全流程状态：待派单、已派单、运维中、待回访、已完结、超时未处理、撤销、返修、暂缓处理。每个状态流转自动留痕，记录操作人、操作时间、操作备注，解决原有流程无法溯源、状态混乱的问题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三、全流程运维管理服务升级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运维过程精细化管控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化现有系统仅记录首尾状态的问题，新增运维过程全记录功能。运维人员接单后可实时更新进度、上传故障照片、填写排查日志、记录配件更换信息、标注故障原因；支持现场签到、位置核验，杜绝虚假运维；返修工单自动关联历史故障记录，方便溯源排查重复故障问题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电脑打印机维修明细统计台账与耗材服务统计台账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统计电脑、打印机等前端设备的故障报修记录、维修工单、配件更换明细、维修费用，形成设备维修全流程明细台账；关联耗材申领配送记录，按科室、设备类型、耗材品类自动汇总统计打印纸、硒鼓、墨盒、色带等耗材使用量与费用，生成耗材消耗明细报表与月度/年度统计分析，替代原有人工统计模式，为设备维修成本核算、耗材预算编制、设备更新评估提供精准数据支撑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四、数据统计与可视化分析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提供全方位数据报表与可视化看板，实现运维数据可查、可析、可管。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基础数据统计：自动统计每日/每月/每年工单总量、已完结、超时、撤销、返修工单数量，科室报修频次、运维人员工作量、工单完成率、及时率、满意度评分。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故障数据分析：按设备类型、科室、故障原因统计高频故障问题，输出故障分析报表，为设备预防性维保、设备更新换代提供数据依据。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 可视化大屏：支持运维态势大屏展示，实时展示当前待处理工单、在岗运维人员、超时工单、各科室运维状态，让管理人员直观掌握全院运维工作全貌。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五、系统适配与对接服务要求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新旧系统数据迁移服务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服务商需完成现有旧系统全量历史数据迁移，包括所有历史工单、用户信息、权限配置、设备台账、运维记录，确保数据100%完整、准确、可查询，迁移后提供数据校验报告，保障业务无缝衔接。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院内系统对接适配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保留原有对接接口，优化接口稳定性，支持与医院HIS系统、LIS系统、设备管理系统、OA系统、门禁考勤系统对接，实现数据互通；新增消息对接能力，支持院内企业微信、钉钉、短信推送工单提醒、超时通知、回访通知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 多终端适配优化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优化现有移动端适配卡顿、功能缺失问题，完善手机端、平板端全功能操作，支持移动端接单、派单、改派、进度更新、查看报表、接收提醒，实现运维工作移动化、轻量化。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六、权限管理与安全升级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精细化分级权限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优化现有权限粗放的问题，细分超级管理员、运维管理员、排班管理员、普通运维人员、科室报修人员、查看人员等多角色权限，精准控制派单权限、改派权限、数据查看权限、报表导出权限、系统配置权限，杜绝越权操作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数据安全与操作溯源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所有操作全程日志记录，包含登录、派单、改派、修改工单、导出数据、删除记录等操作，日志永久留存、不可删除篡改；系统数据自动定时备份，支持异常数据恢复，保障运维数据安全合规。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七、售后与运维服务保障要求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部署与培训服务：完成系统部署、调试、上线，针对管理员、运维人员、科室操作人员开展分层培训，提供操作手册、视频教程，确保全员熟练使用。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质保与迭代服务：提供至少1年免费质保，期间系统bug修复、常规功能优化、规则调试、数据维护；支持根据医院业务变化，微调派单规则、报表模板、工单字段。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 7×24小时技术支持：提供全天候技术响应服务，系统故障及时排查处理，保障医院运维派单工作不间断运行。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八、整体交付标准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1. 完全落地本次所有升级功能，兼容原有全部合法业务功能，无功能缺失、无数据错乱、无流程卡顿。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2. 系统运行稳定，响应速度快，高并发工单场景下无卡顿、无丢失、无报错。</w:t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3. 交付完整的系统源码、部署文档、数据迁移报告、操作手册、培训记录、售后保障协议。</w:t>
            </w:r>
          </w:p>
        </w:tc>
      </w:tr>
      <w:tr w14:paraId="536EE9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2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A28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03F9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人员配置服务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46EBBD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在服务期间供应商安排不低于7名的专职技术人员驻场（含一名项目负责人），供应商须和采购人签订安全责任书，所有派遣人员上班时间参照采购人内部工作人员，且遵纪守法、严格遵守采购人所有规章制度。若违反则参照采购人规章制度进行处罚且承担相应的法律责任。须明确派遣人员名单且必须为本公司工作人员，并提供劳动关系证明；派遣人员相对固定，不得随意变动，如确需变动需经过采购人的同意。派遣人员须具备相应的专业技能，有良好的职业操守。在服务中了解和接触到的采购人的相关秘密必须严格保密，不得上传、转发。若派遣人员不能胜任工作，采购人有权提出更换派遣人员，不得影响采购人的正常办公。</w:t>
            </w:r>
          </w:p>
        </w:tc>
      </w:tr>
      <w:tr w14:paraId="553819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F58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527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网络日常维护服务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68997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  <w:t>提供电脑至墙面网口段网络维护（包含网线等相关配件），提供网络设备的日常运维、线路规整。若有新增设备需要入网必须向采购人汇报，征得同意后方可接入。包含每年新增50个网络点位（包工包料）。需按照采购人意见，结合实际使用场景进行布置。包含网络故障排除、网络交换机安装、配置和管理、网络综合布线、网络规划和设计，处理终端电脑网络配置，网络、终端路由器故障处理、优化终端网络设置，上报不合规网络连接方式（如私自串联交换机，私接路由器等）。</w:t>
            </w:r>
          </w:p>
        </w:tc>
      </w:tr>
      <w:tr w14:paraId="5CCE75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7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2B19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6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5691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sz w:val="20"/>
                <w:szCs w:val="20"/>
                <w:u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 w:themeColor="text1"/>
                <w:kern w:val="0"/>
                <w:sz w:val="20"/>
                <w:szCs w:val="20"/>
                <w:u w:val="none"/>
                <w:lang w:val="en-US" w:eastAsia="zh-CN" w:bidi="ar"/>
                <w14:textFill>
                  <w14:solidFill>
                    <w14:schemeClr w14:val="tx1"/>
                  </w14:solidFill>
                </w14:textFill>
              </w:rPr>
              <w:t>突发紧急重大故障处理服务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2126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FF0000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i w:val="0"/>
                <w:iCs w:val="0"/>
                <w:color w:val="000000" w:themeColor="text1"/>
                <w:spacing w:val="0"/>
                <w:w w:val="100"/>
                <w:kern w:val="2"/>
                <w:sz w:val="21"/>
                <w:szCs w:val="21"/>
                <w:vertAlign w:val="baseline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包含但不仅限于服务器操作系统安装和维护（含Windows和Linux）、服务器基础软件的安装和维护、服务器数据库的安装和日常维护、服务器中间件的安装和日常维护，必要时应派强大的技术团队对医院网络、信息系统、数据库的安全、高效、稳定运行做专业技术支撑保障，协助医院处理突发重大信息化故障处理服务。</w:t>
            </w:r>
          </w:p>
        </w:tc>
      </w:tr>
      <w:tr w14:paraId="4B4F12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732E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7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D4E3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设备健康检查及技术顾问服务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4C9E3D">
            <w:r>
              <w:rPr>
                <w:sz w:val="21"/>
              </w:rPr>
              <w:t>每季度进行至少一次定期的前端设备现场巡检，巡检内容包括所有办公终端（一体机、台式机、笔记本）、办公设备（打印机、复印机、扫描仪等）、监控设备、LED屏幕、自助机、叫号屏幕、落地广告屏幕等硬件运行状态、电源、告警及设备运行环境的检查、清理。发现设备存在的隐患，及时处理，减少故障发生率，保证设备稳定、良性运行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通过巡检建立前端设备资产档案（设备型号、配置、购置日期、维保记录），评估设备运行情况，向采购人提供设备升级、改造、淘汰替换的建议或方案。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每季度输出前端设备健康评估报告，包含设备故障率统计、老化程度分析、替换优先级建议，为医院信息化设备预算规划提供技术依据。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巡检记录通过运维助手/运维软件上传系统备查。</w:t>
            </w:r>
          </w:p>
        </w:tc>
      </w:tr>
      <w:tr w14:paraId="14A3D4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60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2465C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8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3142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备品备件库服务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97969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/>
                <w:sz w:val="21"/>
                <w:lang w:val="en-US" w:eastAsia="zh-CN"/>
              </w:rPr>
              <w:t>1小时内无法通过更换配件维修好的设备，立即提供相应的备用设备，保证工作的正常开展。故障设备完成维修并经过测试后，方可重新使用。打印机维保服务、桌面运维服务要求对医院未报废的设备，均由服务提供商负责维护维修，对无法修复的设备，由供应商在服务期内提供备用机。其中：日常备用机数量最低要求为电脑备用机不得少于5台/年，打印设备备用机不得少于10台/年、打印复印一体机备用机不得少于3台/年。网络设备维保服务要求对医院未报废的设备，均由供应商负责维护维修。</w:t>
            </w:r>
          </w:p>
        </w:tc>
      </w:tr>
      <w:tr w14:paraId="60DEFD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1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0C7CB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9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CD986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机房、弱电井日常</w:t>
            </w:r>
          </w:p>
          <w:p w14:paraId="3872A7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运维服务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12248D0">
            <w:r>
              <w:rPr>
                <w:sz w:val="21"/>
              </w:rPr>
              <w:t>医院机房、弱电井日常运维工作由驻场人员执行，聚焦每日/每周可完成的日常巡查与基础维护，不涉及需要专业资质或专业仪器的深度维保（该类工作由第11项负责）。主要工作内容分为【日常巡检、环境维护、基础保障、台账管理、专项配合】五大块：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（一）中心机房日常巡检（每日1次）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机房环境巡查：查看温湿度仪表读数并记录、查看消防设备外观及压力表状态（不操作消防系统）、检查机房卫生及防尘状况、检查门禁系统是否正常锁闭；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供配电基础巡查：查看UPS主机面板指示灯及运行参数（不操作UPS）、查看PDU及配电柜指示灯状态、检查机房照明是否正常；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网络与硬件设备基础巡查：查看核心交换机/防火墙/路由器</w:t>
            </w:r>
            <w:r>
              <w:rPr>
                <w:rFonts w:hint="eastAsia"/>
                <w:sz w:val="21"/>
                <w:lang w:val="en-US" w:eastAsia="zh-CN"/>
              </w:rPr>
              <w:t>等设备</w:t>
            </w:r>
            <w:r>
              <w:rPr>
                <w:sz w:val="21"/>
              </w:rPr>
              <w:t>面板指示灯是否正常（不登录设备操作）、查看服务器/存储设备</w:t>
            </w:r>
            <w:r>
              <w:rPr>
                <w:rFonts w:hint="eastAsia"/>
                <w:sz w:val="21"/>
                <w:lang w:val="en-US" w:eastAsia="zh-CN"/>
              </w:rPr>
              <w:t>等设备</w:t>
            </w:r>
            <w:r>
              <w:rPr>
                <w:sz w:val="21"/>
              </w:rPr>
              <w:t>面板告警灯、检查光纤配线架及线缆外观；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异常上报：发现任何异常指示灯、告警声、异味、异响等，立即记录并通知第11项专业维保人员或相关责任人处理。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（二）弱电井/楼层弱电间日常巡检（每周不少于1次）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环境安全巡查：检查门锁是否完好、井内是否有杂物堆积、是否有渗水/鼠患/虫害迹象、通风散热是否正常；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井内通信设备基础巡查：查看交换机/光收发器/ONU</w:t>
            </w:r>
            <w:r>
              <w:rPr>
                <w:rFonts w:hint="eastAsia"/>
                <w:sz w:val="21"/>
                <w:lang w:val="en-US" w:eastAsia="zh-CN"/>
              </w:rPr>
              <w:t>等</w:t>
            </w:r>
            <w:r>
              <w:rPr>
                <w:sz w:val="21"/>
              </w:rPr>
              <w:t>设备面板指示灯是否正常、检查端口有无告警、查看电源适配器外观是否完好；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线路规范化管理：检查线缆标签是否脱落、强弱电是否分开布设、清理废旧线缆、检查光纤保护套管是否完好。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（三）机房环境基础维护（日常/季度）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每日：机房地面清洁、设备表面除尘；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每季度：机房深度除尘（设备表面及地面）、静电地板下除尘、机柜外部除尘、接线端子紧固检查。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（四）台账与文档管理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维护并更新设备资产清单、网络拓扑图、IP地址分配表；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每日填写机房巡检记录表（温湿度、设备状态、异常记录）；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汇总巡检记录生成月度巡检报告；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管理维保档案（巡检记录、故障记录、设备变更记录）。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（五）专项保障配合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等级医院评审/网信安全检查/等保测评</w:t>
            </w:r>
            <w:r>
              <w:rPr>
                <w:rFonts w:hint="eastAsia"/>
                <w:sz w:val="21"/>
                <w:lang w:val="en-US" w:eastAsia="zh-CN"/>
              </w:rPr>
              <w:t>等</w:t>
            </w:r>
            <w:r>
              <w:rPr>
                <w:sz w:val="21"/>
              </w:rPr>
              <w:t>期间，配合准备机房管理相关资料（巡检记录、资产台账</w:t>
            </w:r>
            <w:r>
              <w:rPr>
                <w:rFonts w:hint="eastAsia"/>
                <w:sz w:val="21"/>
                <w:lang w:val="en-US" w:eastAsia="zh-CN"/>
              </w:rPr>
              <w:t>等文件</w:t>
            </w:r>
            <w:r>
              <w:rPr>
                <w:sz w:val="21"/>
              </w:rPr>
              <w:t>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节假日/就诊高峰期加强巡检频次；</w:t>
            </w:r>
            <w:r>
              <w:rPr>
                <w:sz w:val="21"/>
              </w:rPr>
              <w:br w:type="textWrapping"/>
            </w:r>
            <w:r>
              <w:rPr>
                <w:rFonts w:hint="eastAsia"/>
                <w:sz w:val="21"/>
                <w:lang w:val="en-US" w:eastAsia="zh-CN"/>
              </w:rPr>
              <w:t>3</w:t>
            </w:r>
            <w:r>
              <w:rPr>
                <w:sz w:val="21"/>
              </w:rPr>
              <w:t>. 暴雨/高温季节机房防水/弱电井防渗水专项排查；</w:t>
            </w:r>
            <w:r>
              <w:rPr>
                <w:sz w:val="21"/>
              </w:rPr>
              <w:br w:type="textWrapping"/>
            </w:r>
            <w:r>
              <w:rPr>
                <w:rFonts w:hint="eastAsia"/>
                <w:sz w:val="21"/>
                <w:lang w:val="en-US" w:eastAsia="zh-CN"/>
              </w:rPr>
              <w:t>4</w:t>
            </w:r>
            <w:r>
              <w:rPr>
                <w:sz w:val="21"/>
              </w:rPr>
              <w:t>. 配合第11项专业维保人员完成年度专项检测（如UPS电池检测、防雷检测、消防联动测试等）时的现场协调与保障。</w:t>
            </w:r>
          </w:p>
        </w:tc>
      </w:tr>
      <w:tr w14:paraId="5EAF57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751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ACDD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  <w:lang w:val="en-US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</w:t>
            </w:r>
          </w:p>
        </w:tc>
        <w:tc>
          <w:tcPr>
            <w:tcW w:w="2334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A1E23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中心机房专业运行</w:t>
            </w:r>
          </w:p>
          <w:p w14:paraId="32AAB9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维护服务</w:t>
            </w:r>
          </w:p>
        </w:tc>
        <w:tc>
          <w:tcPr>
            <w:tcW w:w="657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C8CAF83">
            <w:r>
              <w:rPr>
                <w:sz w:val="21"/>
              </w:rPr>
              <w:t>专业资质、专业工具和专业技术的深度维保服务，由具备相应资质的技术人员周期性（月/季/半年）执行。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（一）精密空调系统专业维保（每月/季度）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每月对精密空调主机进行深度检查：压缩机运行状态诊断、制冷剂压力检测、冷凝器/蒸发器状态评估、加湿系统功能检测、电气控制系统测试；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每季度根据暖通换季（冷/热变换）进行适应性调优维护；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每年4次标准过滤棉更换，1次加湿罐更换，4次室外机冷凝器深度清洗；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压缩机皮带每半年检查更换，风机轴承润滑保养；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5. 制冷剂压力检测与补充，冷凝水排水系统疏通除垢；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6. 空调系统配电箱内接线端子紧固、电气安全检测；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7. 精密空调故障时提供原厂级配件免费更换和维修（含压缩机、控制主板、风扇、传感器等核心部件），不再另收配件费。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（二）UPS不间断电源及蓄电池系统专业维保（每季度/半年）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每季度对UPS主机进行深度检测维护：输入输出电压电流波形分析、负载率评估、电容状态检测、散热风扇运行检测、控制主板自检；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每季度对蓄电池组进行专业内阻测试（使用专业蓄电池内阻仪），逐节记录内阻值、端电压、温度，出具蓄电池健康度评估报告；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每半年进行一次预防性深度放电测试（带真实负载放电），验证电池后备时间是否满足设计要求；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蓄电池连接线缆、接线柱专业维护（抗氧化处理、力矩校验）；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5. UPS系统整机内故障配件（控制主板、功率模块、电容、散热风扇、蓄电池等）免费更换维护；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6. 异常/报废蓄电池按国家危废管理规定进行回收并无害化环保处理。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（三）消防气体灭火系统专业维保（每月/季度/半年）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每月检查七氟丙烷（或其他气体）灭火装置钢瓶压力、瓶体外观、阀门状态；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每季度检查消防报警控制主机运行状态、联动测试功能；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每半年进行烟感/温感探测器灵敏度测试和校准；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消防气体灭火系统触发装置、警铃、声光报警器、放气指示灯功能测试；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5. 消防气瓶定期检验到期提醒和送检协调；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（四）防雷接地系统专业检测（每季度/年度）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每季度使用专业接地电阻测试仪测量机房接地电阻值，确保符合GB 50057规范要求（≤4Ω或≤1Ω根据设计要求）；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等电位连接带、接地母排、设备接地线连接可靠性检查；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电源防雷器（SPD）状态检查，失效模块免费更换；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（五）动力环境集中监控系统深度维护（每季度）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每季度对动环监控系统进行全面校准：温湿度传感器精度校准、漏水检测绳灵敏度测试、电量监测仪精度校验；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动环监控软件平台维护升级、数据库优化清理、告警策略配置优化；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告警联动功能测试（短信、电话、APP推送、声光报警）；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动环系统故障时提供原厂级技术支持与备件更换。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（六）机房基础设施专项评估与优化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维保合同签订后30日内，出具完整的机房基础设施现状评估报告，包括供配电系统带载能力评估、制冷系统制冷量匹配评估、UPS后备时间测试结果、设备老化程度评估、隐患风险清单及整改建议；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每季度输出机房基础设施运行趋势分析报告（用电量变化、制冷效率变化、设备故障率趋势）；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根据医院业务增长情况，每年提供机房扩容/改造技术咨询建议。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（七）应急演练与专业培训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每半年组织一次机房基础设施专项应急演练（UPS故障切换演练、精密空调故障应急演练、消防气体灭火应急演练），编写演练方案和总结报告；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每年对机房管理人员进行不少于2次的基础设施运维专业培训。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（八）服务响应与配件保障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提供7×24小时机房基础设施专业故障响应服务；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精密空调、UPS等关键设备故障，30分钟内远程响应、2小时内到达现场；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建立关键设备备件库（UPS功率模块、空调压缩机、控制主板、传感器、过滤网、加湿罐等常用备件），确保故障后4小时内可更换修复；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4. 所有更换配件须为原厂正品或同等质量替代品（替代品须经院方书面确认）；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5. 每次故障处理完成后48小时内提交故障处理报告（含故障原因、处理过程、预防措施）。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（九）与原厂及第三方协调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1. 负责协调UPS、精密空调、消防气体灭火等设备原厂的技术支持资源；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2. 配合院方完成等级医院评审、等保测评、网信安全检查中涉及机房基础设施的专业整改工作；</w:t>
            </w:r>
            <w:r>
              <w:rPr>
                <w:sz w:val="21"/>
              </w:rPr>
              <w:br w:type="textWrapping"/>
            </w:r>
            <w:r>
              <w:rPr>
                <w:sz w:val="21"/>
              </w:rPr>
              <w:t>3. 配合院方协调供电部门、防雷检测机构、消防维保单位等相关第三方。</w:t>
            </w:r>
          </w:p>
        </w:tc>
      </w:tr>
    </w:tbl>
    <w:p w14:paraId="18B3071B">
      <w:pPr>
        <w:rPr>
          <w:rFonts w:hint="eastAsia"/>
          <w:lang w:val="en-US" w:eastAsia="zh-CN"/>
        </w:rPr>
        <w:sectPr>
          <w:pgSz w:w="11906" w:h="16838"/>
          <w:pgMar w:top="1134" w:right="567" w:bottom="1134" w:left="1134" w:header="851" w:footer="992" w:gutter="0"/>
          <w:cols w:space="425" w:num="1"/>
          <w:docGrid w:type="lines" w:linePitch="312" w:charSpace="0"/>
        </w:sectPr>
      </w:pPr>
    </w:p>
    <w:p w14:paraId="7E703842">
      <w:pPr>
        <w:pStyle w:val="16"/>
        <w:rPr>
          <w:rFonts w:hint="eastAsia"/>
          <w:lang w:val="en-US" w:eastAsia="zh-CN"/>
        </w:rPr>
      </w:pPr>
    </w:p>
    <w:p w14:paraId="18DD3D7E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  <w:bookmarkStart w:id="27" w:name="_Toc7903"/>
      <w:r>
        <w:rPr>
          <w:rFonts w:hint="eastAsia"/>
          <w:lang w:val="en-US" w:eastAsia="zh-CN"/>
        </w:rPr>
        <w:t>五、三甲综合医院同类项目案例</w:t>
      </w:r>
      <w:bookmarkEnd w:id="27"/>
    </w:p>
    <w:p w14:paraId="7AB2E5A9">
      <w:pPr>
        <w:pStyle w:val="3"/>
        <w:bidi w:val="0"/>
        <w:ind w:firstLine="482" w:firstLineChars="200"/>
        <w:rPr>
          <w:rFonts w:hint="eastAsia"/>
          <w:lang w:val="en-US" w:eastAsia="zh-CN"/>
        </w:rPr>
      </w:pPr>
      <w:bookmarkStart w:id="28" w:name="_Toc4476"/>
      <w:r>
        <w:rPr>
          <w:rFonts w:hint="eastAsia"/>
          <w:lang w:val="en-US" w:eastAsia="zh-CN"/>
        </w:rPr>
        <w:t>5.1四川省内（）家</w:t>
      </w:r>
      <w:bookmarkEnd w:id="28"/>
    </w:p>
    <w:tbl>
      <w:tblPr>
        <w:tblStyle w:val="11"/>
        <w:tblpPr w:leftFromText="180" w:rightFromText="180" w:vertAnchor="text" w:horzAnchor="page" w:tblpXSpec="center" w:tblpY="285"/>
        <w:tblOverlap w:val="never"/>
        <w:tblW w:w="0" w:type="auto"/>
        <w:jc w:val="center"/>
        <w:tblBorders>
          <w:top w:val="single" w:color="000000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421"/>
        <w:gridCol w:w="1710"/>
        <w:gridCol w:w="1350"/>
        <w:gridCol w:w="1425"/>
        <w:gridCol w:w="1410"/>
      </w:tblGrid>
      <w:tr w14:paraId="2A846463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8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042C2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4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5B06E4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医院名称</w:t>
            </w:r>
          </w:p>
        </w:tc>
        <w:tc>
          <w:tcPr>
            <w:tcW w:w="17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005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合同标的</w:t>
            </w:r>
          </w:p>
        </w:tc>
        <w:tc>
          <w:tcPr>
            <w:tcW w:w="13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9C4A6D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合同金额</w:t>
            </w: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613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实施年份</w:t>
            </w:r>
          </w:p>
        </w:tc>
        <w:tc>
          <w:tcPr>
            <w:tcW w:w="1410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F3C62D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验收时间</w:t>
            </w:r>
          </w:p>
        </w:tc>
      </w:tr>
      <w:tr w14:paraId="3C76D484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BC2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D807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82FD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4CCABD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9F86D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111B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15CE5A6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8C507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E75EF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D5337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471A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D6DAF5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674BDF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872F2AC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3977E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BE753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B1C244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5C275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7B5A76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1E3AE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657AFF2D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F0AF65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051C6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A0CB4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A6D104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D795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2E5D7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643454EC">
      <w:pPr>
        <w:pStyle w:val="24"/>
        <w:ind w:firstLine="0" w:firstLineChars="0"/>
        <w:rPr>
          <w:rFonts w:hint="eastAsia" w:ascii="仿宋" w:hAnsi="仿宋" w:eastAsia="仿宋" w:cs="仿宋"/>
          <w:sz w:val="30"/>
          <w:szCs w:val="30"/>
        </w:rPr>
      </w:pPr>
    </w:p>
    <w:p w14:paraId="4337E2B5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607BD5F6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22586352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6CC2E8DE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1D180795">
      <w:pPr>
        <w:pStyle w:val="16"/>
        <w:rPr>
          <w:rFonts w:hint="eastAsia" w:ascii="仿宋" w:hAnsi="仿宋" w:eastAsia="仿宋" w:cs="仿宋"/>
          <w:kern w:val="2"/>
          <w:sz w:val="30"/>
          <w:szCs w:val="30"/>
        </w:rPr>
      </w:pPr>
    </w:p>
    <w:p w14:paraId="7A5F7BF4">
      <w:pPr>
        <w:pStyle w:val="3"/>
        <w:bidi w:val="0"/>
        <w:ind w:firstLine="482" w:firstLineChars="200"/>
        <w:rPr>
          <w:rFonts w:hint="eastAsia"/>
          <w:lang w:val="en-US" w:eastAsia="zh-CN"/>
        </w:rPr>
      </w:pPr>
      <w:bookmarkStart w:id="29" w:name="_Toc13355"/>
      <w:r>
        <w:rPr>
          <w:rFonts w:hint="eastAsia"/>
          <w:lang w:val="en-US" w:eastAsia="zh-CN"/>
        </w:rPr>
        <w:t>5.2四川省外（）家</w:t>
      </w:r>
      <w:bookmarkEnd w:id="29"/>
    </w:p>
    <w:tbl>
      <w:tblPr>
        <w:tblStyle w:val="11"/>
        <w:tblpPr w:leftFromText="180" w:rightFromText="180" w:vertAnchor="text" w:horzAnchor="page" w:tblpXSpec="center" w:tblpY="285"/>
        <w:tblOverlap w:val="never"/>
        <w:tblW w:w="0" w:type="auto"/>
        <w:jc w:val="center"/>
        <w:tblBorders>
          <w:top w:val="single" w:color="000000" w:sz="4" w:space="0"/>
          <w:left w:val="none" w:color="auto" w:sz="4" w:space="0"/>
          <w:bottom w:val="none" w:color="auto" w:sz="4" w:space="0"/>
          <w:right w:val="none" w:color="auto" w:sz="4" w:space="0"/>
          <w:insideH w:val="none" w:color="auto" w:sz="4" w:space="0"/>
          <w:insideV w:val="non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08"/>
        <w:gridCol w:w="2421"/>
        <w:gridCol w:w="1710"/>
        <w:gridCol w:w="1350"/>
        <w:gridCol w:w="1425"/>
        <w:gridCol w:w="1410"/>
      </w:tblGrid>
      <w:tr w14:paraId="13DFCBCF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808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5D08A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序号</w:t>
            </w:r>
          </w:p>
        </w:tc>
        <w:tc>
          <w:tcPr>
            <w:tcW w:w="24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F40CBB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医院名称</w:t>
            </w:r>
          </w:p>
        </w:tc>
        <w:tc>
          <w:tcPr>
            <w:tcW w:w="171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E0339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合同标的</w:t>
            </w:r>
          </w:p>
        </w:tc>
        <w:tc>
          <w:tcPr>
            <w:tcW w:w="135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215AE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合同金额</w:t>
            </w:r>
          </w:p>
        </w:tc>
        <w:tc>
          <w:tcPr>
            <w:tcW w:w="1425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48C394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实施年份</w:t>
            </w:r>
          </w:p>
        </w:tc>
        <w:tc>
          <w:tcPr>
            <w:tcW w:w="1410" w:type="dxa"/>
            <w:tcBorders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0A2505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验收时间</w:t>
            </w:r>
          </w:p>
        </w:tc>
      </w:tr>
      <w:tr w14:paraId="13B582A7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7943F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67C774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7EB2D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A9C8A7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1CA01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B4FB5D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44322D26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7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DAE8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1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12C75D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BF515E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DE5D96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8E042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194724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528ECAF1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807121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3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8570A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6907AD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751206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A49763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7F39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16D58C70">
        <w:tblPrEx>
          <w:tblBorders>
            <w:top w:val="single" w:color="000000" w:sz="4" w:space="0"/>
            <w:left w:val="none" w:color="auto" w:sz="4" w:space="0"/>
            <w:bottom w:val="none" w:color="auto" w:sz="4" w:space="0"/>
            <w:right w:val="none" w:color="auto" w:sz="4" w:space="0"/>
            <w:insideH w:val="none" w:color="auto" w:sz="4" w:space="0"/>
            <w:insideV w:val="non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80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7AC1A8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  <w:t>...</w:t>
            </w:r>
          </w:p>
        </w:tc>
        <w:tc>
          <w:tcPr>
            <w:tcW w:w="24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660F8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7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C4060E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3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C837EB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006D2B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  <w:tc>
          <w:tcPr>
            <w:tcW w:w="14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7E01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center"/>
              <w:rPr>
                <w:rFonts w:hint="eastAsia" w:ascii="仿宋" w:hAnsi="仿宋" w:eastAsia="仿宋" w:cs="仿宋"/>
                <w:b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</w:tbl>
    <w:p w14:paraId="7A10F7B0">
      <w:pPr>
        <w:rPr>
          <w:rFonts w:hint="eastAsia"/>
          <w:lang w:val="en-US" w:eastAsia="zh-CN"/>
        </w:rPr>
      </w:pPr>
    </w:p>
    <w:p w14:paraId="17A922E8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 w14:paraId="3C796354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 w14:paraId="69868A9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 w14:paraId="0B12C8A5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eastAsia"/>
          <w:lang w:val="en-US" w:eastAsia="zh-CN"/>
        </w:rPr>
      </w:pPr>
    </w:p>
    <w:p w14:paraId="346ACD2B">
      <w:pPr>
        <w:pStyle w:val="3"/>
        <w:bidi w:val="0"/>
        <w:ind w:firstLine="482" w:firstLineChars="200"/>
        <w:rPr>
          <w:rFonts w:hint="eastAsia"/>
          <w:lang w:val="en-US" w:eastAsia="zh-CN"/>
        </w:rPr>
      </w:pPr>
    </w:p>
    <w:p w14:paraId="2825E0AF">
      <w:pPr>
        <w:pStyle w:val="3"/>
        <w:bidi w:val="0"/>
        <w:ind w:firstLine="482" w:firstLineChars="200"/>
        <w:rPr>
          <w:rFonts w:hint="eastAsia"/>
          <w:lang w:val="en-US" w:eastAsia="zh-CN"/>
        </w:rPr>
      </w:pPr>
      <w:bookmarkStart w:id="30" w:name="_Toc30521"/>
      <w:bookmarkStart w:id="31" w:name="_Toc138151651"/>
      <w:r>
        <w:rPr>
          <w:rFonts w:hint="eastAsia"/>
          <w:lang w:val="en-US" w:eastAsia="zh-CN"/>
        </w:rPr>
        <w:t>5.3三甲综合医院同类项目案例合同及验收佐证</w:t>
      </w:r>
      <w:bookmarkEnd w:id="30"/>
      <w:bookmarkEnd w:id="31"/>
    </w:p>
    <w:p w14:paraId="0796EAF6">
      <w:pPr>
        <w:pStyle w:val="16"/>
        <w:spacing w:line="240" w:lineRule="auto"/>
        <w:rPr>
          <w:rFonts w:hint="eastAsia" w:ascii="仿宋" w:hAnsi="仿宋" w:eastAsia="仿宋" w:cs="仿宋"/>
          <w:b w:val="0"/>
          <w:color w:val="0000FF"/>
          <w:kern w:val="2"/>
          <w:sz w:val="24"/>
          <w:szCs w:val="24"/>
          <w:lang w:val="en-US" w:eastAsia="zh-CN" w:bidi="ar-SA"/>
        </w:rPr>
      </w:pPr>
    </w:p>
    <w:p w14:paraId="6066B77B">
      <w:pPr>
        <w:pStyle w:val="2"/>
        <w:keepNext/>
        <w:keepLines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00" w:after="100"/>
        <w:jc w:val="both"/>
        <w:textAlignment w:val="auto"/>
        <w:rPr>
          <w:rFonts w:hint="default" w:ascii="仿宋" w:hAnsi="仿宋" w:eastAsia="仿宋" w:cs="仿宋"/>
          <w:b w:val="0"/>
          <w:color w:val="000000"/>
          <w:kern w:val="2"/>
          <w:sz w:val="24"/>
          <w:szCs w:val="24"/>
          <w:lang w:val="en-US" w:eastAsia="zh-CN" w:bidi="ar-SA"/>
        </w:rPr>
      </w:pPr>
      <w:bookmarkStart w:id="32" w:name="_Toc7342"/>
      <w:r>
        <w:rPr>
          <w:rFonts w:hint="eastAsia"/>
          <w:lang w:val="en-US" w:eastAsia="zh-CN"/>
        </w:rPr>
        <w:t>六、服务方案</w:t>
      </w:r>
      <w:bookmarkEnd w:id="32"/>
    </w:p>
    <w:p w14:paraId="69AE2DAA">
      <w:pPr>
        <w:bidi w:val="0"/>
        <w:rPr>
          <w:rFonts w:hint="eastAsia"/>
          <w:lang w:val="en-US" w:eastAsia="zh-CN"/>
        </w:rPr>
      </w:pPr>
      <w:bookmarkStart w:id="33" w:name="_Toc138151653"/>
      <w:r>
        <w:rPr>
          <w:rFonts w:hint="eastAsia"/>
          <w:lang w:val="en-US" w:eastAsia="zh-CN"/>
        </w:rPr>
        <w:t>（包含以上内容，其他内容自拟）</w:t>
      </w:r>
    </w:p>
    <w:bookmarkEnd w:id="33"/>
    <w:p w14:paraId="6CB9F6A8">
      <w:pPr>
        <w:rPr>
          <w:rFonts w:hint="eastAsia"/>
          <w:lang w:val="en-US" w:eastAsia="zh-CN"/>
        </w:rPr>
      </w:pPr>
    </w:p>
    <w:p w14:paraId="1C3A7D4D">
      <w:pPr>
        <w:rPr>
          <w:rFonts w:hint="eastAsia"/>
          <w:lang w:val="en-US" w:eastAsia="zh-CN"/>
        </w:rPr>
      </w:pPr>
    </w:p>
    <w:p w14:paraId="59E3E2BD">
      <w:pPr>
        <w:rPr>
          <w:rFonts w:hint="default"/>
          <w:lang w:val="en-US" w:eastAsia="zh-CN"/>
        </w:rPr>
      </w:pPr>
    </w:p>
    <w:sectPr>
      <w:pgSz w:w="11906" w:h="16838"/>
      <w:pgMar w:top="1134" w:right="567" w:bottom="1134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2DB37028-555D-49B8-9660-6F9259B5CBF5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1E5811C2-4F03-4326-9E89-BCC140EF083F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3" w:fontKey="{04129DC0-2E00-4EDF-9011-8D7E830B7625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4" w:fontKey="{C2B8EA80-34FD-45F3-858D-FA06A25FAA71}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E64DC3CE"/>
    <w:multiLevelType w:val="singleLevel"/>
    <w:tmpl w:val="E64DC3CE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23DEF404"/>
    <w:multiLevelType w:val="singleLevel"/>
    <w:tmpl w:val="23DEF404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JlZWZkZDMxMzg2MTBmMjU2YTlhNWI3ZmFjNDQ4MWUifQ=="/>
  </w:docVars>
  <w:rsids>
    <w:rsidRoot w:val="00000000"/>
    <w:rsid w:val="003675E8"/>
    <w:rsid w:val="01D52A58"/>
    <w:rsid w:val="021006E5"/>
    <w:rsid w:val="0224038E"/>
    <w:rsid w:val="02CE7139"/>
    <w:rsid w:val="03163E1D"/>
    <w:rsid w:val="03552A08"/>
    <w:rsid w:val="03BB6210"/>
    <w:rsid w:val="03BB642D"/>
    <w:rsid w:val="03D3104E"/>
    <w:rsid w:val="04593878"/>
    <w:rsid w:val="050339CA"/>
    <w:rsid w:val="052B1309"/>
    <w:rsid w:val="05D7519E"/>
    <w:rsid w:val="062156C2"/>
    <w:rsid w:val="07925438"/>
    <w:rsid w:val="07B611C8"/>
    <w:rsid w:val="07C115F6"/>
    <w:rsid w:val="07C537D5"/>
    <w:rsid w:val="07CF7222"/>
    <w:rsid w:val="07E9598A"/>
    <w:rsid w:val="07F76D1E"/>
    <w:rsid w:val="085B7E12"/>
    <w:rsid w:val="088E0B0F"/>
    <w:rsid w:val="089F023E"/>
    <w:rsid w:val="09EF4DDA"/>
    <w:rsid w:val="0A4B342C"/>
    <w:rsid w:val="0A5A448A"/>
    <w:rsid w:val="0AED6E12"/>
    <w:rsid w:val="0B307376"/>
    <w:rsid w:val="0C603D76"/>
    <w:rsid w:val="0C811C7B"/>
    <w:rsid w:val="0CDC4161"/>
    <w:rsid w:val="0D041EBC"/>
    <w:rsid w:val="0D5422FE"/>
    <w:rsid w:val="0D907DC5"/>
    <w:rsid w:val="0DD4413B"/>
    <w:rsid w:val="0DFB1411"/>
    <w:rsid w:val="0E266744"/>
    <w:rsid w:val="0EA93CA3"/>
    <w:rsid w:val="0EAC0638"/>
    <w:rsid w:val="10151202"/>
    <w:rsid w:val="10AE73EC"/>
    <w:rsid w:val="10BD6274"/>
    <w:rsid w:val="1118101A"/>
    <w:rsid w:val="113B145B"/>
    <w:rsid w:val="11DA6532"/>
    <w:rsid w:val="121A3D4C"/>
    <w:rsid w:val="12492C39"/>
    <w:rsid w:val="12833A99"/>
    <w:rsid w:val="134306AA"/>
    <w:rsid w:val="135A02D0"/>
    <w:rsid w:val="13712447"/>
    <w:rsid w:val="14461E0A"/>
    <w:rsid w:val="148B7538"/>
    <w:rsid w:val="14E013D0"/>
    <w:rsid w:val="15C73093"/>
    <w:rsid w:val="15CF1F26"/>
    <w:rsid w:val="15DB7F42"/>
    <w:rsid w:val="15F809F2"/>
    <w:rsid w:val="16207B77"/>
    <w:rsid w:val="16B36D4D"/>
    <w:rsid w:val="1799286B"/>
    <w:rsid w:val="17CE675B"/>
    <w:rsid w:val="185B5474"/>
    <w:rsid w:val="18D92EBD"/>
    <w:rsid w:val="18F65F6C"/>
    <w:rsid w:val="190C14F0"/>
    <w:rsid w:val="1AAF2DD5"/>
    <w:rsid w:val="1AC85C22"/>
    <w:rsid w:val="1AE31E7C"/>
    <w:rsid w:val="1B46204F"/>
    <w:rsid w:val="1BBC5511"/>
    <w:rsid w:val="1BEB00C0"/>
    <w:rsid w:val="1C036DD3"/>
    <w:rsid w:val="1D12234E"/>
    <w:rsid w:val="1DBE13B8"/>
    <w:rsid w:val="1E053C26"/>
    <w:rsid w:val="1E073016"/>
    <w:rsid w:val="1E4A73F0"/>
    <w:rsid w:val="1E77318B"/>
    <w:rsid w:val="1EB94F81"/>
    <w:rsid w:val="1ED65F1E"/>
    <w:rsid w:val="20390524"/>
    <w:rsid w:val="20E172DD"/>
    <w:rsid w:val="20E3342D"/>
    <w:rsid w:val="210E5779"/>
    <w:rsid w:val="21726AD2"/>
    <w:rsid w:val="217F7DF1"/>
    <w:rsid w:val="218E0668"/>
    <w:rsid w:val="22A273FF"/>
    <w:rsid w:val="22A56ED4"/>
    <w:rsid w:val="22B3482A"/>
    <w:rsid w:val="239605DE"/>
    <w:rsid w:val="23DC39DF"/>
    <w:rsid w:val="23E3036F"/>
    <w:rsid w:val="25380CA0"/>
    <w:rsid w:val="257D0110"/>
    <w:rsid w:val="25886937"/>
    <w:rsid w:val="25C63BAB"/>
    <w:rsid w:val="25C67C05"/>
    <w:rsid w:val="260F404F"/>
    <w:rsid w:val="263578BE"/>
    <w:rsid w:val="265E0AEC"/>
    <w:rsid w:val="26A70C65"/>
    <w:rsid w:val="270C409F"/>
    <w:rsid w:val="2777374E"/>
    <w:rsid w:val="277E783A"/>
    <w:rsid w:val="27C9523F"/>
    <w:rsid w:val="27CF4822"/>
    <w:rsid w:val="283860D8"/>
    <w:rsid w:val="286E270D"/>
    <w:rsid w:val="28710CD1"/>
    <w:rsid w:val="29FF496C"/>
    <w:rsid w:val="2A1F28C7"/>
    <w:rsid w:val="2A2A3E76"/>
    <w:rsid w:val="2B8925CC"/>
    <w:rsid w:val="2C376479"/>
    <w:rsid w:val="2C6F6170"/>
    <w:rsid w:val="2C9F6F43"/>
    <w:rsid w:val="2D672D4A"/>
    <w:rsid w:val="2D755A60"/>
    <w:rsid w:val="2E8E10D4"/>
    <w:rsid w:val="2E9A5803"/>
    <w:rsid w:val="2F8D0CD0"/>
    <w:rsid w:val="2F9D3423"/>
    <w:rsid w:val="305F1B4D"/>
    <w:rsid w:val="3062425E"/>
    <w:rsid w:val="3079550C"/>
    <w:rsid w:val="30893524"/>
    <w:rsid w:val="30C93B1B"/>
    <w:rsid w:val="31595845"/>
    <w:rsid w:val="32024D28"/>
    <w:rsid w:val="337511B1"/>
    <w:rsid w:val="34A93520"/>
    <w:rsid w:val="34B66051"/>
    <w:rsid w:val="34E42C16"/>
    <w:rsid w:val="34EF00BE"/>
    <w:rsid w:val="34F62354"/>
    <w:rsid w:val="351550AE"/>
    <w:rsid w:val="35C97E96"/>
    <w:rsid w:val="36C21BE7"/>
    <w:rsid w:val="36C450EA"/>
    <w:rsid w:val="372B5D93"/>
    <w:rsid w:val="375B0AE1"/>
    <w:rsid w:val="382D2F86"/>
    <w:rsid w:val="384A4E91"/>
    <w:rsid w:val="386C41A1"/>
    <w:rsid w:val="38761053"/>
    <w:rsid w:val="38A762B5"/>
    <w:rsid w:val="38A804E3"/>
    <w:rsid w:val="38E01351"/>
    <w:rsid w:val="39106763"/>
    <w:rsid w:val="39C62C3D"/>
    <w:rsid w:val="3A985554"/>
    <w:rsid w:val="3AAB598F"/>
    <w:rsid w:val="3AD0638B"/>
    <w:rsid w:val="3B547DD5"/>
    <w:rsid w:val="3B9C785C"/>
    <w:rsid w:val="3C0E1309"/>
    <w:rsid w:val="3C4D1AF8"/>
    <w:rsid w:val="3D033860"/>
    <w:rsid w:val="3D877BF2"/>
    <w:rsid w:val="3D8E5A8D"/>
    <w:rsid w:val="3E2619C7"/>
    <w:rsid w:val="3E4D7489"/>
    <w:rsid w:val="3E924036"/>
    <w:rsid w:val="3EBE4976"/>
    <w:rsid w:val="3EF73899"/>
    <w:rsid w:val="3F0F1038"/>
    <w:rsid w:val="3F917849"/>
    <w:rsid w:val="407F6724"/>
    <w:rsid w:val="4179753E"/>
    <w:rsid w:val="41F702EE"/>
    <w:rsid w:val="421D6643"/>
    <w:rsid w:val="426B6130"/>
    <w:rsid w:val="428970E4"/>
    <w:rsid w:val="42BD668F"/>
    <w:rsid w:val="42D82436"/>
    <w:rsid w:val="43064C90"/>
    <w:rsid w:val="44BE1658"/>
    <w:rsid w:val="45B40105"/>
    <w:rsid w:val="46495D4E"/>
    <w:rsid w:val="46C53FAB"/>
    <w:rsid w:val="47823284"/>
    <w:rsid w:val="47E67906"/>
    <w:rsid w:val="485E35F8"/>
    <w:rsid w:val="488717E9"/>
    <w:rsid w:val="49550899"/>
    <w:rsid w:val="49BA2D04"/>
    <w:rsid w:val="49BB0786"/>
    <w:rsid w:val="4A45370A"/>
    <w:rsid w:val="4B33778A"/>
    <w:rsid w:val="4B643ABC"/>
    <w:rsid w:val="4B9F639D"/>
    <w:rsid w:val="4BC230D9"/>
    <w:rsid w:val="4D696680"/>
    <w:rsid w:val="4E2B74D5"/>
    <w:rsid w:val="4E3C4E24"/>
    <w:rsid w:val="4E844AD0"/>
    <w:rsid w:val="4F4F10AC"/>
    <w:rsid w:val="4F5F64BA"/>
    <w:rsid w:val="4FB545D4"/>
    <w:rsid w:val="502E58AD"/>
    <w:rsid w:val="50F91249"/>
    <w:rsid w:val="51B13361"/>
    <w:rsid w:val="51B47BC2"/>
    <w:rsid w:val="52CB19E0"/>
    <w:rsid w:val="5339476F"/>
    <w:rsid w:val="536B2A7D"/>
    <w:rsid w:val="53DE59A8"/>
    <w:rsid w:val="53E51F5E"/>
    <w:rsid w:val="541505F1"/>
    <w:rsid w:val="54400E09"/>
    <w:rsid w:val="545266C4"/>
    <w:rsid w:val="54D20740"/>
    <w:rsid w:val="550810AE"/>
    <w:rsid w:val="556B799E"/>
    <w:rsid w:val="55B6522E"/>
    <w:rsid w:val="5715646F"/>
    <w:rsid w:val="57C224F5"/>
    <w:rsid w:val="581F4981"/>
    <w:rsid w:val="58CB413F"/>
    <w:rsid w:val="59410223"/>
    <w:rsid w:val="59723D50"/>
    <w:rsid w:val="59E91D42"/>
    <w:rsid w:val="59EA71B5"/>
    <w:rsid w:val="5A264F65"/>
    <w:rsid w:val="5A864B12"/>
    <w:rsid w:val="5A920D49"/>
    <w:rsid w:val="5AB460CC"/>
    <w:rsid w:val="5B4B35D6"/>
    <w:rsid w:val="5BA97C89"/>
    <w:rsid w:val="5BB10EFE"/>
    <w:rsid w:val="5C121CA4"/>
    <w:rsid w:val="5D077297"/>
    <w:rsid w:val="5D2D190B"/>
    <w:rsid w:val="5D3C6BEF"/>
    <w:rsid w:val="5D762C66"/>
    <w:rsid w:val="5DEA79AF"/>
    <w:rsid w:val="5E1128DA"/>
    <w:rsid w:val="5E2F3B42"/>
    <w:rsid w:val="5F4131D6"/>
    <w:rsid w:val="5F526965"/>
    <w:rsid w:val="5F684284"/>
    <w:rsid w:val="5F6F0822"/>
    <w:rsid w:val="5F744CAA"/>
    <w:rsid w:val="5F957CDE"/>
    <w:rsid w:val="5FC205CB"/>
    <w:rsid w:val="5FDD7E71"/>
    <w:rsid w:val="602B6FE5"/>
    <w:rsid w:val="60627DEA"/>
    <w:rsid w:val="62561308"/>
    <w:rsid w:val="62927E29"/>
    <w:rsid w:val="632E15A0"/>
    <w:rsid w:val="634D7898"/>
    <w:rsid w:val="63545E9E"/>
    <w:rsid w:val="63C11A36"/>
    <w:rsid w:val="640D6CAC"/>
    <w:rsid w:val="64105038"/>
    <w:rsid w:val="644B199A"/>
    <w:rsid w:val="645F5469"/>
    <w:rsid w:val="64927383"/>
    <w:rsid w:val="64D6157E"/>
    <w:rsid w:val="655D64CF"/>
    <w:rsid w:val="65694555"/>
    <w:rsid w:val="656A4F30"/>
    <w:rsid w:val="65B14764"/>
    <w:rsid w:val="65D55C25"/>
    <w:rsid w:val="66295949"/>
    <w:rsid w:val="67CB7B5D"/>
    <w:rsid w:val="68014CBD"/>
    <w:rsid w:val="687304EE"/>
    <w:rsid w:val="68783C73"/>
    <w:rsid w:val="689B58B8"/>
    <w:rsid w:val="693862AF"/>
    <w:rsid w:val="693A43C0"/>
    <w:rsid w:val="69557BB0"/>
    <w:rsid w:val="6A3B5729"/>
    <w:rsid w:val="6A961A6F"/>
    <w:rsid w:val="6A987C6E"/>
    <w:rsid w:val="6ACB7AD0"/>
    <w:rsid w:val="6B905DD2"/>
    <w:rsid w:val="6BE524F2"/>
    <w:rsid w:val="6D4B29EE"/>
    <w:rsid w:val="6D6D71FE"/>
    <w:rsid w:val="6DDE468A"/>
    <w:rsid w:val="6E2B3418"/>
    <w:rsid w:val="6E7736BC"/>
    <w:rsid w:val="6E92169B"/>
    <w:rsid w:val="6EC06CA8"/>
    <w:rsid w:val="6EED01BE"/>
    <w:rsid w:val="6F176088"/>
    <w:rsid w:val="6F382128"/>
    <w:rsid w:val="6FCD7A7D"/>
    <w:rsid w:val="709E1F5D"/>
    <w:rsid w:val="712612D9"/>
    <w:rsid w:val="714C1B55"/>
    <w:rsid w:val="71B04852"/>
    <w:rsid w:val="71B2000E"/>
    <w:rsid w:val="72307267"/>
    <w:rsid w:val="725577F4"/>
    <w:rsid w:val="72B513C2"/>
    <w:rsid w:val="73A103C3"/>
    <w:rsid w:val="73A51066"/>
    <w:rsid w:val="740C7A72"/>
    <w:rsid w:val="742227FA"/>
    <w:rsid w:val="74457D84"/>
    <w:rsid w:val="74AB4B27"/>
    <w:rsid w:val="74BE1DD0"/>
    <w:rsid w:val="74EE1F10"/>
    <w:rsid w:val="74FC7C89"/>
    <w:rsid w:val="75AA5052"/>
    <w:rsid w:val="75BE2C2C"/>
    <w:rsid w:val="75BF7348"/>
    <w:rsid w:val="763554A4"/>
    <w:rsid w:val="765F4A43"/>
    <w:rsid w:val="76EB7264"/>
    <w:rsid w:val="76F73A24"/>
    <w:rsid w:val="771256CE"/>
    <w:rsid w:val="774B2533"/>
    <w:rsid w:val="77F5610B"/>
    <w:rsid w:val="78A832CE"/>
    <w:rsid w:val="78C97F79"/>
    <w:rsid w:val="79175759"/>
    <w:rsid w:val="794270DA"/>
    <w:rsid w:val="7A5E34A4"/>
    <w:rsid w:val="7A9F77BB"/>
    <w:rsid w:val="7B453D8F"/>
    <w:rsid w:val="7CEF5984"/>
    <w:rsid w:val="7D433BC5"/>
    <w:rsid w:val="7D65005C"/>
    <w:rsid w:val="7E122809"/>
    <w:rsid w:val="7E283B0C"/>
    <w:rsid w:val="7E543940"/>
    <w:rsid w:val="7E7519CA"/>
    <w:rsid w:val="7EF240BF"/>
    <w:rsid w:val="7F2C38B2"/>
    <w:rsid w:val="7F2D0FB6"/>
    <w:rsid w:val="7F962F62"/>
    <w:rsid w:val="7FE05D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39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360" w:lineRule="auto"/>
      <w:jc w:val="center"/>
      <w:outlineLvl w:val="0"/>
    </w:pPr>
    <w:rPr>
      <w:rFonts w:asciiTheme="minorAscii" w:hAnsiTheme="minorAscii"/>
      <w:b/>
      <w:kern w:val="44"/>
      <w:sz w:val="30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Lines="0" w:beforeAutospacing="0" w:afterLines="0" w:afterAutospacing="0" w:line="360" w:lineRule="auto"/>
      <w:outlineLvl w:val="1"/>
    </w:pPr>
    <w:rPr>
      <w:rFonts w:ascii="Arial" w:hAnsi="Arial" w:eastAsia="黑体"/>
      <w:b/>
      <w:sz w:val="24"/>
    </w:rPr>
  </w:style>
  <w:style w:type="character" w:default="1" w:styleId="13">
    <w:name w:val="Default Paragraph Font"/>
    <w:semiHidden/>
    <w:qFormat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next w:val="1"/>
    <w:qFormat/>
    <w:uiPriority w:val="0"/>
    <w:pPr>
      <w:ind w:firstLine="420" w:firstLineChars="200"/>
    </w:pPr>
  </w:style>
  <w:style w:type="paragraph" w:styleId="5">
    <w:name w:val="annotation text"/>
    <w:basedOn w:val="1"/>
    <w:qFormat/>
    <w:uiPriority w:val="0"/>
    <w:pPr>
      <w:jc w:val="left"/>
    </w:pPr>
  </w:style>
  <w:style w:type="paragraph" w:styleId="6">
    <w:name w:val="Body Text"/>
    <w:basedOn w:val="1"/>
    <w:next w:val="1"/>
    <w:qFormat/>
    <w:uiPriority w:val="0"/>
    <w:pPr>
      <w:spacing w:before="1" w:line="360" w:lineRule="auto"/>
    </w:pPr>
    <w:rPr>
      <w:rFonts w:ascii="宋体" w:hAnsi="宋体" w:eastAsia="仿宋" w:cs="宋体"/>
      <w:sz w:val="24"/>
      <w:szCs w:val="24"/>
      <w:lang w:val="zh-CN" w:bidi="zh-CN"/>
    </w:r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toc 1"/>
    <w:basedOn w:val="1"/>
    <w:next w:val="1"/>
    <w:qFormat/>
    <w:uiPriority w:val="39"/>
  </w:style>
  <w:style w:type="paragraph" w:styleId="9">
    <w:name w:val="toc 2"/>
    <w:basedOn w:val="1"/>
    <w:next w:val="1"/>
    <w:qFormat/>
    <w:uiPriority w:val="0"/>
    <w:pPr>
      <w:ind w:left="420" w:leftChars="200"/>
    </w:pPr>
  </w:style>
  <w:style w:type="paragraph" w:styleId="10">
    <w:name w:val="Normal (Web)"/>
    <w:basedOn w:val="1"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table" w:styleId="12">
    <w:name w:val="Table Grid"/>
    <w:basedOn w:val="11"/>
    <w:unhideWhenUsed/>
    <w:qFormat/>
    <w:uiPriority w:val="9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Emphasis"/>
    <w:basedOn w:val="13"/>
    <w:qFormat/>
    <w:uiPriority w:val="0"/>
    <w:rPr>
      <w:i/>
    </w:rPr>
  </w:style>
  <w:style w:type="paragraph" w:customStyle="1" w:styleId="16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宋体" w:cs="宋体"/>
      <w:color w:val="000000"/>
      <w:sz w:val="24"/>
      <w:szCs w:val="24"/>
      <w:lang w:val="en-US" w:eastAsia="zh-CN" w:bidi="ar-SA"/>
    </w:rPr>
  </w:style>
  <w:style w:type="character" w:customStyle="1" w:styleId="17">
    <w:name w:val="font81"/>
    <w:basedOn w:val="13"/>
    <w:qFormat/>
    <w:uiPriority w:val="0"/>
    <w:rPr>
      <w:rFonts w:hint="eastAsia" w:ascii="仿宋" w:hAnsi="仿宋" w:eastAsia="仿宋" w:cs="仿宋"/>
      <w:color w:val="FF0000"/>
      <w:sz w:val="24"/>
      <w:szCs w:val="24"/>
      <w:u w:val="none"/>
    </w:rPr>
  </w:style>
  <w:style w:type="character" w:customStyle="1" w:styleId="18">
    <w:name w:val="font6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19">
    <w:name w:val="font4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20">
    <w:name w:val="font71"/>
    <w:basedOn w:val="13"/>
    <w:qFormat/>
    <w:uiPriority w:val="0"/>
    <w:rPr>
      <w:rFonts w:hint="eastAsia" w:ascii="仿宋" w:hAnsi="仿宋" w:eastAsia="仿宋" w:cs="仿宋"/>
      <w:color w:val="0070C0"/>
      <w:sz w:val="24"/>
      <w:szCs w:val="24"/>
      <w:u w:val="none"/>
    </w:rPr>
  </w:style>
  <w:style w:type="character" w:customStyle="1" w:styleId="21">
    <w:name w:val="font5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2">
    <w:name w:val="font2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23">
    <w:name w:val="font11"/>
    <w:basedOn w:val="13"/>
    <w:qFormat/>
    <w:uiPriority w:val="0"/>
    <w:rPr>
      <w:rFonts w:hint="eastAsia" w:ascii="宋体" w:hAnsi="宋体" w:eastAsia="宋体" w:cs="宋体"/>
      <w:b/>
      <w:bCs/>
      <w:color w:val="000000"/>
      <w:sz w:val="24"/>
      <w:szCs w:val="24"/>
      <w:u w:val="none"/>
    </w:rPr>
  </w:style>
  <w:style w:type="paragraph" w:customStyle="1" w:styleId="24">
    <w:name w:val="段"/>
    <w:next w:val="1"/>
    <w:qFormat/>
    <w:uiPriority w:val="0"/>
    <w:pPr>
      <w:autoSpaceDE w:val="0"/>
      <w:autoSpaceDN w:val="0"/>
      <w:adjustRightInd w:val="0"/>
      <w:snapToGrid w:val="0"/>
      <w:spacing w:line="360" w:lineRule="auto"/>
      <w:ind w:firstLine="200" w:firstLineChars="200"/>
      <w:jc w:val="both"/>
    </w:pPr>
    <w:rPr>
      <w:rFonts w:ascii="宋体" w:hAnsi="Calibri" w:eastAsia="宋体" w:cs="Times New Roman"/>
      <w:sz w:val="24"/>
      <w:szCs w:val="22"/>
      <w:lang w:val="en-US" w:eastAsia="zh-CN" w:bidi="ar-SA"/>
    </w:rPr>
  </w:style>
  <w:style w:type="character" w:customStyle="1" w:styleId="25">
    <w:name w:val="font31"/>
    <w:basedOn w:val="13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26">
    <w:name w:val="font01"/>
    <w:basedOn w:val="13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paragraph" w:customStyle="1" w:styleId="27">
    <w:name w:val="null3"/>
    <w:hidden/>
    <w:qFormat/>
    <w:uiPriority w:val="0"/>
    <w:rPr>
      <w:rFonts w:hint="eastAsia" w:asciiTheme="minorHAnsi" w:hAnsiTheme="minorHAnsi" w:eastAsiaTheme="minorEastAsia" w:cstheme="minorBidi"/>
      <w:lang w:val="en-US" w:eastAsia="zh-Hans" w:bidi="ar-SA"/>
    </w:rPr>
  </w:style>
  <w:style w:type="paragraph" w:customStyle="1" w:styleId="28">
    <w:name w:val="标题 5（有编号）（绿盟科技）"/>
    <w:basedOn w:val="1"/>
    <w:next w:val="29"/>
    <w:qFormat/>
    <w:uiPriority w:val="0"/>
    <w:pPr>
      <w:keepNext/>
      <w:keepLines/>
      <w:widowControl w:val="0"/>
      <w:tabs>
        <w:tab w:val="left" w:pos="4832"/>
      </w:tabs>
      <w:spacing w:before="280" w:after="156" w:line="377" w:lineRule="auto"/>
      <w:ind w:left="4832" w:hanging="992"/>
      <w:outlineLvl w:val="4"/>
    </w:pPr>
    <w:rPr>
      <w:rFonts w:ascii="Arial" w:hAnsi="Arial" w:eastAsia="黑体"/>
      <w:b/>
      <w:sz w:val="24"/>
      <w:szCs w:val="28"/>
    </w:rPr>
  </w:style>
  <w:style w:type="paragraph" w:customStyle="1" w:styleId="29">
    <w:name w:val="正文（绿盟科技）"/>
    <w:qFormat/>
    <w:uiPriority w:val="0"/>
    <w:pPr>
      <w:spacing w:line="300" w:lineRule="auto"/>
    </w:pPr>
    <w:rPr>
      <w:rFonts w:ascii="Arial" w:hAnsi="Arial" w:eastAsia="宋体" w:cs="黑体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13</Pages>
  <Words>2007</Words>
  <Characters>2175</Characters>
  <Lines>0</Lines>
  <Paragraphs>0</Paragraphs>
  <TotalTime>46</TotalTime>
  <ScaleCrop>false</ScaleCrop>
  <LinksUpToDate>false</LinksUpToDate>
  <CharactersWithSpaces>2314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2023-07-17T06:43:00Z</dcterms:created>
  <dc:creator>Administrator</dc:creator>
  <cp:lastModifiedBy>陈星材</cp:lastModifiedBy>
  <cp:lastPrinted>2025-07-04T05:21:00Z</cp:lastPrinted>
  <dcterms:modified xsi:type="dcterms:W3CDTF">2026-07-31T02:33:51Z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1699AAD725F4408FAC1581F141FA1A4C_13</vt:lpwstr>
  </property>
  <property fmtid="{D5CDD505-2E9C-101B-9397-08002B2CF9AE}" pid="4" name="KSOTemplateDocerSaveRecord">
    <vt:lpwstr>eyJoZGlkIjoiMjQyNDhmOTM2ZTFmMzI0NWNlOWQ4YjMzNDBjYmNiZTkiLCJ1c2VySWQiOiIxNTY4OTgzOTkzIn0=</vt:lpwstr>
  </property>
</Properties>
</file>