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D25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auto"/>
          <w:kern w:val="0"/>
          <w:sz w:val="36"/>
          <w:szCs w:val="36"/>
          <w:u w:val="none"/>
          <w:lang w:val="en-US" w:eastAsia="zh-CN" w:bidi="ar"/>
        </w:rPr>
      </w:pPr>
      <w:bookmarkStart w:id="0" w:name="OLE_LINK2"/>
      <w:r>
        <w:rPr>
          <w:rFonts w:hint="eastAsia" w:ascii="黑体" w:hAnsi="黑体" w:eastAsia="黑体" w:cs="黑体"/>
          <w:b w:val="0"/>
          <w:bCs w:val="0"/>
          <w:i w:val="0"/>
          <w:iCs w:val="0"/>
          <w:color w:val="auto"/>
          <w:kern w:val="0"/>
          <w:sz w:val="36"/>
          <w:szCs w:val="36"/>
          <w:u w:val="none"/>
          <w:lang w:val="en-US" w:eastAsia="zh-CN" w:bidi="ar"/>
        </w:rPr>
        <w:t>资阳市中心医院</w:t>
      </w:r>
      <w:r>
        <w:rPr>
          <w:rFonts w:hint="eastAsia" w:ascii="黑体" w:hAnsi="黑体" w:eastAsia="黑体" w:cs="黑体"/>
          <w:b w:val="0"/>
          <w:bCs w:val="0"/>
          <w:i w:val="0"/>
          <w:iCs w:val="0"/>
          <w:color w:val="auto"/>
          <w:kern w:val="0"/>
          <w:sz w:val="36"/>
          <w:szCs w:val="36"/>
          <w:u w:val="none"/>
          <w:lang w:val="en-US" w:eastAsia="zh-CN" w:bidi="ar"/>
        </w:rPr>
        <w:br w:type="textWrapping"/>
      </w:r>
      <w:r>
        <w:rPr>
          <w:rFonts w:hint="eastAsia" w:ascii="黑体" w:hAnsi="黑体" w:eastAsia="黑体" w:cs="黑体"/>
          <w:b w:val="0"/>
          <w:bCs w:val="0"/>
          <w:i w:val="0"/>
          <w:iCs w:val="0"/>
          <w:color w:val="auto"/>
          <w:kern w:val="0"/>
          <w:sz w:val="36"/>
          <w:szCs w:val="36"/>
          <w:u w:val="none"/>
          <w:lang w:val="en-US" w:eastAsia="zh-CN" w:bidi="ar"/>
        </w:rPr>
        <w:t>电子图书馆服务项目调研公告</w:t>
      </w:r>
    </w:p>
    <w:p w14:paraId="1E929F61">
      <w:pPr>
        <w:pStyle w:val="5"/>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auto"/>
          <w:sz w:val="28"/>
          <w:szCs w:val="28"/>
          <w:u w:val="none"/>
          <w:lang w:val="en-US" w:eastAsia="zh-CN"/>
        </w:rPr>
      </w:pPr>
    </w:p>
    <w:p w14:paraId="09E78C9C">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因医院业务</w:t>
      </w:r>
      <w:r>
        <w:rPr>
          <w:rFonts w:hint="eastAsia" w:ascii="仿宋" w:hAnsi="仿宋" w:cs="仿宋"/>
          <w:i w:val="0"/>
          <w:iCs w:val="0"/>
          <w:color w:val="auto"/>
          <w:sz w:val="28"/>
          <w:szCs w:val="28"/>
          <w:u w:val="none"/>
          <w:lang w:val="en-US" w:eastAsia="zh-CN"/>
        </w:rPr>
        <w:t>发展</w:t>
      </w:r>
      <w:r>
        <w:rPr>
          <w:rFonts w:hint="eastAsia" w:ascii="仿宋" w:hAnsi="仿宋" w:eastAsia="仿宋" w:cs="仿宋"/>
          <w:i w:val="0"/>
          <w:iCs w:val="0"/>
          <w:color w:val="auto"/>
          <w:sz w:val="28"/>
          <w:szCs w:val="28"/>
          <w:u w:val="none"/>
          <w:lang w:val="en-US" w:eastAsia="zh-CN"/>
        </w:rPr>
        <w:t>需要，</w:t>
      </w:r>
      <w:r>
        <w:rPr>
          <w:rFonts w:hint="eastAsia" w:ascii="仿宋" w:hAnsi="仿宋" w:cs="仿宋"/>
          <w:i w:val="0"/>
          <w:iCs w:val="0"/>
          <w:color w:val="auto"/>
          <w:sz w:val="28"/>
          <w:szCs w:val="28"/>
          <w:u w:val="none"/>
          <w:lang w:val="en-US" w:eastAsia="zh-CN"/>
        </w:rPr>
        <w:t>对电子图书馆服务项目</w:t>
      </w:r>
      <w:r>
        <w:rPr>
          <w:rFonts w:hint="eastAsia" w:ascii="仿宋" w:hAnsi="仿宋" w:eastAsia="仿宋" w:cs="仿宋"/>
          <w:i w:val="0"/>
          <w:iCs w:val="0"/>
          <w:color w:val="auto"/>
          <w:sz w:val="28"/>
          <w:szCs w:val="28"/>
          <w:u w:val="none"/>
          <w:lang w:val="en-US" w:eastAsia="zh-CN"/>
        </w:rPr>
        <w:t>进行市场调研</w:t>
      </w:r>
      <w:r>
        <w:rPr>
          <w:rFonts w:ascii="仿宋" w:hAnsi="仿宋" w:eastAsia="仿宋" w:cs="仿宋"/>
          <w:i w:val="0"/>
          <w:iCs w:val="0"/>
          <w:caps w:val="0"/>
          <w:color w:val="auto"/>
          <w:spacing w:val="0"/>
          <w:sz w:val="28"/>
          <w:szCs w:val="28"/>
          <w:shd w:val="clear" w:fill="FFFFFF"/>
        </w:rPr>
        <w:t>，</w:t>
      </w:r>
      <w:r>
        <w:rPr>
          <w:rFonts w:ascii="仿宋" w:hAnsi="仿宋" w:eastAsia="仿宋" w:cs="仿宋"/>
          <w:i w:val="0"/>
          <w:iCs w:val="0"/>
          <w:caps w:val="0"/>
          <w:color w:val="000000"/>
          <w:spacing w:val="0"/>
          <w:sz w:val="28"/>
          <w:szCs w:val="28"/>
          <w:shd w:val="clear" w:fill="FFFFFF"/>
        </w:rPr>
        <w:t>诚邀</w:t>
      </w:r>
      <w:r>
        <w:rPr>
          <w:rFonts w:hint="eastAsia" w:ascii="仿宋" w:hAnsi="仿宋" w:cs="仿宋"/>
          <w:i w:val="0"/>
          <w:iCs w:val="0"/>
          <w:caps w:val="0"/>
          <w:color w:val="000000"/>
          <w:spacing w:val="0"/>
          <w:sz w:val="28"/>
          <w:szCs w:val="28"/>
          <w:shd w:val="clear" w:fill="FFFFFF"/>
          <w:lang w:val="en-US" w:eastAsia="zh-CN"/>
        </w:rPr>
        <w:t>各</w:t>
      </w:r>
      <w:r>
        <w:rPr>
          <w:rFonts w:ascii="仿宋" w:hAnsi="仿宋" w:eastAsia="仿宋" w:cs="仿宋"/>
          <w:i w:val="0"/>
          <w:iCs w:val="0"/>
          <w:caps w:val="0"/>
          <w:color w:val="000000"/>
          <w:spacing w:val="0"/>
          <w:sz w:val="28"/>
          <w:szCs w:val="28"/>
          <w:shd w:val="clear" w:fill="FFFFFF"/>
        </w:rPr>
        <w:t>潜在供应商报名，</w:t>
      </w:r>
      <w:r>
        <w:rPr>
          <w:rFonts w:ascii="仿宋" w:hAnsi="仿宋" w:eastAsia="仿宋" w:cs="仿宋"/>
          <w:i w:val="0"/>
          <w:iCs w:val="0"/>
          <w:caps w:val="0"/>
          <w:color w:val="auto"/>
          <w:spacing w:val="0"/>
          <w:sz w:val="28"/>
          <w:szCs w:val="28"/>
          <w:shd w:val="clear" w:fill="FFFFFF"/>
        </w:rPr>
        <w:t>现将有关事宜公告如下：</w:t>
      </w:r>
    </w:p>
    <w:p w14:paraId="3BC16C1A">
      <w:pPr>
        <w:keepNext w:val="0"/>
        <w:keepLines w:val="0"/>
        <w:pageBreakBefore w:val="0"/>
        <w:numPr>
          <w:ilvl w:val="0"/>
          <w:numId w:val="0"/>
        </w:numPr>
        <w:kinsoku/>
        <w:wordWrap/>
        <w:overflowPunct/>
        <w:topLinePunct w:val="0"/>
        <w:autoSpaceDE/>
        <w:autoSpaceDN/>
        <w:bidi w:val="0"/>
        <w:adjustRightInd/>
        <w:snapToGrid/>
        <w:spacing w:line="360" w:lineRule="exact"/>
        <w:ind w:leftChars="0" w:firstLine="560" w:firstLineChars="200"/>
        <w:rPr>
          <w:rFonts w:hint="eastAsia" w:ascii="方正黑体简体" w:hAnsi="方正黑体简体" w:eastAsia="方正黑体简体" w:cs="方正黑体简体"/>
          <w:i w:val="0"/>
          <w:iCs w:val="0"/>
          <w:color w:val="auto"/>
          <w:kern w:val="0"/>
          <w:sz w:val="28"/>
          <w:szCs w:val="28"/>
          <w:u w:val="none"/>
          <w:lang w:val="en-US" w:eastAsia="zh-CN" w:bidi="ar"/>
        </w:rPr>
      </w:pPr>
      <w:r>
        <w:rPr>
          <w:rFonts w:hint="eastAsia" w:ascii="方正黑体简体" w:hAnsi="方正黑体简体" w:eastAsia="方正黑体简体" w:cs="方正黑体简体"/>
          <w:i w:val="0"/>
          <w:iCs w:val="0"/>
          <w:color w:val="auto"/>
          <w:kern w:val="0"/>
          <w:sz w:val="28"/>
          <w:szCs w:val="28"/>
          <w:u w:val="none"/>
          <w:lang w:val="en-US" w:eastAsia="zh-CN" w:bidi="ar"/>
        </w:rPr>
        <w:t>一、项目概述</w:t>
      </w:r>
    </w:p>
    <w:p w14:paraId="00604038">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560" w:firstLineChars="200"/>
        <w:textAlignment w:val="auto"/>
        <w:rPr>
          <w:rFonts w:hint="default" w:ascii="仿宋" w:hAnsi="仿宋" w:eastAsia="仿宋" w:cs="仿宋"/>
          <w:i w:val="0"/>
          <w:iCs w:val="0"/>
          <w:color w:val="auto"/>
          <w:kern w:val="2"/>
          <w:sz w:val="28"/>
          <w:szCs w:val="28"/>
          <w:u w:val="none"/>
          <w:lang w:val="en-US" w:eastAsia="zh-CN" w:bidi="ar-SA"/>
        </w:rPr>
      </w:pPr>
      <w:r>
        <w:rPr>
          <w:rFonts w:hint="default" w:ascii="仿宋" w:hAnsi="仿宋" w:eastAsia="仿宋" w:cs="仿宋"/>
          <w:i w:val="0"/>
          <w:iCs w:val="0"/>
          <w:color w:val="auto"/>
          <w:kern w:val="2"/>
          <w:sz w:val="28"/>
          <w:szCs w:val="28"/>
          <w:u w:val="none"/>
          <w:lang w:val="en-US" w:eastAsia="zh-CN" w:bidi="ar-SA"/>
        </w:rPr>
        <w:t>本项目旨在</w:t>
      </w:r>
      <w:r>
        <w:rPr>
          <w:rFonts w:hint="eastAsia" w:ascii="仿宋" w:hAnsi="仿宋" w:eastAsia="仿宋" w:cs="仿宋"/>
          <w:i w:val="0"/>
          <w:iCs w:val="0"/>
          <w:color w:val="auto"/>
          <w:kern w:val="2"/>
          <w:sz w:val="28"/>
          <w:szCs w:val="28"/>
          <w:u w:val="none"/>
          <w:lang w:val="en-US" w:eastAsia="zh-CN" w:bidi="ar-SA"/>
        </w:rPr>
        <w:t>延续我院现有电子图书馆服务，保障数据库、电子图书资源齐全，资源实时更新。可实现医学文献知识检索服务，对中、外文献资源一站式检索发现和下载</w:t>
      </w:r>
      <w:r>
        <w:rPr>
          <w:rFonts w:hint="default" w:ascii="仿宋" w:hAnsi="仿宋" w:eastAsia="仿宋" w:cs="仿宋"/>
          <w:i w:val="0"/>
          <w:iCs w:val="0"/>
          <w:color w:val="auto"/>
          <w:kern w:val="2"/>
          <w:sz w:val="28"/>
          <w:szCs w:val="28"/>
          <w:u w:val="none"/>
          <w:lang w:val="en-US" w:eastAsia="zh-CN" w:bidi="ar-SA"/>
        </w:rPr>
        <w:t>。</w:t>
      </w:r>
      <w:r>
        <w:rPr>
          <w:rFonts w:hint="eastAsia" w:ascii="仿宋" w:hAnsi="仿宋" w:eastAsia="仿宋" w:cs="仿宋"/>
          <w:i w:val="0"/>
          <w:iCs w:val="0"/>
          <w:color w:val="auto"/>
          <w:kern w:val="2"/>
          <w:sz w:val="28"/>
          <w:szCs w:val="28"/>
          <w:u w:val="none"/>
          <w:lang w:val="en-US" w:eastAsia="zh-CN" w:bidi="ar-SA"/>
        </w:rPr>
        <w:t>(具体需求详见附件)</w:t>
      </w:r>
      <w:bookmarkStart w:id="33" w:name="_GoBack"/>
      <w:bookmarkEnd w:id="33"/>
    </w:p>
    <w:p w14:paraId="5681129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p>
    <w:p w14:paraId="463FB06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（一）报名时间：本公告自挂网公告日起，截止时间为自发布公告起第5个工作日（包含发布当天），公告截止日期后递交的报名资料无效。</w:t>
      </w:r>
    </w:p>
    <w:p w14:paraId="3896E83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（二）报名方式:本次市场调研活动采用邮箱报名，不接受现场报名。</w:t>
      </w:r>
    </w:p>
    <w:p w14:paraId="45D1EBE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firstLine="560" w:firstLineChars="200"/>
        <w:jc w:val="left"/>
        <w:textAlignment w:val="center"/>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三）1.报名资料按附件《报名须知》要求，将电子文档（盖章扫描件和可编辑版本）发送至zyszxyyxxb@163.com，并抄送至zyszxyyxxb001@163.com。邮件名称：“XXXX项目名称+公司名称+联系人+联系电话）”报名资料目录见附件。</w:t>
      </w:r>
    </w:p>
    <w:p w14:paraId="509EDDF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2.联系人：</w:t>
      </w:r>
      <w:r>
        <w:rPr>
          <w:rFonts w:hint="eastAsia" w:ascii="仿宋" w:hAnsi="仿宋" w:cs="仿宋"/>
          <w:i w:val="0"/>
          <w:iCs w:val="0"/>
          <w:color w:val="auto"/>
          <w:kern w:val="2"/>
          <w:sz w:val="28"/>
          <w:szCs w:val="28"/>
          <w:u w:val="none"/>
          <w:lang w:val="en-US" w:eastAsia="zh-CN" w:bidi="ar-SA"/>
        </w:rPr>
        <w:t>肖</w:t>
      </w:r>
      <w:r>
        <w:rPr>
          <w:rFonts w:hint="eastAsia" w:ascii="仿宋" w:hAnsi="仿宋" w:eastAsia="仿宋" w:cs="仿宋"/>
          <w:i w:val="0"/>
          <w:iCs w:val="0"/>
          <w:color w:val="auto"/>
          <w:kern w:val="2"/>
          <w:sz w:val="28"/>
          <w:szCs w:val="28"/>
          <w:u w:val="none"/>
          <w:lang w:val="en-US" w:eastAsia="zh-CN" w:bidi="ar-SA"/>
        </w:rPr>
        <w:t>老师，报名</w:t>
      </w:r>
      <w:r>
        <w:rPr>
          <w:rFonts w:hint="eastAsia" w:ascii="仿宋" w:hAnsi="仿宋" w:cs="仿宋"/>
          <w:i w:val="0"/>
          <w:iCs w:val="0"/>
          <w:color w:val="auto"/>
          <w:kern w:val="2"/>
          <w:sz w:val="28"/>
          <w:szCs w:val="28"/>
          <w:u w:val="none"/>
          <w:lang w:val="en-US" w:eastAsia="zh-CN" w:bidi="ar-SA"/>
        </w:rPr>
        <w:t>咨询</w:t>
      </w:r>
      <w:r>
        <w:rPr>
          <w:rFonts w:hint="eastAsia" w:ascii="仿宋" w:hAnsi="仿宋" w:eastAsia="仿宋" w:cs="仿宋"/>
          <w:i w:val="0"/>
          <w:iCs w:val="0"/>
          <w:color w:val="auto"/>
          <w:kern w:val="2"/>
          <w:sz w:val="28"/>
          <w:szCs w:val="28"/>
          <w:u w:val="none"/>
          <w:lang w:val="en-US" w:eastAsia="zh-CN" w:bidi="ar-SA"/>
        </w:rPr>
        <w:t>：028-26219526</w:t>
      </w:r>
    </w:p>
    <w:p w14:paraId="0B359B7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kern w:val="2"/>
          <w:sz w:val="28"/>
          <w:szCs w:val="28"/>
          <w:u w:val="none"/>
          <w:lang w:val="en-US" w:eastAsia="zh-CN" w:bidi="ar-SA"/>
        </w:rPr>
      </w:pPr>
      <w:r>
        <w:rPr>
          <w:rFonts w:hint="eastAsia" w:ascii="仿宋" w:hAnsi="仿宋" w:eastAsia="仿宋" w:cs="仿宋"/>
          <w:i w:val="0"/>
          <w:iCs w:val="0"/>
          <w:color w:val="auto"/>
          <w:kern w:val="2"/>
          <w:sz w:val="28"/>
          <w:szCs w:val="28"/>
          <w:u w:val="none"/>
          <w:lang w:val="en-US" w:eastAsia="zh-CN" w:bidi="ar-SA"/>
        </w:rPr>
        <w:t>3.线上或线下集中调研需求论证时间及地点，另行通知，请参加调研会的各潜在供应商准备相应的纸质版报价表及汇报PPT等。</w:t>
      </w:r>
    </w:p>
    <w:p w14:paraId="74F72DE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5CCB385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配置和技术参数以采购时为准。对未公告配置及技术性能的，请供应商自行提供。</w:t>
      </w:r>
    </w:p>
    <w:p w14:paraId="3BB0CD0B">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本次市场调研需提供项目参考价格和配置清单，配置清单范围包括但不限于本公告所提供的配置需求内容，各供应商可依据本公司提供的具体方案对配置清单进行合理调整。所谓参考价格是指按照与我院项目相似或体量相当的建设方案计算的参考价格，如果项目中集成有硬件，请在配置清单中罗列，硬件配置的参考报价仅用于医院后期采购参考，并不一定集成在本项目之中。</w:t>
      </w:r>
    </w:p>
    <w:p w14:paraId="24AB5332">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3.参加供应商保证拟推荐货物应为合法、全新、未使用过的原装正品，配置应为出厂标准配置，如有选配件需单独注明；如需使用单一来源的耗材也需单独注明。</w:t>
      </w:r>
    </w:p>
    <w:p w14:paraId="42390850">
      <w:pPr>
        <w:pStyle w:val="5"/>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4.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4364A259">
      <w:pPr>
        <w:rPr>
          <w:rFonts w:hint="eastAsia"/>
          <w:color w:val="auto"/>
          <w:lang w:val="en-US" w:eastAsia="zh-CN"/>
        </w:rPr>
      </w:pPr>
    </w:p>
    <w:p w14:paraId="3F529A3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EFB456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61271EB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F00799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8FC933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2FA4ED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DFBA46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1C98B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AA3AC3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1507E3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FC4753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EB7189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2BC4B4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89B70D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D68FD2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22D921C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4900F51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60F9DE1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726B0D4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22E6EC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2B58559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6168651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65C85F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2D2D41A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2523E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2DEEEFA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5222EDF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3950334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0FA17DCF">
      <w:pPr>
        <w:pStyle w:val="14"/>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24D4D0D">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59BBC968">
      <w:pPr>
        <w:pStyle w:val="14"/>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2310D6F0">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2BC656B">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2AA7B7F7">
      <w:pPr>
        <w:pStyle w:val="14"/>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45BFCED6">
      <w:pPr>
        <w:pStyle w:val="14"/>
        <w:rPr>
          <w:color w:val="auto"/>
        </w:rPr>
      </w:pPr>
    </w:p>
    <w:p w14:paraId="1103D4C1">
      <w:pPr>
        <w:pStyle w:val="14"/>
        <w:rPr>
          <w:color w:val="auto"/>
        </w:rPr>
      </w:pPr>
    </w:p>
    <w:p w14:paraId="32CA48A2">
      <w:pPr>
        <w:pStyle w:val="14"/>
        <w:rPr>
          <w:color w:val="auto"/>
        </w:rPr>
      </w:pPr>
    </w:p>
    <w:p w14:paraId="1BD56027">
      <w:pPr>
        <w:pStyle w:val="14"/>
        <w:rPr>
          <w:color w:val="auto"/>
        </w:rPr>
      </w:pPr>
    </w:p>
    <w:p w14:paraId="642D0940">
      <w:pPr>
        <w:pStyle w:val="14"/>
        <w:rPr>
          <w:color w:val="auto"/>
        </w:rPr>
      </w:pPr>
    </w:p>
    <w:p w14:paraId="0FFA2F97">
      <w:pPr>
        <w:pStyle w:val="14"/>
        <w:rPr>
          <w:color w:val="auto"/>
        </w:rPr>
      </w:pPr>
    </w:p>
    <w:p w14:paraId="00D1C8D9">
      <w:pPr>
        <w:pStyle w:val="14"/>
        <w:rPr>
          <w:color w:val="auto"/>
        </w:rPr>
      </w:pPr>
    </w:p>
    <w:p w14:paraId="1B453A9C">
      <w:pPr>
        <w:pStyle w:val="14"/>
        <w:rPr>
          <w:color w:val="auto"/>
        </w:rPr>
      </w:pPr>
    </w:p>
    <w:p w14:paraId="792918CB">
      <w:pPr>
        <w:pStyle w:val="14"/>
        <w:rPr>
          <w:color w:val="auto"/>
        </w:rPr>
      </w:pPr>
    </w:p>
    <w:p w14:paraId="78E4D212">
      <w:pPr>
        <w:pStyle w:val="14"/>
        <w:rPr>
          <w:color w:val="auto"/>
        </w:rPr>
      </w:pPr>
    </w:p>
    <w:p w14:paraId="51BA36AF">
      <w:pPr>
        <w:pStyle w:val="14"/>
        <w:rPr>
          <w:color w:val="auto"/>
        </w:rPr>
      </w:pPr>
    </w:p>
    <w:p w14:paraId="02174CD7">
      <w:pPr>
        <w:pStyle w:val="14"/>
        <w:rPr>
          <w:color w:val="auto"/>
        </w:rPr>
      </w:pPr>
    </w:p>
    <w:p w14:paraId="19D2CB0C">
      <w:pPr>
        <w:pStyle w:val="14"/>
        <w:rPr>
          <w:color w:val="auto"/>
        </w:rPr>
      </w:pPr>
    </w:p>
    <w:p w14:paraId="69E2765E">
      <w:pPr>
        <w:pStyle w:val="14"/>
        <w:rPr>
          <w:color w:val="auto"/>
        </w:rPr>
      </w:pPr>
    </w:p>
    <w:p w14:paraId="1EB232D6">
      <w:pPr>
        <w:pStyle w:val="14"/>
        <w:rPr>
          <w:color w:val="auto"/>
        </w:rPr>
      </w:pPr>
    </w:p>
    <w:p w14:paraId="457D5CDA">
      <w:pPr>
        <w:pStyle w:val="14"/>
        <w:rPr>
          <w:color w:val="auto"/>
        </w:rPr>
      </w:pPr>
    </w:p>
    <w:p w14:paraId="7885D842">
      <w:pPr>
        <w:pStyle w:val="14"/>
        <w:rPr>
          <w:color w:val="auto"/>
        </w:rPr>
      </w:pPr>
    </w:p>
    <w:p w14:paraId="3F1559F6">
      <w:pPr>
        <w:pStyle w:val="14"/>
        <w:rPr>
          <w:rFonts w:hint="eastAsia" w:eastAsia="宋体"/>
          <w:color w:val="auto"/>
          <w:lang w:val="en-US" w:eastAsia="zh-CN"/>
        </w:rPr>
      </w:pPr>
      <w:r>
        <w:rPr>
          <w:rFonts w:hint="eastAsia"/>
          <w:color w:val="auto"/>
          <w:lang w:val="en-US" w:eastAsia="zh-CN"/>
        </w:rPr>
        <w:t>附件：</w:t>
      </w:r>
    </w:p>
    <w:sdt>
      <w:sdtPr>
        <w:rPr>
          <w:rFonts w:ascii="宋体" w:hAnsi="宋体" w:eastAsia="宋体" w:cstheme="minorBidi"/>
          <w:color w:val="auto"/>
          <w:kern w:val="2"/>
          <w:sz w:val="28"/>
          <w:szCs w:val="36"/>
          <w:lang w:val="en-US" w:eastAsia="zh-CN" w:bidi="ar-SA"/>
        </w:rPr>
        <w:id w:val="147450881"/>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12D91C66">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4AEFE61">
          <w:pPr>
            <w:spacing w:before="0" w:beforeLines="0" w:after="0" w:afterLines="0" w:line="240" w:lineRule="auto"/>
            <w:ind w:left="0" w:leftChars="0" w:right="0" w:rightChars="0" w:firstLine="0" w:firstLineChars="0"/>
            <w:jc w:val="center"/>
            <w:rPr>
              <w:color w:val="auto"/>
            </w:rPr>
          </w:pPr>
        </w:p>
        <w:p w14:paraId="7F0FCA1E">
          <w:pPr>
            <w:pStyle w:val="7"/>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5</w:t>
          </w:r>
          <w:r>
            <w:rPr>
              <w:color w:val="auto"/>
            </w:rPr>
            <w:fldChar w:fldCharType="end"/>
          </w:r>
          <w:r>
            <w:rPr>
              <w:color w:val="auto"/>
            </w:rPr>
            <w:fldChar w:fldCharType="end"/>
          </w:r>
        </w:p>
        <w:p w14:paraId="68D3AE78">
          <w:pPr>
            <w:pStyle w:val="7"/>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5</w:t>
          </w:r>
          <w:r>
            <w:rPr>
              <w:color w:val="auto"/>
            </w:rPr>
            <w:fldChar w:fldCharType="end"/>
          </w:r>
          <w:r>
            <w:rPr>
              <w:color w:val="auto"/>
            </w:rPr>
            <w:fldChar w:fldCharType="end"/>
          </w:r>
        </w:p>
        <w:p w14:paraId="13E67527">
          <w:pPr>
            <w:pStyle w:val="8"/>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5</w:t>
          </w:r>
          <w:r>
            <w:rPr>
              <w:color w:val="auto"/>
            </w:rPr>
            <w:fldChar w:fldCharType="end"/>
          </w:r>
          <w:r>
            <w:rPr>
              <w:color w:val="auto"/>
            </w:rPr>
            <w:fldChar w:fldCharType="end"/>
          </w:r>
        </w:p>
        <w:p w14:paraId="463BF1FA">
          <w:pPr>
            <w:pStyle w:val="8"/>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5</w:t>
          </w:r>
          <w:r>
            <w:rPr>
              <w:color w:val="auto"/>
            </w:rPr>
            <w:fldChar w:fldCharType="end"/>
          </w:r>
          <w:r>
            <w:rPr>
              <w:color w:val="auto"/>
            </w:rPr>
            <w:fldChar w:fldCharType="end"/>
          </w:r>
        </w:p>
        <w:p w14:paraId="0D9DD14E">
          <w:pPr>
            <w:pStyle w:val="8"/>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5</w:t>
          </w:r>
          <w:r>
            <w:rPr>
              <w:color w:val="auto"/>
            </w:rPr>
            <w:fldChar w:fldCharType="end"/>
          </w:r>
          <w:r>
            <w:rPr>
              <w:color w:val="auto"/>
            </w:rPr>
            <w:fldChar w:fldCharType="end"/>
          </w:r>
        </w:p>
        <w:p w14:paraId="0D66A70C">
          <w:pPr>
            <w:pStyle w:val="8"/>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5</w:t>
          </w:r>
          <w:r>
            <w:rPr>
              <w:color w:val="auto"/>
            </w:rPr>
            <w:fldChar w:fldCharType="end"/>
          </w:r>
          <w:r>
            <w:rPr>
              <w:color w:val="auto"/>
            </w:rPr>
            <w:fldChar w:fldCharType="end"/>
          </w:r>
        </w:p>
        <w:p w14:paraId="12E95791">
          <w:pPr>
            <w:pStyle w:val="8"/>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5</w:t>
          </w:r>
          <w:r>
            <w:rPr>
              <w:color w:val="auto"/>
            </w:rPr>
            <w:fldChar w:fldCharType="end"/>
          </w:r>
          <w:r>
            <w:rPr>
              <w:color w:val="auto"/>
            </w:rPr>
            <w:fldChar w:fldCharType="end"/>
          </w:r>
        </w:p>
        <w:p w14:paraId="126F140D">
          <w:pPr>
            <w:pStyle w:val="8"/>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5</w:t>
          </w:r>
          <w:r>
            <w:rPr>
              <w:color w:val="auto"/>
            </w:rPr>
            <w:fldChar w:fldCharType="end"/>
          </w:r>
          <w:r>
            <w:rPr>
              <w:color w:val="auto"/>
            </w:rPr>
            <w:fldChar w:fldCharType="end"/>
          </w:r>
        </w:p>
        <w:p w14:paraId="7A915B24">
          <w:pPr>
            <w:pStyle w:val="8"/>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5</w:t>
          </w:r>
          <w:r>
            <w:rPr>
              <w:color w:val="auto"/>
            </w:rPr>
            <w:fldChar w:fldCharType="end"/>
          </w:r>
          <w:r>
            <w:rPr>
              <w:color w:val="auto"/>
            </w:rPr>
            <w:fldChar w:fldCharType="end"/>
          </w:r>
        </w:p>
        <w:p w14:paraId="35457391">
          <w:pPr>
            <w:pStyle w:val="7"/>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5</w:t>
          </w:r>
          <w:r>
            <w:rPr>
              <w:color w:val="auto"/>
            </w:rPr>
            <w:fldChar w:fldCharType="end"/>
          </w:r>
          <w:r>
            <w:rPr>
              <w:color w:val="auto"/>
            </w:rPr>
            <w:fldChar w:fldCharType="end"/>
          </w:r>
        </w:p>
        <w:p w14:paraId="5DFF25C1">
          <w:pPr>
            <w:pStyle w:val="7"/>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6</w:t>
          </w:r>
          <w:r>
            <w:rPr>
              <w:color w:val="auto"/>
            </w:rPr>
            <w:fldChar w:fldCharType="end"/>
          </w:r>
          <w:r>
            <w:rPr>
              <w:color w:val="auto"/>
            </w:rPr>
            <w:fldChar w:fldCharType="end"/>
          </w:r>
        </w:p>
        <w:p w14:paraId="656650C0">
          <w:pPr>
            <w:pStyle w:val="7"/>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9</w:t>
          </w:r>
          <w:r>
            <w:rPr>
              <w:color w:val="auto"/>
            </w:rPr>
            <w:fldChar w:fldCharType="end"/>
          </w:r>
          <w:r>
            <w:rPr>
              <w:color w:val="auto"/>
            </w:rPr>
            <w:fldChar w:fldCharType="end"/>
          </w:r>
        </w:p>
        <w:p w14:paraId="4CE2DCED">
          <w:pPr>
            <w:pStyle w:val="8"/>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9</w:t>
          </w:r>
          <w:r>
            <w:rPr>
              <w:color w:val="auto"/>
            </w:rPr>
            <w:fldChar w:fldCharType="end"/>
          </w:r>
          <w:r>
            <w:rPr>
              <w:color w:val="auto"/>
            </w:rPr>
            <w:fldChar w:fldCharType="end"/>
          </w:r>
        </w:p>
        <w:p w14:paraId="4D3E0FFA">
          <w:pPr>
            <w:pStyle w:val="8"/>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9</w:t>
          </w:r>
          <w:r>
            <w:rPr>
              <w:color w:val="auto"/>
            </w:rPr>
            <w:fldChar w:fldCharType="end"/>
          </w:r>
          <w:r>
            <w:rPr>
              <w:color w:val="auto"/>
            </w:rPr>
            <w:fldChar w:fldCharType="end"/>
          </w:r>
        </w:p>
        <w:p w14:paraId="16B5F3C0">
          <w:pPr>
            <w:pStyle w:val="8"/>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9</w:t>
          </w:r>
          <w:r>
            <w:rPr>
              <w:color w:val="auto"/>
            </w:rPr>
            <w:fldChar w:fldCharType="end"/>
          </w:r>
          <w:r>
            <w:rPr>
              <w:color w:val="auto"/>
            </w:rPr>
            <w:fldChar w:fldCharType="end"/>
          </w:r>
        </w:p>
        <w:p w14:paraId="79F2F0E6">
          <w:pPr>
            <w:pStyle w:val="7"/>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9</w:t>
          </w:r>
          <w:r>
            <w:rPr>
              <w:color w:val="auto"/>
            </w:rPr>
            <w:fldChar w:fldCharType="end"/>
          </w:r>
          <w:r>
            <w:rPr>
              <w:color w:val="auto"/>
            </w:rPr>
            <w:fldChar w:fldCharType="end"/>
          </w:r>
        </w:p>
        <w:p w14:paraId="38BE21BE">
          <w:pPr>
            <w:rPr>
              <w:color w:val="auto"/>
            </w:rPr>
          </w:pPr>
          <w:r>
            <w:rPr>
              <w:color w:val="auto"/>
            </w:rPr>
            <w:fldChar w:fldCharType="end"/>
          </w:r>
        </w:p>
      </w:sdtContent>
    </w:sdt>
    <w:p w14:paraId="2E5D1581">
      <w:pPr>
        <w:rPr>
          <w:color w:val="auto"/>
        </w:rPr>
      </w:pPr>
    </w:p>
    <w:p w14:paraId="6938E4CD">
      <w:pPr>
        <w:rPr>
          <w:color w:val="auto"/>
        </w:rPr>
      </w:pPr>
    </w:p>
    <w:p w14:paraId="3E7DB8D0">
      <w:pPr>
        <w:rPr>
          <w:color w:val="auto"/>
        </w:rPr>
      </w:pPr>
    </w:p>
    <w:p w14:paraId="220B98ED">
      <w:pPr>
        <w:rPr>
          <w:color w:val="auto"/>
        </w:rPr>
      </w:pPr>
    </w:p>
    <w:p w14:paraId="1EE74401">
      <w:pPr>
        <w:rPr>
          <w:color w:val="auto"/>
        </w:rPr>
      </w:pPr>
    </w:p>
    <w:p w14:paraId="6F4D08CE">
      <w:pPr>
        <w:rPr>
          <w:color w:val="auto"/>
        </w:rPr>
      </w:pPr>
    </w:p>
    <w:p w14:paraId="7CFEB6C7">
      <w:pPr>
        <w:rPr>
          <w:color w:val="auto"/>
        </w:rPr>
      </w:pPr>
    </w:p>
    <w:p w14:paraId="0D767778">
      <w:pPr>
        <w:rPr>
          <w:color w:val="auto"/>
        </w:rPr>
      </w:pPr>
    </w:p>
    <w:p w14:paraId="07BCC5F4">
      <w:pPr>
        <w:rPr>
          <w:color w:val="auto"/>
        </w:rPr>
      </w:pPr>
    </w:p>
    <w:p w14:paraId="1182D410">
      <w:pPr>
        <w:rPr>
          <w:color w:val="auto"/>
        </w:rPr>
      </w:pPr>
    </w:p>
    <w:p w14:paraId="3C415913">
      <w:pPr>
        <w:rPr>
          <w:color w:val="auto"/>
        </w:rPr>
        <w:sectPr>
          <w:pgSz w:w="11906" w:h="16838"/>
          <w:pgMar w:top="2098" w:right="1474" w:bottom="1984" w:left="1587" w:header="851" w:footer="992" w:gutter="0"/>
          <w:cols w:space="425" w:num="1"/>
          <w:docGrid w:type="lines" w:linePitch="312" w:charSpace="0"/>
        </w:sectPr>
      </w:pPr>
    </w:p>
    <w:p w14:paraId="4FF2292F">
      <w:pPr>
        <w:pStyle w:val="2"/>
        <w:keepNext/>
        <w:keepLines/>
        <w:pageBreakBefore w:val="0"/>
        <w:widowControl w:val="0"/>
        <w:numPr>
          <w:ilvl w:val="0"/>
          <w:numId w:val="1"/>
        </w:numPr>
        <w:kinsoku/>
        <w:wordWrap/>
        <w:overflowPunct/>
        <w:topLinePunct w:val="0"/>
        <w:autoSpaceDE/>
        <w:autoSpaceDN/>
        <w:bidi w:val="0"/>
        <w:adjustRightInd/>
        <w:snapToGrid/>
        <w:spacing w:before="100" w:after="100"/>
        <w:jc w:val="both"/>
        <w:textAlignment w:val="auto"/>
        <w:rPr>
          <w:rFonts w:hint="eastAsia"/>
          <w:color w:val="auto"/>
        </w:rPr>
      </w:pPr>
      <w:bookmarkStart w:id="1" w:name="_Toc25232"/>
      <w:bookmarkStart w:id="2" w:name="_Toc144974876"/>
      <w:bookmarkStart w:id="3" w:name="_Toc247514300"/>
      <w:bookmarkStart w:id="4" w:name="_Toc247527848"/>
      <w:bookmarkStart w:id="5" w:name="_Toc152045808"/>
      <w:bookmarkStart w:id="6" w:name="_Toc7415"/>
      <w:bookmarkStart w:id="7" w:name="_Toc152042597"/>
      <w:bookmarkStart w:id="8" w:name="_Toc10065"/>
      <w:bookmarkStart w:id="9" w:name="_Toc427002393"/>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10"/>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12EFC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0A5DAE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4B641D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C227A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1F6633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376722">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5808F8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7E8A6167">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2E5DDF6">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EA31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72FCE3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5EAFBC">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5DA0612">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820933A">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6B782C9">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685406CE">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591B3249">
            <w:pPr>
              <w:jc w:val="center"/>
              <w:rPr>
                <w:rFonts w:hint="eastAsia" w:ascii="宋体" w:hAnsi="宋体" w:eastAsia="宋体" w:cs="宋体"/>
                <w:i w:val="0"/>
                <w:iCs w:val="0"/>
                <w:color w:val="auto"/>
                <w:sz w:val="24"/>
                <w:szCs w:val="24"/>
                <w:u w:val="none"/>
              </w:rPr>
            </w:pPr>
          </w:p>
        </w:tc>
      </w:tr>
    </w:tbl>
    <w:p w14:paraId="156D1238">
      <w:pPr>
        <w:numPr>
          <w:ilvl w:val="0"/>
          <w:numId w:val="0"/>
        </w:numPr>
        <w:rPr>
          <w:rFonts w:hint="eastAsia"/>
          <w:color w:val="auto"/>
        </w:rPr>
      </w:pPr>
    </w:p>
    <w:p w14:paraId="6243BC17">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00A9358C">
      <w:pPr>
        <w:pStyle w:val="3"/>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24C0CCC9">
      <w:pPr>
        <w:pStyle w:val="3"/>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0B774947">
      <w:pPr>
        <w:pStyle w:val="3"/>
        <w:bidi w:val="0"/>
        <w:rPr>
          <w:rFonts w:hint="eastAsia"/>
          <w:color w:val="auto"/>
          <w:lang w:eastAsia="zh-CN"/>
        </w:rPr>
      </w:pPr>
      <w:bookmarkStart w:id="15" w:name="_Toc22138"/>
      <w:bookmarkStart w:id="16" w:name="_Toc5131"/>
      <w:r>
        <w:rPr>
          <w:rFonts w:hint="eastAsia"/>
          <w:color w:val="auto"/>
          <w:lang w:val="en-US" w:eastAsia="zh-CN"/>
        </w:rPr>
        <w:t>1.3</w:t>
      </w:r>
      <w:r>
        <w:rPr>
          <w:rFonts w:hint="eastAsia"/>
          <w:color w:val="auto"/>
          <w:lang w:eastAsia="zh-CN"/>
        </w:rPr>
        <w:t>法人及被授权人身份证</w:t>
      </w:r>
      <w:bookmarkEnd w:id="15"/>
      <w:bookmarkEnd w:id="16"/>
    </w:p>
    <w:p w14:paraId="0EE4FDF7">
      <w:pPr>
        <w:pStyle w:val="3"/>
        <w:bidi w:val="0"/>
        <w:rPr>
          <w:rFonts w:hint="eastAsia"/>
          <w:color w:val="auto"/>
          <w:lang w:eastAsia="zh-CN"/>
        </w:rPr>
      </w:pPr>
      <w:bookmarkStart w:id="17" w:name="_Toc17143"/>
      <w:bookmarkStart w:id="18" w:name="_Toc22588"/>
      <w:r>
        <w:rPr>
          <w:rFonts w:hint="eastAsia"/>
          <w:color w:val="auto"/>
          <w:lang w:val="en-US" w:eastAsia="zh-CN"/>
        </w:rPr>
        <w:t>1.4</w:t>
      </w:r>
      <w:r>
        <w:rPr>
          <w:rFonts w:hint="eastAsia"/>
          <w:color w:val="auto"/>
          <w:lang w:eastAsia="zh-CN"/>
        </w:rPr>
        <w:t>公司资质</w:t>
      </w:r>
      <w:bookmarkEnd w:id="17"/>
      <w:bookmarkEnd w:id="18"/>
    </w:p>
    <w:p w14:paraId="11524558">
      <w:pPr>
        <w:pStyle w:val="3"/>
        <w:bidi w:val="0"/>
        <w:rPr>
          <w:rFonts w:hint="default"/>
          <w:color w:val="auto"/>
          <w:lang w:val="en-US" w:eastAsia="zh-CN"/>
        </w:rPr>
      </w:pPr>
      <w:bookmarkStart w:id="19" w:name="_Toc24835"/>
      <w:r>
        <w:rPr>
          <w:rFonts w:hint="eastAsia"/>
          <w:color w:val="auto"/>
          <w:lang w:val="en-US" w:eastAsia="zh-CN"/>
        </w:rPr>
        <w:t>1.5软件资质</w:t>
      </w:r>
      <w:bookmarkEnd w:id="19"/>
    </w:p>
    <w:p w14:paraId="14205E1B">
      <w:pPr>
        <w:pStyle w:val="3"/>
        <w:bidi w:val="0"/>
        <w:rPr>
          <w:rFonts w:hint="eastAsia"/>
          <w:color w:val="auto"/>
          <w:lang w:eastAsia="zh-CN"/>
        </w:rPr>
      </w:pPr>
      <w:bookmarkStart w:id="20" w:name="_Toc3652"/>
      <w:bookmarkStart w:id="21" w:name="_Toc11995"/>
      <w:r>
        <w:rPr>
          <w:rFonts w:hint="eastAsia"/>
          <w:color w:val="auto"/>
          <w:lang w:val="en-US" w:eastAsia="zh-CN"/>
        </w:rPr>
        <w:t>1.6本项目涉及</w:t>
      </w:r>
      <w:r>
        <w:rPr>
          <w:rFonts w:hint="eastAsia"/>
          <w:color w:val="auto"/>
          <w:lang w:eastAsia="zh-CN"/>
        </w:rPr>
        <w:t>资质</w:t>
      </w:r>
      <w:bookmarkEnd w:id="20"/>
      <w:bookmarkEnd w:id="21"/>
    </w:p>
    <w:p w14:paraId="7465D186">
      <w:pPr>
        <w:pStyle w:val="3"/>
        <w:bidi w:val="0"/>
        <w:rPr>
          <w:rFonts w:hint="eastAsia" w:ascii="宋体" w:hAnsi="宋体" w:eastAsia="宋体" w:cs="宋体"/>
          <w:color w:val="auto"/>
          <w:sz w:val="24"/>
          <w:szCs w:val="24"/>
        </w:rPr>
      </w:pPr>
      <w:bookmarkStart w:id="22" w:name="_Toc21787"/>
      <w:bookmarkStart w:id="23" w:name="_Toc6788"/>
      <w:r>
        <w:rPr>
          <w:rFonts w:hint="eastAsia"/>
          <w:b/>
          <w:color w:val="auto"/>
          <w:lang w:val="en-US" w:eastAsia="zh-CN"/>
        </w:rPr>
        <w:t>1.7开发商委托销售授权函</w:t>
      </w:r>
      <w:bookmarkEnd w:id="22"/>
      <w:bookmarkEnd w:id="23"/>
    </w:p>
    <w:p w14:paraId="4AB46103">
      <w:pPr>
        <w:pStyle w:val="2"/>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4E5603C">
      <w:pPr>
        <w:pStyle w:val="14"/>
        <w:rPr>
          <w:rFonts w:hint="eastAsia" w:ascii="宋体" w:hAnsi="宋体" w:eastAsia="宋体" w:cs="宋体"/>
          <w:color w:val="auto"/>
          <w:sz w:val="24"/>
          <w:szCs w:val="24"/>
        </w:rPr>
      </w:pPr>
    </w:p>
    <w:p w14:paraId="02A67424">
      <w:pPr>
        <w:pStyle w:val="14"/>
        <w:rPr>
          <w:rFonts w:hint="eastAsia" w:ascii="宋体" w:hAnsi="宋体" w:eastAsia="宋体" w:cs="宋体"/>
          <w:color w:val="auto"/>
          <w:sz w:val="24"/>
          <w:szCs w:val="24"/>
        </w:rPr>
      </w:pPr>
    </w:p>
    <w:p w14:paraId="15524A86">
      <w:pPr>
        <w:pStyle w:val="14"/>
        <w:rPr>
          <w:rFonts w:hint="eastAsia" w:ascii="宋体" w:hAnsi="宋体" w:eastAsia="宋体" w:cs="宋体"/>
          <w:color w:val="auto"/>
          <w:sz w:val="24"/>
          <w:szCs w:val="24"/>
        </w:rPr>
      </w:pPr>
    </w:p>
    <w:p w14:paraId="78A5D3B8">
      <w:pPr>
        <w:pStyle w:val="14"/>
        <w:rPr>
          <w:rFonts w:hint="eastAsia" w:ascii="宋体" w:hAnsi="宋体" w:eastAsia="宋体" w:cs="宋体"/>
          <w:color w:val="auto"/>
          <w:sz w:val="24"/>
          <w:szCs w:val="24"/>
        </w:rPr>
      </w:pPr>
    </w:p>
    <w:p w14:paraId="1FB906DD">
      <w:pPr>
        <w:pStyle w:val="14"/>
        <w:rPr>
          <w:rFonts w:hint="eastAsia" w:ascii="宋体" w:hAnsi="宋体" w:eastAsia="宋体" w:cs="宋体"/>
          <w:color w:val="auto"/>
          <w:sz w:val="24"/>
          <w:szCs w:val="24"/>
        </w:rPr>
      </w:pPr>
    </w:p>
    <w:p w14:paraId="6A6FCF73">
      <w:pPr>
        <w:pStyle w:val="14"/>
        <w:rPr>
          <w:rFonts w:hint="eastAsia" w:ascii="宋体" w:hAnsi="宋体" w:eastAsia="宋体" w:cs="宋体"/>
          <w:color w:val="auto"/>
          <w:sz w:val="24"/>
          <w:szCs w:val="24"/>
        </w:rPr>
      </w:pPr>
    </w:p>
    <w:p w14:paraId="193DC50C">
      <w:p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386B417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08955908">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项目名称：电子图书馆服务</w:t>
      </w:r>
      <w:r>
        <w:rPr>
          <w:rFonts w:hint="eastAsia" w:ascii="仿宋" w:hAnsi="仿宋" w:cs="仿宋"/>
          <w:i w:val="0"/>
          <w:iCs w:val="0"/>
          <w:color w:val="auto"/>
          <w:kern w:val="0"/>
          <w:sz w:val="24"/>
          <w:szCs w:val="24"/>
          <w:u w:val="none"/>
          <w:lang w:val="en-US" w:eastAsia="zh-CN" w:bidi="ar"/>
        </w:rPr>
        <w:t xml:space="preserve">项目                                 </w:t>
      </w:r>
      <w:r>
        <w:rPr>
          <w:rFonts w:hint="eastAsia" w:ascii="仿宋" w:hAnsi="仿宋" w:eastAsia="仿宋" w:cs="仿宋"/>
          <w:i w:val="0"/>
          <w:iCs w:val="0"/>
          <w:color w:val="auto"/>
          <w:kern w:val="0"/>
          <w:sz w:val="24"/>
          <w:szCs w:val="24"/>
          <w:u w:val="none"/>
          <w:lang w:val="en-US" w:eastAsia="zh-CN" w:bidi="ar"/>
        </w:rPr>
        <w:t>采购品目分类名称：</w:t>
      </w:r>
    </w:p>
    <w:p w14:paraId="579850F1">
      <w:pPr>
        <w:pStyle w:val="5"/>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cs="仿宋"/>
          <w:i w:val="0"/>
          <w:iCs w:val="0"/>
          <w:color w:val="auto"/>
          <w:kern w:val="0"/>
          <w:sz w:val="24"/>
          <w:szCs w:val="24"/>
          <w:u w:val="none"/>
          <w:lang w:val="en-US" w:eastAsia="zh-CN" w:bidi="ar"/>
        </w:rPr>
        <w:t>各潜在供应商</w:t>
      </w:r>
      <w:r>
        <w:rPr>
          <w:rFonts w:hint="eastAsia" w:ascii="仿宋" w:hAnsi="仿宋" w:eastAsia="仿宋" w:cs="仿宋"/>
          <w:i w:val="0"/>
          <w:iCs w:val="0"/>
          <w:color w:val="auto"/>
          <w:kern w:val="0"/>
          <w:sz w:val="24"/>
          <w:szCs w:val="24"/>
          <w:u w:val="none"/>
          <w:lang w:val="en-US" w:eastAsia="zh-CN" w:bidi="ar"/>
        </w:rPr>
        <w:t>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联系人及联系电话：</w:t>
      </w:r>
    </w:p>
    <w:p w14:paraId="77BFBC6D">
      <w:pPr>
        <w:rPr>
          <w:rFonts w:hint="eastAsia"/>
          <w:lang w:val="en-US" w:eastAsia="zh-CN"/>
        </w:rPr>
      </w:pPr>
      <w:r>
        <w:rPr>
          <w:rFonts w:hint="eastAsia" w:ascii="仿宋" w:hAnsi="仿宋" w:eastAsia="仿宋" w:cs="仿宋"/>
          <w:b/>
          <w:bCs/>
          <w:i w:val="0"/>
          <w:iCs w:val="0"/>
          <w:color w:val="auto"/>
          <w:kern w:val="0"/>
          <w:sz w:val="28"/>
          <w:szCs w:val="28"/>
          <w:u w:val="none"/>
          <w:lang w:val="en-US" w:eastAsia="zh-CN" w:bidi="ar"/>
        </w:rPr>
        <w:t>（一）报价清单</w:t>
      </w:r>
    </w:p>
    <w:tbl>
      <w:tblPr>
        <w:tblStyle w:val="10"/>
        <w:tblW w:w="498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2608"/>
        <w:gridCol w:w="960"/>
        <w:gridCol w:w="1740"/>
        <w:gridCol w:w="2565"/>
        <w:gridCol w:w="2580"/>
        <w:gridCol w:w="3630"/>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序号</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项目名称</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数量</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计量单位</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6DA86">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报价单价</w:t>
            </w:r>
            <w:r>
              <w:rPr>
                <w:rFonts w:hint="eastAsia" w:asciiTheme="minorEastAsia" w:hAnsiTheme="minorEastAsia" w:eastAsiaTheme="minorEastAsia" w:cstheme="minorEastAsia"/>
                <w:i w:val="0"/>
                <w:iCs w:val="0"/>
                <w:color w:val="auto"/>
                <w:kern w:val="0"/>
                <w:sz w:val="21"/>
                <w:szCs w:val="21"/>
                <w:u w:val="none"/>
                <w:lang w:val="en-US" w:eastAsia="zh-CN" w:bidi="ar"/>
              </w:rPr>
              <w:t>（万元）</w:t>
            </w: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EC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cstheme="minorEastAsia"/>
                <w:i w:val="0"/>
                <w:iCs w:val="0"/>
                <w:color w:val="auto"/>
                <w:kern w:val="0"/>
                <w:sz w:val="21"/>
                <w:szCs w:val="21"/>
                <w:u w:val="none"/>
                <w:lang w:val="en-US" w:eastAsia="zh-CN" w:bidi="ar"/>
              </w:rPr>
              <w:t>报价总</w:t>
            </w:r>
            <w:r>
              <w:rPr>
                <w:rFonts w:hint="eastAsia" w:asciiTheme="minorEastAsia" w:hAnsiTheme="minorEastAsia" w:eastAsiaTheme="minorEastAsia" w:cstheme="minorEastAsia"/>
                <w:i w:val="0"/>
                <w:iCs w:val="0"/>
                <w:color w:val="auto"/>
                <w:kern w:val="0"/>
                <w:sz w:val="21"/>
                <w:szCs w:val="21"/>
                <w:u w:val="none"/>
                <w:lang w:val="en-US" w:eastAsia="zh-CN" w:bidi="ar"/>
              </w:rPr>
              <w:t>金额（万元）</w:t>
            </w:r>
          </w:p>
        </w:tc>
        <w:tc>
          <w:tcPr>
            <w:tcW w:w="1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备注</w:t>
            </w:r>
          </w:p>
        </w:tc>
      </w:tr>
      <w:tr w14:paraId="56FF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87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i w:val="0"/>
                <w:iCs w:val="0"/>
                <w:color w:val="auto"/>
                <w:kern w:val="0"/>
                <w:sz w:val="21"/>
                <w:szCs w:val="21"/>
                <w:u w:val="none"/>
                <w:lang w:val="en-US" w:eastAsia="zh-CN" w:bidi="ar"/>
              </w:rPr>
              <w:t>1</w:t>
            </w:r>
          </w:p>
        </w:tc>
        <w:tc>
          <w:tcPr>
            <w:tcW w:w="8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7E89">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sz w:val="21"/>
                <w:szCs w:val="21"/>
                <w:u w:val="none"/>
                <w:lang w:val="en-US"/>
              </w:rPr>
            </w:pPr>
            <w:r>
              <w:rPr>
                <w:rFonts w:hint="eastAsia" w:asciiTheme="minorEastAsia" w:hAnsiTheme="minorEastAsia" w:cstheme="minorEastAsia"/>
                <w:i w:val="0"/>
                <w:iCs w:val="0"/>
                <w:color w:val="auto"/>
                <w:kern w:val="0"/>
                <w:sz w:val="21"/>
                <w:szCs w:val="21"/>
                <w:u w:val="none"/>
                <w:lang w:val="en-US" w:eastAsia="zh-CN" w:bidi="ar"/>
              </w:rPr>
              <w:t>电子图书馆服务</w:t>
            </w:r>
          </w:p>
        </w:tc>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1B3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cstheme="minorEastAsia"/>
                <w:i w:val="0"/>
                <w:iCs w:val="0"/>
                <w:color w:val="auto"/>
                <w:kern w:val="0"/>
                <w:sz w:val="21"/>
                <w:szCs w:val="21"/>
                <w:u w:val="none"/>
                <w:lang w:val="en-US" w:eastAsia="zh-CN" w:bidi="ar"/>
              </w:rPr>
              <w:t>3</w:t>
            </w:r>
          </w:p>
        </w:tc>
        <w:tc>
          <w:tcPr>
            <w:tcW w:w="5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4C0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cstheme="minorEastAsia"/>
                <w:i w:val="0"/>
                <w:iCs w:val="0"/>
                <w:color w:val="auto"/>
                <w:kern w:val="0"/>
                <w:sz w:val="21"/>
                <w:szCs w:val="21"/>
                <w:u w:val="none"/>
                <w:lang w:val="en-US" w:eastAsia="zh-CN" w:bidi="ar"/>
              </w:rPr>
              <w:t>年</w:t>
            </w:r>
          </w:p>
        </w:tc>
        <w:tc>
          <w:tcPr>
            <w:tcW w:w="8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CDE37">
            <w:pPr>
              <w:jc w:val="center"/>
              <w:rPr>
                <w:rFonts w:hint="eastAsia" w:asciiTheme="minorEastAsia" w:hAnsiTheme="minorEastAsia" w:eastAsiaTheme="minorEastAsia" w:cstheme="minorEastAsia"/>
                <w:i w:val="0"/>
                <w:iCs w:val="0"/>
                <w:color w:val="auto"/>
                <w:sz w:val="21"/>
                <w:szCs w:val="21"/>
                <w:u w:val="none"/>
              </w:rPr>
            </w:pPr>
          </w:p>
        </w:tc>
        <w:tc>
          <w:tcPr>
            <w:tcW w:w="8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E58BE">
            <w:pPr>
              <w:jc w:val="center"/>
              <w:rPr>
                <w:rFonts w:hint="eastAsia" w:asciiTheme="minorEastAsia" w:hAnsiTheme="minorEastAsia" w:eastAsiaTheme="minorEastAsia" w:cstheme="minorEastAsia"/>
                <w:i w:val="0"/>
                <w:iCs w:val="0"/>
                <w:color w:val="auto"/>
                <w:sz w:val="21"/>
                <w:szCs w:val="21"/>
                <w:u w:val="none"/>
              </w:rPr>
            </w:pPr>
          </w:p>
        </w:tc>
        <w:tc>
          <w:tcPr>
            <w:tcW w:w="1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F110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1"/>
                <w:szCs w:val="21"/>
                <w:u w:val="none"/>
              </w:rPr>
            </w:pPr>
          </w:p>
        </w:tc>
      </w:tr>
    </w:tbl>
    <w:p w14:paraId="14E15435">
      <w:pPr>
        <w:numPr>
          <w:ilvl w:val="0"/>
          <w:numId w:val="0"/>
        </w:numPr>
        <w:rPr>
          <w:rFonts w:hint="default"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u w:val="none"/>
          <w:lang w:val="en-US" w:eastAsia="zh-CN" w:bidi="ar"/>
        </w:rPr>
        <w:t>（二）服务要求</w:t>
      </w:r>
    </w:p>
    <w:tbl>
      <w:tblPr>
        <w:tblStyle w:val="10"/>
        <w:tblW w:w="0" w:type="auto"/>
        <w:tblInd w:w="-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1524"/>
        <w:gridCol w:w="12510"/>
      </w:tblGrid>
      <w:tr w14:paraId="7871E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6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11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rPr>
            </w:pPr>
            <w:r>
              <w:rPr>
                <w:rFonts w:hint="eastAsia" w:ascii="微软雅黑" w:hAnsi="微软雅黑" w:eastAsia="微软雅黑" w:cs="微软雅黑"/>
                <w:b/>
                <w:bCs/>
                <w:i w:val="0"/>
                <w:iCs w:val="0"/>
                <w:color w:val="000000"/>
                <w:kern w:val="0"/>
                <w:sz w:val="22"/>
                <w:szCs w:val="22"/>
                <w:u w:val="none"/>
                <w:lang w:val="en-US" w:eastAsia="zh-CN" w:bidi="ar"/>
              </w:rPr>
              <w:t>服务名称</w:t>
            </w:r>
          </w:p>
        </w:tc>
        <w:tc>
          <w:tcPr>
            <w:tcW w:w="12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3A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1"/>
                <w:szCs w:val="21"/>
                <w:u w:val="none"/>
                <w:lang w:val="en-US"/>
              </w:rPr>
            </w:pPr>
            <w:r>
              <w:rPr>
                <w:rFonts w:hint="eastAsia" w:ascii="微软雅黑" w:hAnsi="微软雅黑" w:eastAsia="微软雅黑" w:cs="微软雅黑"/>
                <w:b/>
                <w:bCs/>
                <w:i w:val="0"/>
                <w:iCs w:val="0"/>
                <w:color w:val="000000"/>
                <w:kern w:val="0"/>
                <w:sz w:val="22"/>
                <w:szCs w:val="22"/>
                <w:u w:val="none"/>
                <w:lang w:val="en-US" w:eastAsia="zh-CN" w:bidi="ar"/>
              </w:rPr>
              <w:t>服务内容描述</w:t>
            </w:r>
          </w:p>
        </w:tc>
      </w:tr>
      <w:tr w14:paraId="00F9E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6FE3">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EA03">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功能要求</w:t>
            </w:r>
          </w:p>
        </w:tc>
        <w:tc>
          <w:tcPr>
            <w:tcW w:w="12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09FF">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提供数字图书馆门户平台，实现医学文献知识检索服务，并整合各类资源，对中、外文献资源一站式检索发现和下载，满足医院核心医学文献需求，能满足医院各职能科室关于学术文献需求，也能一定程度上满足全院职工的业余文化需求。</w:t>
            </w:r>
          </w:p>
          <w:p w14:paraId="4056328A">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2.不限制用户数进行检索、查询、阅读、下载，支持全院职工每人一个独立账号，</w:t>
            </w:r>
            <w:r>
              <w:rPr>
                <w:rFonts w:ascii="宋体" w:hAnsi="宋体" w:eastAsia="宋体" w:cs="宋体"/>
                <w:sz w:val="24"/>
                <w:szCs w:val="24"/>
              </w:rPr>
              <w:t>可绑定手机号实现便捷登录</w:t>
            </w:r>
            <w:r>
              <w:rPr>
                <w:rFonts w:hint="eastAsia" w:asciiTheme="minorEastAsia" w:hAnsiTheme="minorEastAsia" w:cstheme="minorEastAsia"/>
                <w:i w:val="0"/>
                <w:iCs w:val="0"/>
                <w:color w:val="auto"/>
                <w:kern w:val="0"/>
                <w:sz w:val="21"/>
                <w:szCs w:val="21"/>
                <w:u w:val="none"/>
                <w:lang w:val="en-US" w:eastAsia="zh-CN" w:bidi="ar"/>
              </w:rPr>
              <w:t>。</w:t>
            </w:r>
          </w:p>
          <w:p w14:paraId="2729D5BD">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3.提供高级检索与二次检索，高级检索可以根据元数据字段进行组合检索，包括标题、关键词、作者、出版物名称、出版社等。文献发现可支持任意字段的精确匹配、模糊匹配等方式检索。</w:t>
            </w:r>
          </w:p>
          <w:p w14:paraId="066FDC82">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4.提供期刊列表，可针对北大核心、ISTIC、EI、CSCD、CSSCI进行分类查询。</w:t>
            </w:r>
          </w:p>
          <w:p w14:paraId="6D8B9BFB">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5.后台提供管理首页；包括对前台检索次数、浏览次数、下载次数；可对个人用户进行锁定、编辑和删除。提供使用统计模块，对每月使用能统计访问量，点击量，下载量，使用量。</w:t>
            </w:r>
          </w:p>
          <w:p w14:paraId="1E7D4F39">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6.系统须提供中华医学会系列期刊等国内权威医学核心期刊的全文检索与下载服务，资源须具备合法正规授权。</w:t>
            </w:r>
          </w:p>
          <w:p w14:paraId="0DE121BD">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7.系统须能够与我院已经本地部署的中文医学期刊镜像的历史数据进行有效对接，如有涉及到的各类可能产生的包括但不限于接口费等各类服务费用均由供应商承担。</w:t>
            </w:r>
          </w:p>
        </w:tc>
      </w:tr>
      <w:tr w14:paraId="3DCFA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4"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FA26">
            <w:pPr>
              <w:keepNext w:val="0"/>
              <w:keepLines w:val="0"/>
              <w:widowControl/>
              <w:suppressLineNumbers w:val="0"/>
              <w:jc w:val="center"/>
              <w:textAlignment w:val="center"/>
              <w:rPr>
                <w:rFonts w:hint="default"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2</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E71B">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中文医学期刊要求</w:t>
            </w:r>
          </w:p>
        </w:tc>
        <w:tc>
          <w:tcPr>
            <w:tcW w:w="12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6E086">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1.数量：累计收录期刊整刊不少于1600种，累计收录文献量不少于1500万篇；</w:t>
            </w:r>
          </w:p>
          <w:p w14:paraId="513B33E4">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2.数据更新：出版时效平均不迟于纸质期刊出版之后2个月，网络数据每日更新；</w:t>
            </w:r>
          </w:p>
          <w:p w14:paraId="79308E51">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3.检索功能：提供统一的检索界面和统一的检索语言，使用户能对各个文献资源同时进行检索；</w:t>
            </w:r>
          </w:p>
          <w:p w14:paraId="7BF92935">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4.提供：ISSN号、DOI号、刊名、作者、第一作者、作者单位、题名、关键词、摘要等多种检索项，并支持模糊和精确检索，同时备注期刊收录情况，如北大核心、ISTIC、EI、CSCD、CSSCI等；</w:t>
            </w:r>
          </w:p>
          <w:p w14:paraId="24AC1B48">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5.网络版平台支持检索获取医学最新文献，方便用户快速发现最新文献；</w:t>
            </w:r>
          </w:p>
          <w:p w14:paraId="43BE159F">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6.网络版整合 PubMed、sciencedirect 、springerlink等主流外文医学文献数据库资源，实现中外文献一站式检索并统一分析，实现中外文主题词表一一对应；</w:t>
            </w:r>
          </w:p>
          <w:p w14:paraId="62787303">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7.实时的自动翻译服务：对接主流翻译服务接口，支持外文数据自动翻译功能，提供便捷的查阅服务；</w:t>
            </w:r>
          </w:p>
          <w:p w14:paraId="614423A9">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8.提供参考文献、引证文献、共引文献、同被引文献等链接，实现文献深度挖掘的重要功能；</w:t>
            </w:r>
          </w:p>
          <w:p w14:paraId="4D1188F8">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9.检索结果提供按照不同作者、作者单位以及研究层次等3种以上分组方式，提供发表时间、下载频次、被引频次等不少于3种排序方式；</w:t>
            </w:r>
          </w:p>
          <w:p w14:paraId="088D43C9">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10.可实现对用户的访问和使用情况进行详细的记录，并进行统计分析。可按时间、用户、IP地址等方式进行统计分析；</w:t>
            </w:r>
          </w:p>
          <w:p w14:paraId="3C449998">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11.导航体系：提供分类导航、中图分类导航、关键词聚类导航、知识导航与期刊导航；</w:t>
            </w:r>
          </w:p>
          <w:p w14:paraId="4546643B">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12.应具备在线浏览及本地下载全文功能；</w:t>
            </w:r>
          </w:p>
          <w:p w14:paraId="7359A91B">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13.全部论文为标准的PDF格式，可通过免费PDF阅读工具阅读；</w:t>
            </w:r>
          </w:p>
          <w:p w14:paraId="2315C532">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14.要求整合国内主流文献数据库厂商、图书馆联盟的高校资源、情报所联盟的情报资源，对不同来源数据库的同一篇文献进行自动去重且只保留一条记录，提供全方位的文献资源保障体系；</w:t>
            </w:r>
          </w:p>
          <w:p w14:paraId="2E1CCBBF">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15.包括中国公开出版发行的医学及医学相关期刊 （含英文版）文献，内容涵盖基础医学、临床医学、预防医学、中国医学、 药学、特种医学、生物科学、经营管理、图书情报、计算机及应用、医学教育与外语学习等。</w:t>
            </w:r>
          </w:p>
        </w:tc>
      </w:tr>
      <w:tr w14:paraId="462DC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9"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71296">
            <w:pPr>
              <w:keepNext w:val="0"/>
              <w:keepLines w:val="0"/>
              <w:widowControl/>
              <w:suppressLineNumbers w:val="0"/>
              <w:jc w:val="center"/>
              <w:textAlignment w:val="center"/>
              <w:rPr>
                <w:rFonts w:hint="default"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3</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A626B">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外文医学期刊要求</w:t>
            </w:r>
          </w:p>
        </w:tc>
        <w:tc>
          <w:tcPr>
            <w:tcW w:w="12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3B06">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1.数量：必须收录全部医学学科（专业领域），收录全球生物医学和临床医学期刊不少于30000种，其中医学类核心期刊总数不少于10000种。数据库可检索到最新文献，检索结果与PubMed同步，更新频次为日更新。</w:t>
            </w:r>
          </w:p>
          <w:p w14:paraId="0D6FB73F">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2.系统平台能够提供丰富的检索模式，包括自由词检索、主题词检索、高级检索、联想检索、二次检索、临床查询检索、字段限定检索、逻辑组合检索等，并能在检索结果中揭示与临床相关的循证医学文献，并能方便的查看系统综述、荟萃分析、随机对照试验等文献；</w:t>
            </w:r>
          </w:p>
          <w:p w14:paraId="342A4614">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3.系统能够提供强大的数据分析功能，可以从研究方向，出版日期，文献类型，资金资助机构，作者，来源出版物，语种，机构等多个维度进行分析。数据展示格式可以选择树状图或柱状图格式，检索结果可以选择展示的数量；分析精度也可以选择高或低；分析结果支持导出功能。数据分析功能还包括citescore 高IF论文分析、高TC论文分析等。</w:t>
            </w:r>
          </w:p>
          <w:p w14:paraId="122BB850">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4.能提供多方位的过滤分析功能，包括影响因子（citescore）过滤、文献被引用次数（TC）过滤及分区过滤等；并可以在检索结果界面查看部分文献的参考文献和被引文献列表；</w:t>
            </w:r>
          </w:p>
          <w:p w14:paraId="2D55F370">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5.能够提供知识图谱功能，可以对各个学术领域，根据文献内在主题词的增长或下降比例，结合文献的权重得出该领域的发展趋势，了解世界各国主流科学家的研究方向，并以图形化的方式将结果呈现给用户；</w:t>
            </w:r>
          </w:p>
          <w:p w14:paraId="61FA4C39">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6.检索结果支持多种图形化可视化显示（如散点图、气泡图等）。在一个页面可以显示上千条的检索结果记录，并可以根据检索结果记录的特有属性，包括文献的出版时间、期刊的影响因子等，将不同的文献归类到不同的坐标位置，便于区分和使用；</w:t>
            </w:r>
          </w:p>
          <w:p w14:paraId="35B6FE4E">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7.中外文文献资源收录要求：北大核心期刊收录率100%、CSCD中国科学引文数据库收录率100%、CSTPCD中国科技论文与引文数据库收录率100%、SCIE收录率不低于 99%、SSCI收录率不低于 99%、EI收录率不低于 99%，Scopus收录率不低于 99%，可满足用户对中外文文献的需求。</w:t>
            </w:r>
          </w:p>
          <w:p w14:paraId="7C1E7D9A">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8.提供文献管理功能。检索出的文献记录支持多种格式的导出，可以直接在endnote管理软件中导入；申请到的文献无需通过邮箱传递，可直接在个人中心进行高效管理。支持建立多个文件夹进行文献分类，支持文献删除、备注等功能。</w:t>
            </w:r>
          </w:p>
          <w:p w14:paraId="34A15CC3">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9.提供共词分析、高影响因子论文、高被引次数论文、主题发现、聚类分析等功能模块。</w:t>
            </w:r>
          </w:p>
          <w:p w14:paraId="2CC38446">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10.外文期刊应收录NSTL（国家科技文献中心）外文医学期刊不少于5000种，PubMed期刊不少于20000种（包含全部Medline期刊），DOAJ、PMC、BMC等OA期刊不少于1500种。其中可提供全文的外文期刊不低于8000种。</w:t>
            </w:r>
          </w:p>
          <w:p w14:paraId="3768AAE8">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11.提供三年云租用服务。</w:t>
            </w:r>
          </w:p>
        </w:tc>
      </w:tr>
      <w:tr w14:paraId="334A2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9" w:hRule="atLeast"/>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4ED27">
            <w:pPr>
              <w:keepNext w:val="0"/>
              <w:keepLines w:val="0"/>
              <w:widowControl/>
              <w:suppressLineNumbers w:val="0"/>
              <w:jc w:val="center"/>
              <w:textAlignment w:val="center"/>
              <w:rPr>
                <w:rFonts w:hint="default"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4</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39D29">
            <w:pPr>
              <w:keepNext w:val="0"/>
              <w:keepLines w:val="0"/>
              <w:widowControl/>
              <w:suppressLineNumbers w:val="0"/>
              <w:jc w:val="center"/>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中文电子医学图书要求</w:t>
            </w:r>
          </w:p>
        </w:tc>
        <w:tc>
          <w:tcPr>
            <w:tcW w:w="12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D245">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1.包含基础医学、临床医学、预防 医学、中国医学、 药学、特种医学、生物科学、经营管理、图书情报、计算机及应用、医学教育与外语学习等学科，不少于5万册，且能提供截图证明文件。</w:t>
            </w:r>
          </w:p>
          <w:p w14:paraId="0AA69357">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2.中文图书须具有全文在线阅读、下载、打印等功能;图书须提供专用阅读器，便于读者进行个性化阅读:可实现对可利用的图书进行文字提取，编缉，并自动标示出处的功能。</w:t>
            </w:r>
          </w:p>
          <w:p w14:paraId="738A6461">
            <w:pPr>
              <w:keepNext w:val="0"/>
              <w:keepLines w:val="0"/>
              <w:widowControl/>
              <w:suppressLineNumbers w:val="0"/>
              <w:jc w:val="left"/>
              <w:textAlignment w:val="center"/>
              <w:rPr>
                <w:rFonts w:hint="eastAsia" w:asciiTheme="minorEastAsia" w:hAnsi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3.可实现一次购买终身使用该范围内的中文电子医学图书。</w:t>
            </w:r>
          </w:p>
        </w:tc>
      </w:tr>
    </w:tbl>
    <w:p w14:paraId="7C846337">
      <w:pPr>
        <w:rPr>
          <w:rFonts w:hint="eastAsia"/>
          <w:color w:val="auto"/>
          <w:lang w:val="en-US" w:eastAsia="zh-CN"/>
        </w:rPr>
      </w:pPr>
    </w:p>
    <w:p w14:paraId="7C3C386B">
      <w:pPr>
        <w:rPr>
          <w:rFonts w:hint="eastAsia"/>
          <w:color w:val="auto"/>
          <w:lang w:val="en-US" w:eastAsia="zh-CN"/>
        </w:rPr>
        <w:sectPr>
          <w:pgSz w:w="16838" w:h="11906" w:orient="landscape"/>
          <w:pgMar w:top="1134" w:right="1134" w:bottom="567" w:left="1134" w:header="851" w:footer="992" w:gutter="0"/>
          <w:cols w:space="425" w:num="1"/>
          <w:docGrid w:type="lines" w:linePitch="312" w:charSpace="0"/>
        </w:sectPr>
      </w:pPr>
    </w:p>
    <w:p w14:paraId="5D587B4B">
      <w:pPr>
        <w:pStyle w:val="14"/>
        <w:rPr>
          <w:rFonts w:hint="eastAsia"/>
          <w:color w:val="auto"/>
          <w:lang w:val="en-US" w:eastAsia="zh-CN"/>
        </w:rPr>
      </w:pPr>
    </w:p>
    <w:p w14:paraId="6017D881">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6" w:name="_Toc17565"/>
      <w:r>
        <w:rPr>
          <w:rFonts w:hint="eastAsia"/>
          <w:color w:val="auto"/>
          <w:lang w:val="en-US" w:eastAsia="zh-CN"/>
        </w:rPr>
        <w:t>五、三甲综合医院同类项目案例</w:t>
      </w:r>
      <w:bookmarkEnd w:id="26"/>
    </w:p>
    <w:p w14:paraId="075950E2">
      <w:pPr>
        <w:pStyle w:val="3"/>
        <w:bidi w:val="0"/>
        <w:ind w:firstLine="482" w:firstLineChars="200"/>
        <w:rPr>
          <w:rFonts w:hint="eastAsia"/>
          <w:color w:val="auto"/>
          <w:lang w:val="en-US" w:eastAsia="zh-CN"/>
        </w:rPr>
      </w:pPr>
      <w:bookmarkStart w:id="27" w:name="_Toc29430"/>
      <w:r>
        <w:rPr>
          <w:rFonts w:hint="eastAsia"/>
          <w:color w:val="auto"/>
          <w:lang w:val="en-US" w:eastAsia="zh-CN"/>
        </w:rPr>
        <w:t>4.1四川省内（）家</w:t>
      </w:r>
      <w:bookmarkEnd w:id="27"/>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014E7BA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200167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5A397C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4564CB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519617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D3313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1A4366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18858F1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EF57D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0CD13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57394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2C9E7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5C32F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5DE5D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E78D98F">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8F777F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5AE11A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7F69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FA6A9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8FE9E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D539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3876902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23CAF7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3086A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9EE58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373EE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91A81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08854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190D4FA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AB0FA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35CA16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7CB0CA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429E33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9CA8A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08377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02C7985D">
      <w:pPr>
        <w:pStyle w:val="22"/>
        <w:ind w:firstLine="0" w:firstLineChars="0"/>
        <w:rPr>
          <w:rFonts w:hint="eastAsia" w:ascii="仿宋" w:hAnsi="仿宋" w:eastAsia="仿宋" w:cs="仿宋"/>
          <w:color w:val="auto"/>
          <w:sz w:val="30"/>
          <w:szCs w:val="30"/>
        </w:rPr>
      </w:pPr>
    </w:p>
    <w:p w14:paraId="62CB2C95">
      <w:pPr>
        <w:pStyle w:val="14"/>
        <w:rPr>
          <w:rFonts w:hint="eastAsia" w:ascii="仿宋" w:hAnsi="仿宋" w:eastAsia="仿宋" w:cs="仿宋"/>
          <w:color w:val="auto"/>
          <w:kern w:val="2"/>
          <w:sz w:val="30"/>
          <w:szCs w:val="30"/>
        </w:rPr>
      </w:pPr>
    </w:p>
    <w:p w14:paraId="6FFD4938">
      <w:pPr>
        <w:pStyle w:val="14"/>
        <w:rPr>
          <w:rFonts w:hint="eastAsia" w:ascii="仿宋" w:hAnsi="仿宋" w:eastAsia="仿宋" w:cs="仿宋"/>
          <w:color w:val="auto"/>
          <w:kern w:val="2"/>
          <w:sz w:val="30"/>
          <w:szCs w:val="30"/>
        </w:rPr>
      </w:pPr>
    </w:p>
    <w:p w14:paraId="54849A12">
      <w:pPr>
        <w:pStyle w:val="14"/>
        <w:rPr>
          <w:rFonts w:hint="eastAsia" w:ascii="仿宋" w:hAnsi="仿宋" w:eastAsia="仿宋" w:cs="仿宋"/>
          <w:color w:val="auto"/>
          <w:kern w:val="2"/>
          <w:sz w:val="30"/>
          <w:szCs w:val="30"/>
        </w:rPr>
      </w:pPr>
    </w:p>
    <w:p w14:paraId="73DB42E5">
      <w:pPr>
        <w:pStyle w:val="14"/>
        <w:rPr>
          <w:rFonts w:hint="eastAsia" w:ascii="仿宋" w:hAnsi="仿宋" w:eastAsia="仿宋" w:cs="仿宋"/>
          <w:color w:val="auto"/>
          <w:kern w:val="2"/>
          <w:sz w:val="30"/>
          <w:szCs w:val="30"/>
        </w:rPr>
      </w:pPr>
    </w:p>
    <w:p w14:paraId="3B4BCB70">
      <w:pPr>
        <w:pStyle w:val="14"/>
        <w:rPr>
          <w:rFonts w:hint="eastAsia" w:ascii="仿宋" w:hAnsi="仿宋" w:eastAsia="仿宋" w:cs="仿宋"/>
          <w:color w:val="auto"/>
          <w:kern w:val="2"/>
          <w:sz w:val="30"/>
          <w:szCs w:val="30"/>
        </w:rPr>
      </w:pPr>
    </w:p>
    <w:p w14:paraId="681C6975">
      <w:pPr>
        <w:pStyle w:val="3"/>
        <w:bidi w:val="0"/>
        <w:ind w:firstLine="482" w:firstLineChars="200"/>
        <w:rPr>
          <w:rFonts w:hint="eastAsia"/>
          <w:color w:val="auto"/>
          <w:lang w:val="en-US" w:eastAsia="zh-CN"/>
        </w:rPr>
      </w:pPr>
      <w:bookmarkStart w:id="28" w:name="_Toc8493"/>
      <w:r>
        <w:rPr>
          <w:rFonts w:hint="eastAsia"/>
          <w:color w:val="auto"/>
          <w:lang w:val="en-US" w:eastAsia="zh-CN"/>
        </w:rPr>
        <w:t>4.1四川省外（）家</w:t>
      </w:r>
      <w:bookmarkEnd w:id="28"/>
    </w:p>
    <w:tbl>
      <w:tblPr>
        <w:tblStyle w:val="10"/>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2EE316A0">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007F04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0A1109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6C1860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05DFD5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729385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57B04E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76F68CE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35818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F322B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2CF7007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BDB54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A483C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E39B2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85EB3B3">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72DFA2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B64328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99DB4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593EA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E70F8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62B3AB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72AEF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50B9E7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64EB4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6B7C05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98F1F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10C82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D907A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0D148704">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4239DB7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D1151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19F49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30803A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6C7B0B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72EC1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41FC0966">
      <w:pPr>
        <w:rPr>
          <w:rFonts w:hint="eastAsia"/>
          <w:color w:val="auto"/>
          <w:lang w:val="en-US" w:eastAsia="zh-CN"/>
        </w:rPr>
      </w:pPr>
    </w:p>
    <w:p w14:paraId="4C4D280D">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2C8F9030">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46B6685E">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5782AF3C">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16B3C9C9">
      <w:pPr>
        <w:pStyle w:val="3"/>
        <w:bidi w:val="0"/>
        <w:ind w:firstLine="482" w:firstLineChars="200"/>
        <w:rPr>
          <w:rFonts w:hint="eastAsia"/>
          <w:color w:val="auto"/>
          <w:lang w:val="en-US" w:eastAsia="zh-CN"/>
        </w:rPr>
      </w:pPr>
    </w:p>
    <w:p w14:paraId="389C42FC">
      <w:pPr>
        <w:pStyle w:val="3"/>
        <w:bidi w:val="0"/>
        <w:ind w:firstLine="482" w:firstLineChars="200"/>
        <w:rPr>
          <w:rFonts w:hint="eastAsia"/>
          <w:color w:val="auto"/>
          <w:lang w:val="en-US" w:eastAsia="zh-CN"/>
        </w:rPr>
      </w:pPr>
      <w:bookmarkStart w:id="29" w:name="_Toc138151651"/>
      <w:bookmarkStart w:id="30" w:name="_Toc7986"/>
      <w:r>
        <w:rPr>
          <w:rFonts w:hint="eastAsia"/>
          <w:color w:val="auto"/>
          <w:lang w:val="en-US" w:eastAsia="zh-CN"/>
        </w:rPr>
        <w:t>4.3三甲综合医院同类项目案例合同及验收佐证</w:t>
      </w:r>
      <w:bookmarkEnd w:id="29"/>
      <w:bookmarkEnd w:id="30"/>
    </w:p>
    <w:p w14:paraId="37ACC053">
      <w:pPr>
        <w:pStyle w:val="14"/>
        <w:spacing w:line="240" w:lineRule="auto"/>
        <w:rPr>
          <w:rFonts w:hint="eastAsia" w:ascii="仿宋" w:hAnsi="仿宋" w:eastAsia="仿宋" w:cs="仿宋"/>
          <w:b w:val="0"/>
          <w:color w:val="auto"/>
          <w:kern w:val="2"/>
          <w:sz w:val="24"/>
          <w:szCs w:val="24"/>
          <w:lang w:val="en-US" w:eastAsia="zh-CN" w:bidi="ar-SA"/>
        </w:rPr>
      </w:pPr>
    </w:p>
    <w:p w14:paraId="29A863C9">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1" w:name="_Toc11734"/>
      <w:r>
        <w:rPr>
          <w:rFonts w:hint="eastAsia"/>
          <w:color w:val="auto"/>
          <w:lang w:val="en-US" w:eastAsia="zh-CN"/>
        </w:rPr>
        <w:t>六、服务方案</w:t>
      </w:r>
      <w:bookmarkEnd w:id="31"/>
    </w:p>
    <w:p w14:paraId="684FC671">
      <w:pPr>
        <w:bidi w:val="0"/>
        <w:rPr>
          <w:rFonts w:hint="eastAsia"/>
          <w:color w:val="auto"/>
          <w:lang w:val="en-US" w:eastAsia="zh-CN"/>
        </w:rPr>
      </w:pPr>
      <w:bookmarkStart w:id="32" w:name="_Toc138151653"/>
      <w:r>
        <w:rPr>
          <w:rFonts w:hint="eastAsia"/>
          <w:color w:val="auto"/>
          <w:lang w:val="en-US" w:eastAsia="zh-CN"/>
        </w:rPr>
        <w:t>（包含以上内容，其他内容自拟）</w:t>
      </w:r>
    </w:p>
    <w:bookmarkEnd w:id="32"/>
    <w:p w14:paraId="348B6540">
      <w:pPr>
        <w:rPr>
          <w:rFonts w:hint="eastAsia"/>
          <w:color w:val="auto"/>
          <w:lang w:val="en-US" w:eastAsia="zh-CN"/>
        </w:rPr>
      </w:pPr>
    </w:p>
    <w:p w14:paraId="27D2C93C">
      <w:pPr>
        <w:rPr>
          <w:rFonts w:hint="eastAsia"/>
          <w:color w:val="auto"/>
          <w:lang w:val="en-US" w:eastAsia="zh-CN"/>
        </w:rPr>
      </w:pPr>
    </w:p>
    <w:p w14:paraId="6D99AB6B">
      <w:pPr>
        <w:rPr>
          <w:rFonts w:hint="default"/>
          <w:color w:val="auto"/>
          <w:lang w:val="en-US" w:eastAsia="zh-CN"/>
        </w:rPr>
      </w:pPr>
    </w:p>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E2C23D-2331-408A-A203-3AE9821E37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F320E9C-FC24-4546-BCF0-42F3EF82EADF}"/>
  </w:font>
  <w:font w:name="仿宋">
    <w:panose1 w:val="02010609060101010101"/>
    <w:charset w:val="86"/>
    <w:family w:val="auto"/>
    <w:pitch w:val="default"/>
    <w:sig w:usb0="800002BF" w:usb1="38CF7CFA" w:usb2="00000016" w:usb3="00000000" w:csb0="00040001" w:csb1="00000000"/>
    <w:embedRegular r:id="rId3" w:fontKey="{3B5E0D3A-8C72-4364-B6CE-AACAF50C26D8}"/>
  </w:font>
  <w:font w:name="方正黑体简体">
    <w:panose1 w:val="02000000000000000000"/>
    <w:charset w:val="86"/>
    <w:family w:val="auto"/>
    <w:pitch w:val="default"/>
    <w:sig w:usb0="A00002BF" w:usb1="184F6CFA" w:usb2="00000012" w:usb3="00000000" w:csb0="00040001" w:csb1="00000000"/>
    <w:embedRegular r:id="rId4" w:fontKey="{836ABCBF-39A8-49C5-9CBA-03B42B7F7A2A}"/>
  </w:font>
  <w:font w:name="微软雅黑">
    <w:panose1 w:val="020B0503020204020204"/>
    <w:charset w:val="86"/>
    <w:family w:val="auto"/>
    <w:pitch w:val="default"/>
    <w:sig w:usb0="80000287" w:usb1="2ACF3C50" w:usb2="00000016" w:usb3="00000000" w:csb0="0004001F" w:csb1="00000000"/>
    <w:embedRegular r:id="rId5" w:fontKey="{1604F0A9-FE4D-4465-A740-53DBD1477CA7}"/>
  </w:font>
  <w:font w:name="WPSEMBED7">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DEF404"/>
    <w:multiLevelType w:val="singleLevel"/>
    <w:tmpl w:val="23DEF40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lZWZkZDMxMzg2MTBmMjU2YTlhNWI3ZmFjNDQ4MWUifQ=="/>
  </w:docVars>
  <w:rsids>
    <w:rsidRoot w:val="00000000"/>
    <w:rsid w:val="003675E8"/>
    <w:rsid w:val="00885B23"/>
    <w:rsid w:val="01CB5422"/>
    <w:rsid w:val="01D52A58"/>
    <w:rsid w:val="0224038E"/>
    <w:rsid w:val="02CE7139"/>
    <w:rsid w:val="03157A96"/>
    <w:rsid w:val="03163E1D"/>
    <w:rsid w:val="03530F6F"/>
    <w:rsid w:val="03552A08"/>
    <w:rsid w:val="03675EC4"/>
    <w:rsid w:val="03722B16"/>
    <w:rsid w:val="03D3104E"/>
    <w:rsid w:val="04275A22"/>
    <w:rsid w:val="04593878"/>
    <w:rsid w:val="04F62AA4"/>
    <w:rsid w:val="052B1309"/>
    <w:rsid w:val="067C1B91"/>
    <w:rsid w:val="06AE77FE"/>
    <w:rsid w:val="072D11D3"/>
    <w:rsid w:val="07C537D5"/>
    <w:rsid w:val="07E9598A"/>
    <w:rsid w:val="07F76D1E"/>
    <w:rsid w:val="09042474"/>
    <w:rsid w:val="0926542A"/>
    <w:rsid w:val="09572537"/>
    <w:rsid w:val="09EF4DDA"/>
    <w:rsid w:val="09F06B51"/>
    <w:rsid w:val="0A5A448A"/>
    <w:rsid w:val="0AED6E12"/>
    <w:rsid w:val="0C811C7B"/>
    <w:rsid w:val="0C8C3677"/>
    <w:rsid w:val="0CDC4161"/>
    <w:rsid w:val="0D293630"/>
    <w:rsid w:val="0D5422FE"/>
    <w:rsid w:val="0DD4413B"/>
    <w:rsid w:val="0E056A05"/>
    <w:rsid w:val="0E154AB8"/>
    <w:rsid w:val="0E236E8B"/>
    <w:rsid w:val="0E266744"/>
    <w:rsid w:val="0EA93CA3"/>
    <w:rsid w:val="0F7C3008"/>
    <w:rsid w:val="0FE60171"/>
    <w:rsid w:val="10AE73EC"/>
    <w:rsid w:val="11111FC4"/>
    <w:rsid w:val="1118101A"/>
    <w:rsid w:val="11DA6532"/>
    <w:rsid w:val="121A3D4C"/>
    <w:rsid w:val="126B2BAF"/>
    <w:rsid w:val="12B91B6C"/>
    <w:rsid w:val="134306AA"/>
    <w:rsid w:val="134A6465"/>
    <w:rsid w:val="135A02D0"/>
    <w:rsid w:val="13712447"/>
    <w:rsid w:val="137E6021"/>
    <w:rsid w:val="139D7869"/>
    <w:rsid w:val="13EC5F71"/>
    <w:rsid w:val="147A721A"/>
    <w:rsid w:val="14E013D0"/>
    <w:rsid w:val="14F31935"/>
    <w:rsid w:val="152A0AFF"/>
    <w:rsid w:val="15B825AF"/>
    <w:rsid w:val="15CF1F26"/>
    <w:rsid w:val="15E02221"/>
    <w:rsid w:val="16207B77"/>
    <w:rsid w:val="16B36D4D"/>
    <w:rsid w:val="174D1B73"/>
    <w:rsid w:val="183258F7"/>
    <w:rsid w:val="18342516"/>
    <w:rsid w:val="18552DB3"/>
    <w:rsid w:val="189E2676"/>
    <w:rsid w:val="18C17DE5"/>
    <w:rsid w:val="18D92EBD"/>
    <w:rsid w:val="1A44658D"/>
    <w:rsid w:val="1AAF2DD5"/>
    <w:rsid w:val="1AC716B0"/>
    <w:rsid w:val="1AE31E7C"/>
    <w:rsid w:val="1B46204F"/>
    <w:rsid w:val="1B99074F"/>
    <w:rsid w:val="1B9B7856"/>
    <w:rsid w:val="1BB8428A"/>
    <w:rsid w:val="1BBC5511"/>
    <w:rsid w:val="1CFC6AF6"/>
    <w:rsid w:val="1DBE13B8"/>
    <w:rsid w:val="1DD609E7"/>
    <w:rsid w:val="1DE303E5"/>
    <w:rsid w:val="1E77318B"/>
    <w:rsid w:val="1ED65F1E"/>
    <w:rsid w:val="1F4A5F8A"/>
    <w:rsid w:val="1F794C63"/>
    <w:rsid w:val="1FDD356D"/>
    <w:rsid w:val="1FE37DA0"/>
    <w:rsid w:val="20390524"/>
    <w:rsid w:val="20E172DD"/>
    <w:rsid w:val="20E3342D"/>
    <w:rsid w:val="21254871"/>
    <w:rsid w:val="214831CD"/>
    <w:rsid w:val="21A97250"/>
    <w:rsid w:val="21F83C21"/>
    <w:rsid w:val="220D5A31"/>
    <w:rsid w:val="228C6E75"/>
    <w:rsid w:val="22A273FF"/>
    <w:rsid w:val="22C11246"/>
    <w:rsid w:val="236C2324"/>
    <w:rsid w:val="23E16FFF"/>
    <w:rsid w:val="23E3036F"/>
    <w:rsid w:val="249266C1"/>
    <w:rsid w:val="25333A00"/>
    <w:rsid w:val="25380CA0"/>
    <w:rsid w:val="257D0110"/>
    <w:rsid w:val="25C63BAB"/>
    <w:rsid w:val="25C67C05"/>
    <w:rsid w:val="25D70354"/>
    <w:rsid w:val="263578BE"/>
    <w:rsid w:val="263D04BC"/>
    <w:rsid w:val="264D0C78"/>
    <w:rsid w:val="26A70C65"/>
    <w:rsid w:val="26E1123A"/>
    <w:rsid w:val="27026A05"/>
    <w:rsid w:val="270C409F"/>
    <w:rsid w:val="27415819"/>
    <w:rsid w:val="274F108A"/>
    <w:rsid w:val="2777374E"/>
    <w:rsid w:val="28001FD3"/>
    <w:rsid w:val="283860D8"/>
    <w:rsid w:val="287560DE"/>
    <w:rsid w:val="28C11323"/>
    <w:rsid w:val="29C00667"/>
    <w:rsid w:val="29D6511A"/>
    <w:rsid w:val="29FF496C"/>
    <w:rsid w:val="2A1F28C7"/>
    <w:rsid w:val="2B8925CC"/>
    <w:rsid w:val="2BA328F5"/>
    <w:rsid w:val="2C6F6170"/>
    <w:rsid w:val="2C8B2374"/>
    <w:rsid w:val="2C9F6F43"/>
    <w:rsid w:val="2CEE1EA1"/>
    <w:rsid w:val="2D5664DE"/>
    <w:rsid w:val="2D755A60"/>
    <w:rsid w:val="2DCB175A"/>
    <w:rsid w:val="2E4C744E"/>
    <w:rsid w:val="2E8E10D4"/>
    <w:rsid w:val="2F62381D"/>
    <w:rsid w:val="305F1B4D"/>
    <w:rsid w:val="30C93B1B"/>
    <w:rsid w:val="311A3CC6"/>
    <w:rsid w:val="316E7B6E"/>
    <w:rsid w:val="31C92F18"/>
    <w:rsid w:val="32024D28"/>
    <w:rsid w:val="32094F70"/>
    <w:rsid w:val="335F5D78"/>
    <w:rsid w:val="337511B1"/>
    <w:rsid w:val="337D4C69"/>
    <w:rsid w:val="337E73C5"/>
    <w:rsid w:val="33935522"/>
    <w:rsid w:val="343B467F"/>
    <w:rsid w:val="34535875"/>
    <w:rsid w:val="34A915E9"/>
    <w:rsid w:val="34AF257B"/>
    <w:rsid w:val="34B66051"/>
    <w:rsid w:val="36C21BE7"/>
    <w:rsid w:val="36C267C0"/>
    <w:rsid w:val="36C450EA"/>
    <w:rsid w:val="372B5D93"/>
    <w:rsid w:val="375B0AE1"/>
    <w:rsid w:val="386C41A1"/>
    <w:rsid w:val="38761053"/>
    <w:rsid w:val="38A804E3"/>
    <w:rsid w:val="390E232D"/>
    <w:rsid w:val="39106763"/>
    <w:rsid w:val="3A116084"/>
    <w:rsid w:val="3A763162"/>
    <w:rsid w:val="3A985554"/>
    <w:rsid w:val="3AAB598F"/>
    <w:rsid w:val="3B020707"/>
    <w:rsid w:val="3B724665"/>
    <w:rsid w:val="3B9C785C"/>
    <w:rsid w:val="3C2F2831"/>
    <w:rsid w:val="3D4435C6"/>
    <w:rsid w:val="3D8E5A8D"/>
    <w:rsid w:val="3DCC00F6"/>
    <w:rsid w:val="3E6D1D46"/>
    <w:rsid w:val="3E924036"/>
    <w:rsid w:val="3EBE4976"/>
    <w:rsid w:val="3EF73899"/>
    <w:rsid w:val="3F282526"/>
    <w:rsid w:val="400101C3"/>
    <w:rsid w:val="405F16F6"/>
    <w:rsid w:val="40842F0A"/>
    <w:rsid w:val="40F732B0"/>
    <w:rsid w:val="4195297C"/>
    <w:rsid w:val="41957568"/>
    <w:rsid w:val="41F10082"/>
    <w:rsid w:val="41F702EE"/>
    <w:rsid w:val="420704CD"/>
    <w:rsid w:val="428970E4"/>
    <w:rsid w:val="42B83DC2"/>
    <w:rsid w:val="42BD668F"/>
    <w:rsid w:val="42D82436"/>
    <w:rsid w:val="43161672"/>
    <w:rsid w:val="43241EF6"/>
    <w:rsid w:val="43431778"/>
    <w:rsid w:val="4394151F"/>
    <w:rsid w:val="43C627FB"/>
    <w:rsid w:val="44084F35"/>
    <w:rsid w:val="44806E09"/>
    <w:rsid w:val="44BE1658"/>
    <w:rsid w:val="45B45D7E"/>
    <w:rsid w:val="46205483"/>
    <w:rsid w:val="46241EA6"/>
    <w:rsid w:val="46C53FAB"/>
    <w:rsid w:val="46D544C0"/>
    <w:rsid w:val="46DB13AA"/>
    <w:rsid w:val="47823284"/>
    <w:rsid w:val="47CF4028"/>
    <w:rsid w:val="47E67906"/>
    <w:rsid w:val="485431F5"/>
    <w:rsid w:val="485E35F8"/>
    <w:rsid w:val="49550899"/>
    <w:rsid w:val="49BA2D04"/>
    <w:rsid w:val="49BB0786"/>
    <w:rsid w:val="49D40E82"/>
    <w:rsid w:val="4A167183"/>
    <w:rsid w:val="4A733A58"/>
    <w:rsid w:val="4AD8713A"/>
    <w:rsid w:val="4B46773A"/>
    <w:rsid w:val="4B643ABC"/>
    <w:rsid w:val="4B6E7B09"/>
    <w:rsid w:val="4B9F639D"/>
    <w:rsid w:val="4BA5341F"/>
    <w:rsid w:val="4BB76564"/>
    <w:rsid w:val="4BC230D9"/>
    <w:rsid w:val="4C9358A6"/>
    <w:rsid w:val="4CA34014"/>
    <w:rsid w:val="4CE52F83"/>
    <w:rsid w:val="4D696680"/>
    <w:rsid w:val="4F437CCA"/>
    <w:rsid w:val="4F4F10AC"/>
    <w:rsid w:val="4F5F64BA"/>
    <w:rsid w:val="4F90667E"/>
    <w:rsid w:val="4FB545D4"/>
    <w:rsid w:val="4FDD301E"/>
    <w:rsid w:val="4FE546BB"/>
    <w:rsid w:val="502E58AD"/>
    <w:rsid w:val="506E0570"/>
    <w:rsid w:val="50B25872"/>
    <w:rsid w:val="50F327CB"/>
    <w:rsid w:val="51B47BC2"/>
    <w:rsid w:val="51D146FE"/>
    <w:rsid w:val="51D919CD"/>
    <w:rsid w:val="524D13AE"/>
    <w:rsid w:val="52B471BF"/>
    <w:rsid w:val="52C32D67"/>
    <w:rsid w:val="52FD5CE8"/>
    <w:rsid w:val="5339476F"/>
    <w:rsid w:val="536B2A7D"/>
    <w:rsid w:val="53DE59A8"/>
    <w:rsid w:val="53E51F5E"/>
    <w:rsid w:val="541505F1"/>
    <w:rsid w:val="54230D52"/>
    <w:rsid w:val="54400E09"/>
    <w:rsid w:val="54707AC1"/>
    <w:rsid w:val="54CB6F02"/>
    <w:rsid w:val="55B6522E"/>
    <w:rsid w:val="55EA6E3F"/>
    <w:rsid w:val="56A06471"/>
    <w:rsid w:val="56EB682C"/>
    <w:rsid w:val="5715646F"/>
    <w:rsid w:val="57626D08"/>
    <w:rsid w:val="57E56101"/>
    <w:rsid w:val="581F4351"/>
    <w:rsid w:val="58286EBC"/>
    <w:rsid w:val="585E1C89"/>
    <w:rsid w:val="58AB2CC4"/>
    <w:rsid w:val="59410223"/>
    <w:rsid w:val="596F2EE5"/>
    <w:rsid w:val="59723D50"/>
    <w:rsid w:val="59814033"/>
    <w:rsid w:val="5A864B12"/>
    <w:rsid w:val="5A920D49"/>
    <w:rsid w:val="5B4B35D6"/>
    <w:rsid w:val="5BB10EFE"/>
    <w:rsid w:val="5C682BA7"/>
    <w:rsid w:val="5D6D7971"/>
    <w:rsid w:val="5D762C66"/>
    <w:rsid w:val="5DD11B6F"/>
    <w:rsid w:val="5DEA79AF"/>
    <w:rsid w:val="5E2F3B42"/>
    <w:rsid w:val="5EEA2239"/>
    <w:rsid w:val="5F035078"/>
    <w:rsid w:val="5F4131D6"/>
    <w:rsid w:val="5F6F0822"/>
    <w:rsid w:val="5F744CAA"/>
    <w:rsid w:val="5F957CDE"/>
    <w:rsid w:val="5FD2383A"/>
    <w:rsid w:val="5FDD7E71"/>
    <w:rsid w:val="6108231E"/>
    <w:rsid w:val="614754E2"/>
    <w:rsid w:val="620F48D2"/>
    <w:rsid w:val="62143C96"/>
    <w:rsid w:val="62561308"/>
    <w:rsid w:val="62927E29"/>
    <w:rsid w:val="62DD052C"/>
    <w:rsid w:val="62E054D8"/>
    <w:rsid w:val="6373270B"/>
    <w:rsid w:val="637335B7"/>
    <w:rsid w:val="638251B1"/>
    <w:rsid w:val="63BC0B4D"/>
    <w:rsid w:val="640D6CAC"/>
    <w:rsid w:val="64105038"/>
    <w:rsid w:val="644B199A"/>
    <w:rsid w:val="64CE443D"/>
    <w:rsid w:val="64D6157E"/>
    <w:rsid w:val="653C3FD8"/>
    <w:rsid w:val="65815AE7"/>
    <w:rsid w:val="65AB4A92"/>
    <w:rsid w:val="65B14764"/>
    <w:rsid w:val="66180254"/>
    <w:rsid w:val="66936F5E"/>
    <w:rsid w:val="674D37A6"/>
    <w:rsid w:val="67CB7B5D"/>
    <w:rsid w:val="686B4ECE"/>
    <w:rsid w:val="687304EE"/>
    <w:rsid w:val="68783C73"/>
    <w:rsid w:val="68866F70"/>
    <w:rsid w:val="68EC7555"/>
    <w:rsid w:val="690B4CB3"/>
    <w:rsid w:val="693862AF"/>
    <w:rsid w:val="6A515C4D"/>
    <w:rsid w:val="6A961A6F"/>
    <w:rsid w:val="6A987C6E"/>
    <w:rsid w:val="6C300DB3"/>
    <w:rsid w:val="6C8D73F3"/>
    <w:rsid w:val="6CFB4623"/>
    <w:rsid w:val="6D4B29EE"/>
    <w:rsid w:val="6D6D71FE"/>
    <w:rsid w:val="6E891670"/>
    <w:rsid w:val="6EC06CA8"/>
    <w:rsid w:val="6EED01BE"/>
    <w:rsid w:val="6F057177"/>
    <w:rsid w:val="6F593B69"/>
    <w:rsid w:val="6F64269F"/>
    <w:rsid w:val="6FCD7A7D"/>
    <w:rsid w:val="70230A50"/>
    <w:rsid w:val="70457313"/>
    <w:rsid w:val="70690760"/>
    <w:rsid w:val="709E1F5D"/>
    <w:rsid w:val="70C1323B"/>
    <w:rsid w:val="70C85336"/>
    <w:rsid w:val="70E10E55"/>
    <w:rsid w:val="712612D9"/>
    <w:rsid w:val="718B036D"/>
    <w:rsid w:val="718F390E"/>
    <w:rsid w:val="71B2000E"/>
    <w:rsid w:val="72307267"/>
    <w:rsid w:val="725577F4"/>
    <w:rsid w:val="73593BFF"/>
    <w:rsid w:val="73A103C3"/>
    <w:rsid w:val="740C7A72"/>
    <w:rsid w:val="744F23F4"/>
    <w:rsid w:val="749F1AE5"/>
    <w:rsid w:val="74BE1DD0"/>
    <w:rsid w:val="74F6547D"/>
    <w:rsid w:val="75AA5052"/>
    <w:rsid w:val="75BE2C2C"/>
    <w:rsid w:val="764010A6"/>
    <w:rsid w:val="765F4A43"/>
    <w:rsid w:val="76EB7264"/>
    <w:rsid w:val="7769462C"/>
    <w:rsid w:val="777F1A8C"/>
    <w:rsid w:val="77AB4A55"/>
    <w:rsid w:val="77C35AEB"/>
    <w:rsid w:val="77F5610B"/>
    <w:rsid w:val="78B15C5E"/>
    <w:rsid w:val="79175759"/>
    <w:rsid w:val="79C773E8"/>
    <w:rsid w:val="7B035A20"/>
    <w:rsid w:val="7B224A66"/>
    <w:rsid w:val="7BBE620D"/>
    <w:rsid w:val="7BF07693"/>
    <w:rsid w:val="7BFB064C"/>
    <w:rsid w:val="7C785E63"/>
    <w:rsid w:val="7CD150D1"/>
    <w:rsid w:val="7CEF5984"/>
    <w:rsid w:val="7E5C7744"/>
    <w:rsid w:val="7EF240BF"/>
    <w:rsid w:val="7F1135E0"/>
    <w:rsid w:val="7F2C38B2"/>
    <w:rsid w:val="7F2D0FB6"/>
    <w:rsid w:val="7F951E7F"/>
    <w:rsid w:val="7F962F62"/>
    <w:rsid w:val="7FE05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oc 1"/>
    <w:basedOn w:val="1"/>
    <w:next w:val="1"/>
    <w:qFormat/>
    <w:uiPriority w:val="39"/>
  </w:style>
  <w:style w:type="paragraph" w:styleId="8">
    <w:name w:val="toc 2"/>
    <w:basedOn w:val="1"/>
    <w:next w:val="1"/>
    <w:qFormat/>
    <w:uiPriority w:val="0"/>
    <w:pPr>
      <w:ind w:left="420" w:leftChars="200"/>
    </w:pPr>
  </w:style>
  <w:style w:type="paragraph" w:styleId="9">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font81"/>
    <w:basedOn w:val="12"/>
    <w:qFormat/>
    <w:uiPriority w:val="0"/>
    <w:rPr>
      <w:rFonts w:hint="eastAsia" w:ascii="仿宋" w:hAnsi="仿宋" w:eastAsia="仿宋" w:cs="仿宋"/>
      <w:color w:val="FF0000"/>
      <w:sz w:val="24"/>
      <w:szCs w:val="24"/>
      <w:u w:val="none"/>
    </w:rPr>
  </w:style>
  <w:style w:type="character" w:customStyle="1" w:styleId="16">
    <w:name w:val="font61"/>
    <w:basedOn w:val="12"/>
    <w:qFormat/>
    <w:uiPriority w:val="0"/>
    <w:rPr>
      <w:rFonts w:hint="eastAsia" w:ascii="仿宋" w:hAnsi="仿宋" w:eastAsia="仿宋" w:cs="仿宋"/>
      <w:color w:val="000000"/>
      <w:sz w:val="24"/>
      <w:szCs w:val="24"/>
      <w:u w:val="none"/>
    </w:rPr>
  </w:style>
  <w:style w:type="character" w:customStyle="1" w:styleId="17">
    <w:name w:val="font41"/>
    <w:basedOn w:val="12"/>
    <w:qFormat/>
    <w:uiPriority w:val="0"/>
    <w:rPr>
      <w:rFonts w:hint="eastAsia" w:ascii="仿宋" w:hAnsi="仿宋" w:eastAsia="仿宋" w:cs="仿宋"/>
      <w:color w:val="000000"/>
      <w:sz w:val="24"/>
      <w:szCs w:val="24"/>
      <w:u w:val="none"/>
    </w:rPr>
  </w:style>
  <w:style w:type="character" w:customStyle="1" w:styleId="18">
    <w:name w:val="font71"/>
    <w:basedOn w:val="12"/>
    <w:qFormat/>
    <w:uiPriority w:val="0"/>
    <w:rPr>
      <w:rFonts w:hint="eastAsia" w:ascii="仿宋" w:hAnsi="仿宋" w:eastAsia="仿宋" w:cs="仿宋"/>
      <w:color w:val="0070C0"/>
      <w:sz w:val="24"/>
      <w:szCs w:val="24"/>
      <w:u w:val="none"/>
    </w:rPr>
  </w:style>
  <w:style w:type="character" w:customStyle="1" w:styleId="19">
    <w:name w:val="font51"/>
    <w:basedOn w:val="12"/>
    <w:qFormat/>
    <w:uiPriority w:val="0"/>
    <w:rPr>
      <w:rFonts w:hint="eastAsia" w:ascii="宋体" w:hAnsi="宋体" w:eastAsia="宋体" w:cs="宋体"/>
      <w:color w:val="000000"/>
      <w:sz w:val="24"/>
      <w:szCs w:val="24"/>
      <w:u w:val="none"/>
    </w:rPr>
  </w:style>
  <w:style w:type="character" w:customStyle="1" w:styleId="20">
    <w:name w:val="font21"/>
    <w:basedOn w:val="12"/>
    <w:qFormat/>
    <w:uiPriority w:val="0"/>
    <w:rPr>
      <w:rFonts w:hint="eastAsia" w:ascii="宋体" w:hAnsi="宋体" w:eastAsia="宋体" w:cs="宋体"/>
      <w:color w:val="000000"/>
      <w:sz w:val="22"/>
      <w:szCs w:val="22"/>
      <w:u w:val="none"/>
    </w:rPr>
  </w:style>
  <w:style w:type="character" w:customStyle="1" w:styleId="21">
    <w:name w:val="font11"/>
    <w:basedOn w:val="12"/>
    <w:qFormat/>
    <w:uiPriority w:val="0"/>
    <w:rPr>
      <w:rFonts w:hint="eastAsia" w:ascii="宋体" w:hAnsi="宋体" w:eastAsia="宋体" w:cs="宋体"/>
      <w:b/>
      <w:bCs/>
      <w:color w:val="000000"/>
      <w:sz w:val="24"/>
      <w:szCs w:val="24"/>
      <w:u w:val="none"/>
    </w:rPr>
  </w:style>
  <w:style w:type="paragraph" w:customStyle="1" w:styleId="22">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character" w:customStyle="1" w:styleId="23">
    <w:name w:val="font31"/>
    <w:basedOn w:val="12"/>
    <w:qFormat/>
    <w:uiPriority w:val="0"/>
    <w:rPr>
      <w:rFonts w:hint="eastAsia" w:ascii="宋体" w:hAnsi="宋体" w:eastAsia="宋体" w:cs="宋体"/>
      <w:color w:val="000000"/>
      <w:sz w:val="24"/>
      <w:szCs w:val="24"/>
      <w:u w:val="none"/>
    </w:rPr>
  </w:style>
  <w:style w:type="character" w:customStyle="1" w:styleId="24">
    <w:name w:val="font01"/>
    <w:basedOn w:val="12"/>
    <w:qFormat/>
    <w:uiPriority w:val="0"/>
    <w:rPr>
      <w:rFonts w:hint="eastAsia" w:ascii="宋体" w:hAnsi="宋体" w:eastAsia="宋体" w:cs="宋体"/>
      <w:color w:val="000000"/>
      <w:sz w:val="22"/>
      <w:szCs w:val="22"/>
      <w:u w:val="none"/>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2033</Words>
  <Characters>2178</Characters>
  <Lines>0</Lines>
  <Paragraphs>0</Paragraphs>
  <TotalTime>9</TotalTime>
  <ScaleCrop>false</ScaleCrop>
  <LinksUpToDate>false</LinksUpToDate>
  <CharactersWithSpaces>2271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2023-07-17T06:43:00Z</dcterms:created>
  <dc:creator>Administrator</dc:creator>
  <cp:lastModifiedBy>曦照</cp:lastModifiedBy>
  <cp:lastPrinted>2026-07-31T05:49:08Z</cp:lastPrinted>
  <dcterms:modified xsi:type="dcterms:W3CDTF">2026-07-31T06:50:12Z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44740171D8BA4B96BB290DE92874637C_13</vt:lpwstr>
  </property>
  <property fmtid="{D5CDD505-2E9C-101B-9397-08002B2CF9AE}" pid="4" name="KSOTemplateDocerSaveRecord">
    <vt:lpwstr>eyJoZGlkIjoiMjBjZTQxNjg4MDg1ZGI0ZjZmZjBkN2I2ZmMzY2JlNjQiLCJ1c2VySWQiOiI1NTAxMDQyNTcifQ==</vt:lpwstr>
  </property>
</Properties>
</file>