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D2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auto"/>
          <w:kern w:val="0"/>
          <w:sz w:val="36"/>
          <w:szCs w:val="36"/>
          <w:u w:val="none"/>
          <w:lang w:val="en-US" w:eastAsia="zh-CN" w:bidi="ar"/>
        </w:rPr>
      </w:pPr>
      <w:bookmarkStart w:id="0" w:name="OLE_LINK2"/>
      <w:r>
        <w:rPr>
          <w:rFonts w:hint="eastAsia" w:ascii="黑体" w:hAnsi="黑体" w:eastAsia="黑体" w:cs="黑体"/>
          <w:b w:val="0"/>
          <w:bCs w:val="0"/>
          <w:i w:val="0"/>
          <w:iCs w:val="0"/>
          <w:color w:val="auto"/>
          <w:kern w:val="0"/>
          <w:sz w:val="36"/>
          <w:szCs w:val="36"/>
          <w:u w:val="none"/>
          <w:lang w:val="en-US" w:eastAsia="zh-CN" w:bidi="ar"/>
        </w:rPr>
        <w:t>资阳市中心医院</w:t>
      </w:r>
      <w:r>
        <w:rPr>
          <w:rFonts w:hint="eastAsia" w:ascii="黑体" w:hAnsi="黑体" w:eastAsia="黑体" w:cs="黑体"/>
          <w:b w:val="0"/>
          <w:bCs w:val="0"/>
          <w:i w:val="0"/>
          <w:iCs w:val="0"/>
          <w:color w:val="auto"/>
          <w:kern w:val="0"/>
          <w:sz w:val="36"/>
          <w:szCs w:val="36"/>
          <w:u w:val="none"/>
          <w:lang w:val="en-US" w:eastAsia="zh-CN" w:bidi="ar"/>
        </w:rPr>
        <w:br w:type="textWrapping"/>
      </w:r>
      <w:r>
        <w:rPr>
          <w:rFonts w:hint="eastAsia" w:ascii="黑体" w:hAnsi="黑体" w:eastAsia="黑体" w:cs="黑体"/>
          <w:b w:val="0"/>
          <w:bCs w:val="0"/>
          <w:i w:val="0"/>
          <w:iCs w:val="0"/>
          <w:color w:val="auto"/>
          <w:kern w:val="0"/>
          <w:sz w:val="36"/>
          <w:szCs w:val="36"/>
          <w:u w:val="none"/>
          <w:lang w:val="en-US" w:eastAsia="zh-CN" w:bidi="ar"/>
        </w:rPr>
        <w:t>数字信息综合管理平台项目调研公告</w:t>
      </w:r>
    </w:p>
    <w:p w14:paraId="1E929F61">
      <w:pPr>
        <w:pStyle w:val="5"/>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320DC688">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因医院业务发展及三级甲等医院评审需要，现对数字信息综合管理平台进行市场调研，公开征集相关资料，欢迎各潜在供应商进行报名，现将有关事宜公告如下：</w:t>
      </w:r>
    </w:p>
    <w:p w14:paraId="26373AD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一、项目概述</w:t>
      </w:r>
    </w:p>
    <w:p w14:paraId="00604038">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default"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zh-CN"/>
        </w:rPr>
        <w:t>本项目旨在通过建设数字信息综合管理平台，实现病理科全流程数字化、信息化闭环管理，覆盖病理申请及标本流转、病例登记、取材、脱水、包埋、切片、染色封片、病理诊断、特检医嘱、免疫组化、分子病理、细胞学等业务环节，并与院内HIS、电子病历等系统双向对接，满足卫计委全流程质控及三级医院评审标准，保障病理标本全流程条码追溯、诊断报告多级审核、质控指标自动统计与数据安全合规，全面提升病理科规范化、标准化管理水平与诊</w:t>
      </w:r>
      <w:bookmarkStart w:id="33" w:name="_GoBack"/>
      <w:bookmarkEnd w:id="33"/>
      <w:r>
        <w:rPr>
          <w:rFonts w:hint="eastAsia" w:ascii="仿宋" w:hAnsi="仿宋" w:eastAsia="仿宋" w:cs="仿宋"/>
          <w:i w:val="0"/>
          <w:iCs w:val="0"/>
          <w:color w:val="000000"/>
          <w:kern w:val="2"/>
          <w:sz w:val="28"/>
          <w:szCs w:val="28"/>
          <w:u w:val="none"/>
          <w:lang w:val="en-US" w:eastAsia="zh-CN" w:bidi="zh-CN"/>
        </w:rPr>
        <w:t>断质量。</w:t>
      </w:r>
      <w:r>
        <w:rPr>
          <w:rFonts w:hint="eastAsia" w:ascii="仿宋" w:hAnsi="仿宋" w:eastAsia="仿宋" w:cs="仿宋"/>
          <w:i w:val="0"/>
          <w:iCs w:val="0"/>
          <w:color w:val="auto"/>
          <w:kern w:val="2"/>
          <w:sz w:val="28"/>
          <w:szCs w:val="28"/>
          <w:u w:val="none"/>
          <w:lang w:val="en-US" w:eastAsia="zh-CN" w:bidi="ar-SA"/>
        </w:rPr>
        <w:t>(具体需求详见附件)</w:t>
      </w:r>
    </w:p>
    <w:p w14:paraId="568112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463FB06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（一）报名时间：本公告自挂网公告日起，截止时间为自发布公告起第5个工作日（包含发布当天），公告截止日期后递交的报名资料无效。</w:t>
      </w:r>
    </w:p>
    <w:p w14:paraId="3896E83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（二）报名方式:本次市场调研活动采用邮箱报名，不接受现场报名。</w:t>
      </w:r>
    </w:p>
    <w:p w14:paraId="45D1EBE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三）1.报名资料按附件《报名须知》要求，将电子文档（盖章扫描件和可编辑版本）发送至zyszxyyxxb@163.com，并抄送至zyszxyyxxb001@163.com。邮件名称：“XXXX项目名称+公司名称+联系人+联系电话）”报名资料目录见附件。</w:t>
      </w:r>
    </w:p>
    <w:p w14:paraId="509EDDF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2.联系人：</w:t>
      </w:r>
      <w:r>
        <w:rPr>
          <w:rFonts w:hint="eastAsia" w:ascii="仿宋" w:hAnsi="仿宋" w:cs="仿宋"/>
          <w:i w:val="0"/>
          <w:iCs w:val="0"/>
          <w:color w:val="auto"/>
          <w:kern w:val="2"/>
          <w:sz w:val="28"/>
          <w:szCs w:val="28"/>
          <w:u w:val="none"/>
          <w:lang w:val="en-US" w:eastAsia="zh-CN" w:bidi="ar-SA"/>
        </w:rPr>
        <w:t>肖</w:t>
      </w:r>
      <w:r>
        <w:rPr>
          <w:rFonts w:hint="eastAsia" w:ascii="仿宋" w:hAnsi="仿宋" w:eastAsia="仿宋" w:cs="仿宋"/>
          <w:i w:val="0"/>
          <w:iCs w:val="0"/>
          <w:color w:val="auto"/>
          <w:kern w:val="2"/>
          <w:sz w:val="28"/>
          <w:szCs w:val="28"/>
          <w:u w:val="none"/>
          <w:lang w:val="en-US" w:eastAsia="zh-CN" w:bidi="ar-SA"/>
        </w:rPr>
        <w:t>老师，报名</w:t>
      </w:r>
      <w:r>
        <w:rPr>
          <w:rFonts w:hint="eastAsia" w:ascii="仿宋" w:hAnsi="仿宋" w:cs="仿宋"/>
          <w:i w:val="0"/>
          <w:iCs w:val="0"/>
          <w:color w:val="auto"/>
          <w:kern w:val="2"/>
          <w:sz w:val="28"/>
          <w:szCs w:val="28"/>
          <w:u w:val="none"/>
          <w:lang w:val="en-US" w:eastAsia="zh-CN" w:bidi="ar-SA"/>
        </w:rPr>
        <w:t>咨询</w:t>
      </w:r>
      <w:r>
        <w:rPr>
          <w:rFonts w:hint="eastAsia" w:ascii="仿宋" w:hAnsi="仿宋" w:eastAsia="仿宋" w:cs="仿宋"/>
          <w:i w:val="0"/>
          <w:iCs w:val="0"/>
          <w:color w:val="auto"/>
          <w:kern w:val="2"/>
          <w:sz w:val="28"/>
          <w:szCs w:val="28"/>
          <w:u w:val="none"/>
          <w:lang w:val="en-US" w:eastAsia="zh-CN" w:bidi="ar-SA"/>
        </w:rPr>
        <w:t>：028-26219526</w:t>
      </w:r>
    </w:p>
    <w:p w14:paraId="0B359B7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3.线上或线下集中调研需求论证时间及地点，另行通知，请参加调研会的各潜在供应商准备相应的纸质版报价表及汇报PPT等。</w:t>
      </w:r>
    </w:p>
    <w:p w14:paraId="74F72D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CCB385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4239085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561BBBF5">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62015B41">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4.参加供应商保证拟推荐货物应为合法、全新、未使用过的原装正品，配置应为出厂标准配置，如有选配件需单独注明；如需使用单一来源的耗材也需单独注明。</w:t>
      </w:r>
    </w:p>
    <w:p w14:paraId="34F76FAB">
      <w:pPr>
        <w:rPr>
          <w:rFonts w:hint="eastAsia"/>
          <w:lang w:val="en-US" w:eastAsia="zh-CN"/>
        </w:rPr>
      </w:pPr>
    </w:p>
    <w:p w14:paraId="4364A259">
      <w:pPr>
        <w:rPr>
          <w:rFonts w:hint="eastAsia"/>
          <w:color w:val="auto"/>
          <w:lang w:val="en-US" w:eastAsia="zh-CN"/>
        </w:rPr>
      </w:pPr>
    </w:p>
    <w:p w14:paraId="3F529A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EFB45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1271EB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F0079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8FC93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2FA4ED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DFBA4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1C98B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AA3AC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1507E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FC475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EB718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2BC4B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65C85F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D2D41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2523E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DEEEF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222ED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FED969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5A3129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D3CEE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95033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FA17DCF">
      <w:pPr>
        <w:pStyle w:val="14"/>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24D4D0D">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59BBC968">
      <w:pPr>
        <w:pStyle w:val="14"/>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2310D6F0">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2BC656B">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2AA7B7F7">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45BFCED6">
      <w:pPr>
        <w:pStyle w:val="14"/>
        <w:rPr>
          <w:color w:val="auto"/>
        </w:rPr>
      </w:pPr>
    </w:p>
    <w:p w14:paraId="1103D4C1">
      <w:pPr>
        <w:pStyle w:val="14"/>
        <w:rPr>
          <w:color w:val="auto"/>
        </w:rPr>
      </w:pPr>
    </w:p>
    <w:p w14:paraId="32CA48A2">
      <w:pPr>
        <w:pStyle w:val="14"/>
        <w:rPr>
          <w:color w:val="auto"/>
        </w:rPr>
      </w:pPr>
    </w:p>
    <w:p w14:paraId="1BD56027">
      <w:pPr>
        <w:pStyle w:val="14"/>
        <w:rPr>
          <w:color w:val="auto"/>
        </w:rPr>
      </w:pPr>
    </w:p>
    <w:p w14:paraId="642D0940">
      <w:pPr>
        <w:pStyle w:val="14"/>
        <w:rPr>
          <w:color w:val="auto"/>
        </w:rPr>
      </w:pPr>
    </w:p>
    <w:p w14:paraId="0FFA2F97">
      <w:pPr>
        <w:pStyle w:val="14"/>
        <w:rPr>
          <w:color w:val="auto"/>
        </w:rPr>
      </w:pPr>
    </w:p>
    <w:p w14:paraId="00D1C8D9">
      <w:pPr>
        <w:pStyle w:val="14"/>
        <w:rPr>
          <w:color w:val="auto"/>
        </w:rPr>
      </w:pPr>
    </w:p>
    <w:p w14:paraId="1B453A9C">
      <w:pPr>
        <w:pStyle w:val="14"/>
        <w:rPr>
          <w:color w:val="auto"/>
        </w:rPr>
      </w:pPr>
    </w:p>
    <w:p w14:paraId="792918CB">
      <w:pPr>
        <w:pStyle w:val="14"/>
        <w:rPr>
          <w:color w:val="auto"/>
        </w:rPr>
      </w:pPr>
    </w:p>
    <w:p w14:paraId="78E4D212">
      <w:pPr>
        <w:pStyle w:val="14"/>
        <w:rPr>
          <w:color w:val="auto"/>
        </w:rPr>
      </w:pPr>
    </w:p>
    <w:p w14:paraId="51BA36AF">
      <w:pPr>
        <w:pStyle w:val="14"/>
        <w:rPr>
          <w:color w:val="auto"/>
        </w:rPr>
      </w:pPr>
    </w:p>
    <w:p w14:paraId="02174CD7">
      <w:pPr>
        <w:pStyle w:val="14"/>
        <w:rPr>
          <w:color w:val="auto"/>
        </w:rPr>
      </w:pPr>
    </w:p>
    <w:p w14:paraId="19D2CB0C">
      <w:pPr>
        <w:pStyle w:val="14"/>
        <w:rPr>
          <w:color w:val="auto"/>
        </w:rPr>
      </w:pPr>
    </w:p>
    <w:p w14:paraId="69E2765E">
      <w:pPr>
        <w:pStyle w:val="14"/>
        <w:rPr>
          <w:color w:val="auto"/>
        </w:rPr>
      </w:pPr>
    </w:p>
    <w:p w14:paraId="1EB232D6">
      <w:pPr>
        <w:pStyle w:val="14"/>
        <w:rPr>
          <w:color w:val="auto"/>
        </w:rPr>
      </w:pPr>
    </w:p>
    <w:p w14:paraId="457D5CDA">
      <w:pPr>
        <w:pStyle w:val="14"/>
        <w:rPr>
          <w:color w:val="auto"/>
        </w:rPr>
      </w:pPr>
    </w:p>
    <w:p w14:paraId="7885D842">
      <w:pPr>
        <w:pStyle w:val="14"/>
        <w:rPr>
          <w:color w:val="auto"/>
        </w:rPr>
      </w:pPr>
    </w:p>
    <w:p w14:paraId="3F1559F6">
      <w:pPr>
        <w:pStyle w:val="14"/>
        <w:rPr>
          <w:rFonts w:hint="eastAsia" w:eastAsia="宋体"/>
          <w:color w:val="auto"/>
          <w:lang w:val="en-US" w:eastAsia="zh-CN"/>
        </w:rPr>
      </w:pPr>
      <w:r>
        <w:rPr>
          <w:rFonts w:hint="eastAsia"/>
          <w:color w:val="auto"/>
          <w:lang w:val="en-US" w:eastAsia="zh-CN"/>
        </w:rPr>
        <w:t>附件：</w:t>
      </w:r>
    </w:p>
    <w:sdt>
      <w:sdtPr>
        <w:rPr>
          <w:rFonts w:ascii="宋体" w:hAnsi="宋体" w:eastAsia="宋体" w:cstheme="minorBidi"/>
          <w:color w:val="auto"/>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12D91C66">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4AEFE61">
          <w:pPr>
            <w:spacing w:before="0" w:beforeLines="0" w:after="0" w:afterLines="0" w:line="240" w:lineRule="auto"/>
            <w:ind w:left="0" w:leftChars="0" w:right="0" w:rightChars="0" w:firstLine="0" w:firstLineChars="0"/>
            <w:jc w:val="center"/>
            <w:rPr>
              <w:color w:val="auto"/>
            </w:rPr>
          </w:pPr>
        </w:p>
        <w:p w14:paraId="7F0FCA1E">
          <w:pPr>
            <w:pStyle w:val="7"/>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5</w:t>
          </w:r>
          <w:r>
            <w:rPr>
              <w:color w:val="auto"/>
            </w:rPr>
            <w:fldChar w:fldCharType="end"/>
          </w:r>
          <w:r>
            <w:rPr>
              <w:color w:val="auto"/>
            </w:rPr>
            <w:fldChar w:fldCharType="end"/>
          </w:r>
        </w:p>
        <w:p w14:paraId="68D3AE78">
          <w:pPr>
            <w:pStyle w:val="7"/>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5</w:t>
          </w:r>
          <w:r>
            <w:rPr>
              <w:color w:val="auto"/>
            </w:rPr>
            <w:fldChar w:fldCharType="end"/>
          </w:r>
          <w:r>
            <w:rPr>
              <w:color w:val="auto"/>
            </w:rPr>
            <w:fldChar w:fldCharType="end"/>
          </w:r>
        </w:p>
        <w:p w14:paraId="13E67527">
          <w:pPr>
            <w:pStyle w:val="8"/>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5</w:t>
          </w:r>
          <w:r>
            <w:rPr>
              <w:color w:val="auto"/>
            </w:rPr>
            <w:fldChar w:fldCharType="end"/>
          </w:r>
          <w:r>
            <w:rPr>
              <w:color w:val="auto"/>
            </w:rPr>
            <w:fldChar w:fldCharType="end"/>
          </w:r>
        </w:p>
        <w:p w14:paraId="463BF1FA">
          <w:pPr>
            <w:pStyle w:val="8"/>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5</w:t>
          </w:r>
          <w:r>
            <w:rPr>
              <w:color w:val="auto"/>
            </w:rPr>
            <w:fldChar w:fldCharType="end"/>
          </w:r>
          <w:r>
            <w:rPr>
              <w:color w:val="auto"/>
            </w:rPr>
            <w:fldChar w:fldCharType="end"/>
          </w:r>
        </w:p>
        <w:p w14:paraId="0D9DD14E">
          <w:pPr>
            <w:pStyle w:val="8"/>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5</w:t>
          </w:r>
          <w:r>
            <w:rPr>
              <w:color w:val="auto"/>
            </w:rPr>
            <w:fldChar w:fldCharType="end"/>
          </w:r>
          <w:r>
            <w:rPr>
              <w:color w:val="auto"/>
            </w:rPr>
            <w:fldChar w:fldCharType="end"/>
          </w:r>
        </w:p>
        <w:p w14:paraId="0D66A70C">
          <w:pPr>
            <w:pStyle w:val="8"/>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5</w:t>
          </w:r>
          <w:r>
            <w:rPr>
              <w:color w:val="auto"/>
            </w:rPr>
            <w:fldChar w:fldCharType="end"/>
          </w:r>
          <w:r>
            <w:rPr>
              <w:color w:val="auto"/>
            </w:rPr>
            <w:fldChar w:fldCharType="end"/>
          </w:r>
        </w:p>
        <w:p w14:paraId="12E95791">
          <w:pPr>
            <w:pStyle w:val="8"/>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5</w:t>
          </w:r>
          <w:r>
            <w:rPr>
              <w:color w:val="auto"/>
            </w:rPr>
            <w:fldChar w:fldCharType="end"/>
          </w:r>
          <w:r>
            <w:rPr>
              <w:color w:val="auto"/>
            </w:rPr>
            <w:fldChar w:fldCharType="end"/>
          </w:r>
        </w:p>
        <w:p w14:paraId="126F140D">
          <w:pPr>
            <w:pStyle w:val="8"/>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5</w:t>
          </w:r>
          <w:r>
            <w:rPr>
              <w:color w:val="auto"/>
            </w:rPr>
            <w:fldChar w:fldCharType="end"/>
          </w:r>
          <w:r>
            <w:rPr>
              <w:color w:val="auto"/>
            </w:rPr>
            <w:fldChar w:fldCharType="end"/>
          </w:r>
        </w:p>
        <w:p w14:paraId="7A915B24">
          <w:pPr>
            <w:pStyle w:val="8"/>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5</w:t>
          </w:r>
          <w:r>
            <w:rPr>
              <w:color w:val="auto"/>
            </w:rPr>
            <w:fldChar w:fldCharType="end"/>
          </w:r>
          <w:r>
            <w:rPr>
              <w:color w:val="auto"/>
            </w:rPr>
            <w:fldChar w:fldCharType="end"/>
          </w:r>
        </w:p>
        <w:p w14:paraId="35457391">
          <w:pPr>
            <w:pStyle w:val="7"/>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5</w:t>
          </w:r>
          <w:r>
            <w:rPr>
              <w:color w:val="auto"/>
            </w:rPr>
            <w:fldChar w:fldCharType="end"/>
          </w:r>
          <w:r>
            <w:rPr>
              <w:color w:val="auto"/>
            </w:rPr>
            <w:fldChar w:fldCharType="end"/>
          </w:r>
        </w:p>
        <w:p w14:paraId="5DFF25C1">
          <w:pPr>
            <w:pStyle w:val="7"/>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6</w:t>
          </w:r>
          <w:r>
            <w:rPr>
              <w:color w:val="auto"/>
            </w:rPr>
            <w:fldChar w:fldCharType="end"/>
          </w:r>
          <w:r>
            <w:rPr>
              <w:color w:val="auto"/>
            </w:rPr>
            <w:fldChar w:fldCharType="end"/>
          </w:r>
        </w:p>
        <w:p w14:paraId="656650C0">
          <w:pPr>
            <w:pStyle w:val="7"/>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9</w:t>
          </w:r>
          <w:r>
            <w:rPr>
              <w:color w:val="auto"/>
            </w:rPr>
            <w:fldChar w:fldCharType="end"/>
          </w:r>
          <w:r>
            <w:rPr>
              <w:color w:val="auto"/>
            </w:rPr>
            <w:fldChar w:fldCharType="end"/>
          </w:r>
        </w:p>
        <w:p w14:paraId="4CE2DCED">
          <w:pPr>
            <w:pStyle w:val="8"/>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9</w:t>
          </w:r>
          <w:r>
            <w:rPr>
              <w:color w:val="auto"/>
            </w:rPr>
            <w:fldChar w:fldCharType="end"/>
          </w:r>
          <w:r>
            <w:rPr>
              <w:color w:val="auto"/>
            </w:rPr>
            <w:fldChar w:fldCharType="end"/>
          </w:r>
        </w:p>
        <w:p w14:paraId="4D3E0FFA">
          <w:pPr>
            <w:pStyle w:val="8"/>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9</w:t>
          </w:r>
          <w:r>
            <w:rPr>
              <w:color w:val="auto"/>
            </w:rPr>
            <w:fldChar w:fldCharType="end"/>
          </w:r>
          <w:r>
            <w:rPr>
              <w:color w:val="auto"/>
            </w:rPr>
            <w:fldChar w:fldCharType="end"/>
          </w:r>
        </w:p>
        <w:p w14:paraId="16B5F3C0">
          <w:pPr>
            <w:pStyle w:val="8"/>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9</w:t>
          </w:r>
          <w:r>
            <w:rPr>
              <w:color w:val="auto"/>
            </w:rPr>
            <w:fldChar w:fldCharType="end"/>
          </w:r>
          <w:r>
            <w:rPr>
              <w:color w:val="auto"/>
            </w:rPr>
            <w:fldChar w:fldCharType="end"/>
          </w:r>
        </w:p>
        <w:p w14:paraId="79F2F0E6">
          <w:pPr>
            <w:pStyle w:val="7"/>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9</w:t>
          </w:r>
          <w:r>
            <w:rPr>
              <w:color w:val="auto"/>
            </w:rPr>
            <w:fldChar w:fldCharType="end"/>
          </w:r>
          <w:r>
            <w:rPr>
              <w:color w:val="auto"/>
            </w:rPr>
            <w:fldChar w:fldCharType="end"/>
          </w:r>
        </w:p>
        <w:p w14:paraId="38BE21BE">
          <w:pPr>
            <w:rPr>
              <w:color w:val="auto"/>
            </w:rPr>
          </w:pPr>
          <w:r>
            <w:rPr>
              <w:color w:val="auto"/>
            </w:rPr>
            <w:fldChar w:fldCharType="end"/>
          </w:r>
        </w:p>
      </w:sdtContent>
    </w:sdt>
    <w:p w14:paraId="2E5D1581">
      <w:pPr>
        <w:rPr>
          <w:color w:val="auto"/>
        </w:rPr>
      </w:pPr>
    </w:p>
    <w:p w14:paraId="6938E4CD">
      <w:pPr>
        <w:rPr>
          <w:color w:val="auto"/>
        </w:rPr>
      </w:pPr>
    </w:p>
    <w:p w14:paraId="3E7DB8D0">
      <w:pPr>
        <w:rPr>
          <w:color w:val="auto"/>
        </w:rPr>
      </w:pPr>
    </w:p>
    <w:p w14:paraId="220B98ED">
      <w:pPr>
        <w:rPr>
          <w:color w:val="auto"/>
        </w:rPr>
      </w:pPr>
    </w:p>
    <w:p w14:paraId="1EE74401">
      <w:pPr>
        <w:rPr>
          <w:color w:val="auto"/>
        </w:rPr>
      </w:pPr>
    </w:p>
    <w:p w14:paraId="6F4D08CE">
      <w:pPr>
        <w:rPr>
          <w:color w:val="auto"/>
        </w:rPr>
      </w:pPr>
    </w:p>
    <w:p w14:paraId="7CFEB6C7">
      <w:pPr>
        <w:rPr>
          <w:color w:val="auto"/>
        </w:rPr>
      </w:pPr>
    </w:p>
    <w:p w14:paraId="0D767778">
      <w:pPr>
        <w:rPr>
          <w:color w:val="auto"/>
        </w:rPr>
      </w:pPr>
    </w:p>
    <w:p w14:paraId="07BCC5F4">
      <w:pPr>
        <w:rPr>
          <w:color w:val="auto"/>
        </w:rPr>
      </w:pPr>
    </w:p>
    <w:p w14:paraId="1182D410">
      <w:pPr>
        <w:rPr>
          <w:color w:val="auto"/>
        </w:rPr>
      </w:pPr>
    </w:p>
    <w:p w14:paraId="3C415913">
      <w:pPr>
        <w:rPr>
          <w:color w:val="auto"/>
        </w:rPr>
        <w:sectPr>
          <w:pgSz w:w="11906" w:h="16838"/>
          <w:pgMar w:top="2098" w:right="1474" w:bottom="1984" w:left="1587" w:header="851" w:footer="992" w:gutter="0"/>
          <w:cols w:space="425" w:num="1"/>
          <w:docGrid w:type="lines" w:linePitch="312" w:charSpace="0"/>
        </w:sectPr>
      </w:pPr>
    </w:p>
    <w:p w14:paraId="4FF2292F">
      <w:pPr>
        <w:pStyle w:val="2"/>
        <w:keepNext/>
        <w:keepLines/>
        <w:pageBreakBefore w:val="0"/>
        <w:widowControl w:val="0"/>
        <w:numPr>
          <w:ilvl w:val="0"/>
          <w:numId w:val="1"/>
        </w:numPr>
        <w:kinsoku/>
        <w:wordWrap/>
        <w:overflowPunct/>
        <w:topLinePunct w:val="0"/>
        <w:autoSpaceDE/>
        <w:autoSpaceDN/>
        <w:bidi w:val="0"/>
        <w:adjustRightInd/>
        <w:snapToGrid/>
        <w:spacing w:before="100" w:after="100"/>
        <w:jc w:val="both"/>
        <w:textAlignment w:val="auto"/>
        <w:rPr>
          <w:rFonts w:hint="eastAsia"/>
          <w:color w:val="auto"/>
        </w:rPr>
      </w:pPr>
      <w:bookmarkStart w:id="1" w:name="_Toc247514300"/>
      <w:bookmarkStart w:id="2" w:name="_Toc144974876"/>
      <w:bookmarkStart w:id="3" w:name="_Toc427002393"/>
      <w:bookmarkStart w:id="4" w:name="_Toc7415"/>
      <w:bookmarkStart w:id="5" w:name="_Toc25232"/>
      <w:bookmarkStart w:id="6" w:name="_Toc10065"/>
      <w:bookmarkStart w:id="7" w:name="_Toc247527848"/>
      <w:bookmarkStart w:id="8" w:name="_Toc152045808"/>
      <w:bookmarkStart w:id="9" w:name="_Toc152042597"/>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12EF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A5DAE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B641D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C227A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F6633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37672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5808F8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7E8A6167">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2E5DDF6">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EA3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2FCE3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5EAFBC">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5DA0612">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820933A">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B782C9">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685406CE">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91B3249">
            <w:pPr>
              <w:jc w:val="center"/>
              <w:rPr>
                <w:rFonts w:hint="eastAsia" w:ascii="宋体" w:hAnsi="宋体" w:eastAsia="宋体" w:cs="宋体"/>
                <w:i w:val="0"/>
                <w:iCs w:val="0"/>
                <w:color w:val="auto"/>
                <w:sz w:val="24"/>
                <w:szCs w:val="24"/>
                <w:u w:val="none"/>
              </w:rPr>
            </w:pPr>
          </w:p>
        </w:tc>
      </w:tr>
    </w:tbl>
    <w:p w14:paraId="156D1238">
      <w:pPr>
        <w:numPr>
          <w:ilvl w:val="0"/>
          <w:numId w:val="0"/>
        </w:numPr>
        <w:rPr>
          <w:rFonts w:hint="eastAsia"/>
          <w:color w:val="auto"/>
        </w:rPr>
      </w:pPr>
    </w:p>
    <w:p w14:paraId="6243BC17">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00A9358C">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24C0CCC9">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0B774947">
      <w:pPr>
        <w:pStyle w:val="3"/>
        <w:bidi w:val="0"/>
        <w:rPr>
          <w:rFonts w:hint="eastAsia"/>
          <w:color w:val="auto"/>
          <w:lang w:eastAsia="zh-CN"/>
        </w:rPr>
      </w:pPr>
      <w:bookmarkStart w:id="15" w:name="_Toc5131"/>
      <w:bookmarkStart w:id="16" w:name="_Toc22138"/>
      <w:r>
        <w:rPr>
          <w:rFonts w:hint="eastAsia"/>
          <w:color w:val="auto"/>
          <w:lang w:val="en-US" w:eastAsia="zh-CN"/>
        </w:rPr>
        <w:t>1.3</w:t>
      </w:r>
      <w:r>
        <w:rPr>
          <w:rFonts w:hint="eastAsia"/>
          <w:color w:val="auto"/>
          <w:lang w:eastAsia="zh-CN"/>
        </w:rPr>
        <w:t>法人及被授权人身份证</w:t>
      </w:r>
      <w:bookmarkEnd w:id="15"/>
      <w:bookmarkEnd w:id="16"/>
    </w:p>
    <w:p w14:paraId="0EE4FDF7">
      <w:pPr>
        <w:pStyle w:val="3"/>
        <w:bidi w:val="0"/>
        <w:rPr>
          <w:rFonts w:hint="eastAsia"/>
          <w:color w:val="auto"/>
          <w:lang w:eastAsia="zh-CN"/>
        </w:rPr>
      </w:pPr>
      <w:bookmarkStart w:id="17" w:name="_Toc22588"/>
      <w:bookmarkStart w:id="18" w:name="_Toc17143"/>
      <w:r>
        <w:rPr>
          <w:rFonts w:hint="eastAsia"/>
          <w:color w:val="auto"/>
          <w:lang w:val="en-US" w:eastAsia="zh-CN"/>
        </w:rPr>
        <w:t>1.4</w:t>
      </w:r>
      <w:r>
        <w:rPr>
          <w:rFonts w:hint="eastAsia"/>
          <w:color w:val="auto"/>
          <w:lang w:eastAsia="zh-CN"/>
        </w:rPr>
        <w:t>公司资质</w:t>
      </w:r>
      <w:bookmarkEnd w:id="17"/>
      <w:bookmarkEnd w:id="18"/>
    </w:p>
    <w:p w14:paraId="11524558">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14205E1B">
      <w:pPr>
        <w:pStyle w:val="3"/>
        <w:bidi w:val="0"/>
        <w:rPr>
          <w:rFonts w:hint="eastAsia"/>
          <w:color w:val="auto"/>
          <w:lang w:eastAsia="zh-CN"/>
        </w:rPr>
      </w:pPr>
      <w:bookmarkStart w:id="20" w:name="_Toc11995"/>
      <w:bookmarkStart w:id="21" w:name="_Toc3652"/>
      <w:r>
        <w:rPr>
          <w:rFonts w:hint="eastAsia"/>
          <w:color w:val="auto"/>
          <w:lang w:val="en-US" w:eastAsia="zh-CN"/>
        </w:rPr>
        <w:t>1.6本项目涉及</w:t>
      </w:r>
      <w:r>
        <w:rPr>
          <w:rFonts w:hint="eastAsia"/>
          <w:color w:val="auto"/>
          <w:lang w:eastAsia="zh-CN"/>
        </w:rPr>
        <w:t>资质</w:t>
      </w:r>
      <w:bookmarkEnd w:id="20"/>
      <w:bookmarkEnd w:id="21"/>
    </w:p>
    <w:p w14:paraId="7465D186">
      <w:pPr>
        <w:pStyle w:val="3"/>
        <w:bidi w:val="0"/>
        <w:rPr>
          <w:rFonts w:hint="eastAsia" w:ascii="宋体" w:hAnsi="宋体" w:eastAsia="宋体" w:cs="宋体"/>
          <w:color w:val="auto"/>
          <w:sz w:val="24"/>
          <w:szCs w:val="24"/>
        </w:rPr>
      </w:pPr>
      <w:bookmarkStart w:id="22" w:name="_Toc21787"/>
      <w:bookmarkStart w:id="23" w:name="_Toc6788"/>
      <w:r>
        <w:rPr>
          <w:rFonts w:hint="eastAsia"/>
          <w:b/>
          <w:color w:val="auto"/>
          <w:lang w:val="en-US" w:eastAsia="zh-CN"/>
        </w:rPr>
        <w:t>1.7开发商委托销售授权函</w:t>
      </w:r>
      <w:bookmarkEnd w:id="22"/>
      <w:bookmarkEnd w:id="23"/>
    </w:p>
    <w:p w14:paraId="4AB46103">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4E5603C">
      <w:pPr>
        <w:pStyle w:val="14"/>
        <w:rPr>
          <w:rFonts w:hint="eastAsia" w:ascii="宋体" w:hAnsi="宋体" w:eastAsia="宋体" w:cs="宋体"/>
          <w:color w:val="auto"/>
          <w:sz w:val="24"/>
          <w:szCs w:val="24"/>
        </w:rPr>
      </w:pPr>
    </w:p>
    <w:p w14:paraId="02A67424">
      <w:pPr>
        <w:pStyle w:val="14"/>
        <w:rPr>
          <w:rFonts w:hint="eastAsia" w:ascii="宋体" w:hAnsi="宋体" w:eastAsia="宋体" w:cs="宋体"/>
          <w:color w:val="auto"/>
          <w:sz w:val="24"/>
          <w:szCs w:val="24"/>
        </w:rPr>
      </w:pPr>
    </w:p>
    <w:p w14:paraId="15524A86">
      <w:pPr>
        <w:pStyle w:val="14"/>
        <w:rPr>
          <w:rFonts w:hint="eastAsia" w:ascii="宋体" w:hAnsi="宋体" w:eastAsia="宋体" w:cs="宋体"/>
          <w:color w:val="auto"/>
          <w:sz w:val="24"/>
          <w:szCs w:val="24"/>
        </w:rPr>
      </w:pPr>
    </w:p>
    <w:p w14:paraId="78A5D3B8">
      <w:pPr>
        <w:pStyle w:val="14"/>
        <w:rPr>
          <w:rFonts w:hint="eastAsia" w:ascii="宋体" w:hAnsi="宋体" w:eastAsia="宋体" w:cs="宋体"/>
          <w:color w:val="auto"/>
          <w:sz w:val="24"/>
          <w:szCs w:val="24"/>
        </w:rPr>
      </w:pPr>
    </w:p>
    <w:p w14:paraId="1FB906DD">
      <w:pPr>
        <w:pStyle w:val="14"/>
        <w:rPr>
          <w:rFonts w:hint="eastAsia" w:ascii="宋体" w:hAnsi="宋体" w:eastAsia="宋体" w:cs="宋体"/>
          <w:color w:val="auto"/>
          <w:sz w:val="24"/>
          <w:szCs w:val="24"/>
        </w:rPr>
      </w:pPr>
    </w:p>
    <w:p w14:paraId="6A6FCF73">
      <w:pPr>
        <w:pStyle w:val="14"/>
        <w:rPr>
          <w:rFonts w:hint="eastAsia" w:ascii="宋体" w:hAnsi="宋体" w:eastAsia="宋体" w:cs="宋体"/>
          <w:color w:val="auto"/>
          <w:sz w:val="24"/>
          <w:szCs w:val="24"/>
        </w:rPr>
      </w:pPr>
    </w:p>
    <w:p w14:paraId="193DC50C">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386B417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08955908">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项目名称：数字信息综合管理平台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采购品目分类名称：</w:t>
      </w:r>
    </w:p>
    <w:p w14:paraId="579850F1">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p w14:paraId="77BFBC6D">
      <w:pPr>
        <w:rPr>
          <w:rFonts w:hint="eastAsia"/>
          <w:lang w:val="en-US" w:eastAsia="zh-CN"/>
        </w:rPr>
      </w:pPr>
      <w:r>
        <w:rPr>
          <w:rFonts w:hint="eastAsia" w:ascii="仿宋" w:hAnsi="仿宋" w:eastAsia="仿宋" w:cs="仿宋"/>
          <w:b/>
          <w:bCs/>
          <w:i w:val="0"/>
          <w:iCs w:val="0"/>
          <w:color w:val="auto"/>
          <w:kern w:val="0"/>
          <w:sz w:val="28"/>
          <w:szCs w:val="28"/>
          <w:u w:val="none"/>
          <w:lang w:val="en-US" w:eastAsia="zh-CN" w:bidi="ar"/>
        </w:rPr>
        <w:t>（一）报价清单</w:t>
      </w:r>
    </w:p>
    <w:tbl>
      <w:tblPr>
        <w:tblStyle w:val="10"/>
        <w:tblW w:w="498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2607"/>
        <w:gridCol w:w="960"/>
        <w:gridCol w:w="1740"/>
        <w:gridCol w:w="2564"/>
        <w:gridCol w:w="2657"/>
        <w:gridCol w:w="3555"/>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数量</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计量单位</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cstheme="minorEastAsia"/>
                <w:i w:val="0"/>
                <w:iCs w:val="0"/>
                <w:color w:val="auto"/>
                <w:kern w:val="0"/>
                <w:sz w:val="21"/>
                <w:szCs w:val="21"/>
                <w:u w:val="none"/>
                <w:lang w:val="en-US" w:eastAsia="zh-CN" w:bidi="ar"/>
              </w:rPr>
              <w:t>报价单价</w:t>
            </w:r>
            <w:r>
              <w:rPr>
                <w:rFonts w:hint="eastAsia" w:asciiTheme="minorEastAsia" w:hAnsiTheme="minorEastAsia" w:eastAsiaTheme="minorEastAsia" w:cstheme="minorEastAsia"/>
                <w:i w:val="0"/>
                <w:iCs w:val="0"/>
                <w:color w:val="auto"/>
                <w:kern w:val="0"/>
                <w:sz w:val="21"/>
                <w:szCs w:val="21"/>
                <w:u w:val="none"/>
                <w:lang w:val="en-US" w:eastAsia="zh-CN" w:bidi="ar"/>
              </w:rPr>
              <w:t>（万元）</w:t>
            </w:r>
          </w:p>
        </w:tc>
        <w:tc>
          <w:tcPr>
            <w:tcW w:w="9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BC1CF">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报价总</w:t>
            </w:r>
            <w:r>
              <w:rPr>
                <w:rFonts w:hint="eastAsia" w:asciiTheme="minorEastAsia" w:hAnsiTheme="minorEastAsia" w:eastAsiaTheme="minorEastAsia" w:cstheme="minorEastAsia"/>
                <w:i w:val="0"/>
                <w:iCs w:val="0"/>
                <w:color w:val="auto"/>
                <w:kern w:val="0"/>
                <w:sz w:val="21"/>
                <w:szCs w:val="21"/>
                <w:u w:val="none"/>
                <w:lang w:val="en-US" w:eastAsia="zh-CN" w:bidi="ar"/>
              </w:rPr>
              <w:t>金额（万元）</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sz w:val="21"/>
                <w:szCs w:val="21"/>
                <w:u w:val="none"/>
                <w:lang w:val="en-US"/>
              </w:rPr>
            </w:pPr>
            <w:r>
              <w:rPr>
                <w:rFonts w:hint="eastAsia" w:asciiTheme="minorEastAsia" w:hAnsiTheme="minorEastAsia" w:cstheme="minorEastAsia"/>
                <w:i w:val="0"/>
                <w:iCs w:val="0"/>
                <w:color w:val="auto"/>
                <w:kern w:val="0"/>
                <w:sz w:val="21"/>
                <w:szCs w:val="21"/>
                <w:u w:val="none"/>
                <w:lang w:val="en-US" w:eastAsia="zh-CN" w:bidi="ar"/>
              </w:rPr>
              <w:t>数字信息综合管理系统</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Theme="minorEastAsia" w:hAnsiTheme="minorEastAsia" w:eastAsiaTheme="minorEastAsia" w:cstheme="minorEastAsia"/>
                <w:i w:val="0"/>
                <w:iCs w:val="0"/>
                <w:color w:val="auto"/>
                <w:sz w:val="21"/>
                <w:szCs w:val="21"/>
                <w:u w:val="none"/>
              </w:rPr>
            </w:pPr>
          </w:p>
        </w:tc>
        <w:tc>
          <w:tcPr>
            <w:tcW w:w="9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6985B">
            <w:pPr>
              <w:jc w:val="center"/>
              <w:rPr>
                <w:rFonts w:hint="eastAsia" w:asciiTheme="minorEastAsia" w:hAnsiTheme="minorEastAsia" w:eastAsiaTheme="minorEastAsia" w:cstheme="minorEastAsia"/>
                <w:i w:val="0"/>
                <w:iCs w:val="0"/>
                <w:color w:val="auto"/>
                <w:sz w:val="21"/>
                <w:szCs w:val="21"/>
                <w:u w:val="none"/>
              </w:rPr>
            </w:pP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8780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p>
        </w:tc>
      </w:tr>
      <w:tr w14:paraId="7243F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AC2CA">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41F0E">
            <w:pPr>
              <w:keepNext w:val="0"/>
              <w:keepLines w:val="0"/>
              <w:widowControl/>
              <w:suppressLineNumbers w:val="0"/>
              <w:jc w:val="center"/>
              <w:textAlignment w:val="center"/>
              <w:rPr>
                <w:rFonts w:hint="default"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扫码枪</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899E9">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12</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13245">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台</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2C0AE">
            <w:pPr>
              <w:jc w:val="center"/>
              <w:rPr>
                <w:rFonts w:hint="eastAsia" w:asciiTheme="minorEastAsia" w:hAnsiTheme="minorEastAsia" w:eastAsiaTheme="minorEastAsia" w:cstheme="minorEastAsia"/>
                <w:i w:val="0"/>
                <w:iCs w:val="0"/>
                <w:color w:val="auto"/>
                <w:sz w:val="21"/>
                <w:szCs w:val="21"/>
                <w:u w:val="none"/>
              </w:rPr>
            </w:pPr>
          </w:p>
        </w:tc>
        <w:tc>
          <w:tcPr>
            <w:tcW w:w="9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CDFAB">
            <w:pPr>
              <w:jc w:val="center"/>
              <w:rPr>
                <w:rFonts w:hint="eastAsia" w:asciiTheme="minorEastAsia" w:hAnsiTheme="minorEastAsia" w:eastAsiaTheme="minorEastAsia" w:cstheme="minorEastAsia"/>
                <w:i w:val="0"/>
                <w:iCs w:val="0"/>
                <w:color w:val="auto"/>
                <w:sz w:val="21"/>
                <w:szCs w:val="21"/>
                <w:u w:val="none"/>
              </w:rPr>
            </w:pP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966C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宋体" w:hAnsi="宋体" w:eastAsia="宋体" w:cs="宋体"/>
                <w:i w:val="0"/>
                <w:iCs w:val="0"/>
                <w:color w:val="000000"/>
                <w:kern w:val="0"/>
                <w:sz w:val="21"/>
                <w:szCs w:val="21"/>
                <w:u w:val="none"/>
                <w:lang w:val="en-US" w:eastAsia="zh-CN" w:bidi="ar"/>
              </w:rPr>
              <w:t>兼容载玻片与包埋盒扫描识别，支持自动扫码、一维码/二维码/OCR识别</w:t>
            </w:r>
          </w:p>
        </w:tc>
      </w:tr>
      <w:tr w14:paraId="49F0D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34FC5">
            <w:pPr>
              <w:keepNext w:val="0"/>
              <w:keepLines w:val="0"/>
              <w:widowControl/>
              <w:suppressLineNumbers w:val="0"/>
              <w:jc w:val="center"/>
              <w:textAlignment w:val="center"/>
              <w:rPr>
                <w:rFonts w:hint="default"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3</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0A507">
            <w:pPr>
              <w:keepNext w:val="0"/>
              <w:keepLines w:val="0"/>
              <w:widowControl/>
              <w:suppressLineNumbers w:val="0"/>
              <w:jc w:val="center"/>
              <w:textAlignment w:val="center"/>
              <w:rPr>
                <w:rFonts w:hint="default"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技术流程管理工作站</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5B61E">
            <w:pPr>
              <w:keepNext w:val="0"/>
              <w:keepLines w:val="0"/>
              <w:widowControl/>
              <w:suppressLineNumbers w:val="0"/>
              <w:jc w:val="center"/>
              <w:textAlignment w:val="center"/>
              <w:rPr>
                <w:rFonts w:hint="default"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6</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07700">
            <w:pPr>
              <w:keepNext w:val="0"/>
              <w:keepLines w:val="0"/>
              <w:widowControl/>
              <w:suppressLineNumbers w:val="0"/>
              <w:jc w:val="center"/>
              <w:textAlignment w:val="center"/>
              <w:rPr>
                <w:rFonts w:hint="default"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台</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3EC08">
            <w:pPr>
              <w:jc w:val="center"/>
              <w:rPr>
                <w:rFonts w:hint="eastAsia" w:asciiTheme="minorEastAsia" w:hAnsiTheme="minorEastAsia" w:eastAsiaTheme="minorEastAsia" w:cstheme="minorEastAsia"/>
                <w:i w:val="0"/>
                <w:iCs w:val="0"/>
                <w:color w:val="auto"/>
                <w:sz w:val="21"/>
                <w:szCs w:val="21"/>
                <w:u w:val="none"/>
              </w:rPr>
            </w:pPr>
          </w:p>
        </w:tc>
        <w:tc>
          <w:tcPr>
            <w:tcW w:w="9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6FCF4">
            <w:pPr>
              <w:jc w:val="center"/>
              <w:rPr>
                <w:rFonts w:hint="eastAsia" w:asciiTheme="minorEastAsia" w:hAnsiTheme="minorEastAsia" w:eastAsiaTheme="minorEastAsia" w:cstheme="minorEastAsia"/>
                <w:i w:val="0"/>
                <w:iCs w:val="0"/>
                <w:color w:val="auto"/>
                <w:sz w:val="21"/>
                <w:szCs w:val="21"/>
                <w:u w:val="none"/>
              </w:rPr>
            </w:pP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BC88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宋体" w:hAnsi="宋体" w:eastAsia="宋体" w:cs="宋体"/>
                <w:i w:val="0"/>
                <w:iCs w:val="0"/>
                <w:color w:val="000000"/>
                <w:kern w:val="0"/>
                <w:sz w:val="21"/>
                <w:szCs w:val="21"/>
                <w:u w:val="none"/>
                <w:lang w:val="en-US" w:eastAsia="zh-CN" w:bidi="ar"/>
              </w:rPr>
              <w:t>显示≥10英寸，分辨率≥800×1280 IPS，支持Windows，防护等级≥IP65</w:t>
            </w:r>
          </w:p>
        </w:tc>
      </w:tr>
    </w:tbl>
    <w:p w14:paraId="14E15435">
      <w:pPr>
        <w:numPr>
          <w:ilvl w:val="0"/>
          <w:numId w:val="0"/>
        </w:numPr>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（二）服务要求</w:t>
      </w:r>
    </w:p>
    <w:tbl>
      <w:tblPr>
        <w:tblStyle w:val="10"/>
        <w:tblW w:w="147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8"/>
        <w:gridCol w:w="3360"/>
        <w:gridCol w:w="1293"/>
        <w:gridCol w:w="9282"/>
      </w:tblGrid>
      <w:tr w14:paraId="3DF25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7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3BAC">
            <w:pPr>
              <w:keepNext w:val="0"/>
              <w:keepLines w:val="0"/>
              <w:widowControl/>
              <w:suppressLineNumbers w:val="0"/>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（一）系统拟建设内容</w:t>
            </w:r>
          </w:p>
        </w:tc>
      </w:tr>
      <w:tr w14:paraId="6B83E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FC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F1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D59E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主要功能要求</w:t>
            </w:r>
          </w:p>
        </w:tc>
      </w:tr>
      <w:tr w14:paraId="3C9B2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B4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CF2B">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病理申请及标本流转模块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BDB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支持申请单多级分级、在线打印申请单与标本标签、标本扫码流转记录、全流程查询监控、超时自动提醒</w:t>
            </w:r>
          </w:p>
        </w:tc>
      </w:tr>
      <w:tr w14:paraId="7D703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5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8569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病例登记模块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032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支持手工及HIS提取登记、扫描标签识别标本种类、二维码批量打印、不合格标本拒收记录、自定义病理号编码规则</w:t>
            </w:r>
          </w:p>
        </w:tc>
      </w:tr>
      <w:tr w14:paraId="35395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35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CFF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取材管理模块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B3F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未取材/补取列表提示、冰冻结果联动、结构化取材模板、大体标本拍照关联、取材工作交接管理、对接包埋盒打号机</w:t>
            </w:r>
          </w:p>
        </w:tc>
      </w:tr>
      <w:tr w14:paraId="5265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55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F06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脱水管理模块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9A3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脱水起止时间记录、按脱水框批量操作、脱水状态分状态统计</w:t>
            </w:r>
          </w:p>
        </w:tc>
      </w:tr>
      <w:tr w14:paraId="584D6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2B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22E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包埋管理模块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C78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全程二维码扫描、语音播报特别说明、取材质量评价、全流程追踪、工作量统计</w:t>
            </w:r>
          </w:p>
        </w:tc>
      </w:tr>
      <w:tr w14:paraId="4BABF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C6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3A3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切片管理模块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5DF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批量扫描包埋盒打印玻片条码、切片质量评价、工作量精确统计、切片环节全流程追踪并支持双核对校验</w:t>
            </w:r>
          </w:p>
        </w:tc>
      </w:tr>
      <w:tr w14:paraId="27E6E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23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E43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染色封片管理模块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022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扫描切片二维码记录操作与起止时间、连号快速染色、工作量统计</w:t>
            </w:r>
          </w:p>
        </w:tc>
      </w:tr>
      <w:tr w14:paraId="05187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19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F1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冰冻制片模块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D37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独立冰冻流程、平板对接扫码枪与打号机、冰冻常规自动关联、冰冻符合率统计</w:t>
            </w:r>
          </w:p>
        </w:tc>
      </w:tr>
      <w:tr w14:paraId="0E459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A5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BB9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病理诊断模块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921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镜下所见与诊断录入、常用词与模板自定义、报告双签与电子签名、诊断质量管控、科内会诊、随访管理、集成数字病理切片数字化诊断与在线标注、WHO肿瘤分级分类标签、一键远程会诊</w:t>
            </w:r>
          </w:p>
        </w:tc>
      </w:tr>
      <w:tr w14:paraId="0F63D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599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21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特检医嘱管理模块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90B8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特检申请/报告、标记物自动匹配、全流程管理与收费统计、短信通知未缴费病例</w:t>
            </w:r>
          </w:p>
        </w:tc>
      </w:tr>
      <w:tr w14:paraId="2D6D8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29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5F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免疫组化管理模块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D81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免疫组化工作站全流程闭环、标签及工作单批量打印</w:t>
            </w:r>
          </w:p>
        </w:tc>
      </w:tr>
      <w:tr w14:paraId="26082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AB1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74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分子管理模块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E08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分子病理独立管理、全流程记录、数据统计</w:t>
            </w:r>
          </w:p>
        </w:tc>
      </w:tr>
      <w:tr w14:paraId="419FC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14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41E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细胞学管理模块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7CD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独立细胞制片流程、TBS分级统计、细胞蜡块免疫组化医嘱</w:t>
            </w:r>
          </w:p>
        </w:tc>
      </w:tr>
      <w:tr w14:paraId="66458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F0B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555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借阅归档模块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4C9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批量切片/蜡块借阅归档、按病理号归档定位、借还状态查询</w:t>
            </w:r>
          </w:p>
        </w:tc>
      </w:tr>
      <w:tr w14:paraId="2E7DC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D7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DAD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统计分析模块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3C7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送检量统计、多维度工作量报表、十三项质控指标统计、肿瘤分级统计</w:t>
            </w:r>
          </w:p>
        </w:tc>
      </w:tr>
      <w:tr w14:paraId="25B07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53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434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质控管理模块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010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取材/制片/诊断各环节超时管理与短信提醒、三甲复审十三项质控指标、抽检质控任务一键导出与持续改进追踪</w:t>
            </w:r>
          </w:p>
        </w:tc>
      </w:tr>
      <w:tr w14:paraId="62065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00C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480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资产管理模块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69A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固定资产管理含打号机/显微镜、维护记录、入库出库维修报废、到期提醒</w:t>
            </w:r>
          </w:p>
        </w:tc>
      </w:tr>
      <w:tr w14:paraId="0A8A1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34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78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消息通知模块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6FD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系统内消息、业务条件触发自动提醒、消息等级分类</w:t>
            </w:r>
          </w:p>
        </w:tc>
      </w:tr>
      <w:tr w14:paraId="5FA1F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DD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2D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日志管理模块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92A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错误/运行/操作日志、病例操作日志含操作时间人类型IP、登录日志</w:t>
            </w:r>
          </w:p>
        </w:tc>
      </w:tr>
      <w:tr w14:paraId="562B3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B0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569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工作台管理模块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114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便签、消息汇总、快捷跳转、病例量看板</w:t>
            </w:r>
          </w:p>
        </w:tc>
      </w:tr>
      <w:tr w14:paraId="4C0CF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49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15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数据查询模块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D8D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多条件组合查询、状态筛选、导出Excel、个性查询配置</w:t>
            </w:r>
          </w:p>
        </w:tc>
      </w:tr>
      <w:tr w14:paraId="10E03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20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0DC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用户角色管理模块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673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权限分级、操作日志与登录日志</w:t>
            </w:r>
          </w:p>
        </w:tc>
      </w:tr>
      <w:tr w14:paraId="50189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24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E3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排班管理模块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F48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考勤分组、班次规则配置、值班表</w:t>
            </w:r>
          </w:p>
        </w:tc>
      </w:tr>
      <w:tr w14:paraId="084A1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92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B3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业务连续性模块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EC1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负载均衡与多机备份、自动全量/增量备份、容器化运行</w:t>
            </w:r>
          </w:p>
        </w:tc>
      </w:tr>
      <w:tr w14:paraId="31491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32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98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系统架构管理模块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002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B/S架构主流浏览器免插件、MySQL/RabbitMQ/Redis技术栈、移动端异地诊断、信息安全测评与性能检验报告、微服务架构证明材料</w:t>
            </w:r>
          </w:p>
        </w:tc>
      </w:tr>
      <w:tr w14:paraId="2666A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58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94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结构化报告模块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884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WHO等权威结构化模板、模板切换、分子病理模板、不少于36种泛癌种结构化报告模板</w:t>
            </w:r>
          </w:p>
        </w:tc>
      </w:tr>
      <w:tr w14:paraId="54E99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C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0B4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危急值管理模块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4C5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危急值设定监测与通知、危急值列表与Excel导出、沟通记录、特殊标识提醒</w:t>
            </w:r>
          </w:p>
        </w:tc>
      </w:tr>
      <w:tr w14:paraId="1FA6C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4B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15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标本追踪模块</w:t>
            </w:r>
          </w:p>
        </w:tc>
        <w:tc>
          <w:tcPr>
            <w:tcW w:w="10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1C6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扫码记录标本批次与人员、全流程环节监控、闭环溯源、一键查询未登记标本</w:t>
            </w:r>
          </w:p>
        </w:tc>
      </w:tr>
      <w:tr w14:paraId="10A6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74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B383">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（二）配套硬件设备</w:t>
            </w:r>
          </w:p>
        </w:tc>
      </w:tr>
      <w:tr w14:paraId="6CD86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ED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A1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5C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9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D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主要配置要求</w:t>
            </w:r>
          </w:p>
        </w:tc>
      </w:tr>
      <w:tr w14:paraId="797C6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C5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CF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扫码枪</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51F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12台</w:t>
            </w:r>
          </w:p>
        </w:tc>
        <w:tc>
          <w:tcPr>
            <w:tcW w:w="9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0B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兼容载玻片与包埋盒扫描识别，支持自动扫码、一维码/二维码/OCR识别</w:t>
            </w:r>
          </w:p>
        </w:tc>
      </w:tr>
      <w:tr w14:paraId="5DC3D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126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610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技术流程管理工作站</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427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6台</w:t>
            </w:r>
          </w:p>
        </w:tc>
        <w:tc>
          <w:tcPr>
            <w:tcW w:w="9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F8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显示≥10英寸，分辨率≥800×1280 IPS，支持Windows，防护等级≥IP65</w:t>
            </w:r>
          </w:p>
        </w:tc>
      </w:tr>
    </w:tbl>
    <w:p w14:paraId="3682EA70">
      <w:pPr>
        <w:rPr>
          <w:rFonts w:hint="eastAsia"/>
          <w:color w:val="auto"/>
          <w:lang w:val="en-US" w:eastAsia="zh-CN"/>
        </w:rPr>
      </w:pPr>
    </w:p>
    <w:p w14:paraId="7C3C386B">
      <w:pPr>
        <w:rPr>
          <w:rFonts w:hint="eastAsia"/>
          <w:color w:val="auto"/>
          <w:lang w:val="en-US" w:eastAsia="zh-CN"/>
        </w:rPr>
        <w:sectPr>
          <w:pgSz w:w="16838" w:h="11906" w:orient="landscape"/>
          <w:pgMar w:top="1134" w:right="1134" w:bottom="567" w:left="1134" w:header="851" w:footer="992" w:gutter="0"/>
          <w:cols w:space="425" w:num="1"/>
          <w:docGrid w:type="lines" w:linePitch="312" w:charSpace="0"/>
        </w:sectPr>
      </w:pPr>
    </w:p>
    <w:p w14:paraId="5D587B4B">
      <w:pPr>
        <w:pStyle w:val="14"/>
        <w:rPr>
          <w:rFonts w:hint="eastAsia"/>
          <w:color w:val="auto"/>
          <w:lang w:val="en-US" w:eastAsia="zh-CN"/>
        </w:rPr>
      </w:pPr>
    </w:p>
    <w:p w14:paraId="6017D881">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075950E2">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14E7BA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0016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5A397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4564C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51961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D3313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1A4366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8858F1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EF57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0CD13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394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9E7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5C32F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5DE5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E78D98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8F77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AE11A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7F69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FA6A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FE9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D53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87690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3CAF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3086A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9EE58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73E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91A8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0885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90D4FA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B0F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5CA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7CB0C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29E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9CA8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0837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02C7985D">
      <w:pPr>
        <w:pStyle w:val="22"/>
        <w:ind w:firstLine="0" w:firstLineChars="0"/>
        <w:rPr>
          <w:rFonts w:hint="eastAsia" w:ascii="仿宋" w:hAnsi="仿宋" w:eastAsia="仿宋" w:cs="仿宋"/>
          <w:color w:val="auto"/>
          <w:sz w:val="30"/>
          <w:szCs w:val="30"/>
        </w:rPr>
      </w:pPr>
    </w:p>
    <w:p w14:paraId="62CB2C95">
      <w:pPr>
        <w:pStyle w:val="14"/>
        <w:rPr>
          <w:rFonts w:hint="eastAsia" w:ascii="仿宋" w:hAnsi="仿宋" w:eastAsia="仿宋" w:cs="仿宋"/>
          <w:color w:val="auto"/>
          <w:kern w:val="2"/>
          <w:sz w:val="30"/>
          <w:szCs w:val="30"/>
        </w:rPr>
      </w:pPr>
    </w:p>
    <w:p w14:paraId="6FFD4938">
      <w:pPr>
        <w:pStyle w:val="14"/>
        <w:rPr>
          <w:rFonts w:hint="eastAsia" w:ascii="仿宋" w:hAnsi="仿宋" w:eastAsia="仿宋" w:cs="仿宋"/>
          <w:color w:val="auto"/>
          <w:kern w:val="2"/>
          <w:sz w:val="30"/>
          <w:szCs w:val="30"/>
        </w:rPr>
      </w:pPr>
    </w:p>
    <w:p w14:paraId="54849A12">
      <w:pPr>
        <w:pStyle w:val="14"/>
        <w:rPr>
          <w:rFonts w:hint="eastAsia" w:ascii="仿宋" w:hAnsi="仿宋" w:eastAsia="仿宋" w:cs="仿宋"/>
          <w:color w:val="auto"/>
          <w:kern w:val="2"/>
          <w:sz w:val="30"/>
          <w:szCs w:val="30"/>
        </w:rPr>
      </w:pPr>
    </w:p>
    <w:p w14:paraId="73DB42E5">
      <w:pPr>
        <w:pStyle w:val="14"/>
        <w:rPr>
          <w:rFonts w:hint="eastAsia" w:ascii="仿宋" w:hAnsi="仿宋" w:eastAsia="仿宋" w:cs="仿宋"/>
          <w:color w:val="auto"/>
          <w:kern w:val="2"/>
          <w:sz w:val="30"/>
          <w:szCs w:val="30"/>
        </w:rPr>
      </w:pPr>
    </w:p>
    <w:p w14:paraId="3B4BCB70">
      <w:pPr>
        <w:pStyle w:val="14"/>
        <w:rPr>
          <w:rFonts w:hint="eastAsia" w:ascii="仿宋" w:hAnsi="仿宋" w:eastAsia="仿宋" w:cs="仿宋"/>
          <w:color w:val="auto"/>
          <w:kern w:val="2"/>
          <w:sz w:val="30"/>
          <w:szCs w:val="30"/>
        </w:rPr>
      </w:pPr>
    </w:p>
    <w:p w14:paraId="681C6975">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EE316A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007F0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0A110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C186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05DFD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2938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57B04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76F68CE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35818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F322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CF700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DB5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483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39B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85EB3B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2DFA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B643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9DB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93E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E70F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2B3A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72AE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0B9E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4EB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7C0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98F1F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10C82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907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14870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239DB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D115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19F4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0803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C7B0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72EC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41FC0966">
      <w:pPr>
        <w:rPr>
          <w:rFonts w:hint="eastAsia"/>
          <w:color w:val="auto"/>
          <w:lang w:val="en-US" w:eastAsia="zh-CN"/>
        </w:rPr>
      </w:pPr>
    </w:p>
    <w:p w14:paraId="4C4D280D">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C8F903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46B6685E">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5782AF3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16B3C9C9">
      <w:pPr>
        <w:pStyle w:val="3"/>
        <w:bidi w:val="0"/>
        <w:ind w:firstLine="482" w:firstLineChars="200"/>
        <w:rPr>
          <w:rFonts w:hint="eastAsia"/>
          <w:color w:val="auto"/>
          <w:lang w:val="en-US" w:eastAsia="zh-CN"/>
        </w:rPr>
      </w:pPr>
    </w:p>
    <w:p w14:paraId="389C42FC">
      <w:pPr>
        <w:pStyle w:val="3"/>
        <w:bidi w:val="0"/>
        <w:ind w:firstLine="482" w:firstLineChars="200"/>
        <w:rPr>
          <w:rFonts w:hint="eastAsia"/>
          <w:color w:val="auto"/>
          <w:lang w:val="en-US" w:eastAsia="zh-CN"/>
        </w:rPr>
      </w:pPr>
      <w:bookmarkStart w:id="29" w:name="_Toc138151651"/>
      <w:bookmarkStart w:id="30" w:name="_Toc7986"/>
      <w:r>
        <w:rPr>
          <w:rFonts w:hint="eastAsia"/>
          <w:color w:val="auto"/>
          <w:lang w:val="en-US" w:eastAsia="zh-CN"/>
        </w:rPr>
        <w:t>4.3三甲综合医院同类项目案例合同及验收佐证</w:t>
      </w:r>
      <w:bookmarkEnd w:id="29"/>
      <w:bookmarkEnd w:id="30"/>
    </w:p>
    <w:p w14:paraId="37ACC053">
      <w:pPr>
        <w:pStyle w:val="14"/>
        <w:spacing w:line="240" w:lineRule="auto"/>
        <w:rPr>
          <w:rFonts w:hint="eastAsia" w:ascii="仿宋" w:hAnsi="仿宋" w:eastAsia="仿宋" w:cs="仿宋"/>
          <w:b w:val="0"/>
          <w:color w:val="auto"/>
          <w:kern w:val="2"/>
          <w:sz w:val="24"/>
          <w:szCs w:val="24"/>
          <w:lang w:val="en-US" w:eastAsia="zh-CN" w:bidi="ar-SA"/>
        </w:rPr>
      </w:pPr>
    </w:p>
    <w:p w14:paraId="29A863C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684FC671">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48B6540">
      <w:pPr>
        <w:rPr>
          <w:rFonts w:hint="eastAsia"/>
          <w:color w:val="auto"/>
          <w:lang w:val="en-US" w:eastAsia="zh-CN"/>
        </w:rPr>
      </w:pPr>
    </w:p>
    <w:p w14:paraId="27D2C93C">
      <w:pPr>
        <w:rPr>
          <w:rFonts w:hint="eastAsia"/>
          <w:color w:val="auto"/>
          <w:lang w:val="en-US" w:eastAsia="zh-CN"/>
        </w:rPr>
      </w:pPr>
    </w:p>
    <w:p w14:paraId="6D99AB6B">
      <w:pPr>
        <w:rPr>
          <w:rFonts w:hint="default"/>
          <w:color w:val="auto"/>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58BFEE-D5E9-493A-A374-3084396BCD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92B3D86-C0BD-4322-93ED-1698F00F9623}"/>
  </w:font>
  <w:font w:name="仿宋">
    <w:panose1 w:val="02010609060101010101"/>
    <w:charset w:val="86"/>
    <w:family w:val="auto"/>
    <w:pitch w:val="default"/>
    <w:sig w:usb0="800002BF" w:usb1="38CF7CFA" w:usb2="00000016" w:usb3="00000000" w:csb0="00040001" w:csb1="00000000"/>
    <w:embedRegular r:id="rId3" w:fontKey="{3382210B-F8D5-46F3-A6CD-E66762306B7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DEF404"/>
    <w:multiLevelType w:val="singleLevel"/>
    <w:tmpl w:val="23DEF4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0885B23"/>
    <w:rsid w:val="01CB5422"/>
    <w:rsid w:val="01D52A58"/>
    <w:rsid w:val="0224038E"/>
    <w:rsid w:val="02CE7139"/>
    <w:rsid w:val="03157A96"/>
    <w:rsid w:val="03163E1D"/>
    <w:rsid w:val="03530F6F"/>
    <w:rsid w:val="03552A08"/>
    <w:rsid w:val="03675EC4"/>
    <w:rsid w:val="03D3104E"/>
    <w:rsid w:val="04275A22"/>
    <w:rsid w:val="04593878"/>
    <w:rsid w:val="052B1309"/>
    <w:rsid w:val="067C1B91"/>
    <w:rsid w:val="072D11D3"/>
    <w:rsid w:val="07C537D5"/>
    <w:rsid w:val="07E9598A"/>
    <w:rsid w:val="07F76D1E"/>
    <w:rsid w:val="09042474"/>
    <w:rsid w:val="0926542A"/>
    <w:rsid w:val="09572537"/>
    <w:rsid w:val="09EF4DDA"/>
    <w:rsid w:val="09F06B51"/>
    <w:rsid w:val="0A5A448A"/>
    <w:rsid w:val="0AED6E12"/>
    <w:rsid w:val="0C811C7B"/>
    <w:rsid w:val="0C8C3677"/>
    <w:rsid w:val="0CDC4161"/>
    <w:rsid w:val="0D293630"/>
    <w:rsid w:val="0D5422FE"/>
    <w:rsid w:val="0DD4413B"/>
    <w:rsid w:val="0E056A05"/>
    <w:rsid w:val="0E154AB8"/>
    <w:rsid w:val="0E236E8B"/>
    <w:rsid w:val="0E266744"/>
    <w:rsid w:val="0EA93CA3"/>
    <w:rsid w:val="0F7C3008"/>
    <w:rsid w:val="0FE60171"/>
    <w:rsid w:val="10AE73EC"/>
    <w:rsid w:val="11111FC4"/>
    <w:rsid w:val="1118101A"/>
    <w:rsid w:val="11DA6532"/>
    <w:rsid w:val="121A3D4C"/>
    <w:rsid w:val="126B2BAF"/>
    <w:rsid w:val="12B91B6C"/>
    <w:rsid w:val="12EC0842"/>
    <w:rsid w:val="134306AA"/>
    <w:rsid w:val="134A6465"/>
    <w:rsid w:val="135A02D0"/>
    <w:rsid w:val="13712447"/>
    <w:rsid w:val="137E6021"/>
    <w:rsid w:val="139D7869"/>
    <w:rsid w:val="13EC5F71"/>
    <w:rsid w:val="142A7973"/>
    <w:rsid w:val="147A721A"/>
    <w:rsid w:val="14E013D0"/>
    <w:rsid w:val="14F31935"/>
    <w:rsid w:val="152A0AFF"/>
    <w:rsid w:val="15B825AF"/>
    <w:rsid w:val="15CF1F26"/>
    <w:rsid w:val="15E02221"/>
    <w:rsid w:val="16207B77"/>
    <w:rsid w:val="16B36D4D"/>
    <w:rsid w:val="172F68A6"/>
    <w:rsid w:val="174D1B73"/>
    <w:rsid w:val="183258F7"/>
    <w:rsid w:val="18342516"/>
    <w:rsid w:val="18552DB3"/>
    <w:rsid w:val="189E2676"/>
    <w:rsid w:val="18C17DE5"/>
    <w:rsid w:val="18D92EBD"/>
    <w:rsid w:val="1A44658D"/>
    <w:rsid w:val="1AAF2DD5"/>
    <w:rsid w:val="1AC716B0"/>
    <w:rsid w:val="1AE31E7C"/>
    <w:rsid w:val="1B46204F"/>
    <w:rsid w:val="1B99074F"/>
    <w:rsid w:val="1B9B7856"/>
    <w:rsid w:val="1BB8428A"/>
    <w:rsid w:val="1BBC5511"/>
    <w:rsid w:val="1CFC6AF6"/>
    <w:rsid w:val="1DBE13B8"/>
    <w:rsid w:val="1DD609E7"/>
    <w:rsid w:val="1DE303E5"/>
    <w:rsid w:val="1E77318B"/>
    <w:rsid w:val="1ED65F1E"/>
    <w:rsid w:val="1F4A5F8A"/>
    <w:rsid w:val="1F794C63"/>
    <w:rsid w:val="1FDD356D"/>
    <w:rsid w:val="1FE37DA0"/>
    <w:rsid w:val="20390524"/>
    <w:rsid w:val="20E172DD"/>
    <w:rsid w:val="20E3342D"/>
    <w:rsid w:val="21254871"/>
    <w:rsid w:val="214831CD"/>
    <w:rsid w:val="21A97250"/>
    <w:rsid w:val="21F83C21"/>
    <w:rsid w:val="220D5A31"/>
    <w:rsid w:val="228C6E75"/>
    <w:rsid w:val="22A273FF"/>
    <w:rsid w:val="22C11246"/>
    <w:rsid w:val="236C2324"/>
    <w:rsid w:val="23916523"/>
    <w:rsid w:val="23E16FFF"/>
    <w:rsid w:val="23E3036F"/>
    <w:rsid w:val="249266C1"/>
    <w:rsid w:val="25333A00"/>
    <w:rsid w:val="25380CA0"/>
    <w:rsid w:val="257D0110"/>
    <w:rsid w:val="25C63BAB"/>
    <w:rsid w:val="25C67C05"/>
    <w:rsid w:val="25D70354"/>
    <w:rsid w:val="263578BE"/>
    <w:rsid w:val="263D04BC"/>
    <w:rsid w:val="264D0C78"/>
    <w:rsid w:val="26A70C65"/>
    <w:rsid w:val="26E1123A"/>
    <w:rsid w:val="27026A05"/>
    <w:rsid w:val="270C409F"/>
    <w:rsid w:val="27415819"/>
    <w:rsid w:val="274F108A"/>
    <w:rsid w:val="2777374E"/>
    <w:rsid w:val="28001FD3"/>
    <w:rsid w:val="283860D8"/>
    <w:rsid w:val="287560DE"/>
    <w:rsid w:val="28C11323"/>
    <w:rsid w:val="29C00667"/>
    <w:rsid w:val="29D6511A"/>
    <w:rsid w:val="29FF496C"/>
    <w:rsid w:val="2A1F28C7"/>
    <w:rsid w:val="2B8925CC"/>
    <w:rsid w:val="2BA328F5"/>
    <w:rsid w:val="2C6F6170"/>
    <w:rsid w:val="2C8B2374"/>
    <w:rsid w:val="2C9F6F43"/>
    <w:rsid w:val="2D5664DE"/>
    <w:rsid w:val="2D755A60"/>
    <w:rsid w:val="2DCB175A"/>
    <w:rsid w:val="2E4C744E"/>
    <w:rsid w:val="2E8E10D4"/>
    <w:rsid w:val="2F62381D"/>
    <w:rsid w:val="305F1B4D"/>
    <w:rsid w:val="30C93B1B"/>
    <w:rsid w:val="311A3CC6"/>
    <w:rsid w:val="316E7B6E"/>
    <w:rsid w:val="31C92F18"/>
    <w:rsid w:val="32024D28"/>
    <w:rsid w:val="32094F70"/>
    <w:rsid w:val="335F5D78"/>
    <w:rsid w:val="337511B1"/>
    <w:rsid w:val="337D4C69"/>
    <w:rsid w:val="337E73C5"/>
    <w:rsid w:val="33935522"/>
    <w:rsid w:val="343B467F"/>
    <w:rsid w:val="34535875"/>
    <w:rsid w:val="34A915E9"/>
    <w:rsid w:val="34AF257B"/>
    <w:rsid w:val="34B66051"/>
    <w:rsid w:val="36C21BE7"/>
    <w:rsid w:val="36C267C0"/>
    <w:rsid w:val="36C450EA"/>
    <w:rsid w:val="372B5D93"/>
    <w:rsid w:val="375B0AE1"/>
    <w:rsid w:val="386C41A1"/>
    <w:rsid w:val="38761053"/>
    <w:rsid w:val="38A804E3"/>
    <w:rsid w:val="390E232D"/>
    <w:rsid w:val="39106763"/>
    <w:rsid w:val="3A116084"/>
    <w:rsid w:val="3A763162"/>
    <w:rsid w:val="3A985554"/>
    <w:rsid w:val="3AAB598F"/>
    <w:rsid w:val="3B020707"/>
    <w:rsid w:val="3B9C785C"/>
    <w:rsid w:val="3C2F2831"/>
    <w:rsid w:val="3D4435C6"/>
    <w:rsid w:val="3D8E5A8D"/>
    <w:rsid w:val="3DCC00F6"/>
    <w:rsid w:val="3E6D1D46"/>
    <w:rsid w:val="3E924036"/>
    <w:rsid w:val="3EBE4976"/>
    <w:rsid w:val="3EF73899"/>
    <w:rsid w:val="3F1D3B5D"/>
    <w:rsid w:val="3F282526"/>
    <w:rsid w:val="400101C3"/>
    <w:rsid w:val="405F16F6"/>
    <w:rsid w:val="40842F0A"/>
    <w:rsid w:val="40F732B0"/>
    <w:rsid w:val="4195297C"/>
    <w:rsid w:val="41957568"/>
    <w:rsid w:val="41F10082"/>
    <w:rsid w:val="41F702EE"/>
    <w:rsid w:val="420704CD"/>
    <w:rsid w:val="428970E4"/>
    <w:rsid w:val="42B83DC2"/>
    <w:rsid w:val="42BD668F"/>
    <w:rsid w:val="42D82436"/>
    <w:rsid w:val="43161672"/>
    <w:rsid w:val="43241EF6"/>
    <w:rsid w:val="43431778"/>
    <w:rsid w:val="4394151F"/>
    <w:rsid w:val="44084F35"/>
    <w:rsid w:val="44806E09"/>
    <w:rsid w:val="44BE1658"/>
    <w:rsid w:val="45B45D7E"/>
    <w:rsid w:val="46205483"/>
    <w:rsid w:val="46241EA6"/>
    <w:rsid w:val="46C53FAB"/>
    <w:rsid w:val="46D544C0"/>
    <w:rsid w:val="46DB13AA"/>
    <w:rsid w:val="47823284"/>
    <w:rsid w:val="47CF4028"/>
    <w:rsid w:val="47E67906"/>
    <w:rsid w:val="485431F5"/>
    <w:rsid w:val="485E35F8"/>
    <w:rsid w:val="49550899"/>
    <w:rsid w:val="49BA2D04"/>
    <w:rsid w:val="49BB0786"/>
    <w:rsid w:val="4A167183"/>
    <w:rsid w:val="4A733A58"/>
    <w:rsid w:val="4AD8713A"/>
    <w:rsid w:val="4B46773A"/>
    <w:rsid w:val="4B643ABC"/>
    <w:rsid w:val="4B6E7B09"/>
    <w:rsid w:val="4B9F639D"/>
    <w:rsid w:val="4BA5341F"/>
    <w:rsid w:val="4BB76564"/>
    <w:rsid w:val="4BC230D9"/>
    <w:rsid w:val="4C9358A6"/>
    <w:rsid w:val="4CA34014"/>
    <w:rsid w:val="4CE52F83"/>
    <w:rsid w:val="4D696680"/>
    <w:rsid w:val="4F437CCA"/>
    <w:rsid w:val="4F4F10AC"/>
    <w:rsid w:val="4F5F64BA"/>
    <w:rsid w:val="4F90667E"/>
    <w:rsid w:val="4FB545D4"/>
    <w:rsid w:val="4FDD301E"/>
    <w:rsid w:val="502E58AD"/>
    <w:rsid w:val="506E0570"/>
    <w:rsid w:val="50B25872"/>
    <w:rsid w:val="50F327CB"/>
    <w:rsid w:val="51744A4A"/>
    <w:rsid w:val="51B47BC2"/>
    <w:rsid w:val="51D146FE"/>
    <w:rsid w:val="51D919CD"/>
    <w:rsid w:val="524D13AE"/>
    <w:rsid w:val="52B471BF"/>
    <w:rsid w:val="52C32D67"/>
    <w:rsid w:val="52FD5CE8"/>
    <w:rsid w:val="5339476F"/>
    <w:rsid w:val="536B2A7D"/>
    <w:rsid w:val="53DE59A8"/>
    <w:rsid w:val="53E51F5E"/>
    <w:rsid w:val="541505F1"/>
    <w:rsid w:val="54230D52"/>
    <w:rsid w:val="54400E09"/>
    <w:rsid w:val="54707AC1"/>
    <w:rsid w:val="54CB6F02"/>
    <w:rsid w:val="55B6522E"/>
    <w:rsid w:val="55EA6E3F"/>
    <w:rsid w:val="56A06471"/>
    <w:rsid w:val="56EB682C"/>
    <w:rsid w:val="5715646F"/>
    <w:rsid w:val="57626D08"/>
    <w:rsid w:val="57E56101"/>
    <w:rsid w:val="581F4351"/>
    <w:rsid w:val="58286EBC"/>
    <w:rsid w:val="585E1C89"/>
    <w:rsid w:val="58AB2CC4"/>
    <w:rsid w:val="59410223"/>
    <w:rsid w:val="596F2EE5"/>
    <w:rsid w:val="59723D50"/>
    <w:rsid w:val="59814033"/>
    <w:rsid w:val="5A864B12"/>
    <w:rsid w:val="5A920D49"/>
    <w:rsid w:val="5B4B35D6"/>
    <w:rsid w:val="5BB10EFE"/>
    <w:rsid w:val="5C682BA7"/>
    <w:rsid w:val="5D6D7971"/>
    <w:rsid w:val="5D762C66"/>
    <w:rsid w:val="5DD11B6F"/>
    <w:rsid w:val="5DEA79AF"/>
    <w:rsid w:val="5E2F3B42"/>
    <w:rsid w:val="5EEA2239"/>
    <w:rsid w:val="5F035078"/>
    <w:rsid w:val="5F4131D6"/>
    <w:rsid w:val="5F6F0822"/>
    <w:rsid w:val="5F744CAA"/>
    <w:rsid w:val="5F957CDE"/>
    <w:rsid w:val="5FD2383A"/>
    <w:rsid w:val="5FDD7E71"/>
    <w:rsid w:val="6108231E"/>
    <w:rsid w:val="614754E2"/>
    <w:rsid w:val="620F48D2"/>
    <w:rsid w:val="62143C96"/>
    <w:rsid w:val="62561308"/>
    <w:rsid w:val="62927E29"/>
    <w:rsid w:val="62DD052C"/>
    <w:rsid w:val="62E054D8"/>
    <w:rsid w:val="6373270B"/>
    <w:rsid w:val="637335B7"/>
    <w:rsid w:val="638251B1"/>
    <w:rsid w:val="63BC0B4D"/>
    <w:rsid w:val="640D6CAC"/>
    <w:rsid w:val="64105038"/>
    <w:rsid w:val="644B199A"/>
    <w:rsid w:val="64CE443D"/>
    <w:rsid w:val="64D6157E"/>
    <w:rsid w:val="653C3FD8"/>
    <w:rsid w:val="65815AE7"/>
    <w:rsid w:val="65B14764"/>
    <w:rsid w:val="66180254"/>
    <w:rsid w:val="66936F5E"/>
    <w:rsid w:val="67CB7B5D"/>
    <w:rsid w:val="687304EE"/>
    <w:rsid w:val="68783C73"/>
    <w:rsid w:val="68866F70"/>
    <w:rsid w:val="68EC7555"/>
    <w:rsid w:val="690B4CB3"/>
    <w:rsid w:val="693862AF"/>
    <w:rsid w:val="6A515C4D"/>
    <w:rsid w:val="6A961A6F"/>
    <w:rsid w:val="6A987C6E"/>
    <w:rsid w:val="6C300DB3"/>
    <w:rsid w:val="6C8D73F3"/>
    <w:rsid w:val="6CFB4623"/>
    <w:rsid w:val="6D4B29EE"/>
    <w:rsid w:val="6D6D71FE"/>
    <w:rsid w:val="6E891670"/>
    <w:rsid w:val="6EC06CA8"/>
    <w:rsid w:val="6EED01BE"/>
    <w:rsid w:val="6F057177"/>
    <w:rsid w:val="6F593B69"/>
    <w:rsid w:val="6F64269F"/>
    <w:rsid w:val="6FCD7A7D"/>
    <w:rsid w:val="70230A50"/>
    <w:rsid w:val="70457313"/>
    <w:rsid w:val="70690760"/>
    <w:rsid w:val="709E1F5D"/>
    <w:rsid w:val="70C1323B"/>
    <w:rsid w:val="70C85336"/>
    <w:rsid w:val="70E10E55"/>
    <w:rsid w:val="712612D9"/>
    <w:rsid w:val="718B036D"/>
    <w:rsid w:val="718F390E"/>
    <w:rsid w:val="71B2000E"/>
    <w:rsid w:val="72307267"/>
    <w:rsid w:val="725577F4"/>
    <w:rsid w:val="73593BFF"/>
    <w:rsid w:val="73A103C3"/>
    <w:rsid w:val="740C7A72"/>
    <w:rsid w:val="744F23F4"/>
    <w:rsid w:val="749F1AE5"/>
    <w:rsid w:val="74BE1DD0"/>
    <w:rsid w:val="74F6547D"/>
    <w:rsid w:val="75AA5052"/>
    <w:rsid w:val="75BE2C2C"/>
    <w:rsid w:val="764010A6"/>
    <w:rsid w:val="765F4A43"/>
    <w:rsid w:val="76EB7264"/>
    <w:rsid w:val="7769462C"/>
    <w:rsid w:val="777F1A8C"/>
    <w:rsid w:val="77AB4A55"/>
    <w:rsid w:val="77C35AEB"/>
    <w:rsid w:val="77F5610B"/>
    <w:rsid w:val="78B15C5E"/>
    <w:rsid w:val="79175759"/>
    <w:rsid w:val="79C773E8"/>
    <w:rsid w:val="7B035A20"/>
    <w:rsid w:val="7B224A66"/>
    <w:rsid w:val="7BBE620D"/>
    <w:rsid w:val="7BF07693"/>
    <w:rsid w:val="7BFB064C"/>
    <w:rsid w:val="7C785E63"/>
    <w:rsid w:val="7CEF5984"/>
    <w:rsid w:val="7E5C7744"/>
    <w:rsid w:val="7EF240BF"/>
    <w:rsid w:val="7F1135E0"/>
    <w:rsid w:val="7F2C38B2"/>
    <w:rsid w:val="7F2D0FB6"/>
    <w:rsid w:val="7F951E7F"/>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font81"/>
    <w:basedOn w:val="12"/>
    <w:qFormat/>
    <w:uiPriority w:val="0"/>
    <w:rPr>
      <w:rFonts w:hint="eastAsia" w:ascii="仿宋" w:hAnsi="仿宋" w:eastAsia="仿宋" w:cs="仿宋"/>
      <w:color w:val="FF0000"/>
      <w:sz w:val="24"/>
      <w:szCs w:val="24"/>
      <w:u w:val="none"/>
    </w:rPr>
  </w:style>
  <w:style w:type="character" w:customStyle="1" w:styleId="16">
    <w:name w:val="font61"/>
    <w:basedOn w:val="12"/>
    <w:qFormat/>
    <w:uiPriority w:val="0"/>
    <w:rPr>
      <w:rFonts w:hint="eastAsia" w:ascii="仿宋" w:hAnsi="仿宋" w:eastAsia="仿宋" w:cs="仿宋"/>
      <w:color w:val="000000"/>
      <w:sz w:val="24"/>
      <w:szCs w:val="24"/>
      <w:u w:val="none"/>
    </w:rPr>
  </w:style>
  <w:style w:type="character" w:customStyle="1" w:styleId="17">
    <w:name w:val="font41"/>
    <w:basedOn w:val="12"/>
    <w:qFormat/>
    <w:uiPriority w:val="0"/>
    <w:rPr>
      <w:rFonts w:hint="eastAsia" w:ascii="仿宋" w:hAnsi="仿宋" w:eastAsia="仿宋" w:cs="仿宋"/>
      <w:color w:val="000000"/>
      <w:sz w:val="24"/>
      <w:szCs w:val="24"/>
      <w:u w:val="none"/>
    </w:rPr>
  </w:style>
  <w:style w:type="character" w:customStyle="1" w:styleId="18">
    <w:name w:val="font71"/>
    <w:basedOn w:val="12"/>
    <w:qFormat/>
    <w:uiPriority w:val="0"/>
    <w:rPr>
      <w:rFonts w:hint="eastAsia" w:ascii="仿宋" w:hAnsi="仿宋" w:eastAsia="仿宋" w:cs="仿宋"/>
      <w:color w:val="0070C0"/>
      <w:sz w:val="24"/>
      <w:szCs w:val="24"/>
      <w:u w:val="none"/>
    </w:rPr>
  </w:style>
  <w:style w:type="character" w:customStyle="1" w:styleId="19">
    <w:name w:val="font51"/>
    <w:basedOn w:val="12"/>
    <w:qFormat/>
    <w:uiPriority w:val="0"/>
    <w:rPr>
      <w:rFonts w:hint="eastAsia" w:ascii="宋体" w:hAnsi="宋体" w:eastAsia="宋体" w:cs="宋体"/>
      <w:color w:val="000000"/>
      <w:sz w:val="24"/>
      <w:szCs w:val="24"/>
      <w:u w:val="none"/>
    </w:rPr>
  </w:style>
  <w:style w:type="character" w:customStyle="1" w:styleId="20">
    <w:name w:val="font21"/>
    <w:basedOn w:val="12"/>
    <w:qFormat/>
    <w:uiPriority w:val="0"/>
    <w:rPr>
      <w:rFonts w:hint="eastAsia" w:ascii="宋体" w:hAnsi="宋体" w:eastAsia="宋体" w:cs="宋体"/>
      <w:color w:val="000000"/>
      <w:sz w:val="22"/>
      <w:szCs w:val="22"/>
      <w:u w:val="none"/>
    </w:rPr>
  </w:style>
  <w:style w:type="character" w:customStyle="1" w:styleId="21">
    <w:name w:val="font11"/>
    <w:basedOn w:val="12"/>
    <w:qFormat/>
    <w:uiPriority w:val="0"/>
    <w:rPr>
      <w:rFonts w:hint="eastAsia" w:ascii="宋体" w:hAnsi="宋体" w:eastAsia="宋体" w:cs="宋体"/>
      <w:b/>
      <w:bCs/>
      <w:color w:val="000000"/>
      <w:sz w:val="24"/>
      <w:szCs w:val="24"/>
      <w:u w:val="none"/>
    </w:rPr>
  </w:style>
  <w:style w:type="paragraph" w:customStyle="1" w:styleId="2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3">
    <w:name w:val="font31"/>
    <w:basedOn w:val="12"/>
    <w:qFormat/>
    <w:uiPriority w:val="0"/>
    <w:rPr>
      <w:rFonts w:hint="eastAsia" w:ascii="宋体" w:hAnsi="宋体" w:eastAsia="宋体" w:cs="宋体"/>
      <w:color w:val="000000"/>
      <w:sz w:val="24"/>
      <w:szCs w:val="24"/>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3159</Words>
  <Characters>3392</Characters>
  <Lines>0</Lines>
  <Paragraphs>0</Paragraphs>
  <TotalTime>8</TotalTime>
  <ScaleCrop>false</ScaleCrop>
  <LinksUpToDate>false</LinksUpToDate>
  <CharactersWithSpaces>3481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曦照</cp:lastModifiedBy>
  <cp:lastPrinted>2026-08-04T10:09:00Z</cp:lastPrinted>
  <dcterms:modified xsi:type="dcterms:W3CDTF">2026-08-05T00:41:54Z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44740171D8BA4B96BB290DE92874637C_13</vt:lpwstr>
  </property>
  <property fmtid="{D5CDD505-2E9C-101B-9397-08002B2CF9AE}" pid="4" name="KSOTemplateDocerSaveRecord">
    <vt:lpwstr>eyJoZGlkIjoiMjBjZTQxNjg4MDg1ZGI0ZjZmZjBkN2I2ZmMzY2JlNjQiLCJ1c2VySWQiOiI1NTAxMDQyNTcifQ==</vt:lpwstr>
  </property>
</Properties>
</file>