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49A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36"/>
          <w:szCs w:val="36"/>
          <w:u w:val="none"/>
          <w:lang w:val="en-US" w:eastAsia="zh-CN" w:bidi="ar"/>
        </w:rPr>
      </w:pPr>
      <w:r>
        <w:rPr>
          <w:rFonts w:hint="eastAsia" w:ascii="微软雅黑" w:hAnsi="微软雅黑" w:eastAsia="微软雅黑" w:cs="微软雅黑"/>
          <w:i w:val="0"/>
          <w:iCs w:val="0"/>
          <w:color w:val="000000"/>
          <w:kern w:val="0"/>
          <w:sz w:val="36"/>
          <w:szCs w:val="36"/>
          <w:u w:val="none"/>
          <w:lang w:val="en-US" w:eastAsia="zh-CN" w:bidi="ar"/>
        </w:rPr>
        <w:t>资阳市中心医院</w:t>
      </w:r>
      <w:r>
        <w:rPr>
          <w:rFonts w:hint="eastAsia" w:ascii="微软雅黑" w:hAnsi="微软雅黑" w:eastAsia="微软雅黑" w:cs="微软雅黑"/>
          <w:i w:val="0"/>
          <w:iCs w:val="0"/>
          <w:color w:val="000000"/>
          <w:kern w:val="0"/>
          <w:sz w:val="36"/>
          <w:szCs w:val="36"/>
          <w:u w:val="none"/>
          <w:lang w:val="en-US" w:eastAsia="zh-CN" w:bidi="ar"/>
        </w:rPr>
        <w:br w:type="textWrapping"/>
      </w:r>
      <w:r>
        <w:rPr>
          <w:rFonts w:hint="eastAsia" w:ascii="微软雅黑" w:hAnsi="微软雅黑" w:eastAsia="微软雅黑" w:cs="微软雅黑"/>
          <w:i w:val="0"/>
          <w:iCs w:val="0"/>
          <w:color w:val="000000"/>
          <w:kern w:val="0"/>
          <w:sz w:val="36"/>
          <w:szCs w:val="36"/>
          <w:u w:val="none"/>
          <w:lang w:val="en-US" w:eastAsia="zh-CN" w:bidi="ar"/>
        </w:rPr>
        <w:t>无线移动专网调研公告</w:t>
      </w:r>
    </w:p>
    <w:p w14:paraId="1E43D7C9">
      <w:pPr>
        <w:pStyle w:val="6"/>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000000"/>
          <w:sz w:val="28"/>
          <w:szCs w:val="28"/>
          <w:u w:val="none"/>
          <w:lang w:val="en-US" w:eastAsia="zh-CN"/>
        </w:rPr>
      </w:pPr>
    </w:p>
    <w:p w14:paraId="1C1375AC">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因医院业务发展及移动医疗信息化建设需要，对院内无线移动专网进行市场调研,现公开征集相关资料,欢迎各潜在供应商进行报名，现将有关事宜公告如下：</w:t>
      </w:r>
    </w:p>
    <w:p w14:paraId="11AFD9D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一、项目概述</w:t>
      </w:r>
    </w:p>
    <w:p w14:paraId="07A13DBB">
      <w:pPr>
        <w:pStyle w:val="16"/>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r>
        <w:rPr>
          <w:rFonts w:hint="eastAsia" w:ascii="仿宋" w:hAnsi="仿宋" w:eastAsia="仿宋" w:cs="仿宋"/>
          <w:i w:val="0"/>
          <w:iCs w:val="0"/>
          <w:color w:val="000000"/>
          <w:kern w:val="2"/>
          <w:sz w:val="28"/>
          <w:szCs w:val="28"/>
          <w:u w:val="none"/>
          <w:lang w:val="en-US" w:eastAsia="zh-CN" w:bidi="zh-CN"/>
        </w:rPr>
        <w:t>随着我院信息化建设的不断深入，护理系统、血糖系统、康复系统、医务系统、患者签名系统、手术术前访视系统、体检系统等核心业务系统均已实现移动端应用。目前移动业务系统均依赖5G流量卡，虽</w:t>
      </w:r>
      <w:bookmarkStart w:id="36" w:name="_GoBack"/>
      <w:bookmarkEnd w:id="36"/>
      <w:r>
        <w:rPr>
          <w:rFonts w:hint="eastAsia" w:ascii="仿宋" w:hAnsi="仿宋" w:eastAsia="仿宋" w:cs="仿宋"/>
          <w:i w:val="0"/>
          <w:iCs w:val="0"/>
          <w:color w:val="000000"/>
          <w:kern w:val="2"/>
          <w:sz w:val="28"/>
          <w:szCs w:val="28"/>
          <w:u w:val="none"/>
          <w:lang w:val="en-US" w:eastAsia="zh-CN" w:bidi="zh-CN"/>
        </w:rPr>
        <w:t>基本满足日常使用，但在数据安全性、网络稳定性、资源保障及管理精细化等方面存在明显不足。为切实保障临床业务移动化的数据安全与服务质量，我院拟规划建设医院移动无线专网，现诚邀各潜在供应商参与项目前期市场调研。本项目不限定建设模式，支持服务租赁、整体建设等合作方式，欢迎各供应商结合自身优势提供灵活、可行的解决方案。</w:t>
      </w:r>
    </w:p>
    <w:p w14:paraId="63D4F6D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二、报名时间、方式</w:t>
      </w:r>
    </w:p>
    <w:p w14:paraId="4F8CA6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报名时间：本公告自挂网公告日起，截止时间为自发布公告起第5个工作日（包含发布当天），公告截止日期后递交的报名资料无效。</w:t>
      </w:r>
    </w:p>
    <w:p w14:paraId="324D448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报名方式:本次市场调研活动采用邮箱报名，不接受现场报名。</w:t>
      </w:r>
    </w:p>
    <w:p w14:paraId="515E68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000000"/>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color w:val="000000"/>
          <w:sz w:val="28"/>
          <w:szCs w:val="28"/>
        </w:rPr>
        <w:t>。</w:t>
      </w:r>
      <w:r>
        <w:rPr>
          <w:rFonts w:hint="eastAsia" w:ascii="仿宋" w:hAnsi="仿宋" w:eastAsia="仿宋" w:cs="仿宋"/>
          <w:i w:val="0"/>
          <w:iCs w:val="0"/>
          <w:color w:val="000000"/>
          <w:sz w:val="28"/>
          <w:szCs w:val="28"/>
          <w:u w:val="none"/>
          <w:lang w:val="en-US" w:eastAsia="zh-CN"/>
        </w:rPr>
        <w:t>邮件名称：“XXXX项目名称+公司名称+联系人+联系电话）”报名资料目录见附件。</w:t>
      </w:r>
    </w:p>
    <w:p w14:paraId="5191F009">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w:t>
      </w:r>
      <w:r>
        <w:rPr>
          <w:rFonts w:hint="eastAsia" w:ascii="仿宋" w:hAnsi="仿宋" w:eastAsia="仿宋" w:cs="仿宋"/>
          <w:i w:val="0"/>
          <w:iCs w:val="0"/>
          <w:color w:val="000000"/>
          <w:sz w:val="28"/>
          <w:szCs w:val="28"/>
          <w:u w:val="none"/>
          <w:lang w:val="en-US" w:eastAsia="zh-CN"/>
        </w:rPr>
        <w:t>.联系人：</w:t>
      </w:r>
      <w:r>
        <w:rPr>
          <w:rFonts w:hint="eastAsia" w:ascii="仿宋" w:hAnsi="仿宋" w:cs="仿宋"/>
          <w:i w:val="0"/>
          <w:iCs w:val="0"/>
          <w:color w:val="000000"/>
          <w:sz w:val="28"/>
          <w:szCs w:val="28"/>
          <w:u w:val="none"/>
          <w:lang w:val="en-US" w:eastAsia="zh-CN"/>
        </w:rPr>
        <w:t xml:space="preserve">陈老师  </w:t>
      </w:r>
      <w:r>
        <w:rPr>
          <w:rFonts w:hint="eastAsia" w:ascii="仿宋" w:hAnsi="仿宋" w:eastAsia="仿宋" w:cs="仿宋"/>
          <w:i w:val="0"/>
          <w:iCs w:val="0"/>
          <w:color w:val="000000"/>
          <w:sz w:val="28"/>
          <w:szCs w:val="28"/>
          <w:u w:val="none"/>
          <w:lang w:val="en-US" w:eastAsia="zh-CN"/>
        </w:rPr>
        <w:t>报名</w:t>
      </w:r>
      <w:r>
        <w:rPr>
          <w:rFonts w:hint="eastAsia" w:ascii="仿宋" w:hAnsi="仿宋" w:cs="仿宋"/>
          <w:i w:val="0"/>
          <w:iCs w:val="0"/>
          <w:color w:val="000000"/>
          <w:sz w:val="28"/>
          <w:szCs w:val="28"/>
          <w:u w:val="none"/>
          <w:lang w:val="en-US" w:eastAsia="zh-CN"/>
        </w:rPr>
        <w:t>咨</w:t>
      </w:r>
      <w:r>
        <w:rPr>
          <w:rFonts w:hint="eastAsia" w:ascii="仿宋" w:hAnsi="仿宋" w:eastAsia="仿宋" w:cs="仿宋"/>
          <w:i w:val="0"/>
          <w:iCs w:val="0"/>
          <w:color w:val="000000"/>
          <w:sz w:val="28"/>
          <w:szCs w:val="28"/>
          <w:u w:val="none"/>
          <w:lang w:val="en-US" w:eastAsia="zh-CN"/>
        </w:rPr>
        <w:t>询</w:t>
      </w:r>
      <w:r>
        <w:rPr>
          <w:rFonts w:hint="eastAsia" w:ascii="仿宋" w:hAnsi="仿宋" w:cs="仿宋"/>
          <w:i w:val="0"/>
          <w:iCs w:val="0"/>
          <w:color w:val="000000"/>
          <w:sz w:val="28"/>
          <w:szCs w:val="28"/>
          <w:u w:val="none"/>
          <w:lang w:val="en-US" w:eastAsia="zh-CN"/>
        </w:rPr>
        <w:t>电话</w:t>
      </w:r>
      <w:r>
        <w:rPr>
          <w:rFonts w:hint="eastAsia" w:ascii="仿宋" w:hAnsi="仿宋" w:eastAsia="仿宋" w:cs="仿宋"/>
          <w:i w:val="0"/>
          <w:iCs w:val="0"/>
          <w:color w:val="000000"/>
          <w:sz w:val="28"/>
          <w:szCs w:val="28"/>
          <w:u w:val="none"/>
          <w:lang w:val="en-US" w:eastAsia="zh-CN"/>
        </w:rPr>
        <w:t>：028-26219526</w:t>
      </w:r>
    </w:p>
    <w:p w14:paraId="6D0856DE">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lang w:val="en-US" w:eastAsia="zh-CN"/>
        </w:rPr>
        <w:t>线上或线下集中调研需求论证时间及地点，另行通知</w:t>
      </w:r>
      <w:r>
        <w:rPr>
          <w:rFonts w:hint="eastAsia" w:ascii="仿宋" w:hAnsi="仿宋" w:cs="仿宋"/>
          <w:i w:val="0"/>
          <w:iCs w:val="0"/>
          <w:color w:val="000000"/>
          <w:sz w:val="28"/>
          <w:szCs w:val="28"/>
          <w:u w:val="none"/>
          <w:lang w:val="en-US" w:eastAsia="zh-CN"/>
        </w:rPr>
        <w:t>，</w:t>
      </w:r>
      <w:r>
        <w:rPr>
          <w:rFonts w:hint="eastAsia" w:ascii="仿宋" w:hAnsi="仿宋" w:eastAsia="仿宋" w:cs="仿宋"/>
          <w:i w:val="0"/>
          <w:iCs w:val="0"/>
          <w:color w:val="000000"/>
          <w:sz w:val="28"/>
          <w:szCs w:val="28"/>
          <w:u w:val="none"/>
          <w:lang w:val="en-US" w:eastAsia="zh-CN"/>
        </w:rPr>
        <w:t>请参加调研会的</w:t>
      </w:r>
      <w:r>
        <w:rPr>
          <w:rFonts w:hint="eastAsia" w:ascii="仿宋" w:hAnsi="仿宋" w:cs="仿宋"/>
          <w:i w:val="0"/>
          <w:iCs w:val="0"/>
          <w:color w:val="000000"/>
          <w:sz w:val="28"/>
          <w:szCs w:val="28"/>
          <w:u w:val="none"/>
          <w:lang w:val="en-US" w:eastAsia="zh-CN"/>
        </w:rPr>
        <w:t>各潜在供应商</w:t>
      </w:r>
      <w:r>
        <w:rPr>
          <w:rFonts w:hint="eastAsia" w:ascii="仿宋" w:hAnsi="仿宋" w:eastAsia="仿宋" w:cs="仿宋"/>
          <w:i w:val="0"/>
          <w:iCs w:val="0"/>
          <w:color w:val="000000"/>
          <w:sz w:val="28"/>
          <w:szCs w:val="28"/>
          <w:u w:val="none"/>
          <w:lang w:val="en-US" w:eastAsia="zh-CN"/>
        </w:rPr>
        <w:t>准备相应的纸质版</w:t>
      </w:r>
      <w:r>
        <w:rPr>
          <w:rFonts w:hint="eastAsia" w:ascii="仿宋" w:hAnsi="仿宋" w:cs="仿宋"/>
          <w:i w:val="0"/>
          <w:iCs w:val="0"/>
          <w:color w:val="000000"/>
          <w:sz w:val="28"/>
          <w:szCs w:val="28"/>
          <w:u w:val="none"/>
          <w:lang w:val="en-US" w:eastAsia="zh-CN"/>
        </w:rPr>
        <w:t>报价表</w:t>
      </w:r>
      <w:r>
        <w:rPr>
          <w:rFonts w:hint="eastAsia" w:ascii="仿宋" w:hAnsi="仿宋" w:eastAsia="仿宋" w:cs="仿宋"/>
          <w:i w:val="0"/>
          <w:iCs w:val="0"/>
          <w:color w:val="000000"/>
          <w:sz w:val="28"/>
          <w:szCs w:val="28"/>
          <w:u w:val="none"/>
          <w:lang w:val="en-US" w:eastAsia="zh-CN"/>
        </w:rPr>
        <w:t>及汇报PPT等。</w:t>
      </w:r>
    </w:p>
    <w:p w14:paraId="7837517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三、其他说明</w:t>
      </w:r>
    </w:p>
    <w:p w14:paraId="33E6A9D7">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1.本次公开市场调研内容因市场了解的局限性，仅作为医院市场调研参考使用，</w:t>
      </w:r>
      <w:r>
        <w:rPr>
          <w:rFonts w:hint="eastAsia" w:ascii="仿宋" w:hAnsi="仿宋" w:eastAsia="仿宋" w:cs="仿宋"/>
          <w:i w:val="0"/>
          <w:iCs w:val="0"/>
          <w:color w:val="000000"/>
          <w:sz w:val="28"/>
          <w:szCs w:val="28"/>
          <w:u w:val="none"/>
          <w:lang w:val="en-US" w:eastAsia="zh-CN"/>
        </w:rPr>
        <w:t>我院有权使用所征集技术指标中的相关内容</w:t>
      </w:r>
      <w:r>
        <w:rPr>
          <w:rFonts w:hint="eastAsia" w:ascii="仿宋" w:hAnsi="仿宋" w:cs="仿宋"/>
          <w:i w:val="0"/>
          <w:iCs w:val="0"/>
          <w:color w:val="000000"/>
          <w:sz w:val="28"/>
          <w:szCs w:val="28"/>
          <w:u w:val="none"/>
          <w:lang w:val="en-US" w:eastAsia="zh-CN"/>
        </w:rPr>
        <w:t>，不作为正式采购依据，无任何针对性，如有不全之处，敬请理解，并请各潜在供应商详实介绍服务方案，本项目最终服务参数以采购时为准。对未公告服务要求的，请各潜在供应商自行提供。</w:t>
      </w:r>
    </w:p>
    <w:p w14:paraId="71B78830">
      <w:pPr>
        <w:pStyle w:val="6"/>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参与本次市场调研活动的潜在供应商，我院不作任何承诺。因参与市场调研所产生的一切费用由报名潜在供应商自行承担，我院不支付任何相关费用。本次市场调研的后续工作及结果，我院不做任何解释。本次市场调研的解释权归院方。</w:t>
      </w:r>
    </w:p>
    <w:p w14:paraId="5CC3795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60BA35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6D2EEE4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0FF397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7AC6205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0460BA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75218DF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1A464E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52BEFE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6D8F7F6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92A348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539BF2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01DA07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663C49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C08D4C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4863B9B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1B1BF7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67FD7F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F88AD9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1D28A2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66D169E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C38215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4C9229D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437995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104FA30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7F9304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66276F0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163C852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27CA32D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78832B2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8EA090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4ABEE8C">
      <w:pPr>
        <w:pStyle w:val="16"/>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0C100449">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4B0E8026">
      <w:pPr>
        <w:pStyle w:val="16"/>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56FD6626">
      <w:pPr>
        <w:pStyle w:val="16"/>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4AE730C0">
      <w:pPr>
        <w:pStyle w:val="16"/>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w:t>
      </w:r>
      <w:r>
        <w:rPr>
          <w:rFonts w:hint="eastAsia" w:ascii="仿宋" w:hAnsi="仿宋" w:eastAsia="仿宋" w:cs="仿宋"/>
          <w:b w:val="0"/>
          <w:bCs w:val="0"/>
          <w:color w:val="FF0000"/>
          <w:sz w:val="30"/>
          <w:szCs w:val="30"/>
          <w:lang w:val="en-US" w:eastAsia="zh-CN"/>
        </w:rPr>
        <w:t>“XXXX项目名称（公司名称+联系人+联系电话）</w:t>
      </w:r>
      <w:r>
        <w:rPr>
          <w:rFonts w:hint="eastAsia" w:ascii="仿宋" w:hAnsi="仿宋" w:eastAsia="仿宋" w:cs="仿宋"/>
          <w:b w:val="0"/>
          <w:bCs w:val="0"/>
          <w:color w:val="auto"/>
          <w:sz w:val="30"/>
          <w:szCs w:val="30"/>
          <w:lang w:val="en-US" w:eastAsia="zh-CN"/>
        </w:rPr>
        <w:t>”</w:t>
      </w:r>
    </w:p>
    <w:p w14:paraId="578E0399">
      <w:pPr>
        <w:pStyle w:val="16"/>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p w14:paraId="4CBFEAC5">
      <w:pPr>
        <w:pStyle w:val="16"/>
        <w:keepNext w:val="0"/>
        <w:keepLines w:val="0"/>
        <w:pageBreakBefore w:val="0"/>
        <w:widowControl w:val="0"/>
        <w:kinsoku/>
        <w:wordWrap/>
        <w:overflowPunct/>
        <w:topLinePunct w:val="0"/>
        <w:bidi w:val="0"/>
        <w:snapToGrid/>
        <w:spacing w:line="360" w:lineRule="auto"/>
        <w:ind w:left="0" w:leftChars="0" w:right="0" w:rightChars="0"/>
        <w:rPr>
          <w:rFonts w:hint="eastAsia" w:ascii="宋体" w:hAnsi="宋体" w:eastAsia="宋体" w:cs="宋体"/>
          <w:b w:val="0"/>
          <w:bCs w:val="0"/>
          <w:color w:val="auto"/>
          <w:sz w:val="30"/>
          <w:szCs w:val="30"/>
          <w:lang w:val="en-US" w:eastAsia="zh-CN"/>
        </w:rPr>
      </w:pPr>
    </w:p>
    <w:p w14:paraId="21AB2F34">
      <w:pPr>
        <w:rPr>
          <w:rFonts w:hint="eastAsia"/>
          <w:lang w:val="en-US" w:eastAsia="zh-CN"/>
        </w:rPr>
      </w:pPr>
    </w:p>
    <w:p w14:paraId="20BE1E03">
      <w:pPr>
        <w:pStyle w:val="6"/>
        <w:rPr>
          <w:rFonts w:hint="default"/>
          <w:lang w:val="en-US" w:eastAsia="zh-CN"/>
        </w:rPr>
      </w:pPr>
    </w:p>
    <w:p w14:paraId="02043E00">
      <w:pPr>
        <w:pStyle w:val="6"/>
        <w:rPr>
          <w:rFonts w:hint="eastAsia"/>
          <w:lang w:eastAsia="zh-CN"/>
        </w:rPr>
      </w:pPr>
    </w:p>
    <w:p w14:paraId="0C6705FE">
      <w:pPr>
        <w:pStyle w:val="16"/>
      </w:pPr>
    </w:p>
    <w:p w14:paraId="4E022E04">
      <w:pPr>
        <w:pStyle w:val="16"/>
      </w:pPr>
    </w:p>
    <w:p w14:paraId="7B562D01">
      <w:pPr>
        <w:pStyle w:val="16"/>
      </w:pPr>
    </w:p>
    <w:p w14:paraId="2AACC706">
      <w:pPr>
        <w:pStyle w:val="16"/>
      </w:pPr>
    </w:p>
    <w:p w14:paraId="6121E002">
      <w:pPr>
        <w:pStyle w:val="16"/>
      </w:pPr>
    </w:p>
    <w:p w14:paraId="466F7595">
      <w:pPr>
        <w:pStyle w:val="16"/>
      </w:pPr>
    </w:p>
    <w:p w14:paraId="28FB3DA9">
      <w:pPr>
        <w:pStyle w:val="16"/>
      </w:pPr>
    </w:p>
    <w:p w14:paraId="5AF54E6C">
      <w:pPr>
        <w:pStyle w:val="16"/>
      </w:pPr>
    </w:p>
    <w:p w14:paraId="6DB5A362">
      <w:pPr>
        <w:pStyle w:val="16"/>
      </w:pPr>
    </w:p>
    <w:p w14:paraId="78DBE6C2">
      <w:pPr>
        <w:pStyle w:val="16"/>
      </w:pPr>
    </w:p>
    <w:p w14:paraId="69B88316">
      <w:pPr>
        <w:pStyle w:val="16"/>
      </w:pPr>
    </w:p>
    <w:sdt>
      <w:sdtPr>
        <w:rPr>
          <w:rFonts w:ascii="宋体" w:hAnsi="宋体" w:eastAsia="宋体" w:cstheme="minorBidi"/>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20995604">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kern w:val="2"/>
              <w:sz w:val="40"/>
              <w:szCs w:val="40"/>
              <w:lang w:val="en-US" w:eastAsia="zh-CN" w:bidi="ar-SA"/>
            </w:rPr>
            <w:t>调研报名</w:t>
          </w:r>
          <w:r>
            <w:rPr>
              <w:rFonts w:hint="eastAsia" w:asciiTheme="minorEastAsia" w:hAnsiTheme="minorEastAsia" w:eastAsiaTheme="minorEastAsia" w:cstheme="minorEastAsia"/>
              <w:b/>
              <w:bCs/>
              <w:sz w:val="40"/>
              <w:szCs w:val="40"/>
            </w:rPr>
            <w:t>目录</w:t>
          </w:r>
        </w:p>
        <w:p w14:paraId="70983076">
          <w:pPr>
            <w:spacing w:before="0" w:beforeLines="0" w:after="0" w:afterLines="0" w:line="240" w:lineRule="auto"/>
            <w:ind w:left="0" w:leftChars="0" w:right="0" w:rightChars="0" w:firstLine="0" w:firstLineChars="0"/>
            <w:jc w:val="center"/>
          </w:pPr>
        </w:p>
        <w:p w14:paraId="0AA3A055">
          <w:pPr>
            <w:pStyle w:val="8"/>
            <w:tabs>
              <w:tab w:val="right" w:leader="dot" w:pos="8519"/>
            </w:tabs>
          </w:pPr>
          <w:r>
            <w:fldChar w:fldCharType="begin"/>
          </w:r>
          <w:r>
            <w:instrText xml:space="preserve">TOC \o "1-3" \h \u </w:instrText>
          </w:r>
          <w:r>
            <w:fldChar w:fldCharType="separate"/>
          </w:r>
          <w:r>
            <w:fldChar w:fldCharType="begin"/>
          </w:r>
          <w:r>
            <w:instrText xml:space="preserve"> HYPERLINK \l _Toc21034 </w:instrText>
          </w:r>
          <w:r>
            <w:fldChar w:fldCharType="separate"/>
          </w:r>
          <w:r>
            <w:rPr>
              <w:rFonts w:hint="eastAsia"/>
            </w:rPr>
            <w:t>一、 报名</w:t>
          </w:r>
          <w:r>
            <w:rPr>
              <w:rFonts w:hint="eastAsia"/>
              <w:lang w:eastAsia="zh-CN"/>
            </w:rPr>
            <w:t>登记</w:t>
          </w:r>
          <w:r>
            <w:rPr>
              <w:rFonts w:hint="eastAsia"/>
            </w:rPr>
            <w:t>表</w:t>
          </w:r>
          <w:r>
            <w:tab/>
          </w:r>
          <w:r>
            <w:fldChar w:fldCharType="begin"/>
          </w:r>
          <w:r>
            <w:instrText xml:space="preserve"> PAGEREF _Toc21034 \h </w:instrText>
          </w:r>
          <w:r>
            <w:fldChar w:fldCharType="separate"/>
          </w:r>
          <w:r>
            <w:t>5</w:t>
          </w:r>
          <w:r>
            <w:fldChar w:fldCharType="end"/>
          </w:r>
          <w:r>
            <w:fldChar w:fldCharType="end"/>
          </w:r>
        </w:p>
        <w:p w14:paraId="2773743D">
          <w:pPr>
            <w:pStyle w:val="8"/>
            <w:tabs>
              <w:tab w:val="right" w:leader="dot" w:pos="8519"/>
            </w:tabs>
          </w:pPr>
          <w:r>
            <w:fldChar w:fldCharType="begin"/>
          </w:r>
          <w:r>
            <w:instrText xml:space="preserve"> HYPERLINK \l _Toc13094 </w:instrText>
          </w:r>
          <w:r>
            <w:fldChar w:fldCharType="separate"/>
          </w:r>
          <w:r>
            <w:rPr>
              <w:rFonts w:hint="eastAsia"/>
              <w:lang w:val="en-US" w:eastAsia="zh-CN"/>
            </w:rPr>
            <w:t>二、资质：</w:t>
          </w:r>
          <w:r>
            <w:tab/>
          </w:r>
          <w:r>
            <w:fldChar w:fldCharType="begin"/>
          </w:r>
          <w:r>
            <w:instrText xml:space="preserve"> PAGEREF _Toc13094 \h </w:instrText>
          </w:r>
          <w:r>
            <w:fldChar w:fldCharType="separate"/>
          </w:r>
          <w:r>
            <w:t>5</w:t>
          </w:r>
          <w:r>
            <w:fldChar w:fldCharType="end"/>
          </w:r>
          <w:r>
            <w:fldChar w:fldCharType="end"/>
          </w:r>
        </w:p>
        <w:p w14:paraId="7ABA61A8">
          <w:pPr>
            <w:pStyle w:val="9"/>
            <w:tabs>
              <w:tab w:val="right" w:leader="dot" w:pos="8519"/>
            </w:tabs>
          </w:pPr>
          <w:r>
            <w:fldChar w:fldCharType="begin"/>
          </w:r>
          <w:r>
            <w:instrText xml:space="preserve"> HYPERLINK \l _Toc24938 </w:instrText>
          </w:r>
          <w:r>
            <w:fldChar w:fldCharType="separate"/>
          </w:r>
          <w:r>
            <w:rPr>
              <w:rFonts w:hint="eastAsia"/>
              <w:lang w:val="en-US" w:eastAsia="zh-CN"/>
            </w:rPr>
            <w:t>2.1</w:t>
          </w:r>
          <w:r>
            <w:rPr>
              <w:rFonts w:hint="eastAsia"/>
            </w:rPr>
            <w:t>营业执照</w:t>
          </w:r>
          <w:r>
            <w:tab/>
          </w:r>
          <w:r>
            <w:fldChar w:fldCharType="begin"/>
          </w:r>
          <w:r>
            <w:instrText xml:space="preserve"> PAGEREF _Toc24938 \h </w:instrText>
          </w:r>
          <w:r>
            <w:fldChar w:fldCharType="separate"/>
          </w:r>
          <w:r>
            <w:t>5</w:t>
          </w:r>
          <w:r>
            <w:fldChar w:fldCharType="end"/>
          </w:r>
          <w:r>
            <w:fldChar w:fldCharType="end"/>
          </w:r>
        </w:p>
        <w:p w14:paraId="684B53B9">
          <w:pPr>
            <w:pStyle w:val="9"/>
            <w:tabs>
              <w:tab w:val="right" w:leader="dot" w:pos="8519"/>
            </w:tabs>
          </w:pPr>
          <w:r>
            <w:fldChar w:fldCharType="begin"/>
          </w:r>
          <w:r>
            <w:instrText xml:space="preserve"> HYPERLINK \l _Toc27173 </w:instrText>
          </w:r>
          <w:r>
            <w:fldChar w:fldCharType="separate"/>
          </w:r>
          <w:r>
            <w:rPr>
              <w:rFonts w:hint="eastAsia"/>
              <w:lang w:val="en-US" w:eastAsia="zh-CN"/>
            </w:rPr>
            <w:t>2.1</w:t>
          </w:r>
          <w:r>
            <w:rPr>
              <w:rFonts w:hint="eastAsia"/>
              <w:lang w:eastAsia="zh-CN"/>
            </w:rPr>
            <w:t>法定代表人授权书</w:t>
          </w:r>
          <w:r>
            <w:tab/>
          </w:r>
          <w:r>
            <w:fldChar w:fldCharType="begin"/>
          </w:r>
          <w:r>
            <w:instrText xml:space="preserve"> PAGEREF _Toc27173 \h </w:instrText>
          </w:r>
          <w:r>
            <w:fldChar w:fldCharType="separate"/>
          </w:r>
          <w:r>
            <w:t>5</w:t>
          </w:r>
          <w:r>
            <w:fldChar w:fldCharType="end"/>
          </w:r>
          <w:r>
            <w:fldChar w:fldCharType="end"/>
          </w:r>
        </w:p>
        <w:p w14:paraId="41277BB5">
          <w:pPr>
            <w:pStyle w:val="9"/>
            <w:tabs>
              <w:tab w:val="right" w:leader="dot" w:pos="8519"/>
            </w:tabs>
          </w:pPr>
          <w:r>
            <w:fldChar w:fldCharType="begin"/>
          </w:r>
          <w:r>
            <w:instrText xml:space="preserve"> HYPERLINK \l _Toc16332 </w:instrText>
          </w:r>
          <w:r>
            <w:fldChar w:fldCharType="separate"/>
          </w:r>
          <w:r>
            <w:rPr>
              <w:rFonts w:hint="eastAsia"/>
              <w:lang w:val="en-US" w:eastAsia="zh-CN"/>
            </w:rPr>
            <w:t>2.3</w:t>
          </w:r>
          <w:r>
            <w:rPr>
              <w:rFonts w:hint="eastAsia"/>
              <w:lang w:eastAsia="zh-CN"/>
            </w:rPr>
            <w:t>法人及被授权人身份证</w:t>
          </w:r>
          <w:r>
            <w:tab/>
          </w:r>
          <w:r>
            <w:fldChar w:fldCharType="begin"/>
          </w:r>
          <w:r>
            <w:instrText xml:space="preserve"> PAGEREF _Toc16332 \h </w:instrText>
          </w:r>
          <w:r>
            <w:fldChar w:fldCharType="separate"/>
          </w:r>
          <w:r>
            <w:t>5</w:t>
          </w:r>
          <w:r>
            <w:fldChar w:fldCharType="end"/>
          </w:r>
          <w:r>
            <w:fldChar w:fldCharType="end"/>
          </w:r>
        </w:p>
        <w:p w14:paraId="2CE68114">
          <w:pPr>
            <w:pStyle w:val="9"/>
            <w:tabs>
              <w:tab w:val="right" w:leader="dot" w:pos="8519"/>
            </w:tabs>
          </w:pPr>
          <w:r>
            <w:fldChar w:fldCharType="begin"/>
          </w:r>
          <w:r>
            <w:instrText xml:space="preserve"> HYPERLINK \l _Toc12288 </w:instrText>
          </w:r>
          <w:r>
            <w:fldChar w:fldCharType="separate"/>
          </w:r>
          <w:r>
            <w:rPr>
              <w:rFonts w:hint="eastAsia"/>
              <w:lang w:val="en-US" w:eastAsia="zh-CN"/>
            </w:rPr>
            <w:t>2.4</w:t>
          </w:r>
          <w:r>
            <w:rPr>
              <w:rFonts w:hint="eastAsia"/>
              <w:lang w:eastAsia="zh-CN"/>
            </w:rPr>
            <w:t>公司资质</w:t>
          </w:r>
          <w:r>
            <w:tab/>
          </w:r>
          <w:r>
            <w:fldChar w:fldCharType="begin"/>
          </w:r>
          <w:r>
            <w:instrText xml:space="preserve"> PAGEREF _Toc12288 \h </w:instrText>
          </w:r>
          <w:r>
            <w:fldChar w:fldCharType="separate"/>
          </w:r>
          <w:r>
            <w:t>5</w:t>
          </w:r>
          <w:r>
            <w:fldChar w:fldCharType="end"/>
          </w:r>
          <w:r>
            <w:fldChar w:fldCharType="end"/>
          </w:r>
        </w:p>
        <w:p w14:paraId="1BCCAA73">
          <w:pPr>
            <w:pStyle w:val="9"/>
            <w:tabs>
              <w:tab w:val="right" w:leader="dot" w:pos="8519"/>
            </w:tabs>
          </w:pPr>
          <w:r>
            <w:fldChar w:fldCharType="begin"/>
          </w:r>
          <w:r>
            <w:instrText xml:space="preserve"> HYPERLINK \l _Toc2528 </w:instrText>
          </w:r>
          <w:r>
            <w:fldChar w:fldCharType="separate"/>
          </w:r>
          <w:r>
            <w:rPr>
              <w:rFonts w:hint="eastAsia"/>
              <w:lang w:val="en-US" w:eastAsia="zh-CN"/>
            </w:rPr>
            <w:t>2.5软件资质</w:t>
          </w:r>
          <w:r>
            <w:tab/>
          </w:r>
          <w:r>
            <w:fldChar w:fldCharType="begin"/>
          </w:r>
          <w:r>
            <w:instrText xml:space="preserve"> PAGEREF _Toc2528 \h </w:instrText>
          </w:r>
          <w:r>
            <w:fldChar w:fldCharType="separate"/>
          </w:r>
          <w:r>
            <w:t>5</w:t>
          </w:r>
          <w:r>
            <w:fldChar w:fldCharType="end"/>
          </w:r>
          <w:r>
            <w:fldChar w:fldCharType="end"/>
          </w:r>
        </w:p>
        <w:p w14:paraId="5434094F">
          <w:pPr>
            <w:pStyle w:val="9"/>
            <w:tabs>
              <w:tab w:val="right" w:leader="dot" w:pos="8519"/>
            </w:tabs>
          </w:pPr>
          <w:r>
            <w:fldChar w:fldCharType="begin"/>
          </w:r>
          <w:r>
            <w:instrText xml:space="preserve"> HYPERLINK \l _Toc17148 </w:instrText>
          </w:r>
          <w:r>
            <w:fldChar w:fldCharType="separate"/>
          </w:r>
          <w:r>
            <w:rPr>
              <w:rFonts w:hint="eastAsia"/>
              <w:lang w:val="en-US" w:eastAsia="zh-CN"/>
            </w:rPr>
            <w:t>2.6本项目涉及</w:t>
          </w:r>
          <w:r>
            <w:rPr>
              <w:rFonts w:hint="eastAsia"/>
              <w:lang w:eastAsia="zh-CN"/>
            </w:rPr>
            <w:t>资质</w:t>
          </w:r>
          <w:r>
            <w:tab/>
          </w:r>
          <w:r>
            <w:fldChar w:fldCharType="begin"/>
          </w:r>
          <w:r>
            <w:instrText xml:space="preserve"> PAGEREF _Toc17148 \h </w:instrText>
          </w:r>
          <w:r>
            <w:fldChar w:fldCharType="separate"/>
          </w:r>
          <w:r>
            <w:t>5</w:t>
          </w:r>
          <w:r>
            <w:fldChar w:fldCharType="end"/>
          </w:r>
          <w:r>
            <w:fldChar w:fldCharType="end"/>
          </w:r>
        </w:p>
        <w:p w14:paraId="4CED16F2">
          <w:pPr>
            <w:pStyle w:val="9"/>
            <w:tabs>
              <w:tab w:val="right" w:leader="dot" w:pos="8519"/>
            </w:tabs>
          </w:pPr>
          <w:r>
            <w:fldChar w:fldCharType="begin"/>
          </w:r>
          <w:r>
            <w:instrText xml:space="preserve"> HYPERLINK \l _Toc12512 </w:instrText>
          </w:r>
          <w:r>
            <w:fldChar w:fldCharType="separate"/>
          </w:r>
          <w:r>
            <w:rPr>
              <w:rFonts w:hint="eastAsia"/>
              <w:lang w:val="en-US" w:eastAsia="zh-CN"/>
            </w:rPr>
            <w:t>2.7开发商委托销售授权函</w:t>
          </w:r>
          <w:r>
            <w:tab/>
          </w:r>
          <w:r>
            <w:fldChar w:fldCharType="begin"/>
          </w:r>
          <w:r>
            <w:instrText xml:space="preserve"> PAGEREF _Toc12512 \h </w:instrText>
          </w:r>
          <w:r>
            <w:fldChar w:fldCharType="separate"/>
          </w:r>
          <w:r>
            <w:t>5</w:t>
          </w:r>
          <w:r>
            <w:fldChar w:fldCharType="end"/>
          </w:r>
          <w:r>
            <w:fldChar w:fldCharType="end"/>
          </w:r>
        </w:p>
        <w:p w14:paraId="22CA62E4">
          <w:pPr>
            <w:pStyle w:val="8"/>
            <w:tabs>
              <w:tab w:val="right" w:leader="dot" w:pos="8519"/>
            </w:tabs>
          </w:pPr>
          <w:r>
            <w:fldChar w:fldCharType="begin"/>
          </w:r>
          <w:r>
            <w:instrText xml:space="preserve"> HYPERLINK \l _Toc4918 </w:instrText>
          </w:r>
          <w:r>
            <w:fldChar w:fldCharType="separate"/>
          </w:r>
          <w:r>
            <w:rPr>
              <w:rFonts w:hint="eastAsia"/>
              <w:lang w:val="en-US" w:eastAsia="zh-CN"/>
            </w:rPr>
            <w:t>三、单一来源说明及佐证材料</w:t>
          </w:r>
          <w:r>
            <w:tab/>
          </w:r>
          <w:r>
            <w:fldChar w:fldCharType="begin"/>
          </w:r>
          <w:r>
            <w:instrText xml:space="preserve"> PAGEREF _Toc4918 \h </w:instrText>
          </w:r>
          <w:r>
            <w:fldChar w:fldCharType="separate"/>
          </w:r>
          <w:r>
            <w:t>5</w:t>
          </w:r>
          <w:r>
            <w:fldChar w:fldCharType="end"/>
          </w:r>
          <w:r>
            <w:fldChar w:fldCharType="end"/>
          </w:r>
        </w:p>
        <w:p w14:paraId="76841E3C">
          <w:pPr>
            <w:pStyle w:val="8"/>
            <w:tabs>
              <w:tab w:val="right" w:leader="dot" w:pos="8519"/>
            </w:tabs>
          </w:pPr>
          <w:r>
            <w:fldChar w:fldCharType="begin"/>
          </w:r>
          <w:r>
            <w:instrText xml:space="preserve"> HYPERLINK \l _Toc16671 </w:instrText>
          </w:r>
          <w:r>
            <w:fldChar w:fldCharType="separate"/>
          </w:r>
          <w:r>
            <w:rPr>
              <w:rFonts w:hint="eastAsia"/>
              <w:lang w:val="en-US" w:eastAsia="zh-CN"/>
            </w:rPr>
            <w:t>四、项目调研情况一览汇总表</w:t>
          </w:r>
          <w:r>
            <w:tab/>
          </w:r>
          <w:r>
            <w:fldChar w:fldCharType="begin"/>
          </w:r>
          <w:r>
            <w:instrText xml:space="preserve"> PAGEREF _Toc16671 \h </w:instrText>
          </w:r>
          <w:r>
            <w:fldChar w:fldCharType="separate"/>
          </w:r>
          <w:r>
            <w:t>6</w:t>
          </w:r>
          <w:r>
            <w:fldChar w:fldCharType="end"/>
          </w:r>
          <w:r>
            <w:fldChar w:fldCharType="end"/>
          </w:r>
        </w:p>
        <w:p w14:paraId="6A0EDC78">
          <w:pPr>
            <w:pStyle w:val="9"/>
            <w:tabs>
              <w:tab w:val="right" w:leader="dot" w:pos="8519"/>
            </w:tabs>
          </w:pPr>
          <w:r>
            <w:fldChar w:fldCharType="begin"/>
          </w:r>
          <w:r>
            <w:instrText xml:space="preserve"> HYPERLINK \l _Toc28115 </w:instrText>
          </w:r>
          <w:r>
            <w:fldChar w:fldCharType="separate"/>
          </w:r>
          <w:r>
            <w:rPr>
              <w:rFonts w:hint="eastAsia"/>
              <w:lang w:val="en-US" w:eastAsia="zh-CN"/>
            </w:rPr>
            <w:t>4.1报价表</w:t>
          </w:r>
          <w:r>
            <w:tab/>
          </w:r>
          <w:r>
            <w:fldChar w:fldCharType="begin"/>
          </w:r>
          <w:r>
            <w:instrText xml:space="preserve"> PAGEREF _Toc28115 \h </w:instrText>
          </w:r>
          <w:r>
            <w:fldChar w:fldCharType="separate"/>
          </w:r>
          <w:r>
            <w:t>6</w:t>
          </w:r>
          <w:r>
            <w:fldChar w:fldCharType="end"/>
          </w:r>
          <w:r>
            <w:fldChar w:fldCharType="end"/>
          </w:r>
        </w:p>
        <w:p w14:paraId="059FA537">
          <w:pPr>
            <w:pStyle w:val="9"/>
            <w:tabs>
              <w:tab w:val="right" w:leader="dot" w:pos="8519"/>
            </w:tabs>
          </w:pPr>
          <w:r>
            <w:fldChar w:fldCharType="begin"/>
          </w:r>
          <w:r>
            <w:instrText xml:space="preserve"> HYPERLINK \l _Toc25824 </w:instrText>
          </w:r>
          <w:r>
            <w:fldChar w:fldCharType="separate"/>
          </w:r>
          <w:r>
            <w:rPr>
              <w:rFonts w:hint="eastAsia"/>
              <w:lang w:val="en-US" w:eastAsia="zh-CN"/>
            </w:rPr>
            <w:t>4.2服务要求</w:t>
          </w:r>
          <w:r>
            <w:tab/>
          </w:r>
          <w:r>
            <w:fldChar w:fldCharType="begin"/>
          </w:r>
          <w:r>
            <w:instrText xml:space="preserve"> PAGEREF _Toc25824 \h </w:instrText>
          </w:r>
          <w:r>
            <w:fldChar w:fldCharType="separate"/>
          </w:r>
          <w:r>
            <w:t>7</w:t>
          </w:r>
          <w:r>
            <w:fldChar w:fldCharType="end"/>
          </w:r>
          <w:r>
            <w:fldChar w:fldCharType="end"/>
          </w:r>
        </w:p>
        <w:p w14:paraId="5B9072CC">
          <w:pPr>
            <w:pStyle w:val="8"/>
            <w:tabs>
              <w:tab w:val="right" w:leader="dot" w:pos="8519"/>
            </w:tabs>
          </w:pPr>
          <w:r>
            <w:fldChar w:fldCharType="begin"/>
          </w:r>
          <w:r>
            <w:instrText xml:space="preserve"> HYPERLINK \l _Toc26352 </w:instrText>
          </w:r>
          <w:r>
            <w:fldChar w:fldCharType="separate"/>
          </w:r>
          <w:r>
            <w:rPr>
              <w:rFonts w:hint="eastAsia"/>
              <w:lang w:val="en-US" w:eastAsia="zh-CN"/>
            </w:rPr>
            <w:t>五、三甲综合医院同类项目案例</w:t>
          </w:r>
          <w:r>
            <w:tab/>
          </w:r>
          <w:r>
            <w:fldChar w:fldCharType="begin"/>
          </w:r>
          <w:r>
            <w:instrText xml:space="preserve"> PAGEREF _Toc26352 \h </w:instrText>
          </w:r>
          <w:r>
            <w:fldChar w:fldCharType="separate"/>
          </w:r>
          <w:r>
            <w:t>8</w:t>
          </w:r>
          <w:r>
            <w:fldChar w:fldCharType="end"/>
          </w:r>
          <w:r>
            <w:fldChar w:fldCharType="end"/>
          </w:r>
        </w:p>
        <w:p w14:paraId="036C6266">
          <w:pPr>
            <w:pStyle w:val="9"/>
            <w:tabs>
              <w:tab w:val="right" w:leader="dot" w:pos="8519"/>
            </w:tabs>
          </w:pPr>
          <w:r>
            <w:fldChar w:fldCharType="begin"/>
          </w:r>
          <w:r>
            <w:instrText xml:space="preserve"> HYPERLINK \l _Toc20233 </w:instrText>
          </w:r>
          <w:r>
            <w:fldChar w:fldCharType="separate"/>
          </w:r>
          <w:r>
            <w:rPr>
              <w:rFonts w:hint="eastAsia"/>
              <w:lang w:val="en-US" w:eastAsia="zh-CN"/>
            </w:rPr>
            <w:t>5.1四川省内（）家</w:t>
          </w:r>
          <w:r>
            <w:tab/>
          </w:r>
          <w:r>
            <w:fldChar w:fldCharType="begin"/>
          </w:r>
          <w:r>
            <w:instrText xml:space="preserve"> PAGEREF _Toc20233 \h </w:instrText>
          </w:r>
          <w:r>
            <w:fldChar w:fldCharType="separate"/>
          </w:r>
          <w:r>
            <w:t>8</w:t>
          </w:r>
          <w:r>
            <w:fldChar w:fldCharType="end"/>
          </w:r>
          <w:r>
            <w:fldChar w:fldCharType="end"/>
          </w:r>
        </w:p>
        <w:p w14:paraId="35760D73">
          <w:pPr>
            <w:pStyle w:val="9"/>
            <w:tabs>
              <w:tab w:val="right" w:leader="dot" w:pos="8519"/>
            </w:tabs>
          </w:pPr>
          <w:r>
            <w:fldChar w:fldCharType="begin"/>
          </w:r>
          <w:r>
            <w:instrText xml:space="preserve"> HYPERLINK \l _Toc8216 </w:instrText>
          </w:r>
          <w:r>
            <w:fldChar w:fldCharType="separate"/>
          </w:r>
          <w:r>
            <w:rPr>
              <w:rFonts w:hint="eastAsia"/>
              <w:lang w:val="en-US" w:eastAsia="zh-CN"/>
            </w:rPr>
            <w:t>5.2四川省外（）家</w:t>
          </w:r>
          <w:r>
            <w:tab/>
          </w:r>
          <w:r>
            <w:fldChar w:fldCharType="begin"/>
          </w:r>
          <w:r>
            <w:instrText xml:space="preserve"> PAGEREF _Toc8216 \h </w:instrText>
          </w:r>
          <w:r>
            <w:fldChar w:fldCharType="separate"/>
          </w:r>
          <w:r>
            <w:t>8</w:t>
          </w:r>
          <w:r>
            <w:fldChar w:fldCharType="end"/>
          </w:r>
          <w:r>
            <w:fldChar w:fldCharType="end"/>
          </w:r>
        </w:p>
        <w:p w14:paraId="72DBB6B7">
          <w:pPr>
            <w:pStyle w:val="9"/>
            <w:tabs>
              <w:tab w:val="right" w:leader="dot" w:pos="8519"/>
            </w:tabs>
          </w:pPr>
          <w:r>
            <w:fldChar w:fldCharType="begin"/>
          </w:r>
          <w:r>
            <w:instrText xml:space="preserve"> HYPERLINK \l _Toc21580 </w:instrText>
          </w:r>
          <w:r>
            <w:fldChar w:fldCharType="separate"/>
          </w:r>
          <w:r>
            <w:rPr>
              <w:rFonts w:hint="eastAsia"/>
              <w:lang w:val="en-US" w:eastAsia="zh-CN"/>
            </w:rPr>
            <w:t>5.3三甲综合医院同类项目案例合同及验收佐证</w:t>
          </w:r>
          <w:r>
            <w:tab/>
          </w:r>
          <w:r>
            <w:fldChar w:fldCharType="begin"/>
          </w:r>
          <w:r>
            <w:instrText xml:space="preserve"> PAGEREF _Toc21580 \h </w:instrText>
          </w:r>
          <w:r>
            <w:fldChar w:fldCharType="separate"/>
          </w:r>
          <w:r>
            <w:t>8</w:t>
          </w:r>
          <w:r>
            <w:fldChar w:fldCharType="end"/>
          </w:r>
          <w:r>
            <w:fldChar w:fldCharType="end"/>
          </w:r>
        </w:p>
        <w:p w14:paraId="6DC88F5D">
          <w:pPr>
            <w:pStyle w:val="8"/>
            <w:tabs>
              <w:tab w:val="right" w:leader="dot" w:pos="8519"/>
            </w:tabs>
          </w:pPr>
          <w:r>
            <w:fldChar w:fldCharType="begin"/>
          </w:r>
          <w:r>
            <w:instrText xml:space="preserve"> HYPERLINK \l _Toc14139 </w:instrText>
          </w:r>
          <w:r>
            <w:fldChar w:fldCharType="separate"/>
          </w:r>
          <w:r>
            <w:rPr>
              <w:rFonts w:hint="eastAsia"/>
              <w:lang w:val="en-US" w:eastAsia="zh-CN"/>
            </w:rPr>
            <w:t>六、报价表包含内容</w:t>
          </w:r>
          <w:r>
            <w:tab/>
          </w:r>
          <w:r>
            <w:fldChar w:fldCharType="begin"/>
          </w:r>
          <w:r>
            <w:instrText xml:space="preserve"> PAGEREF _Toc14139 \h </w:instrText>
          </w:r>
          <w:r>
            <w:fldChar w:fldCharType="separate"/>
          </w:r>
          <w:r>
            <w:t>8</w:t>
          </w:r>
          <w:r>
            <w:fldChar w:fldCharType="end"/>
          </w:r>
          <w:r>
            <w:fldChar w:fldCharType="end"/>
          </w:r>
        </w:p>
        <w:p w14:paraId="2108E429">
          <w:pPr>
            <w:pStyle w:val="8"/>
            <w:tabs>
              <w:tab w:val="right" w:leader="dot" w:pos="8519"/>
            </w:tabs>
          </w:pPr>
          <w:r>
            <w:fldChar w:fldCharType="begin"/>
          </w:r>
          <w:r>
            <w:instrText xml:space="preserve"> HYPERLINK \l _Toc28349 </w:instrText>
          </w:r>
          <w:r>
            <w:fldChar w:fldCharType="separate"/>
          </w:r>
          <w:r>
            <w:rPr>
              <w:rFonts w:hint="eastAsia"/>
              <w:lang w:val="en-US" w:eastAsia="zh-CN"/>
            </w:rPr>
            <w:t>七、建设方案</w:t>
          </w:r>
          <w:r>
            <w:tab/>
          </w:r>
          <w:r>
            <w:fldChar w:fldCharType="begin"/>
          </w:r>
          <w:r>
            <w:instrText xml:space="preserve"> PAGEREF _Toc28349 \h </w:instrText>
          </w:r>
          <w:r>
            <w:fldChar w:fldCharType="separate"/>
          </w:r>
          <w:r>
            <w:t>9</w:t>
          </w:r>
          <w:r>
            <w:fldChar w:fldCharType="end"/>
          </w:r>
          <w:r>
            <w:fldChar w:fldCharType="end"/>
          </w:r>
        </w:p>
        <w:p w14:paraId="1860074C">
          <w:r>
            <w:fldChar w:fldCharType="end"/>
          </w:r>
        </w:p>
      </w:sdtContent>
    </w:sdt>
    <w:p w14:paraId="2E4DF8A4"/>
    <w:p w14:paraId="03CC10E0"/>
    <w:p w14:paraId="045481C5"/>
    <w:p w14:paraId="6E460F13"/>
    <w:p w14:paraId="0BB5B4F9"/>
    <w:p w14:paraId="62B23199"/>
    <w:p w14:paraId="4C58EDDF"/>
    <w:p w14:paraId="3F969AA0"/>
    <w:p w14:paraId="00284FF9"/>
    <w:p w14:paraId="3640C6FD"/>
    <w:p w14:paraId="755A702C"/>
    <w:p w14:paraId="3F16D029">
      <w:pPr>
        <w:sectPr>
          <w:pgSz w:w="11906" w:h="16838"/>
          <w:pgMar w:top="2098" w:right="1474" w:bottom="1984" w:left="1587" w:header="851" w:footer="992" w:gutter="0"/>
          <w:cols w:space="425" w:num="1"/>
          <w:docGrid w:type="lines" w:linePitch="312" w:charSpace="0"/>
        </w:sectPr>
      </w:pPr>
    </w:p>
    <w:p w14:paraId="534FD3C0">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rPr>
      </w:pPr>
      <w:bookmarkStart w:id="0" w:name="_Toc152042597"/>
      <w:bookmarkStart w:id="1" w:name="_Toc7415"/>
      <w:bookmarkStart w:id="2" w:name="_Toc152045808"/>
      <w:bookmarkStart w:id="3" w:name="_Toc10065"/>
      <w:bookmarkStart w:id="4" w:name="_Toc247514300"/>
      <w:bookmarkStart w:id="5" w:name="_Toc427002393"/>
      <w:bookmarkStart w:id="6" w:name="_Toc144974876"/>
      <w:bookmarkStart w:id="7" w:name="_Toc247527848"/>
      <w:bookmarkStart w:id="8" w:name="_Toc21034"/>
      <w:r>
        <w:rPr>
          <w:rFonts w:hint="eastAsia"/>
        </w:rPr>
        <w:t>报名</w:t>
      </w:r>
      <w:r>
        <w:rPr>
          <w:rFonts w:hint="eastAsia"/>
          <w:lang w:eastAsia="zh-CN"/>
        </w:rPr>
        <w:t>登记</w:t>
      </w:r>
      <w:r>
        <w:rPr>
          <w:rFonts w:hint="eastAsia"/>
        </w:rPr>
        <w:t>表</w:t>
      </w:r>
      <w:bookmarkEnd w:id="0"/>
      <w:bookmarkEnd w:id="1"/>
      <w:bookmarkEnd w:id="2"/>
      <w:bookmarkEnd w:id="3"/>
      <w:bookmarkEnd w:id="4"/>
      <w:bookmarkEnd w:id="5"/>
      <w:bookmarkEnd w:id="6"/>
      <w:bookmarkEnd w:id="7"/>
      <w:bookmarkEnd w:id="8"/>
    </w:p>
    <w:tbl>
      <w:tblPr>
        <w:tblStyle w:val="11"/>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68D6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21480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A79A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D583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A571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4D833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联系邮箱</w:t>
            </w:r>
          </w:p>
          <w:p w14:paraId="50728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58519050">
            <w:pPr>
              <w:jc w:val="center"/>
              <w:rPr>
                <w:rFonts w:hint="eastAsia"/>
              </w:rPr>
            </w:pPr>
            <w:r>
              <w:rPr>
                <w:rFonts w:hint="eastAsia" w:ascii="宋体" w:hAnsi="宋体" w:eastAsia="宋体" w:cs="宋体"/>
                <w:i w:val="0"/>
                <w:iCs w:val="0"/>
                <w:color w:val="000000"/>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A4ECD1A">
            <w:pPr>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备注</w:t>
            </w:r>
          </w:p>
        </w:tc>
      </w:tr>
      <w:tr w14:paraId="1A8F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5786D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6C8FEBC">
            <w:pPr>
              <w:jc w:val="center"/>
              <w:rPr>
                <w:rFonts w:hint="eastAsia" w:ascii="宋体" w:hAnsi="宋体" w:eastAsia="宋体" w:cs="宋体"/>
                <w:i w:val="0"/>
                <w:iCs w:val="0"/>
                <w:color w:val="000000"/>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16E35B2">
            <w:pPr>
              <w:jc w:val="center"/>
              <w:rPr>
                <w:rFonts w:hint="eastAsia" w:ascii="宋体" w:hAnsi="宋体" w:eastAsia="宋体" w:cs="宋体"/>
                <w:i w:val="0"/>
                <w:iCs w:val="0"/>
                <w:color w:val="000000"/>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C95D7CA">
            <w:pPr>
              <w:jc w:val="center"/>
              <w:rPr>
                <w:rFonts w:hint="eastAsia" w:ascii="宋体" w:hAnsi="宋体" w:eastAsia="宋体" w:cs="宋体"/>
                <w:i w:val="0"/>
                <w:iCs w:val="0"/>
                <w:color w:val="000000"/>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6562831">
            <w:pPr>
              <w:jc w:val="center"/>
              <w:rPr>
                <w:rFonts w:hint="eastAsia" w:ascii="宋体" w:hAnsi="宋体" w:eastAsia="宋体" w:cs="宋体"/>
                <w:i w:val="0"/>
                <w:iCs w:val="0"/>
                <w:color w:val="000000"/>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2BA05B98">
            <w:pPr>
              <w:jc w:val="center"/>
              <w:rPr>
                <w:rFonts w:hint="eastAsia" w:ascii="宋体" w:hAnsi="宋体" w:eastAsia="宋体" w:cs="宋体"/>
                <w:i w:val="0"/>
                <w:iCs w:val="0"/>
                <w:color w:val="000000"/>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E0A8616">
            <w:pPr>
              <w:jc w:val="center"/>
              <w:rPr>
                <w:rFonts w:hint="eastAsia" w:ascii="宋体" w:hAnsi="宋体" w:eastAsia="宋体" w:cs="宋体"/>
                <w:i w:val="0"/>
                <w:iCs w:val="0"/>
                <w:color w:val="000000"/>
                <w:sz w:val="24"/>
                <w:szCs w:val="24"/>
                <w:u w:val="none"/>
              </w:rPr>
            </w:pPr>
          </w:p>
        </w:tc>
      </w:tr>
    </w:tbl>
    <w:p w14:paraId="5E16A6B5">
      <w:pPr>
        <w:numPr>
          <w:ilvl w:val="0"/>
          <w:numId w:val="0"/>
        </w:numPr>
        <w:rPr>
          <w:rFonts w:hint="eastAsia"/>
        </w:rPr>
      </w:pPr>
    </w:p>
    <w:p w14:paraId="4E5CFD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9" w:name="_Toc13094"/>
      <w:bookmarkStart w:id="10" w:name="_Toc2669"/>
      <w:r>
        <w:rPr>
          <w:rFonts w:hint="eastAsia"/>
          <w:lang w:val="en-US" w:eastAsia="zh-CN"/>
        </w:rPr>
        <w:t>二、资质：</w:t>
      </w:r>
      <w:bookmarkEnd w:id="9"/>
    </w:p>
    <w:p w14:paraId="7F06158F">
      <w:pPr>
        <w:pStyle w:val="3"/>
        <w:bidi w:val="0"/>
        <w:rPr>
          <w:rFonts w:hint="eastAsia"/>
        </w:rPr>
      </w:pPr>
      <w:bookmarkStart w:id="11" w:name="_Toc24938"/>
      <w:r>
        <w:rPr>
          <w:rFonts w:hint="eastAsia"/>
          <w:lang w:val="en-US" w:eastAsia="zh-CN"/>
        </w:rPr>
        <w:t>2.1</w:t>
      </w:r>
      <w:r>
        <w:rPr>
          <w:rFonts w:hint="eastAsia"/>
        </w:rPr>
        <w:t>营业执照</w:t>
      </w:r>
      <w:bookmarkEnd w:id="10"/>
      <w:bookmarkEnd w:id="11"/>
      <w:bookmarkStart w:id="12" w:name="_Toc3036"/>
    </w:p>
    <w:p w14:paraId="40C1620F">
      <w:pPr>
        <w:pStyle w:val="3"/>
        <w:bidi w:val="0"/>
        <w:rPr>
          <w:rFonts w:hint="eastAsia"/>
          <w:lang w:val="en-US" w:eastAsia="zh-CN"/>
        </w:rPr>
      </w:pPr>
      <w:bookmarkStart w:id="13" w:name="_Toc27173"/>
      <w:r>
        <w:rPr>
          <w:rFonts w:hint="eastAsia"/>
          <w:lang w:val="en-US" w:eastAsia="zh-CN"/>
        </w:rPr>
        <w:t>2.1</w:t>
      </w:r>
      <w:r>
        <w:rPr>
          <w:rFonts w:hint="eastAsia"/>
          <w:lang w:eastAsia="zh-CN"/>
        </w:rPr>
        <w:t>法定代表人授权书</w:t>
      </w:r>
      <w:bookmarkEnd w:id="12"/>
      <w:bookmarkEnd w:id="13"/>
    </w:p>
    <w:p w14:paraId="3771381C">
      <w:pPr>
        <w:pStyle w:val="3"/>
        <w:bidi w:val="0"/>
        <w:rPr>
          <w:rFonts w:hint="eastAsia"/>
          <w:lang w:eastAsia="zh-CN"/>
        </w:rPr>
      </w:pPr>
      <w:bookmarkStart w:id="14" w:name="_Toc5131"/>
      <w:bookmarkStart w:id="15" w:name="_Toc16332"/>
      <w:r>
        <w:rPr>
          <w:rFonts w:hint="eastAsia"/>
          <w:lang w:val="en-US" w:eastAsia="zh-CN"/>
        </w:rPr>
        <w:t>2.3</w:t>
      </w:r>
      <w:r>
        <w:rPr>
          <w:rFonts w:hint="eastAsia"/>
          <w:lang w:eastAsia="zh-CN"/>
        </w:rPr>
        <w:t>法人及被授权人身份证</w:t>
      </w:r>
      <w:bookmarkEnd w:id="14"/>
      <w:bookmarkEnd w:id="15"/>
    </w:p>
    <w:p w14:paraId="3AA75AAA">
      <w:pPr>
        <w:pStyle w:val="3"/>
        <w:bidi w:val="0"/>
        <w:rPr>
          <w:rFonts w:hint="eastAsia"/>
          <w:lang w:eastAsia="zh-CN"/>
        </w:rPr>
      </w:pPr>
      <w:bookmarkStart w:id="16" w:name="_Toc22588"/>
      <w:bookmarkStart w:id="17" w:name="_Toc12288"/>
      <w:r>
        <w:rPr>
          <w:rFonts w:hint="eastAsia"/>
          <w:lang w:val="en-US" w:eastAsia="zh-CN"/>
        </w:rPr>
        <w:t>2.4</w:t>
      </w:r>
      <w:r>
        <w:rPr>
          <w:rFonts w:hint="eastAsia"/>
          <w:lang w:eastAsia="zh-CN"/>
        </w:rPr>
        <w:t>公司资质</w:t>
      </w:r>
      <w:bookmarkEnd w:id="16"/>
      <w:bookmarkEnd w:id="17"/>
    </w:p>
    <w:p w14:paraId="3B9E3166">
      <w:pPr>
        <w:pStyle w:val="3"/>
        <w:bidi w:val="0"/>
        <w:rPr>
          <w:rFonts w:hint="default"/>
          <w:lang w:val="en-US" w:eastAsia="zh-CN"/>
        </w:rPr>
      </w:pPr>
      <w:bookmarkStart w:id="18" w:name="_Toc2528"/>
      <w:r>
        <w:rPr>
          <w:rFonts w:hint="eastAsia"/>
          <w:lang w:val="en-US" w:eastAsia="zh-CN"/>
        </w:rPr>
        <w:t>2.5软件资质</w:t>
      </w:r>
      <w:bookmarkEnd w:id="18"/>
    </w:p>
    <w:p w14:paraId="04149700">
      <w:pPr>
        <w:pStyle w:val="3"/>
        <w:bidi w:val="0"/>
        <w:rPr>
          <w:rFonts w:hint="eastAsia"/>
          <w:lang w:eastAsia="zh-CN"/>
        </w:rPr>
      </w:pPr>
      <w:bookmarkStart w:id="19" w:name="_Toc11995"/>
      <w:bookmarkStart w:id="20" w:name="_Toc17148"/>
      <w:r>
        <w:rPr>
          <w:rFonts w:hint="eastAsia"/>
          <w:lang w:val="en-US" w:eastAsia="zh-CN"/>
        </w:rPr>
        <w:t>2.6本项目涉及</w:t>
      </w:r>
      <w:r>
        <w:rPr>
          <w:rFonts w:hint="eastAsia"/>
          <w:lang w:eastAsia="zh-CN"/>
        </w:rPr>
        <w:t>资质</w:t>
      </w:r>
      <w:bookmarkEnd w:id="19"/>
      <w:bookmarkEnd w:id="20"/>
    </w:p>
    <w:p w14:paraId="5F361545">
      <w:pPr>
        <w:pStyle w:val="3"/>
        <w:bidi w:val="0"/>
        <w:rPr>
          <w:rFonts w:hint="eastAsia" w:ascii="宋体" w:hAnsi="宋体" w:eastAsia="宋体" w:cs="宋体"/>
          <w:sz w:val="24"/>
          <w:szCs w:val="24"/>
        </w:rPr>
      </w:pPr>
      <w:bookmarkStart w:id="21" w:name="_Toc21787"/>
      <w:bookmarkStart w:id="22" w:name="_Toc12512"/>
      <w:r>
        <w:rPr>
          <w:rFonts w:hint="eastAsia"/>
          <w:b/>
          <w:lang w:val="en-US" w:eastAsia="zh-CN"/>
        </w:rPr>
        <w:t>2.7开发商委托销售授权函</w:t>
      </w:r>
      <w:bookmarkEnd w:id="21"/>
      <w:bookmarkEnd w:id="22"/>
    </w:p>
    <w:p w14:paraId="2D89F460">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lang w:val="en-US" w:eastAsia="zh-CN"/>
        </w:rPr>
      </w:pPr>
      <w:bookmarkStart w:id="23" w:name="_Toc4918"/>
      <w:r>
        <w:rPr>
          <w:rFonts w:hint="eastAsia"/>
          <w:lang w:val="en-US" w:eastAsia="zh-CN"/>
        </w:rPr>
        <w:t>三、单一来源说明及佐证材料</w:t>
      </w:r>
      <w:bookmarkEnd w:id="23"/>
    </w:p>
    <w:p w14:paraId="4A8FEC16">
      <w:pPr>
        <w:pStyle w:val="16"/>
        <w:rPr>
          <w:rFonts w:hint="eastAsia" w:ascii="宋体" w:hAnsi="宋体" w:eastAsia="宋体" w:cs="宋体"/>
          <w:sz w:val="24"/>
          <w:szCs w:val="24"/>
        </w:rPr>
      </w:pPr>
    </w:p>
    <w:p w14:paraId="0A2415B7">
      <w:pPr>
        <w:pStyle w:val="16"/>
        <w:rPr>
          <w:rFonts w:hint="eastAsia" w:ascii="宋体" w:hAnsi="宋体" w:eastAsia="宋体" w:cs="宋体"/>
          <w:sz w:val="24"/>
          <w:szCs w:val="24"/>
        </w:rPr>
      </w:pPr>
    </w:p>
    <w:p w14:paraId="00C60657">
      <w:pPr>
        <w:pStyle w:val="16"/>
        <w:rPr>
          <w:rFonts w:hint="eastAsia" w:ascii="宋体" w:hAnsi="宋体" w:eastAsia="宋体" w:cs="宋体"/>
          <w:sz w:val="24"/>
          <w:szCs w:val="24"/>
        </w:rPr>
      </w:pPr>
    </w:p>
    <w:p w14:paraId="022F31E4">
      <w:pPr>
        <w:pStyle w:val="16"/>
        <w:rPr>
          <w:rFonts w:hint="eastAsia" w:ascii="宋体" w:hAnsi="宋体" w:eastAsia="宋体" w:cs="宋体"/>
          <w:sz w:val="24"/>
          <w:szCs w:val="24"/>
        </w:rPr>
      </w:pPr>
    </w:p>
    <w:p w14:paraId="3FD28250">
      <w:pPr>
        <w:pStyle w:val="16"/>
        <w:rPr>
          <w:rFonts w:hint="eastAsia" w:ascii="宋体" w:hAnsi="宋体" w:eastAsia="宋体" w:cs="宋体"/>
          <w:sz w:val="24"/>
          <w:szCs w:val="24"/>
        </w:rPr>
      </w:pPr>
    </w:p>
    <w:p w14:paraId="642FBADD">
      <w:pPr>
        <w:rPr>
          <w:rFonts w:hint="eastAsia"/>
          <w:lang w:val="en-US" w:eastAsia="zh-CN"/>
        </w:rPr>
        <w:sectPr>
          <w:pgSz w:w="11906" w:h="16838"/>
          <w:pgMar w:top="1440" w:right="1800" w:bottom="1440" w:left="1800" w:header="851" w:footer="992" w:gutter="0"/>
          <w:cols w:space="425" w:num="1"/>
          <w:docGrid w:type="lines" w:linePitch="312" w:charSpace="0"/>
        </w:sectPr>
      </w:pPr>
    </w:p>
    <w:p w14:paraId="53474E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4" w:name="_Toc16671"/>
      <w:r>
        <w:rPr>
          <w:rFonts w:hint="eastAsia"/>
          <w:lang w:val="en-US" w:eastAsia="zh-CN"/>
        </w:rPr>
        <w:t>四、项目调研情况一览汇总表</w:t>
      </w:r>
      <w:bookmarkEnd w:id="24"/>
    </w:p>
    <w:p w14:paraId="3E6C3BF6">
      <w:pPr>
        <w:pStyle w:val="6"/>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项目名称：院内无线移动专网                    </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采购品目分类名称：</w:t>
      </w:r>
    </w:p>
    <w:p w14:paraId="184F0710">
      <w:pPr>
        <w:pStyle w:val="6"/>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各潜在供应商</w:t>
      </w:r>
      <w:r>
        <w:rPr>
          <w:rFonts w:hint="eastAsia" w:ascii="仿宋" w:hAnsi="仿宋" w:eastAsia="仿宋" w:cs="仿宋"/>
          <w:i w:val="0"/>
          <w:iCs w:val="0"/>
          <w:color w:val="000000"/>
          <w:kern w:val="0"/>
          <w:sz w:val="24"/>
          <w:szCs w:val="24"/>
          <w:u w:val="none"/>
          <w:lang w:val="en-US" w:eastAsia="zh-CN" w:bidi="ar"/>
        </w:rPr>
        <w:t>名称：</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联系人及联系电话：</w:t>
      </w:r>
    </w:p>
    <w:p w14:paraId="4C2DD488">
      <w:pPr>
        <w:pStyle w:val="3"/>
        <w:bidi w:val="0"/>
        <w:rPr>
          <w:rFonts w:hint="default"/>
          <w:b/>
          <w:lang w:val="en-US" w:eastAsia="zh-CN"/>
        </w:rPr>
      </w:pPr>
      <w:bookmarkStart w:id="25" w:name="_Toc28115"/>
      <w:r>
        <w:rPr>
          <w:rFonts w:hint="eastAsia"/>
          <w:b/>
          <w:lang w:val="en-US" w:eastAsia="zh-CN"/>
        </w:rPr>
        <w:t>4.1报价表</w:t>
      </w:r>
      <w:bookmarkEnd w:id="25"/>
    </w:p>
    <w:tbl>
      <w:tblPr>
        <w:tblStyle w:val="11"/>
        <w:tblW w:w="148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95"/>
        <w:gridCol w:w="4042"/>
        <w:gridCol w:w="2220"/>
        <w:gridCol w:w="1800"/>
        <w:gridCol w:w="2313"/>
        <w:gridCol w:w="1350"/>
        <w:gridCol w:w="1444"/>
      </w:tblGrid>
      <w:tr w14:paraId="5B16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AAC94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p w14:paraId="744F95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48FF6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p w14:paraId="24A23E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服务名称</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73FC78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p w14:paraId="382B33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方案1：服务期3年（万元）</w:t>
            </w: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29146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p w14:paraId="28AED0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方案2：建设费</w:t>
            </w:r>
          </w:p>
          <w:p w14:paraId="051C6E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（万元）</w:t>
            </w: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8ED96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与技术服务要求相比是否有正负偏离（若有请详细例举）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F63B0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在国内三甲医院用户案例</w:t>
            </w: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D68E3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备注</w:t>
            </w:r>
          </w:p>
        </w:tc>
      </w:tr>
      <w:tr w14:paraId="7477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D895F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A8DFD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新区门诊楼-无线移动专网网络铺设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008D3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9A288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1F5CE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881BA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4AF5637">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709B0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993DC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ED012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第一住院楼-无线移动专网网络铺设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33CF3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0C45C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3985C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DB959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CEDC6C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632D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72115F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7621DC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第二住院楼-无线移动专网网络铺设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D584F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868CB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39370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F53C8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3637C3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0C52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4B7E4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4</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C16D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第三住院楼-无线移动专网网络铺设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488C6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EACF5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24CA0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1FE50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84FF65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3477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E4C03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5</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DE0D8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医技楼-无线移动专网网络铺设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915E8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8C4C5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A7F02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F7677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27ABAD6">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0493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11B6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6</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E2A71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病案楼及其他区域-无线移动专网网络铺设</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FDBB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1D7E5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E51E1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3DC72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FFC84A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p>
        </w:tc>
      </w:tr>
      <w:tr w14:paraId="02C59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86669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7</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697D8C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四期楼宇-无线网络中心端</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E7A21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053F7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7F4E8E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DDE6F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74447C6">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至少包含实名认证平台、上网行为管理与审计溯源设备</w:t>
            </w:r>
          </w:p>
        </w:tc>
      </w:tr>
      <w:tr w14:paraId="4902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7A5EA2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8</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4A8666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非四期楼宇-无线网络中心端</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B5AF3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20175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1B8D8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04A6D9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b w:val="0"/>
                <w:color w:val="000000"/>
                <w:kern w:val="2"/>
                <w:sz w:val="24"/>
                <w:szCs w:val="24"/>
                <w:lang w:val="en-US" w:eastAsia="zh-CN" w:bidi="ar-SA"/>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1AD06E5D">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至少包含含实名认证平台、上网行为管理与审计溯源设备</w:t>
            </w:r>
          </w:p>
        </w:tc>
      </w:tr>
      <w:tr w14:paraId="0ED2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169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1CAD933">
            <w:pPr>
              <w:pStyle w:val="10"/>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4"/>
                <w:szCs w:val="24"/>
                <w:vertAlign w:val="baseline"/>
                <w:lang w:val="en-US"/>
              </w:rPr>
              <w:t> </w:t>
            </w:r>
          </w:p>
        </w:tc>
        <w:tc>
          <w:tcPr>
            <w:tcW w:w="404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250EAAD">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b/>
                <w:bCs/>
                <w:i w:val="0"/>
                <w:iCs w:val="0"/>
                <w:color w:val="000000"/>
                <w:spacing w:val="0"/>
                <w:w w:val="100"/>
                <w:sz w:val="18"/>
                <w:szCs w:val="18"/>
                <w:vertAlign w:val="baseline"/>
              </w:rPr>
              <w:t>总报价</w:t>
            </w:r>
          </w:p>
        </w:tc>
        <w:tc>
          <w:tcPr>
            <w:tcW w:w="22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F274F13">
            <w:pPr>
              <w:pStyle w:val="10"/>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4"/>
                <w:szCs w:val="24"/>
                <w:vertAlign w:val="baseline"/>
                <w:lang w:val="en-US"/>
              </w:rPr>
              <w:t> </w:t>
            </w:r>
          </w:p>
        </w:tc>
        <w:tc>
          <w:tcPr>
            <w:tcW w:w="18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2FBF39F">
            <w:pPr>
              <w:pStyle w:val="10"/>
              <w:keepNext w:val="0"/>
              <w:keepLines w:val="0"/>
              <w:widowControl/>
              <w:suppressLineNumbers w:val="0"/>
              <w:spacing w:before="0" w:beforeAutospacing="0" w:after="0" w:afterAutospacing="0"/>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b w:val="0"/>
                <w:bCs w:val="0"/>
                <w:i w:val="0"/>
                <w:iCs w:val="0"/>
                <w:color w:val="000000"/>
                <w:spacing w:val="0"/>
                <w:w w:val="100"/>
                <w:sz w:val="24"/>
                <w:szCs w:val="24"/>
                <w:vertAlign w:val="baseline"/>
                <w:lang w:val="en-US"/>
              </w:rPr>
              <w:t> </w:t>
            </w:r>
          </w:p>
        </w:tc>
        <w:tc>
          <w:tcPr>
            <w:tcW w:w="23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EB802B7">
            <w:pPr>
              <w:pStyle w:val="10"/>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4"/>
                <w:szCs w:val="24"/>
                <w:vertAlign w:val="baseline"/>
                <w:lang w:val="en-US"/>
              </w:rPr>
              <w:t> </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2E2F30F">
            <w:pPr>
              <w:pStyle w:val="10"/>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color w:val="000000"/>
                <w:spacing w:val="0"/>
                <w:w w:val="100"/>
                <w:sz w:val="24"/>
                <w:szCs w:val="24"/>
                <w:vertAlign w:val="baseline"/>
                <w:lang w:val="en-US"/>
              </w:rPr>
            </w:pPr>
          </w:p>
        </w:tc>
        <w:tc>
          <w:tcPr>
            <w:tcW w:w="144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22BC1607">
            <w:pPr>
              <w:pStyle w:val="10"/>
              <w:keepNext w:val="0"/>
              <w:keepLines w:val="0"/>
              <w:widowControl/>
              <w:suppressLineNumbers w:val="0"/>
              <w:spacing w:before="0" w:beforeAutospacing="0" w:after="0" w:afterAutospacing="0"/>
              <w:ind w:left="0" w:right="0"/>
              <w:jc w:val="left"/>
            </w:pPr>
            <w:r>
              <w:rPr>
                <w:rFonts w:hint="eastAsia" w:ascii="宋体" w:hAnsi="宋体" w:eastAsia="宋体" w:cs="宋体"/>
                <w:b w:val="0"/>
                <w:bCs w:val="0"/>
                <w:i w:val="0"/>
                <w:iCs w:val="0"/>
                <w:color w:val="000000"/>
                <w:spacing w:val="0"/>
                <w:w w:val="100"/>
                <w:sz w:val="24"/>
                <w:szCs w:val="24"/>
                <w:vertAlign w:val="baseline"/>
                <w:lang w:val="en-US"/>
              </w:rPr>
              <w:t> </w:t>
            </w:r>
          </w:p>
        </w:tc>
      </w:tr>
    </w:tbl>
    <w:p w14:paraId="4BE7A177">
      <w:pPr>
        <w:rPr>
          <w:rFonts w:hint="eastAsia"/>
          <w:lang w:val="en-US" w:eastAsia="zh-CN"/>
        </w:rPr>
        <w:sectPr>
          <w:pgSz w:w="16838" w:h="11906" w:orient="landscape"/>
          <w:pgMar w:top="1134" w:right="1134" w:bottom="567" w:left="1134" w:header="851" w:footer="992" w:gutter="0"/>
          <w:cols w:space="425" w:num="1"/>
          <w:docGrid w:type="lines" w:linePitch="312" w:charSpace="0"/>
        </w:sectPr>
      </w:pPr>
    </w:p>
    <w:p w14:paraId="1D271A12">
      <w:pPr>
        <w:pStyle w:val="3"/>
        <w:bidi w:val="0"/>
        <w:rPr>
          <w:rFonts w:hint="default"/>
          <w:b/>
          <w:lang w:val="en-US" w:eastAsia="zh-CN"/>
        </w:rPr>
      </w:pPr>
      <w:bookmarkStart w:id="26" w:name="_Toc25824"/>
      <w:r>
        <w:rPr>
          <w:rFonts w:hint="eastAsia"/>
          <w:b/>
          <w:lang w:val="en-US" w:eastAsia="zh-CN"/>
        </w:rPr>
        <w:t>4.2服务要求</w:t>
      </w:r>
      <w:bookmarkEnd w:id="26"/>
    </w:p>
    <w:tbl>
      <w:tblPr>
        <w:tblStyle w:val="11"/>
        <w:tblW w:w="96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1"/>
        <w:gridCol w:w="2334"/>
        <w:gridCol w:w="6570"/>
      </w:tblGrid>
      <w:tr w14:paraId="3189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BAB88">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3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2B7BF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服务名称</w:t>
            </w:r>
          </w:p>
        </w:tc>
        <w:tc>
          <w:tcPr>
            <w:tcW w:w="6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69454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服务内容描述</w:t>
            </w:r>
          </w:p>
        </w:tc>
      </w:tr>
      <w:tr w14:paraId="3F361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jc w:val="center"/>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6F20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23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74B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无线移动专网网络铺设</w:t>
            </w:r>
          </w:p>
        </w:tc>
        <w:tc>
          <w:tcPr>
            <w:tcW w:w="6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43C35">
            <w:pPr>
              <w:pStyle w:val="10"/>
              <w:keepNext w:val="0"/>
              <w:keepLines w:val="0"/>
              <w:widowControl/>
              <w:suppressLineNumbers w:val="0"/>
              <w:spacing w:before="0" w:beforeAutospacing="0" w:after="0" w:afterAutospacing="0"/>
              <w:ind w:left="0" w:right="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本项服务范围为四期楼宇外的非四期楼宇（新区门诊楼、第一住院楼、第二住院楼、第三住院楼、医技楼、病案楼及其他区域），分区规划、分楼宇实施报价。四期新大楼</w:t>
            </w:r>
            <w:r>
              <w:rPr>
                <w:rFonts w:hint="eastAsia" w:cs="宋体"/>
                <w:b w:val="0"/>
                <w:bCs w:val="0"/>
                <w:i w:val="0"/>
                <w:iCs w:val="0"/>
                <w:color w:val="000000"/>
                <w:spacing w:val="0"/>
                <w:w w:val="100"/>
                <w:sz w:val="21"/>
                <w:szCs w:val="21"/>
                <w:vertAlign w:val="baseline"/>
                <w:lang w:val="en-US" w:eastAsia="zh-CN"/>
              </w:rPr>
              <w:t>为</w:t>
            </w:r>
            <w:r>
              <w:rPr>
                <w:rFonts w:hint="eastAsia" w:ascii="宋体" w:hAnsi="宋体" w:eastAsia="宋体" w:cs="宋体"/>
                <w:b w:val="0"/>
                <w:bCs w:val="0"/>
                <w:i w:val="0"/>
                <w:iCs w:val="0"/>
                <w:color w:val="000000"/>
                <w:spacing w:val="0"/>
                <w:w w:val="100"/>
                <w:sz w:val="21"/>
                <w:szCs w:val="21"/>
                <w:vertAlign w:val="baseline"/>
              </w:rPr>
              <w:t>上海博达无线专网、无需新建铺设，仅需通过中心端实名认证与审计溯源体系实现安全管控。</w:t>
            </w:r>
          </w:p>
          <w:p w14:paraId="6FC2F439">
            <w:pPr>
              <w:pStyle w:val="10"/>
              <w:keepNext w:val="0"/>
              <w:keepLines w:val="0"/>
              <w:widowControl/>
              <w:numPr>
                <w:ilvl w:val="0"/>
                <w:numId w:val="3"/>
              </w:numPr>
              <w:suppressLineNumbers w:val="0"/>
              <w:spacing w:before="0" w:beforeAutospacing="0" w:after="0" w:afterAutospacing="0"/>
              <w:ind w:left="0" w:right="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无线控制器、AP点位部署、线缆综合布线、POE交换机等硬件供货与安装；</w:t>
            </w:r>
          </w:p>
          <w:p w14:paraId="552CF97D">
            <w:pPr>
              <w:pStyle w:val="10"/>
              <w:keepNext w:val="0"/>
              <w:keepLines w:val="0"/>
              <w:widowControl/>
              <w:numPr>
                <w:ilvl w:val="0"/>
                <w:numId w:val="3"/>
              </w:numPr>
              <w:suppressLineNumbers w:val="0"/>
              <w:spacing w:before="0" w:beforeAutospacing="0" w:after="0" w:afterAutospacing="0"/>
              <w:ind w:left="0" w:leftChars="0" w:right="0" w:rightChars="0" w:firstLine="0" w:firstLineChars="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无线网络统一管理与运维平台部署；</w:t>
            </w:r>
          </w:p>
          <w:p w14:paraId="4FD345FA">
            <w:pPr>
              <w:pStyle w:val="10"/>
              <w:keepNext w:val="0"/>
              <w:keepLines w:val="0"/>
              <w:widowControl/>
              <w:numPr>
                <w:ilvl w:val="0"/>
                <w:numId w:val="3"/>
              </w:numPr>
              <w:suppressLineNumbers w:val="0"/>
              <w:spacing w:before="0" w:beforeAutospacing="0" w:after="0" w:afterAutospacing="0"/>
              <w:ind w:left="0" w:leftChars="0" w:right="0" w:rightChars="0" w:firstLine="0" w:firstLineChars="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高密度接入、无缝漫游、负载均衡等性能调优；</w:t>
            </w:r>
          </w:p>
          <w:p w14:paraId="74A96E4A">
            <w:pPr>
              <w:pStyle w:val="10"/>
              <w:keepNext w:val="0"/>
              <w:keepLines w:val="0"/>
              <w:widowControl/>
              <w:numPr>
                <w:ilvl w:val="0"/>
                <w:numId w:val="3"/>
              </w:numPr>
              <w:suppressLineNumbers w:val="0"/>
              <w:spacing w:before="0" w:beforeAutospacing="0" w:after="0" w:afterAutospacing="0"/>
              <w:ind w:left="0" w:leftChars="0" w:right="0" w:rightChars="0" w:firstLine="0" w:firstLineChars="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与现有有线网络及核心业务系统（HIS/LIS/PACS/电子病历等）对接；</w:t>
            </w:r>
          </w:p>
          <w:p w14:paraId="76958B7F">
            <w:pPr>
              <w:pStyle w:val="10"/>
              <w:keepNext w:val="0"/>
              <w:keepLines w:val="0"/>
              <w:widowControl/>
              <w:numPr>
                <w:ilvl w:val="0"/>
                <w:numId w:val="3"/>
              </w:numPr>
              <w:suppressLineNumbers w:val="0"/>
              <w:spacing w:before="0" w:beforeAutospacing="0" w:after="0" w:afterAutospacing="0"/>
              <w:ind w:left="0" w:leftChars="0" w:right="0" w:rightChars="0" w:firstLine="0" w:firstLineChars="0"/>
              <w:jc w:val="both"/>
              <w:rPr>
                <w:rFonts w:hint="eastAsia" w:ascii="宋体" w:hAnsi="宋体" w:eastAsia="宋体" w:cs="宋体"/>
                <w:b w:val="0"/>
                <w:bCs w:val="0"/>
                <w:i w:val="0"/>
                <w:iCs w:val="0"/>
                <w:color w:val="000000"/>
                <w:spacing w:val="0"/>
                <w:w w:val="100"/>
                <w:sz w:val="21"/>
                <w:szCs w:val="21"/>
                <w:vertAlign w:val="baseline"/>
              </w:rPr>
            </w:pPr>
            <w:r>
              <w:rPr>
                <w:rFonts w:hint="eastAsia" w:ascii="宋体" w:hAnsi="宋体" w:eastAsia="宋体" w:cs="宋体"/>
                <w:b w:val="0"/>
                <w:bCs w:val="0"/>
                <w:i w:val="0"/>
                <w:iCs w:val="0"/>
                <w:color w:val="000000"/>
                <w:spacing w:val="0"/>
                <w:w w:val="100"/>
                <w:sz w:val="21"/>
                <w:szCs w:val="21"/>
                <w:vertAlign w:val="baseline"/>
              </w:rPr>
              <w:t>预留中心端设备（实名认证、上网行为管理与审计溯源）部署所需的光口/电口、机位及供电条件；</w:t>
            </w:r>
          </w:p>
          <w:p w14:paraId="69883CCF">
            <w:pPr>
              <w:pStyle w:val="10"/>
              <w:keepNext w:val="0"/>
              <w:keepLines w:val="0"/>
              <w:widowControl/>
              <w:numPr>
                <w:numId w:val="0"/>
              </w:numPr>
              <w:suppressLineNumbers w:val="0"/>
              <w:spacing w:before="0" w:beforeAutospacing="0" w:after="0" w:afterAutospacing="0"/>
              <w:ind w:leftChars="0" w:right="0" w:rightChars="0"/>
              <w:jc w:val="both"/>
              <w:rPr>
                <w:rFonts w:hint="eastAsia" w:ascii="微软雅黑" w:hAnsi="微软雅黑" w:eastAsia="微软雅黑" w:cs="微软雅黑"/>
                <w:i w:val="0"/>
                <w:iCs w:val="0"/>
                <w:color w:val="000000"/>
                <w:sz w:val="20"/>
                <w:szCs w:val="20"/>
                <w:u w:val="none"/>
              </w:rPr>
            </w:pPr>
            <w:r>
              <w:rPr>
                <w:rFonts w:hint="eastAsia" w:ascii="宋体" w:hAnsi="宋体" w:eastAsia="宋体" w:cs="宋体"/>
                <w:b w:val="0"/>
                <w:bCs w:val="0"/>
                <w:i w:val="0"/>
                <w:iCs w:val="0"/>
                <w:color w:val="000000"/>
                <w:spacing w:val="0"/>
                <w:w w:val="100"/>
                <w:sz w:val="21"/>
                <w:szCs w:val="21"/>
                <w:vertAlign w:val="baseline"/>
              </w:rPr>
              <w:t>（6）提供网络规划、实施、测试及3年质保运维服务。</w:t>
            </w:r>
          </w:p>
        </w:tc>
      </w:tr>
      <w:tr w14:paraId="6687F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884F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23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6A14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无线实名认证平台</w:t>
            </w:r>
          </w:p>
        </w:tc>
        <w:tc>
          <w:tcPr>
            <w:tcW w:w="6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D4B31">
            <w:pPr>
              <w:keepNext w:val="0"/>
              <w:keepLines w:val="0"/>
              <w:widowControl/>
              <w:suppressLineNumbers w:val="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按四期楼宇、非四期楼宇分区部署无线实名认证中心端，与报价表"中心端"报价项对应，实现全院覆盖。非四期中心端覆盖新区门诊楼、第一住院楼、第二住院楼、第三住院楼、医技楼、病案楼及其他区域。（1）对接医生、护士、患者、运维、访客等多类身份的认证能力；</w:t>
            </w:r>
          </w:p>
          <w:p w14:paraId="15E57DE8">
            <w:pPr>
              <w:keepNext w:val="0"/>
              <w:keepLines w:val="0"/>
              <w:widowControl/>
              <w:numPr>
                <w:ilvl w:val="0"/>
                <w:numId w:val="4"/>
              </w:numPr>
              <w:suppressLineNumbers w:val="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支持账号密码、短信验证码、CA/数字证书、扫码等多种认证方式；</w:t>
            </w:r>
          </w:p>
          <w:p w14:paraId="20D82C9D">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与院内统一身份认证（HR系统、企业微信等）对接；</w:t>
            </w:r>
          </w:p>
          <w:p w14:paraId="5873F6DB">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实现"一人一账号、一终端一标识"的会话级实名绑定，将每个上网会话与具体使用人身份一一对应，即使同一无线接入点（AP）下多人同时连接，亦可区分并追溯到具体连接人；</w:t>
            </w:r>
          </w:p>
          <w:p w14:paraId="0B7B4951">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认证与审计日志全量留存，满足等保2.0网络安全合规要求；</w:t>
            </w:r>
          </w:p>
          <w:p w14:paraId="7CC3A5A7">
            <w:pPr>
              <w:keepNext w:val="0"/>
              <w:keepLines w:val="0"/>
              <w:widowControl/>
              <w:numPr>
                <w:numId w:val="0"/>
              </w:numPr>
              <w:suppressLineNumbers w:val="0"/>
              <w:ind w:left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（6）提供3年质保运维服务。</w:t>
            </w:r>
          </w:p>
        </w:tc>
      </w:tr>
      <w:tr w14:paraId="19F5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35EC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23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38C4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上网行为管理与审计溯源服务</w:t>
            </w:r>
          </w:p>
        </w:tc>
        <w:tc>
          <w:tcPr>
            <w:tcW w:w="6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763A9F">
            <w:pPr>
              <w:keepNext w:val="0"/>
              <w:keepLines w:val="0"/>
              <w:widowControl/>
              <w:suppressLineNumbers w:val="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按四期楼宇、非四期楼宇分区在无线网络出口部署上网行为管理与审计溯源设备（硬件或软硬一体机，与报价表"中心端"报价项对应），与实名认证平台联动，实现上网行为与具体使用人身份一一对应，溯源粒度精确到个人而非仅到AP或终端。</w:t>
            </w:r>
          </w:p>
          <w:p w14:paraId="01A09618">
            <w:pPr>
              <w:keepNext w:val="0"/>
              <w:keepLines w:val="0"/>
              <w:widowControl/>
              <w:numPr>
                <w:ilvl w:val="0"/>
                <w:numId w:val="5"/>
              </w:numPr>
              <w:suppressLineNumbers w:val="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全量上网行为记录（源IP、目标URL/应用、时间、时长、流量等）；</w:t>
            </w:r>
          </w:p>
          <w:p w14:paraId="4F5A5095">
            <w:pPr>
              <w:keepNext w:val="0"/>
              <w:keepLines w:val="0"/>
              <w:widowControl/>
              <w:numPr>
                <w:ilvl w:val="0"/>
                <w:numId w:val="5"/>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行为日志留存不少于6个月；</w:t>
            </w:r>
          </w:p>
          <w:p w14:paraId="5AC87C63">
            <w:pPr>
              <w:keepNext w:val="0"/>
              <w:keepLines w:val="0"/>
              <w:widowControl/>
              <w:numPr>
                <w:ilvl w:val="0"/>
                <w:numId w:val="5"/>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支持按人员、终端、时间、应用/URL等维度组合检索与行为回放，即使同一无线接入点（AP）下多人同时连接，亦可按实名认证会话精确定位到具体责任人；</w:t>
            </w:r>
          </w:p>
          <w:p w14:paraId="7D4F0B33">
            <w:pPr>
              <w:keepNext w:val="0"/>
              <w:keepLines w:val="0"/>
              <w:widowControl/>
              <w:numPr>
                <w:ilvl w:val="0"/>
                <w:numId w:val="5"/>
              </w:numPr>
              <w:suppressLineNumbers w:val="0"/>
              <w:ind w:left="0" w:leftChars="0" w:firstLine="0" w:firstLine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提供报表与告警功能，满足等保2.0网络安全合规要求；</w:t>
            </w:r>
          </w:p>
          <w:p w14:paraId="707C49B9">
            <w:pPr>
              <w:keepNext w:val="0"/>
              <w:keepLines w:val="0"/>
              <w:widowControl/>
              <w:numPr>
                <w:numId w:val="0"/>
              </w:numPr>
              <w:suppressLineNumbers w:val="0"/>
              <w:ind w:leftChars="0"/>
              <w:jc w:val="left"/>
              <w:textAlignment w:val="center"/>
              <w:rPr>
                <w:rFonts w:hint="eastAsia" w:ascii="宋体" w:hAnsi="宋体" w:eastAsia="宋体" w:cs="宋体"/>
                <w:b w:val="0"/>
                <w:bCs w:val="0"/>
                <w:i w:val="0"/>
                <w:iCs w:val="0"/>
                <w:color w:val="000000"/>
                <w:spacing w:val="0"/>
                <w:w w:val="100"/>
                <w:kern w:val="2"/>
                <w:sz w:val="21"/>
                <w:szCs w:val="21"/>
                <w:vertAlign w:val="baseline"/>
                <w:lang w:val="en-US" w:eastAsia="zh-CN" w:bidi="ar-SA"/>
              </w:rPr>
            </w:pPr>
            <w:r>
              <w:rPr>
                <w:rFonts w:hint="eastAsia" w:ascii="宋体" w:hAnsi="宋体" w:eastAsia="宋体" w:cs="宋体"/>
                <w:b w:val="0"/>
                <w:bCs w:val="0"/>
                <w:i w:val="0"/>
                <w:iCs w:val="0"/>
                <w:color w:val="000000"/>
                <w:spacing w:val="0"/>
                <w:w w:val="100"/>
                <w:kern w:val="2"/>
                <w:sz w:val="21"/>
                <w:szCs w:val="21"/>
                <w:vertAlign w:val="baseline"/>
                <w:lang w:val="en-US" w:eastAsia="zh-CN" w:bidi="ar-SA"/>
              </w:rPr>
              <w:t>（5）提供3年质保运维服务。</w:t>
            </w:r>
          </w:p>
        </w:tc>
      </w:tr>
    </w:tbl>
    <w:p w14:paraId="18B3071B">
      <w:pPr>
        <w:rPr>
          <w:rFonts w:hint="eastAsia"/>
          <w:lang w:val="en-US" w:eastAsia="zh-CN"/>
        </w:rPr>
        <w:sectPr>
          <w:pgSz w:w="11906" w:h="16838"/>
          <w:pgMar w:top="1134" w:right="567" w:bottom="1134" w:left="1134" w:header="851" w:footer="992" w:gutter="0"/>
          <w:cols w:space="425" w:num="1"/>
          <w:docGrid w:type="lines" w:linePitch="312" w:charSpace="0"/>
        </w:sectPr>
      </w:pPr>
    </w:p>
    <w:p w14:paraId="7E703842">
      <w:pPr>
        <w:pStyle w:val="16"/>
        <w:rPr>
          <w:rFonts w:hint="eastAsia"/>
          <w:lang w:val="en-US" w:eastAsia="zh-CN"/>
        </w:rPr>
      </w:pPr>
    </w:p>
    <w:p w14:paraId="18DD3D7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7" w:name="_Toc26352"/>
      <w:r>
        <w:rPr>
          <w:rFonts w:hint="eastAsia"/>
          <w:lang w:val="en-US" w:eastAsia="zh-CN"/>
        </w:rPr>
        <w:t>五、三甲综合医院同类项目案例</w:t>
      </w:r>
      <w:bookmarkEnd w:id="27"/>
    </w:p>
    <w:p w14:paraId="7AB2E5A9">
      <w:pPr>
        <w:pStyle w:val="3"/>
        <w:bidi w:val="0"/>
        <w:ind w:firstLine="482" w:firstLineChars="200"/>
        <w:rPr>
          <w:rFonts w:hint="eastAsia"/>
          <w:lang w:val="en-US" w:eastAsia="zh-CN"/>
        </w:rPr>
      </w:pPr>
      <w:bookmarkStart w:id="28" w:name="_Toc20233"/>
      <w:r>
        <w:rPr>
          <w:rFonts w:hint="eastAsia"/>
          <w:lang w:val="en-US" w:eastAsia="zh-CN"/>
        </w:rPr>
        <w:t>5.1四川省内（）家</w:t>
      </w:r>
      <w:bookmarkEnd w:id="28"/>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A84646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A042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5B06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12005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49C4A6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44761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7F3C62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3C76D48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CBC2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D80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782F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4CCAB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9F86D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111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15CE5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B8C5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E75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D53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7471A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D6DA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674B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7872F2A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73977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BE75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1C24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75C2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7B5A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21E3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657AFF2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F0AF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051C6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A0CB4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A6D10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6D79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E5D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643454EC">
      <w:pPr>
        <w:pStyle w:val="24"/>
        <w:ind w:firstLine="0" w:firstLineChars="0"/>
        <w:rPr>
          <w:rFonts w:hint="eastAsia" w:ascii="仿宋" w:hAnsi="仿宋" w:eastAsia="仿宋" w:cs="仿宋"/>
          <w:sz w:val="30"/>
          <w:szCs w:val="30"/>
        </w:rPr>
      </w:pPr>
    </w:p>
    <w:p w14:paraId="4337E2B5">
      <w:pPr>
        <w:pStyle w:val="16"/>
        <w:rPr>
          <w:rFonts w:hint="eastAsia" w:ascii="仿宋" w:hAnsi="仿宋" w:eastAsia="仿宋" w:cs="仿宋"/>
          <w:kern w:val="2"/>
          <w:sz w:val="30"/>
          <w:szCs w:val="30"/>
        </w:rPr>
      </w:pPr>
    </w:p>
    <w:p w14:paraId="607BD5F6">
      <w:pPr>
        <w:pStyle w:val="16"/>
        <w:rPr>
          <w:rFonts w:hint="eastAsia" w:ascii="仿宋" w:hAnsi="仿宋" w:eastAsia="仿宋" w:cs="仿宋"/>
          <w:kern w:val="2"/>
          <w:sz w:val="30"/>
          <w:szCs w:val="30"/>
        </w:rPr>
      </w:pPr>
    </w:p>
    <w:p w14:paraId="22586352">
      <w:pPr>
        <w:pStyle w:val="16"/>
        <w:rPr>
          <w:rFonts w:hint="eastAsia" w:ascii="仿宋" w:hAnsi="仿宋" w:eastAsia="仿宋" w:cs="仿宋"/>
          <w:kern w:val="2"/>
          <w:sz w:val="30"/>
          <w:szCs w:val="30"/>
        </w:rPr>
      </w:pPr>
    </w:p>
    <w:p w14:paraId="6CC2E8DE">
      <w:pPr>
        <w:pStyle w:val="16"/>
        <w:rPr>
          <w:rFonts w:hint="eastAsia" w:ascii="仿宋" w:hAnsi="仿宋" w:eastAsia="仿宋" w:cs="仿宋"/>
          <w:kern w:val="2"/>
          <w:sz w:val="30"/>
          <w:szCs w:val="30"/>
        </w:rPr>
      </w:pPr>
    </w:p>
    <w:p w14:paraId="1D180795">
      <w:pPr>
        <w:pStyle w:val="16"/>
        <w:rPr>
          <w:rFonts w:hint="eastAsia" w:ascii="仿宋" w:hAnsi="仿宋" w:eastAsia="仿宋" w:cs="仿宋"/>
          <w:kern w:val="2"/>
          <w:sz w:val="30"/>
          <w:szCs w:val="30"/>
        </w:rPr>
      </w:pPr>
    </w:p>
    <w:p w14:paraId="7A5F7BF4">
      <w:pPr>
        <w:pStyle w:val="3"/>
        <w:bidi w:val="0"/>
        <w:ind w:firstLine="482" w:firstLineChars="200"/>
        <w:rPr>
          <w:rFonts w:hint="eastAsia"/>
          <w:lang w:val="en-US" w:eastAsia="zh-CN"/>
        </w:rPr>
      </w:pPr>
      <w:bookmarkStart w:id="29" w:name="_Toc8216"/>
      <w:r>
        <w:rPr>
          <w:rFonts w:hint="eastAsia"/>
          <w:lang w:val="en-US" w:eastAsia="zh-CN"/>
        </w:rPr>
        <w:t>5.2四川省外（）家</w:t>
      </w:r>
      <w:bookmarkEnd w:id="29"/>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13DFCBC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75D0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2F40C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6E033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36215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48C39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0A2505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13B582A7">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37943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7C77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EB2D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A9C8A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31CA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B4FB5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44322D2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1DAE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612C7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BF515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DE5D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8E04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9472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28ECAF1">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8071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8570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6907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75120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A497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37F3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16D58C7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7AC1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F660F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C4060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C837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006D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57E01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7A10F7B0">
      <w:pPr>
        <w:rPr>
          <w:rFonts w:hint="eastAsia"/>
          <w:lang w:val="en-US" w:eastAsia="zh-CN"/>
        </w:rPr>
      </w:pPr>
    </w:p>
    <w:p w14:paraId="17A922E8">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C796354">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69868A95">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0B12C8A5">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46ACD2B">
      <w:pPr>
        <w:pStyle w:val="3"/>
        <w:bidi w:val="0"/>
        <w:ind w:firstLine="482" w:firstLineChars="200"/>
        <w:rPr>
          <w:rFonts w:hint="eastAsia"/>
          <w:lang w:val="en-US" w:eastAsia="zh-CN"/>
        </w:rPr>
      </w:pPr>
    </w:p>
    <w:p w14:paraId="2825E0AF">
      <w:pPr>
        <w:pStyle w:val="3"/>
        <w:bidi w:val="0"/>
        <w:ind w:firstLine="482" w:firstLineChars="200"/>
        <w:rPr>
          <w:rFonts w:hint="eastAsia"/>
          <w:lang w:val="en-US" w:eastAsia="zh-CN"/>
        </w:rPr>
      </w:pPr>
      <w:bookmarkStart w:id="30" w:name="_Toc138151651"/>
      <w:bookmarkStart w:id="31" w:name="_Toc21580"/>
      <w:r>
        <w:rPr>
          <w:rFonts w:hint="eastAsia"/>
          <w:lang w:val="en-US" w:eastAsia="zh-CN"/>
        </w:rPr>
        <w:t>5.3三甲综合医院同类项目案例合同及验收佐证</w:t>
      </w:r>
      <w:bookmarkEnd w:id="30"/>
      <w:bookmarkEnd w:id="31"/>
    </w:p>
    <w:p w14:paraId="0796EAF6">
      <w:pPr>
        <w:pStyle w:val="16"/>
        <w:spacing w:line="240" w:lineRule="auto"/>
        <w:rPr>
          <w:rFonts w:hint="eastAsia" w:ascii="仿宋" w:hAnsi="仿宋" w:eastAsia="仿宋" w:cs="仿宋"/>
          <w:b w:val="0"/>
          <w:color w:val="0000FF"/>
          <w:kern w:val="2"/>
          <w:sz w:val="24"/>
          <w:szCs w:val="24"/>
          <w:lang w:val="en-US" w:eastAsia="zh-CN" w:bidi="ar-SA"/>
        </w:rPr>
      </w:pPr>
    </w:p>
    <w:p w14:paraId="72EAC4B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lang w:val="en-US" w:eastAsia="zh-CN"/>
        </w:rPr>
      </w:pPr>
      <w:bookmarkStart w:id="32" w:name="_Toc138151652"/>
      <w:bookmarkStart w:id="33" w:name="_Toc27685"/>
      <w:bookmarkStart w:id="34" w:name="_Toc14139"/>
      <w:r>
        <w:rPr>
          <w:rFonts w:hint="eastAsia"/>
          <w:lang w:val="en-US" w:eastAsia="zh-CN"/>
        </w:rPr>
        <w:t>六、报价表</w:t>
      </w:r>
      <w:bookmarkEnd w:id="32"/>
      <w:r>
        <w:rPr>
          <w:rFonts w:hint="eastAsia"/>
          <w:lang w:val="en-US" w:eastAsia="zh-CN"/>
        </w:rPr>
        <w:t>包含内容</w:t>
      </w:r>
      <w:bookmarkEnd w:id="33"/>
      <w:bookmarkEnd w:id="34"/>
    </w:p>
    <w:p w14:paraId="6B22A198">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1.报价包含项目实施所涉及的软件及配套硬件、成本、费用和税金，其包括但不限于软件开发、安装、调试、验收、培训、税金、第三方系统的接口开发等费用。</w:t>
      </w:r>
    </w:p>
    <w:p w14:paraId="429E9B3E">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2.系统建设实施直至整体验收提供不少于1名具有实施经验的技术人员常驻医院现场。</w:t>
      </w:r>
    </w:p>
    <w:p w14:paraId="35226B60">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3.系统整体验收合格之日起提供不少于3年的免费质保期，质保期内免费上门服务，质保期内提供免费的软件升级及接口改造服务，包括医院主要业务系统变更等。</w:t>
      </w:r>
    </w:p>
    <w:p w14:paraId="085C4B86">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4.质保期之后，系统维保费率不高于招标总价的5%。</w:t>
      </w:r>
    </w:p>
    <w:p w14:paraId="775DBC8F">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5.须同时支持Windows平台和国产化平台，后期免费进行国产化适配改造。该项目中产品运行所必须的各种软件须满足包括但不限于以下要求：产品所依赖的操作系统、浏览器、数据库、中间件、容器等，所提供的软件必须为正版化软件(须提供授权给医院的佐证资料），供应商负责正版化软件的升级、更换、调试、安装等。所投产品支持国产软、硬件，包括但不限于：服务器、办公电脑、移动终端、国产操作系统、支持国产数据库等，并能够按照院方需求将产品迁移至国产化硬件、操作系统及数据库中，包含在本次报价中。</w:t>
      </w:r>
    </w:p>
    <w:p w14:paraId="6DC31A71">
      <w:pPr>
        <w:pStyle w:val="16"/>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6.须支持密评防护,并免费做好该项目涉及的密码应用对接及密评相关工作，须满足医院自行或聘请的第三方网络安全等级保护测评和商用密码应用安全性评估，对测评中出现的软硬件安全漏洞须及时修复、改造。</w:t>
      </w:r>
      <w:r>
        <w:rPr>
          <w:rFonts w:hint="eastAsia" w:ascii="宋体" w:hAnsi="宋体" w:eastAsia="宋体" w:cs="宋体"/>
          <w:b w:val="0"/>
          <w:color w:val="FF0000"/>
          <w:kern w:val="2"/>
          <w:sz w:val="21"/>
          <w:szCs w:val="21"/>
          <w:lang w:val="en-US" w:eastAsia="zh-CN" w:bidi="ar-SA"/>
        </w:rPr>
        <w:t>此外，对上级相关部门单位及医院检查发现并提出须整改的安全漏洞，应在规定期间内完成整改</w:t>
      </w:r>
      <w:r>
        <w:rPr>
          <w:rFonts w:hint="eastAsia" w:hAnsi="宋体" w:cs="宋体"/>
          <w:b w:val="0"/>
          <w:color w:val="FF0000"/>
          <w:kern w:val="2"/>
          <w:sz w:val="21"/>
          <w:szCs w:val="21"/>
          <w:lang w:val="en-US" w:eastAsia="zh-CN" w:bidi="ar-SA"/>
        </w:rPr>
        <w:t>，并</w:t>
      </w:r>
      <w:r>
        <w:rPr>
          <w:rFonts w:hint="eastAsia" w:ascii="宋体" w:hAnsi="宋体" w:eastAsia="宋体" w:cs="宋体"/>
          <w:b w:val="0"/>
          <w:color w:val="FF0000"/>
          <w:kern w:val="2"/>
          <w:sz w:val="21"/>
          <w:szCs w:val="21"/>
          <w:lang w:val="en-US" w:eastAsia="zh-CN" w:bidi="ar-SA"/>
        </w:rPr>
        <w:t>提供第三方测评公司出具的测评报告(包括功能、性能、安全等测评)。</w:t>
      </w:r>
    </w:p>
    <w:p w14:paraId="3A560B05">
      <w:pPr>
        <w:pStyle w:val="16"/>
        <w:spacing w:line="240" w:lineRule="auto"/>
        <w:ind w:firstLine="560"/>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7.待资阳市政务服务和大数据管理局完成政务信创云项目建设后，本系统将迁移至政务信创云，如需对本项目进行服务及数据迁移，业务中断≤24小时。</w:t>
      </w:r>
    </w:p>
    <w:p w14:paraId="7039743C">
      <w:pPr>
        <w:pStyle w:val="16"/>
        <w:spacing w:line="240" w:lineRule="auto"/>
        <w:ind w:firstLine="560"/>
        <w:rPr>
          <w:rFonts w:hint="default"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8.报价包含提供第三方测评公司出具的测评报告（包括功能、性能、安全等）。</w:t>
      </w:r>
    </w:p>
    <w:p w14:paraId="645415E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35" w:name="_Toc28349"/>
      <w:r>
        <w:rPr>
          <w:rFonts w:hint="eastAsia"/>
          <w:lang w:val="en-US" w:eastAsia="zh-CN"/>
        </w:rPr>
        <w:t>七、建设方案</w:t>
      </w:r>
      <w:bookmarkEnd w:id="35"/>
    </w:p>
    <w:p w14:paraId="0BCA7238">
      <w:pPr>
        <w:rPr>
          <w:rFonts w:hint="default"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见报名文件附件实施方案，请填充可以填写的部分。</w:t>
      </w:r>
    </w:p>
    <w:p w14:paraId="7E215218">
      <w:pPr>
        <w:rPr>
          <w:rFonts w:hint="eastAsia"/>
          <w:lang w:val="en-US" w:eastAsia="zh-CN"/>
        </w:rPr>
      </w:pPr>
    </w:p>
    <w:p w14:paraId="5180C530">
      <w:pPr>
        <w:rPr>
          <w:rFonts w:hint="default"/>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93FB51-7ABB-49F1-86DC-93C92C4A19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C221410-E446-4A42-AB35-047C2346CBCD}"/>
  </w:font>
  <w:font w:name="仿宋">
    <w:panose1 w:val="02010609060101010101"/>
    <w:charset w:val="86"/>
    <w:family w:val="auto"/>
    <w:pitch w:val="default"/>
    <w:sig w:usb0="800002BF" w:usb1="38CF7CFA" w:usb2="00000016" w:usb3="00000000" w:csb0="00040001" w:csb1="00000000"/>
    <w:embedRegular r:id="rId3" w:fontKey="{D0BD9932-4F99-4BEC-ABA2-6DC0FF67300B}"/>
  </w:font>
  <w:font w:name="微软雅黑">
    <w:panose1 w:val="020B0503020204020204"/>
    <w:charset w:val="86"/>
    <w:family w:val="auto"/>
    <w:pitch w:val="default"/>
    <w:sig w:usb0="80000287" w:usb1="2ACF3C50" w:usb2="00000016" w:usb3="00000000" w:csb0="0004001F" w:csb1="00000000"/>
    <w:embedRegular r:id="rId4" w:fontKey="{13E3DCB7-2DEB-48B6-9388-ABCC344598B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6ED831"/>
    <w:multiLevelType w:val="singleLevel"/>
    <w:tmpl w:val="DC6ED831"/>
    <w:lvl w:ilvl="0" w:tentative="0">
      <w:start w:val="1"/>
      <w:numFmt w:val="decimal"/>
      <w:suff w:val="nothing"/>
      <w:lvlText w:val="（%1）"/>
      <w:lvlJc w:val="left"/>
    </w:lvl>
  </w:abstractNum>
  <w:abstractNum w:abstractNumId="1">
    <w:nsid w:val="E64DC3CE"/>
    <w:multiLevelType w:val="singleLevel"/>
    <w:tmpl w:val="E64DC3CE"/>
    <w:lvl w:ilvl="0" w:tentative="0">
      <w:start w:val="1"/>
      <w:numFmt w:val="chineseCounting"/>
      <w:suff w:val="nothing"/>
      <w:lvlText w:val="（%1）"/>
      <w:lvlJc w:val="left"/>
      <w:rPr>
        <w:rFonts w:hint="eastAsia"/>
      </w:rPr>
    </w:lvl>
  </w:abstractNum>
  <w:abstractNum w:abstractNumId="2">
    <w:nsid w:val="23DEF404"/>
    <w:multiLevelType w:val="singleLevel"/>
    <w:tmpl w:val="23DEF404"/>
    <w:lvl w:ilvl="0" w:tentative="0">
      <w:start w:val="1"/>
      <w:numFmt w:val="chineseCounting"/>
      <w:suff w:val="nothing"/>
      <w:lvlText w:val="%1、"/>
      <w:lvlJc w:val="left"/>
      <w:rPr>
        <w:rFonts w:hint="eastAsia"/>
      </w:rPr>
    </w:lvl>
  </w:abstractNum>
  <w:abstractNum w:abstractNumId="3">
    <w:nsid w:val="2CAE9F97"/>
    <w:multiLevelType w:val="singleLevel"/>
    <w:tmpl w:val="2CAE9F97"/>
    <w:lvl w:ilvl="0" w:tentative="0">
      <w:start w:val="2"/>
      <w:numFmt w:val="decimal"/>
      <w:suff w:val="nothing"/>
      <w:lvlText w:val="（%1）"/>
      <w:lvlJc w:val="left"/>
    </w:lvl>
  </w:abstractNum>
  <w:abstractNum w:abstractNumId="4">
    <w:nsid w:val="607F7644"/>
    <w:multiLevelType w:val="singleLevel"/>
    <w:tmpl w:val="607F7644"/>
    <w:lvl w:ilvl="0" w:tentative="0">
      <w:start w:val="1"/>
      <w:numFmt w:val="decimal"/>
      <w:suff w:val="nothing"/>
      <w:lvlText w:val="（%1）"/>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15476DB"/>
    <w:rsid w:val="01D52A58"/>
    <w:rsid w:val="021006E5"/>
    <w:rsid w:val="0224038E"/>
    <w:rsid w:val="02CE7139"/>
    <w:rsid w:val="03163E1D"/>
    <w:rsid w:val="03552A08"/>
    <w:rsid w:val="03BB6210"/>
    <w:rsid w:val="03BB642D"/>
    <w:rsid w:val="03D3104E"/>
    <w:rsid w:val="04256146"/>
    <w:rsid w:val="04593878"/>
    <w:rsid w:val="04914B02"/>
    <w:rsid w:val="050339CA"/>
    <w:rsid w:val="052B1309"/>
    <w:rsid w:val="05D7519E"/>
    <w:rsid w:val="062156C2"/>
    <w:rsid w:val="063B0E08"/>
    <w:rsid w:val="06A178C6"/>
    <w:rsid w:val="07925438"/>
    <w:rsid w:val="07B611C8"/>
    <w:rsid w:val="07C115F6"/>
    <w:rsid w:val="07C537D5"/>
    <w:rsid w:val="07CF7222"/>
    <w:rsid w:val="07E9598A"/>
    <w:rsid w:val="07F76D1E"/>
    <w:rsid w:val="085B7E12"/>
    <w:rsid w:val="088E0B0F"/>
    <w:rsid w:val="089F023E"/>
    <w:rsid w:val="09EF4DDA"/>
    <w:rsid w:val="0A4B342C"/>
    <w:rsid w:val="0A5A448A"/>
    <w:rsid w:val="0AED6E12"/>
    <w:rsid w:val="0B307376"/>
    <w:rsid w:val="0C603D76"/>
    <w:rsid w:val="0C811C7B"/>
    <w:rsid w:val="0CDC4161"/>
    <w:rsid w:val="0D041EBC"/>
    <w:rsid w:val="0D5422FE"/>
    <w:rsid w:val="0D907DC5"/>
    <w:rsid w:val="0DD4413B"/>
    <w:rsid w:val="0DFB1411"/>
    <w:rsid w:val="0E266744"/>
    <w:rsid w:val="0EA93CA3"/>
    <w:rsid w:val="0EAC0638"/>
    <w:rsid w:val="0F192B9A"/>
    <w:rsid w:val="10151202"/>
    <w:rsid w:val="10AE73EC"/>
    <w:rsid w:val="10BD6274"/>
    <w:rsid w:val="1118101A"/>
    <w:rsid w:val="113B145B"/>
    <w:rsid w:val="11DA6532"/>
    <w:rsid w:val="121A3D4C"/>
    <w:rsid w:val="12492C39"/>
    <w:rsid w:val="12833A99"/>
    <w:rsid w:val="134306AA"/>
    <w:rsid w:val="135A02D0"/>
    <w:rsid w:val="13712447"/>
    <w:rsid w:val="14461E0A"/>
    <w:rsid w:val="148B7538"/>
    <w:rsid w:val="14E013D0"/>
    <w:rsid w:val="15C73093"/>
    <w:rsid w:val="15CF1F26"/>
    <w:rsid w:val="15DB7F42"/>
    <w:rsid w:val="16207B77"/>
    <w:rsid w:val="16B17A67"/>
    <w:rsid w:val="16B36D4D"/>
    <w:rsid w:val="1799286B"/>
    <w:rsid w:val="17CE675B"/>
    <w:rsid w:val="185B5474"/>
    <w:rsid w:val="18D92EBD"/>
    <w:rsid w:val="18F65F6C"/>
    <w:rsid w:val="190C14F0"/>
    <w:rsid w:val="1AAF2DD5"/>
    <w:rsid w:val="1AC85C22"/>
    <w:rsid w:val="1AE31E7C"/>
    <w:rsid w:val="1B46204F"/>
    <w:rsid w:val="1BBC5511"/>
    <w:rsid w:val="1BEB00C0"/>
    <w:rsid w:val="1C036DD3"/>
    <w:rsid w:val="1D12234E"/>
    <w:rsid w:val="1DBE13B8"/>
    <w:rsid w:val="1E053C26"/>
    <w:rsid w:val="1E073016"/>
    <w:rsid w:val="1E4A73F0"/>
    <w:rsid w:val="1E77318B"/>
    <w:rsid w:val="1EB94F81"/>
    <w:rsid w:val="1ED65F1E"/>
    <w:rsid w:val="1FEC6C87"/>
    <w:rsid w:val="20390524"/>
    <w:rsid w:val="20E172DD"/>
    <w:rsid w:val="20E3342D"/>
    <w:rsid w:val="210E5779"/>
    <w:rsid w:val="21726AD2"/>
    <w:rsid w:val="217F7DF1"/>
    <w:rsid w:val="218E0668"/>
    <w:rsid w:val="22A273FF"/>
    <w:rsid w:val="22A56ED4"/>
    <w:rsid w:val="22B3482A"/>
    <w:rsid w:val="239605DE"/>
    <w:rsid w:val="23DC39DF"/>
    <w:rsid w:val="23E3036F"/>
    <w:rsid w:val="24107A3A"/>
    <w:rsid w:val="25380CA0"/>
    <w:rsid w:val="257D0110"/>
    <w:rsid w:val="25886937"/>
    <w:rsid w:val="25C63BAB"/>
    <w:rsid w:val="25C67C05"/>
    <w:rsid w:val="260F404F"/>
    <w:rsid w:val="263578BE"/>
    <w:rsid w:val="265E0AEC"/>
    <w:rsid w:val="26A70C65"/>
    <w:rsid w:val="270C409F"/>
    <w:rsid w:val="2777374E"/>
    <w:rsid w:val="277E783A"/>
    <w:rsid w:val="27C9523F"/>
    <w:rsid w:val="27CF4822"/>
    <w:rsid w:val="283860D8"/>
    <w:rsid w:val="286E270D"/>
    <w:rsid w:val="28710CD1"/>
    <w:rsid w:val="28A60FDB"/>
    <w:rsid w:val="29FF496C"/>
    <w:rsid w:val="2A1F28C7"/>
    <w:rsid w:val="2A2A3E76"/>
    <w:rsid w:val="2A4479D7"/>
    <w:rsid w:val="2B8925CC"/>
    <w:rsid w:val="2C376479"/>
    <w:rsid w:val="2C6F6170"/>
    <w:rsid w:val="2C9F6F43"/>
    <w:rsid w:val="2CB47378"/>
    <w:rsid w:val="2D3E1C0F"/>
    <w:rsid w:val="2D672D4A"/>
    <w:rsid w:val="2D755A60"/>
    <w:rsid w:val="2E8E10D4"/>
    <w:rsid w:val="2E9A5803"/>
    <w:rsid w:val="2F8D0CD0"/>
    <w:rsid w:val="2F9D3423"/>
    <w:rsid w:val="305F1B4D"/>
    <w:rsid w:val="3062425E"/>
    <w:rsid w:val="3079550C"/>
    <w:rsid w:val="30893524"/>
    <w:rsid w:val="30C93B1B"/>
    <w:rsid w:val="31595845"/>
    <w:rsid w:val="32024D28"/>
    <w:rsid w:val="337511B1"/>
    <w:rsid w:val="34A93520"/>
    <w:rsid w:val="34B66051"/>
    <w:rsid w:val="34E42C16"/>
    <w:rsid w:val="34EF00BE"/>
    <w:rsid w:val="34F62354"/>
    <w:rsid w:val="351550AE"/>
    <w:rsid w:val="35C97E96"/>
    <w:rsid w:val="364731A4"/>
    <w:rsid w:val="36C21BE7"/>
    <w:rsid w:val="36C450EA"/>
    <w:rsid w:val="372B5D93"/>
    <w:rsid w:val="375B0AE1"/>
    <w:rsid w:val="382D2F86"/>
    <w:rsid w:val="384A4E91"/>
    <w:rsid w:val="386C41A1"/>
    <w:rsid w:val="38761053"/>
    <w:rsid w:val="38A762B5"/>
    <w:rsid w:val="38A804E3"/>
    <w:rsid w:val="38E01351"/>
    <w:rsid w:val="39106763"/>
    <w:rsid w:val="39C62C3D"/>
    <w:rsid w:val="3A985554"/>
    <w:rsid w:val="3AAB598F"/>
    <w:rsid w:val="3AD0638B"/>
    <w:rsid w:val="3B547DD5"/>
    <w:rsid w:val="3B9C785C"/>
    <w:rsid w:val="3C0E1309"/>
    <w:rsid w:val="3C4D1AF8"/>
    <w:rsid w:val="3D033860"/>
    <w:rsid w:val="3D877BF2"/>
    <w:rsid w:val="3D8E5A8D"/>
    <w:rsid w:val="3E2619C7"/>
    <w:rsid w:val="3E4D7489"/>
    <w:rsid w:val="3E924036"/>
    <w:rsid w:val="3EBE4976"/>
    <w:rsid w:val="3EF73899"/>
    <w:rsid w:val="3F0F1038"/>
    <w:rsid w:val="3F917849"/>
    <w:rsid w:val="407F6724"/>
    <w:rsid w:val="4179753E"/>
    <w:rsid w:val="41F702EE"/>
    <w:rsid w:val="421D6643"/>
    <w:rsid w:val="426B6130"/>
    <w:rsid w:val="428970E4"/>
    <w:rsid w:val="42BD668F"/>
    <w:rsid w:val="42D82436"/>
    <w:rsid w:val="43064C90"/>
    <w:rsid w:val="449C4CC6"/>
    <w:rsid w:val="44BE1658"/>
    <w:rsid w:val="45B40105"/>
    <w:rsid w:val="46495D4E"/>
    <w:rsid w:val="46C53FAB"/>
    <w:rsid w:val="47823284"/>
    <w:rsid w:val="47E67906"/>
    <w:rsid w:val="485E35F8"/>
    <w:rsid w:val="488717E9"/>
    <w:rsid w:val="49550899"/>
    <w:rsid w:val="49BA2D04"/>
    <w:rsid w:val="49BB0786"/>
    <w:rsid w:val="4A45370A"/>
    <w:rsid w:val="4B33778A"/>
    <w:rsid w:val="4B395ABD"/>
    <w:rsid w:val="4B643ABC"/>
    <w:rsid w:val="4B9F639D"/>
    <w:rsid w:val="4BC230D9"/>
    <w:rsid w:val="4D696680"/>
    <w:rsid w:val="4E2B74D5"/>
    <w:rsid w:val="4E3C4E24"/>
    <w:rsid w:val="4E844AD0"/>
    <w:rsid w:val="4F4F10AC"/>
    <w:rsid w:val="4F5F64BA"/>
    <w:rsid w:val="4FB545D4"/>
    <w:rsid w:val="502E58AD"/>
    <w:rsid w:val="50854FFE"/>
    <w:rsid w:val="50F91249"/>
    <w:rsid w:val="51B13361"/>
    <w:rsid w:val="51B47BC2"/>
    <w:rsid w:val="52CB19E0"/>
    <w:rsid w:val="5339476F"/>
    <w:rsid w:val="536B2A7D"/>
    <w:rsid w:val="53BA417E"/>
    <w:rsid w:val="53DE59A8"/>
    <w:rsid w:val="53E51F5E"/>
    <w:rsid w:val="541505F1"/>
    <w:rsid w:val="54400E09"/>
    <w:rsid w:val="545266C4"/>
    <w:rsid w:val="54D20740"/>
    <w:rsid w:val="550810AE"/>
    <w:rsid w:val="556B799E"/>
    <w:rsid w:val="55B6522E"/>
    <w:rsid w:val="5715646F"/>
    <w:rsid w:val="57C224F5"/>
    <w:rsid w:val="581F4981"/>
    <w:rsid w:val="58CB413F"/>
    <w:rsid w:val="59410223"/>
    <w:rsid w:val="59723D50"/>
    <w:rsid w:val="59E21AF1"/>
    <w:rsid w:val="59E91D42"/>
    <w:rsid w:val="59EA71B5"/>
    <w:rsid w:val="5A264F65"/>
    <w:rsid w:val="5A864B12"/>
    <w:rsid w:val="5A920D49"/>
    <w:rsid w:val="5AB460CC"/>
    <w:rsid w:val="5B4B35D6"/>
    <w:rsid w:val="5BA97C89"/>
    <w:rsid w:val="5BB10EFE"/>
    <w:rsid w:val="5C121CA4"/>
    <w:rsid w:val="5D077297"/>
    <w:rsid w:val="5D2D190B"/>
    <w:rsid w:val="5D3C6BEF"/>
    <w:rsid w:val="5D762C66"/>
    <w:rsid w:val="5DEA79AF"/>
    <w:rsid w:val="5E1128DA"/>
    <w:rsid w:val="5E2F3B42"/>
    <w:rsid w:val="5F4131D6"/>
    <w:rsid w:val="5F526965"/>
    <w:rsid w:val="5F684284"/>
    <w:rsid w:val="5F6F0822"/>
    <w:rsid w:val="5F744CAA"/>
    <w:rsid w:val="5F957CDE"/>
    <w:rsid w:val="5FC205CB"/>
    <w:rsid w:val="5FDD7E71"/>
    <w:rsid w:val="5FEB66AA"/>
    <w:rsid w:val="602B6FE5"/>
    <w:rsid w:val="606250A6"/>
    <w:rsid w:val="60627DEA"/>
    <w:rsid w:val="6155520D"/>
    <w:rsid w:val="62561308"/>
    <w:rsid w:val="62927E29"/>
    <w:rsid w:val="632E15A0"/>
    <w:rsid w:val="634D7898"/>
    <w:rsid w:val="63545E9E"/>
    <w:rsid w:val="6372138B"/>
    <w:rsid w:val="63733B07"/>
    <w:rsid w:val="63C11A36"/>
    <w:rsid w:val="640D6CAC"/>
    <w:rsid w:val="64105038"/>
    <w:rsid w:val="644B199A"/>
    <w:rsid w:val="64927383"/>
    <w:rsid w:val="64D6157E"/>
    <w:rsid w:val="655D64CF"/>
    <w:rsid w:val="65694555"/>
    <w:rsid w:val="656A4F30"/>
    <w:rsid w:val="65B14764"/>
    <w:rsid w:val="65D55C25"/>
    <w:rsid w:val="66295949"/>
    <w:rsid w:val="67CB7B5D"/>
    <w:rsid w:val="68014CBD"/>
    <w:rsid w:val="687304EE"/>
    <w:rsid w:val="68783C73"/>
    <w:rsid w:val="689B58B8"/>
    <w:rsid w:val="693862AF"/>
    <w:rsid w:val="693A43C0"/>
    <w:rsid w:val="69557BB0"/>
    <w:rsid w:val="6A3B5729"/>
    <w:rsid w:val="6A961A6F"/>
    <w:rsid w:val="6A987C6E"/>
    <w:rsid w:val="6ACB7AD0"/>
    <w:rsid w:val="6B905DD2"/>
    <w:rsid w:val="6BE524F2"/>
    <w:rsid w:val="6CC8224D"/>
    <w:rsid w:val="6D4B29EE"/>
    <w:rsid w:val="6D6D71FE"/>
    <w:rsid w:val="6DDE468A"/>
    <w:rsid w:val="6E2B3418"/>
    <w:rsid w:val="6E7736BC"/>
    <w:rsid w:val="6E92169B"/>
    <w:rsid w:val="6EC06CA8"/>
    <w:rsid w:val="6EC07A8F"/>
    <w:rsid w:val="6EED01BE"/>
    <w:rsid w:val="6F176088"/>
    <w:rsid w:val="6F382128"/>
    <w:rsid w:val="6FCD7A7D"/>
    <w:rsid w:val="709E1F5D"/>
    <w:rsid w:val="712612D9"/>
    <w:rsid w:val="714C1B55"/>
    <w:rsid w:val="71B04852"/>
    <w:rsid w:val="71B2000E"/>
    <w:rsid w:val="72307267"/>
    <w:rsid w:val="725577F4"/>
    <w:rsid w:val="72B513C2"/>
    <w:rsid w:val="73A103C3"/>
    <w:rsid w:val="73A51066"/>
    <w:rsid w:val="740C7A72"/>
    <w:rsid w:val="742227FA"/>
    <w:rsid w:val="74457D84"/>
    <w:rsid w:val="74AB4B27"/>
    <w:rsid w:val="74BE1DD0"/>
    <w:rsid w:val="74EE1F10"/>
    <w:rsid w:val="74FC7C89"/>
    <w:rsid w:val="75AA5052"/>
    <w:rsid w:val="75BE2C2C"/>
    <w:rsid w:val="75BF7348"/>
    <w:rsid w:val="763554A4"/>
    <w:rsid w:val="765F4A43"/>
    <w:rsid w:val="76B46F25"/>
    <w:rsid w:val="76EB7264"/>
    <w:rsid w:val="76F73A24"/>
    <w:rsid w:val="771256CE"/>
    <w:rsid w:val="774B2533"/>
    <w:rsid w:val="77F5610B"/>
    <w:rsid w:val="78A832CE"/>
    <w:rsid w:val="78C97F79"/>
    <w:rsid w:val="79175759"/>
    <w:rsid w:val="794270DA"/>
    <w:rsid w:val="7A5E34A4"/>
    <w:rsid w:val="7A9F77BB"/>
    <w:rsid w:val="7B0556BC"/>
    <w:rsid w:val="7B453D8F"/>
    <w:rsid w:val="7CEF5984"/>
    <w:rsid w:val="7D433BC5"/>
    <w:rsid w:val="7D65005C"/>
    <w:rsid w:val="7E122809"/>
    <w:rsid w:val="7E283B0C"/>
    <w:rsid w:val="7E543940"/>
    <w:rsid w:val="7E7519CA"/>
    <w:rsid w:val="7EF240BF"/>
    <w:rsid w:val="7F2C38B2"/>
    <w:rsid w:val="7F2D0FB6"/>
    <w:rsid w:val="7F792A6E"/>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toc 1"/>
    <w:basedOn w:val="1"/>
    <w:next w:val="1"/>
    <w:qFormat/>
    <w:uiPriority w:val="39"/>
  </w:style>
  <w:style w:type="paragraph" w:styleId="9">
    <w:name w:val="toc 2"/>
    <w:basedOn w:val="1"/>
    <w:next w:val="1"/>
    <w:qFormat/>
    <w:uiPriority w:val="0"/>
    <w:pPr>
      <w:ind w:left="420" w:leftChars="200"/>
    </w:p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Emphasis"/>
    <w:basedOn w:val="13"/>
    <w:qFormat/>
    <w:uiPriority w:val="0"/>
    <w:rPr>
      <w:i/>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font81"/>
    <w:basedOn w:val="13"/>
    <w:qFormat/>
    <w:uiPriority w:val="0"/>
    <w:rPr>
      <w:rFonts w:hint="eastAsia" w:ascii="仿宋" w:hAnsi="仿宋" w:eastAsia="仿宋" w:cs="仿宋"/>
      <w:color w:val="FF0000"/>
      <w:sz w:val="24"/>
      <w:szCs w:val="24"/>
      <w:u w:val="none"/>
    </w:rPr>
  </w:style>
  <w:style w:type="character" w:customStyle="1" w:styleId="18">
    <w:name w:val="font61"/>
    <w:basedOn w:val="13"/>
    <w:qFormat/>
    <w:uiPriority w:val="0"/>
    <w:rPr>
      <w:rFonts w:hint="eastAsia" w:ascii="仿宋" w:hAnsi="仿宋" w:eastAsia="仿宋" w:cs="仿宋"/>
      <w:color w:val="000000"/>
      <w:sz w:val="24"/>
      <w:szCs w:val="24"/>
      <w:u w:val="none"/>
    </w:rPr>
  </w:style>
  <w:style w:type="character" w:customStyle="1" w:styleId="19">
    <w:name w:val="font41"/>
    <w:basedOn w:val="13"/>
    <w:qFormat/>
    <w:uiPriority w:val="0"/>
    <w:rPr>
      <w:rFonts w:hint="eastAsia" w:ascii="仿宋" w:hAnsi="仿宋" w:eastAsia="仿宋" w:cs="仿宋"/>
      <w:color w:val="000000"/>
      <w:sz w:val="24"/>
      <w:szCs w:val="24"/>
      <w:u w:val="none"/>
    </w:rPr>
  </w:style>
  <w:style w:type="character" w:customStyle="1" w:styleId="20">
    <w:name w:val="font71"/>
    <w:basedOn w:val="13"/>
    <w:qFormat/>
    <w:uiPriority w:val="0"/>
    <w:rPr>
      <w:rFonts w:hint="eastAsia" w:ascii="仿宋" w:hAnsi="仿宋" w:eastAsia="仿宋" w:cs="仿宋"/>
      <w:color w:val="0070C0"/>
      <w:sz w:val="24"/>
      <w:szCs w:val="24"/>
      <w:u w:val="none"/>
    </w:rPr>
  </w:style>
  <w:style w:type="character" w:customStyle="1" w:styleId="21">
    <w:name w:val="font51"/>
    <w:basedOn w:val="13"/>
    <w:qFormat/>
    <w:uiPriority w:val="0"/>
    <w:rPr>
      <w:rFonts w:hint="eastAsia" w:ascii="宋体" w:hAnsi="宋体" w:eastAsia="宋体" w:cs="宋体"/>
      <w:color w:val="000000"/>
      <w:sz w:val="24"/>
      <w:szCs w:val="24"/>
      <w:u w:val="none"/>
    </w:rPr>
  </w:style>
  <w:style w:type="character" w:customStyle="1" w:styleId="22">
    <w:name w:val="font21"/>
    <w:basedOn w:val="13"/>
    <w:qFormat/>
    <w:uiPriority w:val="0"/>
    <w:rPr>
      <w:rFonts w:hint="eastAsia" w:ascii="宋体" w:hAnsi="宋体" w:eastAsia="宋体" w:cs="宋体"/>
      <w:color w:val="000000"/>
      <w:sz w:val="22"/>
      <w:szCs w:val="22"/>
      <w:u w:val="none"/>
    </w:rPr>
  </w:style>
  <w:style w:type="character" w:customStyle="1" w:styleId="23">
    <w:name w:val="font11"/>
    <w:basedOn w:val="13"/>
    <w:qFormat/>
    <w:uiPriority w:val="0"/>
    <w:rPr>
      <w:rFonts w:hint="eastAsia" w:ascii="宋体" w:hAnsi="宋体" w:eastAsia="宋体" w:cs="宋体"/>
      <w:b/>
      <w:bCs/>
      <w:color w:val="000000"/>
      <w:sz w:val="24"/>
      <w:szCs w:val="24"/>
      <w:u w:val="none"/>
    </w:rPr>
  </w:style>
  <w:style w:type="paragraph" w:customStyle="1" w:styleId="24">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5">
    <w:name w:val="font31"/>
    <w:basedOn w:val="13"/>
    <w:qFormat/>
    <w:uiPriority w:val="0"/>
    <w:rPr>
      <w:rFonts w:hint="eastAsia" w:ascii="宋体" w:hAnsi="宋体" w:eastAsia="宋体" w:cs="宋体"/>
      <w:color w:val="000000"/>
      <w:sz w:val="24"/>
      <w:szCs w:val="24"/>
      <w:u w:val="none"/>
    </w:rPr>
  </w:style>
  <w:style w:type="character" w:customStyle="1" w:styleId="26">
    <w:name w:val="font01"/>
    <w:basedOn w:val="13"/>
    <w:qFormat/>
    <w:uiPriority w:val="0"/>
    <w:rPr>
      <w:rFonts w:hint="eastAsia" w:ascii="宋体" w:hAnsi="宋体" w:eastAsia="宋体" w:cs="宋体"/>
      <w:color w:val="000000"/>
      <w:sz w:val="22"/>
      <w:szCs w:val="22"/>
      <w:u w:val="none"/>
    </w:rPr>
  </w:style>
  <w:style w:type="paragraph" w:customStyle="1" w:styleId="27">
    <w:name w:val="null3"/>
    <w:hidden/>
    <w:qFormat/>
    <w:uiPriority w:val="0"/>
    <w:rPr>
      <w:rFonts w:hint="eastAsia" w:asciiTheme="minorHAnsi" w:hAnsiTheme="minorHAnsi" w:eastAsiaTheme="minorEastAsia" w:cstheme="minorBidi"/>
      <w:lang w:val="en-US" w:eastAsia="zh-Hans" w:bidi="ar-SA"/>
    </w:rPr>
  </w:style>
  <w:style w:type="paragraph" w:customStyle="1" w:styleId="28">
    <w:name w:val="标题 5（有编号）（绿盟科技）"/>
    <w:basedOn w:val="1"/>
    <w:next w:val="29"/>
    <w:qFormat/>
    <w:uiPriority w:val="0"/>
    <w:pPr>
      <w:keepNext/>
      <w:keepLines/>
      <w:widowControl w:val="0"/>
      <w:tabs>
        <w:tab w:val="left" w:pos="4832"/>
      </w:tabs>
      <w:spacing w:before="280" w:after="156" w:line="377" w:lineRule="auto"/>
      <w:ind w:left="4832" w:hanging="992"/>
      <w:outlineLvl w:val="4"/>
    </w:pPr>
    <w:rPr>
      <w:rFonts w:ascii="Arial" w:hAnsi="Arial" w:eastAsia="黑体"/>
      <w:b/>
      <w:sz w:val="24"/>
      <w:szCs w:val="28"/>
    </w:rPr>
  </w:style>
  <w:style w:type="paragraph" w:customStyle="1" w:styleId="29">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1252</Words>
  <Characters>1367</Characters>
  <Lines>0</Lines>
  <Paragraphs>0</Paragraphs>
  <TotalTime>3</TotalTime>
  <ScaleCrop>false</ScaleCrop>
  <LinksUpToDate>false</LinksUpToDate>
  <CharactersWithSpaces>1388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陈星材</cp:lastModifiedBy>
  <cp:lastPrinted>2026-08-14T06:44:55Z</cp:lastPrinted>
  <dcterms:modified xsi:type="dcterms:W3CDTF">2026-08-14T06:46:49Z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1699AAD725F4408FAC1581F141FA1A4C_13</vt:lpwstr>
  </property>
  <property fmtid="{D5CDD505-2E9C-101B-9397-08002B2CF9AE}" pid="4" name="KSOTemplateDocerSaveRecord">
    <vt:lpwstr>eyJoZGlkIjoiMjQyNDhmOTM2ZTFmMzI0NWNlOWQ4YjMzNDBjYmNiZTkiLCJ1c2VySWQiOiIxNTY4OTgzOTkzIn0=</vt:lpwstr>
  </property>
</Properties>
</file>