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D2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小标宋简体" w:hAnsi="方正小标宋简体" w:eastAsia="方正小标宋简体" w:cs="方正小标宋简体"/>
          <w:b w:val="0"/>
          <w:bCs w:val="0"/>
          <w:i w:val="0"/>
          <w:iCs w:val="0"/>
          <w:color w:val="auto"/>
          <w:kern w:val="0"/>
          <w:sz w:val="36"/>
          <w:szCs w:val="36"/>
          <w:u w:val="none"/>
          <w:lang w:val="en-US" w:eastAsia="zh-CN" w:bidi="ar"/>
        </w:rPr>
      </w:pPr>
      <w:bookmarkStart w:id="0" w:name="OLE_LINK2"/>
      <w:r>
        <w:rPr>
          <w:rFonts w:hint="eastAsia" w:ascii="方正小标宋简体" w:hAnsi="方正小标宋简体" w:eastAsia="方正小标宋简体" w:cs="方正小标宋简体"/>
          <w:b w:val="0"/>
          <w:bCs w:val="0"/>
          <w:i w:val="0"/>
          <w:iCs w:val="0"/>
          <w:color w:val="auto"/>
          <w:kern w:val="0"/>
          <w:sz w:val="36"/>
          <w:szCs w:val="36"/>
          <w:u w:val="none"/>
          <w:lang w:val="en-US" w:eastAsia="zh-CN" w:bidi="ar"/>
        </w:rPr>
        <w:t>资阳市中心医院</w:t>
      </w:r>
      <w:r>
        <w:rPr>
          <w:rFonts w:hint="eastAsia" w:ascii="方正小标宋简体" w:hAnsi="方正小标宋简体" w:eastAsia="方正小标宋简体" w:cs="方正小标宋简体"/>
          <w:b w:val="0"/>
          <w:bCs w:val="0"/>
          <w:i w:val="0"/>
          <w:iCs w:val="0"/>
          <w:color w:val="auto"/>
          <w:kern w:val="0"/>
          <w:sz w:val="36"/>
          <w:szCs w:val="36"/>
          <w:u w:val="none"/>
          <w:lang w:val="en-US" w:eastAsia="zh-CN" w:bidi="ar"/>
        </w:rPr>
        <w:br w:type="textWrapping"/>
      </w:r>
      <w:r>
        <w:rPr>
          <w:rFonts w:hint="eastAsia" w:ascii="方正小标宋简体" w:hAnsi="方正小标宋简体" w:eastAsia="方正小标宋简体" w:cs="方正小标宋简体"/>
          <w:b w:val="0"/>
          <w:bCs w:val="0"/>
          <w:i w:val="0"/>
          <w:iCs w:val="0"/>
          <w:color w:val="auto"/>
          <w:kern w:val="0"/>
          <w:sz w:val="36"/>
          <w:szCs w:val="36"/>
          <w:u w:val="none"/>
          <w:lang w:val="en-US" w:eastAsia="zh-CN" w:bidi="ar"/>
        </w:rPr>
        <w:t>互联网医院运维承接服务调研公告（第二次）</w:t>
      </w:r>
    </w:p>
    <w:p w14:paraId="1E929F61">
      <w:pPr>
        <w:pStyle w:val="5"/>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09E78C9C">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ascii="仿宋" w:hAnsi="仿宋" w:eastAsia="仿宋" w:cs="仿宋"/>
          <w:i w:val="0"/>
          <w:iCs w:val="0"/>
          <w:caps w:val="0"/>
          <w:color w:val="auto"/>
          <w:spacing w:val="0"/>
          <w:sz w:val="28"/>
          <w:szCs w:val="28"/>
          <w:shd w:val="clear" w:fill="FFFFFF"/>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对互联网医院运维承接服务</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w:t>
      </w:r>
      <w:r>
        <w:rPr>
          <w:rFonts w:ascii="仿宋" w:hAnsi="仿宋" w:eastAsia="仿宋" w:cs="仿宋"/>
          <w:i w:val="0"/>
          <w:iCs w:val="0"/>
          <w:caps w:val="0"/>
          <w:color w:val="000000"/>
          <w:spacing w:val="0"/>
          <w:sz w:val="28"/>
          <w:szCs w:val="28"/>
          <w:shd w:val="clear" w:fill="FFFFFF"/>
        </w:rPr>
        <w:t>因第一次挂网调研报名公司不足三家，现</w:t>
      </w:r>
      <w:r>
        <w:rPr>
          <w:rFonts w:hint="eastAsia" w:ascii="仿宋" w:hAnsi="仿宋" w:cs="仿宋"/>
          <w:i w:val="0"/>
          <w:iCs w:val="0"/>
          <w:caps w:val="0"/>
          <w:color w:val="000000"/>
          <w:spacing w:val="0"/>
          <w:sz w:val="28"/>
          <w:szCs w:val="28"/>
          <w:shd w:val="clear" w:fill="FFFFFF"/>
          <w:lang w:val="en-US" w:eastAsia="zh-CN"/>
        </w:rPr>
        <w:t>发布</w:t>
      </w:r>
      <w:r>
        <w:rPr>
          <w:rFonts w:ascii="仿宋" w:hAnsi="仿宋" w:eastAsia="仿宋" w:cs="仿宋"/>
          <w:i w:val="0"/>
          <w:iCs w:val="0"/>
          <w:caps w:val="0"/>
          <w:color w:val="000000"/>
          <w:spacing w:val="0"/>
          <w:sz w:val="28"/>
          <w:szCs w:val="28"/>
          <w:shd w:val="clear" w:fill="FFFFFF"/>
        </w:rPr>
        <w:t>第二次调研公告，诚邀</w:t>
      </w:r>
      <w:r>
        <w:rPr>
          <w:rFonts w:hint="eastAsia" w:ascii="仿宋" w:hAnsi="仿宋" w:cs="仿宋"/>
          <w:i w:val="0"/>
          <w:iCs w:val="0"/>
          <w:caps w:val="0"/>
          <w:color w:val="000000"/>
          <w:spacing w:val="0"/>
          <w:sz w:val="28"/>
          <w:szCs w:val="28"/>
          <w:shd w:val="clear" w:fill="FFFFFF"/>
          <w:lang w:val="en-US" w:eastAsia="zh-CN"/>
        </w:rPr>
        <w:t>各</w:t>
      </w:r>
      <w:r>
        <w:rPr>
          <w:rFonts w:ascii="仿宋" w:hAnsi="仿宋" w:eastAsia="仿宋" w:cs="仿宋"/>
          <w:i w:val="0"/>
          <w:iCs w:val="0"/>
          <w:caps w:val="0"/>
          <w:color w:val="000000"/>
          <w:spacing w:val="0"/>
          <w:sz w:val="28"/>
          <w:szCs w:val="28"/>
          <w:shd w:val="clear" w:fill="FFFFFF"/>
        </w:rPr>
        <w:t>潜在供应商报名，已参加此项目调研报名的供应商可不用再二次提供报名资料</w:t>
      </w:r>
      <w:r>
        <w:rPr>
          <w:rFonts w:ascii="仿宋" w:hAnsi="仿宋" w:eastAsia="仿宋" w:cs="仿宋"/>
          <w:i w:val="0"/>
          <w:iCs w:val="0"/>
          <w:caps w:val="0"/>
          <w:color w:val="auto"/>
          <w:spacing w:val="0"/>
          <w:sz w:val="28"/>
          <w:szCs w:val="28"/>
          <w:shd w:val="clear" w:fill="FFFFFF"/>
        </w:rPr>
        <w:t>。现将有关事宜公告如下：</w:t>
      </w:r>
      <w:bookmarkStart w:id="33" w:name="_GoBack"/>
      <w:bookmarkEnd w:id="33"/>
    </w:p>
    <w:p w14:paraId="3BC16C1A">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560" w:firstLineChars="200"/>
        <w:rPr>
          <w:rFonts w:hint="eastAsia" w:ascii="方正黑体简体" w:hAnsi="方正黑体简体" w:eastAsia="方正黑体简体" w:cs="方正黑体简体"/>
          <w:i w:val="0"/>
          <w:iCs w:val="0"/>
          <w:color w:val="auto"/>
          <w:kern w:val="0"/>
          <w:sz w:val="28"/>
          <w:szCs w:val="28"/>
          <w:u w:val="none"/>
          <w:lang w:val="en-US" w:eastAsia="zh-CN" w:bidi="ar"/>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73D7A8BC">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default" w:ascii="仿宋" w:hAnsi="仿宋" w:eastAsia="仿宋" w:cs="仿宋"/>
          <w:i w:val="0"/>
          <w:iCs w:val="0"/>
          <w:color w:val="auto"/>
          <w:kern w:val="2"/>
          <w:sz w:val="28"/>
          <w:szCs w:val="28"/>
          <w:u w:val="none"/>
          <w:lang w:val="en-US" w:eastAsia="zh-CN" w:bidi="zh-CN"/>
        </w:rPr>
      </w:pPr>
      <w:r>
        <w:rPr>
          <w:rFonts w:hint="eastAsia" w:ascii="仿宋" w:hAnsi="仿宋" w:eastAsia="仿宋" w:cs="仿宋"/>
          <w:i w:val="0"/>
          <w:iCs w:val="0"/>
          <w:color w:val="auto"/>
          <w:kern w:val="2"/>
          <w:sz w:val="28"/>
          <w:szCs w:val="28"/>
          <w:u w:val="none"/>
          <w:lang w:val="en-US" w:eastAsia="zh-CN" w:bidi="zh-CN"/>
        </w:rPr>
        <w:t>本次服务所涉及的系统为银医合作共建系统，医院将启动承接工作，享有本项目软件系统的永久使用权；所有用户资料、业务数据、诊疗数据、管理数据、统计数据等全部数据资产，均归医院独有，受相关规定保护。</w:t>
      </w:r>
      <w:r>
        <w:rPr>
          <w:rFonts w:hint="eastAsia" w:ascii="仿宋" w:hAnsi="仿宋" w:eastAsia="仿宋" w:cs="仿宋"/>
          <w:i w:val="0"/>
          <w:iCs w:val="0"/>
          <w:color w:val="auto"/>
          <w:sz w:val="28"/>
          <w:szCs w:val="28"/>
          <w:u w:val="none"/>
          <w:lang w:val="en-US" w:eastAsia="zh-CN"/>
        </w:rPr>
        <w:t>保障互联网医院稳定、高效运行。并对系统软硬件故障排查修复、功能优化迭代等各类运维需求，提供及时、精准的技术支撑，快速处置各类问题，保障院内互联网医院业务正常开展。</w:t>
      </w:r>
    </w:p>
    <w:p w14:paraId="568112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463FB06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（一）报名时间：本公告自挂网公告日起，截止时间为自发布公告起第3个工作日（包含发布当天），公告截止日期后递交的报名资料无效。</w:t>
      </w:r>
    </w:p>
    <w:p w14:paraId="3896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（二）报名方式:本次市场调研活动采用邮箱报名，不接受现场报名。</w:t>
      </w:r>
    </w:p>
    <w:p w14:paraId="45D1EBE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（三）1.报名资料按附件《报名须知》要求，将电子文档（盖章扫描件和可编辑版本）发送至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auto"/>
          <w:sz w:val="28"/>
          <w:szCs w:val="28"/>
          <w:u w:val="none"/>
          <w:lang w:val="en-US" w:eastAsia="zh-CN"/>
        </w:rPr>
        <w:t>并抄送至</w:t>
      </w:r>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i w:val="0"/>
          <w:iCs w:val="0"/>
          <w:color w:val="auto"/>
          <w:sz w:val="28"/>
          <w:szCs w:val="28"/>
          <w:u w:val="none"/>
          <w:lang w:val="en-US" w:eastAsia="zh-CN"/>
        </w:rPr>
        <w:t>。邮件名称：“XXXX项目名称+公司名称+联系人+联系电话）”报名资料目录见附件。</w:t>
      </w:r>
    </w:p>
    <w:p w14:paraId="509EDDF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w:t>
      </w:r>
      <w:r>
        <w:rPr>
          <w:rFonts w:hint="eastAsia" w:ascii="仿宋" w:hAnsi="仿宋" w:eastAsia="仿宋" w:cs="仿宋"/>
          <w:i w:val="0"/>
          <w:iCs w:val="0"/>
          <w:color w:val="auto"/>
          <w:sz w:val="28"/>
          <w:szCs w:val="28"/>
          <w:u w:val="none"/>
          <w:lang w:val="en-US" w:eastAsia="zh-CN"/>
        </w:rPr>
        <w:t>.联系人：</w:t>
      </w:r>
      <w:r>
        <w:rPr>
          <w:rFonts w:hint="eastAsia" w:ascii="仿宋" w:hAnsi="仿宋" w:cs="仿宋"/>
          <w:i w:val="0"/>
          <w:iCs w:val="0"/>
          <w:color w:val="auto"/>
          <w:sz w:val="28"/>
          <w:szCs w:val="28"/>
          <w:u w:val="none"/>
          <w:lang w:val="en-US" w:eastAsia="zh-CN"/>
        </w:rPr>
        <w:t>肖老师，</w:t>
      </w:r>
      <w:r>
        <w:rPr>
          <w:rFonts w:hint="eastAsia" w:ascii="仿宋" w:hAnsi="仿宋" w:eastAsia="仿宋" w:cs="仿宋"/>
          <w:i w:val="0"/>
          <w:iCs w:val="0"/>
          <w:color w:val="auto"/>
          <w:sz w:val="28"/>
          <w:szCs w:val="28"/>
          <w:u w:val="none"/>
          <w:lang w:val="en-US" w:eastAsia="zh-CN"/>
        </w:rPr>
        <w:t>报名</w:t>
      </w:r>
      <w:r>
        <w:rPr>
          <w:rFonts w:hint="eastAsia" w:ascii="仿宋" w:hAnsi="仿宋" w:cs="仿宋"/>
          <w:i w:val="0"/>
          <w:iCs w:val="0"/>
          <w:color w:val="auto"/>
          <w:sz w:val="28"/>
          <w:szCs w:val="28"/>
          <w:u w:val="none"/>
          <w:lang w:val="en-US" w:eastAsia="zh-CN"/>
        </w:rPr>
        <w:t>咨询</w:t>
      </w:r>
      <w:r>
        <w:rPr>
          <w:rFonts w:hint="eastAsia" w:ascii="仿宋" w:hAnsi="仿宋" w:eastAsia="仿宋" w:cs="仿宋"/>
          <w:i w:val="0"/>
          <w:iCs w:val="0"/>
          <w:color w:val="auto"/>
          <w:sz w:val="28"/>
          <w:szCs w:val="28"/>
          <w:u w:val="none"/>
          <w:lang w:val="en-US" w:eastAsia="zh-CN"/>
        </w:rPr>
        <w:t>：028-26219526</w:t>
      </w:r>
    </w:p>
    <w:p w14:paraId="0B359B7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lang w:val="en-US" w:eastAsia="zh-CN"/>
        </w:rPr>
        <w:t>线上或线下集中调研需求论证时间及地点，另行通知</w:t>
      </w:r>
      <w:r>
        <w:rPr>
          <w:rFonts w:hint="eastAsia" w:ascii="仿宋" w:hAnsi="仿宋" w:cs="仿宋"/>
          <w:i w:val="0"/>
          <w:iCs w:val="0"/>
          <w:color w:val="auto"/>
          <w:sz w:val="28"/>
          <w:szCs w:val="28"/>
          <w:u w:val="none"/>
          <w:lang w:val="en-US" w:eastAsia="zh-CN"/>
        </w:rPr>
        <w:t>，</w:t>
      </w:r>
      <w:r>
        <w:rPr>
          <w:rFonts w:hint="eastAsia" w:ascii="仿宋" w:hAnsi="仿宋" w:eastAsia="仿宋" w:cs="仿宋"/>
          <w:i w:val="0"/>
          <w:iCs w:val="0"/>
          <w:color w:val="auto"/>
          <w:sz w:val="28"/>
          <w:szCs w:val="28"/>
          <w:u w:val="none"/>
          <w:lang w:val="en-US" w:eastAsia="zh-CN"/>
        </w:rPr>
        <w:t>请参加调研会的</w:t>
      </w:r>
      <w:r>
        <w:rPr>
          <w:rFonts w:hint="eastAsia" w:ascii="仿宋" w:hAnsi="仿宋" w:cs="仿宋"/>
          <w:i w:val="0"/>
          <w:iCs w:val="0"/>
          <w:color w:val="auto"/>
          <w:sz w:val="28"/>
          <w:szCs w:val="28"/>
          <w:u w:val="none"/>
          <w:lang w:val="en-US" w:eastAsia="zh-CN"/>
        </w:rPr>
        <w:t>各潜在供应商</w:t>
      </w:r>
      <w:r>
        <w:rPr>
          <w:rFonts w:hint="eastAsia" w:ascii="仿宋" w:hAnsi="仿宋" w:eastAsia="仿宋" w:cs="仿宋"/>
          <w:i w:val="0"/>
          <w:iCs w:val="0"/>
          <w:color w:val="auto"/>
          <w:sz w:val="28"/>
          <w:szCs w:val="28"/>
          <w:u w:val="none"/>
          <w:lang w:val="en-US" w:eastAsia="zh-CN"/>
        </w:rPr>
        <w:t>准备相应的纸质版</w:t>
      </w:r>
      <w:r>
        <w:rPr>
          <w:rFonts w:hint="eastAsia" w:ascii="仿宋" w:hAnsi="仿宋" w:cs="仿宋"/>
          <w:i w:val="0"/>
          <w:iCs w:val="0"/>
          <w:color w:val="auto"/>
          <w:sz w:val="28"/>
          <w:szCs w:val="28"/>
          <w:u w:val="none"/>
          <w:lang w:val="en-US" w:eastAsia="zh-CN"/>
        </w:rPr>
        <w:t>报价表</w:t>
      </w:r>
      <w:r>
        <w:rPr>
          <w:rFonts w:hint="eastAsia" w:ascii="仿宋" w:hAnsi="仿宋" w:eastAsia="仿宋" w:cs="仿宋"/>
          <w:i w:val="0"/>
          <w:iCs w:val="0"/>
          <w:color w:val="auto"/>
          <w:sz w:val="28"/>
          <w:szCs w:val="28"/>
          <w:u w:val="none"/>
          <w:lang w:val="en-US" w:eastAsia="zh-CN"/>
        </w:rPr>
        <w:t>及汇报PPT等。</w:t>
      </w:r>
    </w:p>
    <w:p w14:paraId="74F72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CCB385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3BB0CD0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4AB5332">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4239085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4364A259">
      <w:pPr>
        <w:rPr>
          <w:rFonts w:hint="eastAsia"/>
          <w:color w:val="auto"/>
          <w:lang w:val="en-US" w:eastAsia="zh-CN"/>
        </w:rPr>
      </w:pPr>
    </w:p>
    <w:p w14:paraId="3F529A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EFB456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5849B78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A638C0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01231E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60E8AC0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23B996F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0B3CE30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2BBC44B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618DAC4">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1DD6763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348EA91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3B1B6D6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1216A23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6E20E78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8738DD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1028F92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082FE59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6D13E83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084D194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3EDB4CA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79D1BF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D396A14">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1E84506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0FA17DCF">
      <w:pPr>
        <w:pStyle w:val="15"/>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24D4D0D">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59BBC968">
      <w:pPr>
        <w:pStyle w:val="15"/>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2310D6F0">
      <w:pPr>
        <w:pStyle w:val="15"/>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2BC656B">
      <w:pPr>
        <w:pStyle w:val="15"/>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2AA7B7F7">
      <w:pPr>
        <w:pStyle w:val="15"/>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45BFCED6">
      <w:pPr>
        <w:pStyle w:val="15"/>
        <w:rPr>
          <w:color w:val="auto"/>
        </w:rPr>
      </w:pPr>
    </w:p>
    <w:p w14:paraId="78D9AAD4">
      <w:pPr>
        <w:pStyle w:val="15"/>
        <w:rPr>
          <w:color w:val="auto"/>
        </w:rPr>
      </w:pPr>
    </w:p>
    <w:p w14:paraId="2B94488A">
      <w:pPr>
        <w:pStyle w:val="15"/>
        <w:rPr>
          <w:color w:val="auto"/>
        </w:rPr>
      </w:pPr>
    </w:p>
    <w:p w14:paraId="32CA48A2">
      <w:pPr>
        <w:pStyle w:val="15"/>
        <w:rPr>
          <w:color w:val="auto"/>
        </w:rPr>
      </w:pPr>
    </w:p>
    <w:p w14:paraId="7E386F57">
      <w:pPr>
        <w:pStyle w:val="15"/>
        <w:rPr>
          <w:color w:val="auto"/>
        </w:rPr>
      </w:pPr>
    </w:p>
    <w:p w14:paraId="1E812B34">
      <w:pPr>
        <w:pStyle w:val="15"/>
        <w:rPr>
          <w:color w:val="auto"/>
        </w:rPr>
      </w:pPr>
    </w:p>
    <w:p w14:paraId="5C9900F1">
      <w:pPr>
        <w:pStyle w:val="15"/>
        <w:rPr>
          <w:color w:val="auto"/>
        </w:rPr>
      </w:pPr>
    </w:p>
    <w:p w14:paraId="2630DC3F">
      <w:pPr>
        <w:pStyle w:val="15"/>
        <w:rPr>
          <w:color w:val="auto"/>
        </w:rPr>
      </w:pPr>
    </w:p>
    <w:p w14:paraId="3AD93251">
      <w:pPr>
        <w:pStyle w:val="15"/>
        <w:rPr>
          <w:color w:val="auto"/>
        </w:rPr>
      </w:pPr>
    </w:p>
    <w:p w14:paraId="53712DA4">
      <w:pPr>
        <w:pStyle w:val="15"/>
        <w:rPr>
          <w:color w:val="auto"/>
        </w:rPr>
      </w:pPr>
    </w:p>
    <w:p w14:paraId="68628E9A">
      <w:pPr>
        <w:pStyle w:val="15"/>
        <w:rPr>
          <w:color w:val="auto"/>
        </w:rPr>
      </w:pPr>
    </w:p>
    <w:p w14:paraId="7151A319">
      <w:pPr>
        <w:pStyle w:val="15"/>
        <w:rPr>
          <w:color w:val="auto"/>
        </w:rPr>
      </w:pPr>
    </w:p>
    <w:p w14:paraId="37E0B9EF">
      <w:pPr>
        <w:pStyle w:val="15"/>
        <w:rPr>
          <w:color w:val="auto"/>
        </w:rPr>
      </w:pPr>
    </w:p>
    <w:p w14:paraId="687063C8">
      <w:pPr>
        <w:pStyle w:val="15"/>
        <w:rPr>
          <w:color w:val="auto"/>
        </w:rPr>
      </w:pPr>
    </w:p>
    <w:p w14:paraId="70A9F072">
      <w:pPr>
        <w:pStyle w:val="15"/>
        <w:rPr>
          <w:color w:val="auto"/>
        </w:rPr>
      </w:pPr>
    </w:p>
    <w:p w14:paraId="6B028BDF">
      <w:pPr>
        <w:pStyle w:val="15"/>
        <w:rPr>
          <w:color w:val="auto"/>
        </w:rPr>
      </w:pPr>
    </w:p>
    <w:sdt>
      <w:sdtPr>
        <w:rPr>
          <w:rFonts w:ascii="宋体" w:hAnsi="宋体" w:eastAsia="宋体" w:cstheme="minorBidi"/>
          <w:color w:val="auto"/>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12D91C66">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4AEFE61">
          <w:pPr>
            <w:spacing w:before="0" w:beforeLines="0" w:after="0" w:afterLines="0" w:line="240" w:lineRule="auto"/>
            <w:ind w:left="0" w:leftChars="0" w:right="0" w:rightChars="0" w:firstLine="0" w:firstLineChars="0"/>
            <w:jc w:val="center"/>
            <w:rPr>
              <w:color w:val="auto"/>
            </w:rPr>
          </w:pPr>
        </w:p>
        <w:p w14:paraId="7F0FCA1E">
          <w:pPr>
            <w:pStyle w:val="7"/>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5</w:t>
          </w:r>
          <w:r>
            <w:rPr>
              <w:color w:val="auto"/>
            </w:rPr>
            <w:fldChar w:fldCharType="end"/>
          </w:r>
          <w:r>
            <w:rPr>
              <w:color w:val="auto"/>
            </w:rPr>
            <w:fldChar w:fldCharType="end"/>
          </w:r>
        </w:p>
        <w:p w14:paraId="68D3AE78">
          <w:pPr>
            <w:pStyle w:val="7"/>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5</w:t>
          </w:r>
          <w:r>
            <w:rPr>
              <w:color w:val="auto"/>
            </w:rPr>
            <w:fldChar w:fldCharType="end"/>
          </w:r>
          <w:r>
            <w:rPr>
              <w:color w:val="auto"/>
            </w:rPr>
            <w:fldChar w:fldCharType="end"/>
          </w:r>
        </w:p>
        <w:p w14:paraId="13E67527">
          <w:pPr>
            <w:pStyle w:val="8"/>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5</w:t>
          </w:r>
          <w:r>
            <w:rPr>
              <w:color w:val="auto"/>
            </w:rPr>
            <w:fldChar w:fldCharType="end"/>
          </w:r>
          <w:r>
            <w:rPr>
              <w:color w:val="auto"/>
            </w:rPr>
            <w:fldChar w:fldCharType="end"/>
          </w:r>
        </w:p>
        <w:p w14:paraId="463BF1FA">
          <w:pPr>
            <w:pStyle w:val="8"/>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5</w:t>
          </w:r>
          <w:r>
            <w:rPr>
              <w:color w:val="auto"/>
            </w:rPr>
            <w:fldChar w:fldCharType="end"/>
          </w:r>
          <w:r>
            <w:rPr>
              <w:color w:val="auto"/>
            </w:rPr>
            <w:fldChar w:fldCharType="end"/>
          </w:r>
        </w:p>
        <w:p w14:paraId="0D9DD14E">
          <w:pPr>
            <w:pStyle w:val="8"/>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5</w:t>
          </w:r>
          <w:r>
            <w:rPr>
              <w:color w:val="auto"/>
            </w:rPr>
            <w:fldChar w:fldCharType="end"/>
          </w:r>
          <w:r>
            <w:rPr>
              <w:color w:val="auto"/>
            </w:rPr>
            <w:fldChar w:fldCharType="end"/>
          </w:r>
        </w:p>
        <w:p w14:paraId="0D66A70C">
          <w:pPr>
            <w:pStyle w:val="8"/>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5</w:t>
          </w:r>
          <w:r>
            <w:rPr>
              <w:color w:val="auto"/>
            </w:rPr>
            <w:fldChar w:fldCharType="end"/>
          </w:r>
          <w:r>
            <w:rPr>
              <w:color w:val="auto"/>
            </w:rPr>
            <w:fldChar w:fldCharType="end"/>
          </w:r>
        </w:p>
        <w:p w14:paraId="12E95791">
          <w:pPr>
            <w:pStyle w:val="8"/>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5</w:t>
          </w:r>
          <w:r>
            <w:rPr>
              <w:color w:val="auto"/>
            </w:rPr>
            <w:fldChar w:fldCharType="end"/>
          </w:r>
          <w:r>
            <w:rPr>
              <w:color w:val="auto"/>
            </w:rPr>
            <w:fldChar w:fldCharType="end"/>
          </w:r>
        </w:p>
        <w:p w14:paraId="126F140D">
          <w:pPr>
            <w:pStyle w:val="8"/>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5</w:t>
          </w:r>
          <w:r>
            <w:rPr>
              <w:color w:val="auto"/>
            </w:rPr>
            <w:fldChar w:fldCharType="end"/>
          </w:r>
          <w:r>
            <w:rPr>
              <w:color w:val="auto"/>
            </w:rPr>
            <w:fldChar w:fldCharType="end"/>
          </w:r>
        </w:p>
        <w:p w14:paraId="7A915B24">
          <w:pPr>
            <w:pStyle w:val="8"/>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5</w:t>
          </w:r>
          <w:r>
            <w:rPr>
              <w:color w:val="auto"/>
            </w:rPr>
            <w:fldChar w:fldCharType="end"/>
          </w:r>
          <w:r>
            <w:rPr>
              <w:color w:val="auto"/>
            </w:rPr>
            <w:fldChar w:fldCharType="end"/>
          </w:r>
        </w:p>
        <w:p w14:paraId="35457391">
          <w:pPr>
            <w:pStyle w:val="7"/>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5</w:t>
          </w:r>
          <w:r>
            <w:rPr>
              <w:color w:val="auto"/>
            </w:rPr>
            <w:fldChar w:fldCharType="end"/>
          </w:r>
          <w:r>
            <w:rPr>
              <w:color w:val="auto"/>
            </w:rPr>
            <w:fldChar w:fldCharType="end"/>
          </w:r>
        </w:p>
        <w:p w14:paraId="5DFF25C1">
          <w:pPr>
            <w:pStyle w:val="7"/>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6</w:t>
          </w:r>
          <w:r>
            <w:rPr>
              <w:color w:val="auto"/>
            </w:rPr>
            <w:fldChar w:fldCharType="end"/>
          </w:r>
          <w:r>
            <w:rPr>
              <w:color w:val="auto"/>
            </w:rPr>
            <w:fldChar w:fldCharType="end"/>
          </w:r>
        </w:p>
        <w:p w14:paraId="656650C0">
          <w:pPr>
            <w:pStyle w:val="7"/>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8</w:t>
          </w:r>
          <w:r>
            <w:rPr>
              <w:color w:val="auto"/>
            </w:rPr>
            <w:fldChar w:fldCharType="end"/>
          </w:r>
          <w:r>
            <w:rPr>
              <w:color w:val="auto"/>
            </w:rPr>
            <w:fldChar w:fldCharType="end"/>
          </w:r>
        </w:p>
        <w:p w14:paraId="4CE2DCED">
          <w:pPr>
            <w:pStyle w:val="8"/>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8</w:t>
          </w:r>
          <w:r>
            <w:rPr>
              <w:color w:val="auto"/>
            </w:rPr>
            <w:fldChar w:fldCharType="end"/>
          </w:r>
          <w:r>
            <w:rPr>
              <w:color w:val="auto"/>
            </w:rPr>
            <w:fldChar w:fldCharType="end"/>
          </w:r>
        </w:p>
        <w:p w14:paraId="4D3E0FFA">
          <w:pPr>
            <w:pStyle w:val="8"/>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8</w:t>
          </w:r>
          <w:r>
            <w:rPr>
              <w:color w:val="auto"/>
            </w:rPr>
            <w:fldChar w:fldCharType="end"/>
          </w:r>
          <w:r>
            <w:rPr>
              <w:color w:val="auto"/>
            </w:rPr>
            <w:fldChar w:fldCharType="end"/>
          </w:r>
        </w:p>
        <w:p w14:paraId="16B5F3C0">
          <w:pPr>
            <w:pStyle w:val="8"/>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8</w:t>
          </w:r>
          <w:r>
            <w:rPr>
              <w:color w:val="auto"/>
            </w:rPr>
            <w:fldChar w:fldCharType="end"/>
          </w:r>
          <w:r>
            <w:rPr>
              <w:color w:val="auto"/>
            </w:rPr>
            <w:fldChar w:fldCharType="end"/>
          </w:r>
        </w:p>
        <w:p w14:paraId="79F2F0E6">
          <w:pPr>
            <w:pStyle w:val="7"/>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8</w:t>
          </w:r>
          <w:r>
            <w:rPr>
              <w:color w:val="auto"/>
            </w:rPr>
            <w:fldChar w:fldCharType="end"/>
          </w:r>
          <w:r>
            <w:rPr>
              <w:color w:val="auto"/>
            </w:rPr>
            <w:fldChar w:fldCharType="end"/>
          </w:r>
        </w:p>
        <w:p w14:paraId="38BE21BE">
          <w:pPr>
            <w:rPr>
              <w:color w:val="auto"/>
            </w:rPr>
          </w:pPr>
          <w:r>
            <w:rPr>
              <w:color w:val="auto"/>
            </w:rPr>
            <w:fldChar w:fldCharType="end"/>
          </w:r>
        </w:p>
      </w:sdtContent>
    </w:sdt>
    <w:p w14:paraId="2E5D1581">
      <w:pPr>
        <w:rPr>
          <w:color w:val="auto"/>
        </w:rPr>
      </w:pPr>
    </w:p>
    <w:p w14:paraId="6938E4CD">
      <w:pPr>
        <w:rPr>
          <w:color w:val="auto"/>
        </w:rPr>
      </w:pPr>
    </w:p>
    <w:p w14:paraId="3E7DB8D0">
      <w:pPr>
        <w:rPr>
          <w:color w:val="auto"/>
        </w:rPr>
      </w:pPr>
    </w:p>
    <w:p w14:paraId="220B98ED">
      <w:pPr>
        <w:rPr>
          <w:color w:val="auto"/>
        </w:rPr>
      </w:pPr>
    </w:p>
    <w:p w14:paraId="1EE74401">
      <w:pPr>
        <w:rPr>
          <w:color w:val="auto"/>
        </w:rPr>
      </w:pPr>
    </w:p>
    <w:p w14:paraId="6F4D08CE">
      <w:pPr>
        <w:rPr>
          <w:color w:val="auto"/>
        </w:rPr>
      </w:pPr>
    </w:p>
    <w:p w14:paraId="7CFEB6C7">
      <w:pPr>
        <w:rPr>
          <w:color w:val="auto"/>
        </w:rPr>
      </w:pPr>
    </w:p>
    <w:p w14:paraId="0D767778">
      <w:pPr>
        <w:rPr>
          <w:color w:val="auto"/>
        </w:rPr>
      </w:pPr>
    </w:p>
    <w:p w14:paraId="07BCC5F4">
      <w:pPr>
        <w:rPr>
          <w:color w:val="auto"/>
        </w:rPr>
      </w:pPr>
    </w:p>
    <w:p w14:paraId="1182D410">
      <w:pPr>
        <w:rPr>
          <w:color w:val="auto"/>
        </w:rPr>
      </w:pPr>
    </w:p>
    <w:p w14:paraId="3C415913">
      <w:pPr>
        <w:rPr>
          <w:color w:val="auto"/>
        </w:rPr>
        <w:sectPr>
          <w:pgSz w:w="11906" w:h="16838"/>
          <w:pgMar w:top="2098" w:right="1474" w:bottom="1984" w:left="1587" w:header="851" w:footer="992" w:gutter="0"/>
          <w:cols w:space="425" w:num="1"/>
          <w:docGrid w:type="lines" w:linePitch="312" w:charSpace="0"/>
        </w:sectPr>
      </w:pPr>
    </w:p>
    <w:p w14:paraId="4FF2292F">
      <w:pPr>
        <w:pStyle w:val="2"/>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color w:val="auto"/>
        </w:rPr>
      </w:pPr>
      <w:bookmarkStart w:id="1" w:name="_Toc247514300"/>
      <w:bookmarkStart w:id="2" w:name="_Toc7415"/>
      <w:bookmarkStart w:id="3" w:name="_Toc152045808"/>
      <w:bookmarkStart w:id="4" w:name="_Toc427002393"/>
      <w:bookmarkStart w:id="5" w:name="_Toc10065"/>
      <w:bookmarkStart w:id="6" w:name="_Toc152042597"/>
      <w:bookmarkStart w:id="7" w:name="_Toc247527848"/>
      <w:bookmarkStart w:id="8" w:name="_Toc144974876"/>
      <w:bookmarkStart w:id="9" w:name="_Toc25232"/>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1"/>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12EF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A5DAE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B641D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C227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F6633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37672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5808F8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7E8A6167">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2E5DDF6">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EA3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2FCE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5EAFBC">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5DA0612">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820933A">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B782C9">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5406CE">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91B3249">
            <w:pPr>
              <w:jc w:val="center"/>
              <w:rPr>
                <w:rFonts w:hint="eastAsia" w:ascii="宋体" w:hAnsi="宋体" w:eastAsia="宋体" w:cs="宋体"/>
                <w:i w:val="0"/>
                <w:iCs w:val="0"/>
                <w:color w:val="auto"/>
                <w:sz w:val="24"/>
                <w:szCs w:val="24"/>
                <w:u w:val="none"/>
              </w:rPr>
            </w:pPr>
          </w:p>
        </w:tc>
      </w:tr>
    </w:tbl>
    <w:p w14:paraId="156D1238">
      <w:pPr>
        <w:numPr>
          <w:ilvl w:val="0"/>
          <w:numId w:val="0"/>
        </w:numPr>
        <w:rPr>
          <w:rFonts w:hint="eastAsia"/>
          <w:color w:val="auto"/>
        </w:rPr>
      </w:pPr>
    </w:p>
    <w:p w14:paraId="6243BC17">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00A9358C">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24C0CCC9">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0B774947">
      <w:pPr>
        <w:pStyle w:val="3"/>
        <w:bidi w:val="0"/>
        <w:rPr>
          <w:rFonts w:hint="eastAsia"/>
          <w:color w:val="auto"/>
          <w:lang w:eastAsia="zh-CN"/>
        </w:rPr>
      </w:pPr>
      <w:bookmarkStart w:id="15" w:name="_Toc22138"/>
      <w:bookmarkStart w:id="16" w:name="_Toc5131"/>
      <w:r>
        <w:rPr>
          <w:rFonts w:hint="eastAsia"/>
          <w:color w:val="auto"/>
          <w:lang w:val="en-US" w:eastAsia="zh-CN"/>
        </w:rPr>
        <w:t>1.3</w:t>
      </w:r>
      <w:r>
        <w:rPr>
          <w:rFonts w:hint="eastAsia"/>
          <w:color w:val="auto"/>
          <w:lang w:eastAsia="zh-CN"/>
        </w:rPr>
        <w:t>法人及被授权人身份证</w:t>
      </w:r>
      <w:bookmarkEnd w:id="15"/>
      <w:bookmarkEnd w:id="16"/>
    </w:p>
    <w:p w14:paraId="0EE4FDF7">
      <w:pPr>
        <w:pStyle w:val="3"/>
        <w:bidi w:val="0"/>
        <w:rPr>
          <w:rFonts w:hint="eastAsia"/>
          <w:color w:val="auto"/>
          <w:lang w:eastAsia="zh-CN"/>
        </w:rPr>
      </w:pPr>
      <w:bookmarkStart w:id="17" w:name="_Toc22588"/>
      <w:bookmarkStart w:id="18" w:name="_Toc17143"/>
      <w:r>
        <w:rPr>
          <w:rFonts w:hint="eastAsia"/>
          <w:color w:val="auto"/>
          <w:lang w:val="en-US" w:eastAsia="zh-CN"/>
        </w:rPr>
        <w:t>1.4</w:t>
      </w:r>
      <w:r>
        <w:rPr>
          <w:rFonts w:hint="eastAsia"/>
          <w:color w:val="auto"/>
          <w:lang w:eastAsia="zh-CN"/>
        </w:rPr>
        <w:t>公司资质</w:t>
      </w:r>
      <w:bookmarkEnd w:id="17"/>
      <w:bookmarkEnd w:id="18"/>
    </w:p>
    <w:p w14:paraId="11524558">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14205E1B">
      <w:pPr>
        <w:pStyle w:val="3"/>
        <w:bidi w:val="0"/>
        <w:rPr>
          <w:rFonts w:hint="eastAsia"/>
          <w:color w:val="auto"/>
          <w:lang w:eastAsia="zh-CN"/>
        </w:rPr>
      </w:pPr>
      <w:bookmarkStart w:id="20" w:name="_Toc3652"/>
      <w:bookmarkStart w:id="21" w:name="_Toc11995"/>
      <w:r>
        <w:rPr>
          <w:rFonts w:hint="eastAsia"/>
          <w:color w:val="auto"/>
          <w:lang w:val="en-US" w:eastAsia="zh-CN"/>
        </w:rPr>
        <w:t>1.6本项目涉及</w:t>
      </w:r>
      <w:r>
        <w:rPr>
          <w:rFonts w:hint="eastAsia"/>
          <w:color w:val="auto"/>
          <w:lang w:eastAsia="zh-CN"/>
        </w:rPr>
        <w:t>资质</w:t>
      </w:r>
      <w:bookmarkEnd w:id="20"/>
      <w:bookmarkEnd w:id="21"/>
    </w:p>
    <w:p w14:paraId="7465D186">
      <w:pPr>
        <w:pStyle w:val="3"/>
        <w:bidi w:val="0"/>
        <w:rPr>
          <w:rFonts w:hint="eastAsia" w:ascii="宋体" w:hAnsi="宋体" w:eastAsia="宋体" w:cs="宋体"/>
          <w:color w:val="auto"/>
          <w:sz w:val="24"/>
          <w:szCs w:val="24"/>
        </w:rPr>
      </w:pPr>
      <w:bookmarkStart w:id="22" w:name="_Toc21787"/>
      <w:bookmarkStart w:id="23" w:name="_Toc6788"/>
      <w:r>
        <w:rPr>
          <w:rFonts w:hint="eastAsia"/>
          <w:b/>
          <w:color w:val="auto"/>
          <w:lang w:val="en-US" w:eastAsia="zh-CN"/>
        </w:rPr>
        <w:t>1.7开发商委托销售授权函</w:t>
      </w:r>
      <w:bookmarkEnd w:id="22"/>
      <w:bookmarkEnd w:id="23"/>
    </w:p>
    <w:p w14:paraId="4AB46103">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4E5603C">
      <w:pPr>
        <w:pStyle w:val="15"/>
        <w:rPr>
          <w:rFonts w:hint="eastAsia" w:ascii="宋体" w:hAnsi="宋体" w:eastAsia="宋体" w:cs="宋体"/>
          <w:color w:val="auto"/>
          <w:sz w:val="24"/>
          <w:szCs w:val="24"/>
        </w:rPr>
      </w:pPr>
    </w:p>
    <w:p w14:paraId="02A67424">
      <w:pPr>
        <w:pStyle w:val="15"/>
        <w:rPr>
          <w:rFonts w:hint="eastAsia" w:ascii="宋体" w:hAnsi="宋体" w:eastAsia="宋体" w:cs="宋体"/>
          <w:color w:val="auto"/>
          <w:sz w:val="24"/>
          <w:szCs w:val="24"/>
        </w:rPr>
      </w:pPr>
    </w:p>
    <w:p w14:paraId="15524A86">
      <w:pPr>
        <w:pStyle w:val="15"/>
        <w:rPr>
          <w:rFonts w:hint="eastAsia" w:ascii="宋体" w:hAnsi="宋体" w:eastAsia="宋体" w:cs="宋体"/>
          <w:color w:val="auto"/>
          <w:sz w:val="24"/>
          <w:szCs w:val="24"/>
        </w:rPr>
      </w:pPr>
    </w:p>
    <w:p w14:paraId="78A5D3B8">
      <w:pPr>
        <w:pStyle w:val="15"/>
        <w:rPr>
          <w:rFonts w:hint="eastAsia" w:ascii="宋体" w:hAnsi="宋体" w:eastAsia="宋体" w:cs="宋体"/>
          <w:color w:val="auto"/>
          <w:sz w:val="24"/>
          <w:szCs w:val="24"/>
        </w:rPr>
      </w:pPr>
    </w:p>
    <w:p w14:paraId="1FB906DD">
      <w:pPr>
        <w:pStyle w:val="15"/>
        <w:rPr>
          <w:rFonts w:hint="eastAsia" w:ascii="宋体" w:hAnsi="宋体" w:eastAsia="宋体" w:cs="宋体"/>
          <w:color w:val="auto"/>
          <w:sz w:val="24"/>
          <w:szCs w:val="24"/>
        </w:rPr>
      </w:pPr>
    </w:p>
    <w:p w14:paraId="6A6FCF73">
      <w:pPr>
        <w:pStyle w:val="15"/>
        <w:rPr>
          <w:rFonts w:hint="eastAsia" w:ascii="宋体" w:hAnsi="宋体" w:eastAsia="宋体" w:cs="宋体"/>
          <w:color w:val="auto"/>
          <w:sz w:val="24"/>
          <w:szCs w:val="24"/>
        </w:rPr>
      </w:pPr>
    </w:p>
    <w:p w14:paraId="193DC50C">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386B417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08955908">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w:t>
      </w:r>
      <w:r>
        <w:rPr>
          <w:rFonts w:hint="eastAsia" w:ascii="仿宋" w:hAnsi="仿宋" w:cs="仿宋"/>
          <w:i w:val="0"/>
          <w:iCs w:val="0"/>
          <w:color w:val="auto"/>
          <w:kern w:val="0"/>
          <w:sz w:val="24"/>
          <w:szCs w:val="24"/>
          <w:u w:val="none"/>
          <w:lang w:val="en-US" w:eastAsia="zh-CN" w:bidi="ar"/>
        </w:rPr>
        <w:t xml:space="preserve"> 互联网医院运维承接服务                            </w:t>
      </w:r>
      <w:r>
        <w:rPr>
          <w:rFonts w:hint="eastAsia" w:ascii="仿宋" w:hAnsi="仿宋" w:eastAsia="仿宋" w:cs="仿宋"/>
          <w:i w:val="0"/>
          <w:iCs w:val="0"/>
          <w:color w:val="auto"/>
          <w:kern w:val="0"/>
          <w:sz w:val="24"/>
          <w:szCs w:val="24"/>
          <w:u w:val="none"/>
          <w:lang w:val="en-US" w:eastAsia="zh-CN" w:bidi="ar"/>
        </w:rPr>
        <w:t>采购品目分类名称：</w:t>
      </w:r>
    </w:p>
    <w:p w14:paraId="67AC9044">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p w14:paraId="0FCA5C30">
      <w:pPr>
        <w:rPr>
          <w:rFonts w:hint="default"/>
          <w:b/>
          <w:bCs/>
          <w:color w:val="auto"/>
          <w:sz w:val="28"/>
          <w:szCs w:val="28"/>
          <w:lang w:val="en-US" w:eastAsia="zh-CN"/>
        </w:rPr>
      </w:pPr>
      <w:r>
        <w:rPr>
          <w:rFonts w:hint="eastAsia" w:ascii="仿宋" w:hAnsi="仿宋" w:eastAsia="仿宋" w:cs="仿宋"/>
          <w:b/>
          <w:bCs/>
          <w:i w:val="0"/>
          <w:iCs w:val="0"/>
          <w:color w:val="auto"/>
          <w:kern w:val="0"/>
          <w:sz w:val="28"/>
          <w:szCs w:val="28"/>
          <w:u w:val="none"/>
          <w:lang w:val="en-US" w:eastAsia="zh-CN" w:bidi="ar"/>
        </w:rPr>
        <w:t>（一）服务清单</w:t>
      </w:r>
    </w:p>
    <w:tbl>
      <w:tblPr>
        <w:tblStyle w:val="11"/>
        <w:tblW w:w="498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1217"/>
        <w:gridCol w:w="1223"/>
        <w:gridCol w:w="2578"/>
        <w:gridCol w:w="803"/>
        <w:gridCol w:w="753"/>
        <w:gridCol w:w="1719"/>
        <w:gridCol w:w="1849"/>
        <w:gridCol w:w="3927"/>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4B2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服务类型</w:t>
            </w:r>
          </w:p>
        </w:tc>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服务内容</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数量</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计量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单位</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预算单价（万元）</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预算金额（万元）</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78C14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B94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eastAsia="zh-CN"/>
              </w:rPr>
            </w:pPr>
            <w:r>
              <w:rPr>
                <w:rFonts w:hint="eastAsia" w:asciiTheme="minorEastAsia" w:hAnsiTheme="minorEastAsia" w:cstheme="minorEastAsia"/>
                <w:i w:val="0"/>
                <w:iCs w:val="0"/>
                <w:color w:val="auto"/>
                <w:sz w:val="21"/>
                <w:szCs w:val="21"/>
                <w:u w:val="none"/>
                <w:lang w:val="en-US" w:eastAsia="zh-CN"/>
              </w:rPr>
              <w:t>1</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FD5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互联网医院</w:t>
            </w:r>
            <w:r>
              <w:rPr>
                <w:rFonts w:hint="eastAsia" w:asciiTheme="minorEastAsia" w:hAnsiTheme="minorEastAsia" w:cstheme="minorEastAsia"/>
                <w:i w:val="0"/>
                <w:iCs w:val="0"/>
                <w:color w:val="auto"/>
                <w:kern w:val="0"/>
                <w:sz w:val="21"/>
                <w:szCs w:val="21"/>
                <w:u w:val="none"/>
                <w:lang w:val="en-US" w:eastAsia="zh-CN" w:bidi="ar"/>
              </w:rPr>
              <w:t>运维</w:t>
            </w:r>
            <w:r>
              <w:rPr>
                <w:rFonts w:hint="eastAsia" w:asciiTheme="minorEastAsia" w:hAnsiTheme="minorEastAsia" w:eastAsiaTheme="minorEastAsia" w:cstheme="minorEastAsia"/>
                <w:i w:val="0"/>
                <w:iCs w:val="0"/>
                <w:color w:val="auto"/>
                <w:kern w:val="0"/>
                <w:sz w:val="21"/>
                <w:szCs w:val="21"/>
                <w:u w:val="none"/>
                <w:lang w:val="en-US" w:eastAsia="zh-CN" w:bidi="ar"/>
              </w:rPr>
              <w:t>承接服务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AB1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运维服务</w:t>
            </w:r>
          </w:p>
        </w:tc>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54C8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互联网医院平台运维</w:t>
            </w:r>
            <w:r>
              <w:rPr>
                <w:rFonts w:hint="eastAsia" w:asciiTheme="minorEastAsia" w:hAnsiTheme="minorEastAsia" w:cstheme="minorEastAsia"/>
                <w:i w:val="0"/>
                <w:iCs w:val="0"/>
                <w:color w:val="auto"/>
                <w:kern w:val="0"/>
                <w:sz w:val="21"/>
                <w:szCs w:val="21"/>
                <w:u w:val="none"/>
                <w:lang w:val="en-US" w:eastAsia="zh-CN" w:bidi="ar"/>
              </w:rPr>
              <w:t>承接</w:t>
            </w:r>
            <w:r>
              <w:rPr>
                <w:rFonts w:hint="eastAsia" w:asciiTheme="minorEastAsia" w:hAnsiTheme="minorEastAsia" w:eastAsiaTheme="minorEastAsia" w:cstheme="minorEastAsia"/>
                <w:i w:val="0"/>
                <w:iCs w:val="0"/>
                <w:color w:val="auto"/>
                <w:kern w:val="0"/>
                <w:sz w:val="21"/>
                <w:szCs w:val="21"/>
                <w:u w:val="none"/>
                <w:lang w:val="en-US" w:eastAsia="zh-CN" w:bidi="ar"/>
              </w:rPr>
              <w:t>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78A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5B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年</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90F46">
            <w:pPr>
              <w:jc w:val="center"/>
              <w:rPr>
                <w:rFonts w:hint="eastAsia" w:asciiTheme="minorEastAsia" w:hAnsiTheme="minorEastAsia" w:eastAsiaTheme="minorEastAsia" w:cstheme="minorEastAsia"/>
                <w:i w:val="0"/>
                <w:iCs w:val="0"/>
                <w:color w:val="auto"/>
                <w:sz w:val="21"/>
                <w:szCs w:val="21"/>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7A94A">
            <w:pPr>
              <w:jc w:val="center"/>
              <w:rPr>
                <w:rFonts w:hint="eastAsia" w:asciiTheme="minorEastAsia" w:hAnsiTheme="minorEastAsia" w:eastAsiaTheme="minorEastAsia" w:cstheme="minorEastAsia"/>
                <w:i w:val="0"/>
                <w:iCs w:val="0"/>
                <w:color w:val="auto"/>
                <w:sz w:val="21"/>
                <w:szCs w:val="21"/>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C447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按实际服务期限据实结算</w:t>
            </w:r>
          </w:p>
        </w:tc>
      </w:tr>
    </w:tbl>
    <w:p w14:paraId="579850F1">
      <w:pPr>
        <w:pStyle w:val="15"/>
        <w:numPr>
          <w:ilvl w:val="0"/>
          <w:numId w:val="0"/>
        </w:numPr>
        <w:rPr>
          <w:rFonts w:hint="eastAsia"/>
          <w:color w:val="auto"/>
          <w:lang w:val="en-US" w:eastAsia="zh-CN"/>
        </w:rPr>
      </w:pPr>
    </w:p>
    <w:p w14:paraId="14E15435">
      <w:pPr>
        <w:numPr>
          <w:ilvl w:val="0"/>
          <w:numId w:val="2"/>
        </w:numPr>
        <w:ind w:left="0" w:leftChars="0" w:firstLine="219" w:firstLineChars="78"/>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服务要求</w:t>
      </w:r>
    </w:p>
    <w:tbl>
      <w:tblPr>
        <w:tblStyle w:val="11"/>
        <w:tblW w:w="0" w:type="auto"/>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139"/>
        <w:gridCol w:w="11303"/>
        <w:gridCol w:w="1604"/>
      </w:tblGrid>
      <w:tr w14:paraId="7871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11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1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3A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服务要求</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AE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00F9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1B5B6F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1139" w:type="dxa"/>
            <w:tcBorders>
              <w:top w:val="single" w:color="000000" w:sz="4" w:space="0"/>
              <w:left w:val="single" w:color="000000" w:sz="4" w:space="0"/>
              <w:bottom w:val="single" w:color="auto" w:sz="4" w:space="0"/>
              <w:right w:val="single" w:color="000000" w:sz="4" w:space="0"/>
            </w:tcBorders>
            <w:shd w:val="clear" w:color="auto" w:fill="auto"/>
            <w:vAlign w:val="center"/>
          </w:tcPr>
          <w:p w14:paraId="41FFEA0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互联网医院运维承接</w:t>
            </w:r>
            <w:r>
              <w:rPr>
                <w:rFonts w:hint="eastAsia" w:asciiTheme="minorEastAsia" w:hAnsiTheme="minorEastAsia" w:eastAsiaTheme="minorEastAsia" w:cstheme="minorEastAsia"/>
                <w:i w:val="0"/>
                <w:iCs w:val="0"/>
                <w:color w:val="auto"/>
                <w:kern w:val="0"/>
                <w:sz w:val="21"/>
                <w:szCs w:val="21"/>
                <w:u w:val="none"/>
                <w:lang w:val="en-US" w:eastAsia="zh-CN" w:bidi="ar"/>
              </w:rPr>
              <w:t>服务</w:t>
            </w:r>
          </w:p>
        </w:tc>
        <w:tc>
          <w:tcPr>
            <w:tcW w:w="1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EE58">
            <w:pPr>
              <w:keepNext w:val="0"/>
              <w:keepLines w:val="0"/>
              <w:widowControl/>
              <w:numPr>
                <w:ilvl w:val="0"/>
                <w:numId w:val="0"/>
              </w:numPr>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完成本项目系统现有功能</w:t>
            </w:r>
            <w:r>
              <w:rPr>
                <w:rFonts w:hint="eastAsia" w:asciiTheme="minorEastAsia" w:hAnsiTheme="minorEastAsia" w:eastAsiaTheme="minorEastAsia" w:cstheme="minorEastAsia"/>
                <w:i w:val="0"/>
                <w:iCs w:val="0"/>
                <w:color w:val="auto"/>
                <w:kern w:val="0"/>
                <w:sz w:val="21"/>
                <w:szCs w:val="21"/>
                <w:u w:val="none"/>
                <w:lang w:val="en-US" w:eastAsia="zh-CN" w:bidi="ar"/>
              </w:rPr>
              <w:t>承接</w:t>
            </w:r>
            <w:r>
              <w:rPr>
                <w:rFonts w:hint="eastAsia" w:asciiTheme="minorEastAsia" w:hAnsiTheme="minorEastAsia" w:cstheme="minorEastAsia"/>
                <w:i w:val="0"/>
                <w:iCs w:val="0"/>
                <w:color w:val="auto"/>
                <w:kern w:val="0"/>
                <w:sz w:val="21"/>
                <w:szCs w:val="21"/>
                <w:u w:val="none"/>
                <w:lang w:val="en-US" w:eastAsia="zh-CN" w:bidi="ar"/>
              </w:rPr>
              <w:t>工作，并提供运维服务，</w:t>
            </w:r>
            <w:r>
              <w:rPr>
                <w:rFonts w:hint="eastAsia" w:asciiTheme="minorEastAsia" w:hAnsiTheme="minorEastAsia" w:eastAsiaTheme="minorEastAsia" w:cstheme="minorEastAsia"/>
                <w:i w:val="0"/>
                <w:iCs w:val="0"/>
                <w:color w:val="auto"/>
                <w:kern w:val="0"/>
                <w:sz w:val="21"/>
                <w:szCs w:val="21"/>
                <w:u w:val="none"/>
                <w:lang w:val="en-US" w:eastAsia="zh-CN" w:bidi="ar"/>
              </w:rPr>
              <w:t>在服务期间，为保障系统持续稳定运行，须严格履行以下核心保障义务：一是确保现有系统全部存量内容（含文字、图片、数据等）完整留存，无丢失、篡改风险；二是保障</w:t>
            </w:r>
            <w:r>
              <w:rPr>
                <w:rFonts w:hint="eastAsia" w:asciiTheme="minorEastAsia" w:hAnsiTheme="minorEastAsia" w:cstheme="minorEastAsia"/>
                <w:i w:val="0"/>
                <w:iCs w:val="0"/>
                <w:color w:val="auto"/>
                <w:kern w:val="0"/>
                <w:sz w:val="21"/>
                <w:szCs w:val="21"/>
                <w:u w:val="none"/>
                <w:lang w:val="en-US" w:eastAsia="zh-CN" w:bidi="ar"/>
              </w:rPr>
              <w:t>现有系统相关数据存储、平台与HIS等院内系统对接接口等核心模块稳定不间断运行，保障智慧就医、互联网诊疗、远程分中心等业务功能正常使用。其中，智慧就医业务涵盖</w:t>
            </w:r>
            <w:r>
              <w:rPr>
                <w:rFonts w:hint="eastAsia" w:ascii="宋体" w:hAnsi="宋体" w:eastAsia="宋体" w:cs="宋体"/>
                <w:i w:val="0"/>
                <w:iCs w:val="0"/>
                <w:color w:val="auto"/>
                <w:kern w:val="0"/>
                <w:sz w:val="21"/>
                <w:szCs w:val="21"/>
                <w:u w:val="none"/>
                <w:lang w:val="en-US" w:eastAsia="zh-CN" w:bidi="ar"/>
              </w:rPr>
              <w:t>注册办卡、当日挂号/预约挂号、门诊缴费、住院预交金、院内导航、用户满意度调查、用户指南、</w:t>
            </w:r>
            <w:r>
              <w:rPr>
                <w:rFonts w:hint="default" w:ascii="宋体" w:hAnsi="宋体" w:eastAsia="宋体" w:cs="宋体"/>
                <w:i w:val="0"/>
                <w:iCs w:val="0"/>
                <w:color w:val="auto"/>
                <w:kern w:val="0"/>
                <w:sz w:val="21"/>
                <w:szCs w:val="21"/>
                <w:u w:val="none"/>
                <w:lang w:val="en-US" w:eastAsia="zh-CN" w:bidi="ar"/>
              </w:rPr>
              <w:t>医院信息</w:t>
            </w:r>
            <w:r>
              <w:rPr>
                <w:rFonts w:hint="eastAsia" w:ascii="宋体" w:hAnsi="宋体" w:eastAsia="宋体" w:cs="宋体"/>
                <w:i w:val="0"/>
                <w:iCs w:val="0"/>
                <w:color w:val="auto"/>
                <w:kern w:val="0"/>
                <w:sz w:val="21"/>
                <w:szCs w:val="21"/>
                <w:u w:val="none"/>
                <w:lang w:val="en-US" w:eastAsia="zh-CN" w:bidi="ar"/>
              </w:rPr>
              <w:t>、电子报告</w:t>
            </w:r>
            <w:r>
              <w:rPr>
                <w:rFonts w:hint="eastAsia" w:asciiTheme="minorEastAsia" w:hAnsiTheme="minorEastAsia" w:cstheme="minorEastAsia"/>
                <w:i w:val="0"/>
                <w:iCs w:val="0"/>
                <w:color w:val="auto"/>
                <w:kern w:val="0"/>
                <w:sz w:val="21"/>
                <w:szCs w:val="21"/>
                <w:u w:val="none"/>
                <w:lang w:val="en-US" w:eastAsia="zh-CN" w:bidi="ar"/>
              </w:rPr>
              <w:t>等功能；互联网诊疗业务涵盖</w:t>
            </w:r>
            <w:r>
              <w:rPr>
                <w:rFonts w:hint="eastAsia" w:ascii="宋体" w:hAnsi="宋体" w:eastAsia="宋体" w:cs="宋体"/>
                <w:i w:val="0"/>
                <w:iCs w:val="0"/>
                <w:color w:val="auto"/>
                <w:kern w:val="0"/>
                <w:sz w:val="21"/>
                <w:szCs w:val="21"/>
                <w:u w:val="none"/>
                <w:lang w:val="en-US" w:eastAsia="zh-CN" w:bidi="ar"/>
              </w:rPr>
              <w:t>在线问诊、医嘱（检验、检查、药品）开具、入院证开具、音视频通讯、费用支付、问诊评价、药品配送、门特续方、在线审方、医生执业管理、医师及药师CA签章</w:t>
            </w:r>
            <w:r>
              <w:rPr>
                <w:rFonts w:hint="eastAsia" w:asciiTheme="minorEastAsia" w:hAnsiTheme="minorEastAsia" w:cstheme="minorEastAsia"/>
                <w:i w:val="0"/>
                <w:iCs w:val="0"/>
                <w:color w:val="auto"/>
                <w:kern w:val="0"/>
                <w:sz w:val="21"/>
                <w:szCs w:val="21"/>
                <w:u w:val="none"/>
                <w:lang w:val="en-US" w:eastAsia="zh-CN" w:bidi="ar"/>
              </w:rPr>
              <w:t>等功能；同时负责远程会诊中心端账号配置（不含下级医院端建设）。</w:t>
            </w:r>
          </w:p>
          <w:p w14:paraId="185E439B">
            <w:pPr>
              <w:keepNext w:val="0"/>
              <w:keepLines w:val="0"/>
              <w:widowControl/>
              <w:numPr>
                <w:ilvl w:val="0"/>
                <w:numId w:val="0"/>
              </w:numPr>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w:t>
            </w:r>
            <w:r>
              <w:rPr>
                <w:rFonts w:hint="eastAsia" w:asciiTheme="minorEastAsia" w:hAnsiTheme="minorEastAsia" w:cstheme="minorEastAsia"/>
                <w:i w:val="0"/>
                <w:iCs w:val="0"/>
                <w:color w:val="auto"/>
                <w:kern w:val="0"/>
                <w:sz w:val="21"/>
                <w:szCs w:val="21"/>
                <w:u w:val="none"/>
                <w:lang w:val="en-US" w:eastAsia="zh-CN" w:bidi="ar"/>
              </w:rPr>
              <w:t>医疗质控与留痕：要求系统实现诊前、诊中、诊后全流程各环节信息互联互通与全程留痕问诊后要有病历书写以及病历质控功能。</w:t>
            </w:r>
          </w:p>
          <w:p w14:paraId="0446E57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服务包括但不限于：提供系统维护、更新、升级、改版服务；需求优化、升级或改造；性能及功能故障排查、处理和维护；软件的功能增强性维护等应用软件系统扩充升级；系统日常问题故障处理、改正性维护、完善性维护、预防性维护、适应政策性修改、制作各类统计报表。提供因包含政策、医院规划等原因要求的系统及数据迁移；配合进行信创、密评相关改造等，费用均包含于项目总价中，不得再收取院方或第三方公司任何接口费。</w:t>
            </w:r>
          </w:p>
          <w:p w14:paraId="0F795D9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4</w:t>
            </w:r>
            <w:r>
              <w:rPr>
                <w:rFonts w:hint="eastAsia" w:asciiTheme="minorEastAsia" w:hAnsiTheme="minorEastAsia" w:eastAsiaTheme="minorEastAsia" w:cstheme="minorEastAsia"/>
                <w:i w:val="0"/>
                <w:iCs w:val="0"/>
                <w:color w:val="auto"/>
                <w:kern w:val="0"/>
                <w:sz w:val="21"/>
                <w:szCs w:val="21"/>
                <w:u w:val="none"/>
                <w:lang w:val="en-US" w:eastAsia="zh-CN" w:bidi="ar"/>
              </w:rPr>
              <w:t>.每季度提供一次软件维保服务项目工作报告，内容包括但不限于：培训、指导、商讨、修改、升级、更新、建议、要求、流程再造、设备接入、业务扩展（专指院内）等，以及医院提出的其他要求和落实情况等。</w:t>
            </w:r>
          </w:p>
          <w:p w14:paraId="393FA3F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5</w:t>
            </w:r>
            <w:r>
              <w:rPr>
                <w:rFonts w:hint="eastAsia" w:asciiTheme="minorEastAsia" w:hAnsiTheme="minorEastAsia" w:eastAsiaTheme="minorEastAsia" w:cstheme="minorEastAsia"/>
                <w:i w:val="0"/>
                <w:iCs w:val="0"/>
                <w:color w:val="auto"/>
                <w:kern w:val="0"/>
                <w:sz w:val="21"/>
                <w:szCs w:val="21"/>
                <w:u w:val="none"/>
                <w:lang w:val="en-US" w:eastAsia="zh-CN" w:bidi="ar"/>
              </w:rPr>
              <w:t>.须指派专人负责与医院联系售后服务事宜：提供人员姓名、职务、联系电话（含座机、手机等）。</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6</w:t>
            </w:r>
            <w:r>
              <w:rPr>
                <w:rFonts w:hint="eastAsia" w:asciiTheme="minorEastAsia" w:hAnsiTheme="minorEastAsia" w:eastAsiaTheme="minorEastAsia" w:cstheme="minorEastAsia"/>
                <w:i w:val="0"/>
                <w:iCs w:val="0"/>
                <w:color w:val="auto"/>
                <w:kern w:val="0"/>
                <w:sz w:val="21"/>
                <w:szCs w:val="21"/>
                <w:u w:val="none"/>
                <w:lang w:val="en-US" w:eastAsia="zh-CN" w:bidi="ar"/>
              </w:rPr>
              <w:t>.在进行软件升级、整改、发布等操作时，必须提前以书面形式告之甲方。包括但不仅限于：操作人员、操作时间、操作内容、后续影响等内容。征得甲方同意后方可进行操作。</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7</w:t>
            </w:r>
            <w:r>
              <w:rPr>
                <w:rFonts w:hint="eastAsia" w:asciiTheme="minorEastAsia" w:hAnsiTheme="minorEastAsia" w:eastAsiaTheme="minorEastAsia" w:cstheme="minorEastAsia"/>
                <w:i w:val="0"/>
                <w:iCs w:val="0"/>
                <w:color w:val="auto"/>
                <w:kern w:val="0"/>
                <w:sz w:val="21"/>
                <w:szCs w:val="21"/>
                <w:u w:val="none"/>
                <w:lang w:val="en-US" w:eastAsia="zh-CN" w:bidi="ar"/>
              </w:rPr>
              <w:t>.做好业务数据的日常备份，若监测到备份有问题，需及时修复。在系统运行过程中，因操作、系统Bug因素或者其他不可控的原因造成数据不正常，在医院确认后进行数据修复，在修复过程中要求采用必要的技术及管理流程以确保数据安全，并将整个修复过程记录备案。</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8</w:t>
            </w:r>
            <w:r>
              <w:rPr>
                <w:rFonts w:hint="eastAsia" w:asciiTheme="minorEastAsia" w:hAnsiTheme="minorEastAsia" w:eastAsiaTheme="minorEastAsia" w:cstheme="minorEastAsia"/>
                <w:i w:val="0"/>
                <w:iCs w:val="0"/>
                <w:color w:val="auto"/>
                <w:kern w:val="0"/>
                <w:sz w:val="21"/>
                <w:szCs w:val="21"/>
                <w:u w:val="none"/>
                <w:lang w:val="en-US" w:eastAsia="zh-CN" w:bidi="ar"/>
              </w:rPr>
              <w:t>.在医院目前运行系统的版本基础上，根据医院的业务需求不断完善其功能，提升其可操作性和用户体验，从而提升业务办理过程中的效率。</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9</w:t>
            </w:r>
            <w:r>
              <w:rPr>
                <w:rFonts w:hint="eastAsia" w:asciiTheme="minorEastAsia" w:hAnsiTheme="minorEastAsia" w:eastAsiaTheme="minorEastAsia" w:cstheme="minorEastAsia"/>
                <w:i w:val="0"/>
                <w:iCs w:val="0"/>
                <w:color w:val="auto"/>
                <w:kern w:val="0"/>
                <w:sz w:val="21"/>
                <w:szCs w:val="21"/>
                <w:u w:val="none"/>
                <w:lang w:val="en-US" w:eastAsia="zh-CN" w:bidi="ar"/>
              </w:rPr>
              <w:t>.因卫健、医保、人社、药监、疾控、财政、审计等各级行政管理部门的政策性要求，导致现有软件模块功能不能满足要求，需进行相应软件模块功能的修改、完善。包含但不</w:t>
            </w:r>
            <w:r>
              <w:rPr>
                <w:rFonts w:hint="eastAsia" w:asciiTheme="minorEastAsia" w:hAnsiTheme="minorEastAsia" w:cstheme="minorEastAsia"/>
                <w:i w:val="0"/>
                <w:iCs w:val="0"/>
                <w:color w:val="auto"/>
                <w:kern w:val="0"/>
                <w:sz w:val="21"/>
                <w:szCs w:val="21"/>
                <w:u w:val="none"/>
                <w:lang w:val="en-US" w:eastAsia="zh-CN" w:bidi="ar"/>
              </w:rPr>
              <w:t>仅</w:t>
            </w:r>
            <w:r>
              <w:rPr>
                <w:rFonts w:hint="eastAsia" w:asciiTheme="minorEastAsia" w:hAnsiTheme="minorEastAsia" w:eastAsiaTheme="minorEastAsia" w:cstheme="minorEastAsia"/>
                <w:i w:val="0"/>
                <w:iCs w:val="0"/>
                <w:color w:val="auto"/>
                <w:kern w:val="0"/>
                <w:sz w:val="21"/>
                <w:szCs w:val="21"/>
                <w:u w:val="none"/>
                <w:lang w:val="en-US" w:eastAsia="zh-CN" w:bidi="ar"/>
              </w:rPr>
              <w:t>限于四川省互联网医院监管接口规范V2.0对接改造。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10</w:t>
            </w:r>
            <w:r>
              <w:rPr>
                <w:rFonts w:hint="eastAsia" w:asciiTheme="minorEastAsia" w:hAnsiTheme="minorEastAsia" w:eastAsiaTheme="minorEastAsia" w:cstheme="minorEastAsia"/>
                <w:i w:val="0"/>
                <w:iCs w:val="0"/>
                <w:color w:val="auto"/>
                <w:kern w:val="0"/>
                <w:sz w:val="21"/>
                <w:szCs w:val="21"/>
                <w:u w:val="none"/>
                <w:lang w:val="en-US" w:eastAsia="zh-CN" w:bidi="ar"/>
              </w:rPr>
              <w:t>.根据医院的要求协助医院接受检查、审计或其他重大工作中给予技术支持服务，包含数据提取、核对等工作。应积极配合完成因院方接受检查、巡察、评审、复审而提出的信息化相关要求。</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 xml:space="preserve">.重大技术问题处理:对重大的技术问题，应协调组织技术专家小组进行会诊解决，以确保系统的正常运行。 </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.对医院信息部技术人员进行培训指导，熟悉系统内部设计逻辑、表名、字段等，以及系统运维过程中需要重点关注的事项，确保相关系统管理员能够独立处理问题。</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B7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r>
    </w:tbl>
    <w:p w14:paraId="75F3249C">
      <w:pPr>
        <w:rPr>
          <w:rFonts w:hint="eastAsia"/>
          <w:color w:val="auto"/>
          <w:lang w:val="en-US" w:eastAsia="zh-CN"/>
        </w:rPr>
      </w:pPr>
    </w:p>
    <w:p w14:paraId="7C3C386B">
      <w:pPr>
        <w:rPr>
          <w:rFonts w:hint="eastAsia"/>
          <w:color w:val="auto"/>
          <w:lang w:val="en-US" w:eastAsia="zh-CN"/>
        </w:rPr>
        <w:sectPr>
          <w:pgSz w:w="16838" w:h="11906" w:orient="landscape"/>
          <w:pgMar w:top="1134" w:right="1134" w:bottom="567" w:left="1134" w:header="851" w:footer="992" w:gutter="0"/>
          <w:cols w:space="425" w:num="1"/>
          <w:docGrid w:type="lines" w:linePitch="312" w:charSpace="0"/>
        </w:sectPr>
      </w:pPr>
    </w:p>
    <w:p w14:paraId="5D587B4B">
      <w:pPr>
        <w:pStyle w:val="15"/>
        <w:rPr>
          <w:rFonts w:hint="eastAsia"/>
          <w:color w:val="auto"/>
          <w:lang w:val="en-US" w:eastAsia="zh-CN"/>
        </w:rPr>
      </w:pPr>
    </w:p>
    <w:p w14:paraId="6017D881">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075950E2">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11"/>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14E7BA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0016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5A397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4564C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51961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D331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1A436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8858F1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EF57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0CD13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394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9E7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5C32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5DE5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E78D98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8F77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AE11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F6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FA6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FE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D53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87690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3CA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3086A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9EE5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73E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1A8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0885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90D4FA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B0F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5C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7CB0C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29E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9CA8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0837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02C7985D">
      <w:pPr>
        <w:pStyle w:val="23"/>
        <w:ind w:firstLine="0" w:firstLineChars="0"/>
        <w:rPr>
          <w:rFonts w:hint="eastAsia" w:ascii="仿宋" w:hAnsi="仿宋" w:eastAsia="仿宋" w:cs="仿宋"/>
          <w:color w:val="auto"/>
          <w:sz w:val="30"/>
          <w:szCs w:val="30"/>
        </w:rPr>
      </w:pPr>
    </w:p>
    <w:p w14:paraId="62CB2C95">
      <w:pPr>
        <w:pStyle w:val="15"/>
        <w:rPr>
          <w:rFonts w:hint="eastAsia" w:ascii="仿宋" w:hAnsi="仿宋" w:eastAsia="仿宋" w:cs="仿宋"/>
          <w:color w:val="auto"/>
          <w:kern w:val="2"/>
          <w:sz w:val="30"/>
          <w:szCs w:val="30"/>
        </w:rPr>
      </w:pPr>
    </w:p>
    <w:p w14:paraId="6FFD4938">
      <w:pPr>
        <w:pStyle w:val="15"/>
        <w:rPr>
          <w:rFonts w:hint="eastAsia" w:ascii="仿宋" w:hAnsi="仿宋" w:eastAsia="仿宋" w:cs="仿宋"/>
          <w:color w:val="auto"/>
          <w:kern w:val="2"/>
          <w:sz w:val="30"/>
          <w:szCs w:val="30"/>
        </w:rPr>
      </w:pPr>
    </w:p>
    <w:p w14:paraId="54849A12">
      <w:pPr>
        <w:pStyle w:val="15"/>
        <w:rPr>
          <w:rFonts w:hint="eastAsia" w:ascii="仿宋" w:hAnsi="仿宋" w:eastAsia="仿宋" w:cs="仿宋"/>
          <w:color w:val="auto"/>
          <w:kern w:val="2"/>
          <w:sz w:val="30"/>
          <w:szCs w:val="30"/>
        </w:rPr>
      </w:pPr>
    </w:p>
    <w:p w14:paraId="73DB42E5">
      <w:pPr>
        <w:pStyle w:val="15"/>
        <w:rPr>
          <w:rFonts w:hint="eastAsia" w:ascii="仿宋" w:hAnsi="仿宋" w:eastAsia="仿宋" w:cs="仿宋"/>
          <w:color w:val="auto"/>
          <w:kern w:val="2"/>
          <w:sz w:val="30"/>
          <w:szCs w:val="30"/>
        </w:rPr>
      </w:pPr>
    </w:p>
    <w:p w14:paraId="3B4BCB70">
      <w:pPr>
        <w:pStyle w:val="15"/>
        <w:rPr>
          <w:rFonts w:hint="eastAsia" w:ascii="仿宋" w:hAnsi="仿宋" w:eastAsia="仿宋" w:cs="仿宋"/>
          <w:color w:val="auto"/>
          <w:kern w:val="2"/>
          <w:sz w:val="30"/>
          <w:szCs w:val="30"/>
        </w:rPr>
      </w:pPr>
    </w:p>
    <w:p w14:paraId="681C6975">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11"/>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EE316A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007F0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0A11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C18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05DFD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2938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57B04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76F68CE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3581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F322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CF700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B5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483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39B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85EB3B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2DF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B643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9D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93E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70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2B3A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72AE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0B9E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4E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7C0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98F1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10C8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90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14870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239DB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D115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19F4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803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C7B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72EC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41FC0966">
      <w:pPr>
        <w:rPr>
          <w:rFonts w:hint="eastAsia"/>
          <w:color w:val="auto"/>
          <w:lang w:val="en-US" w:eastAsia="zh-CN"/>
        </w:rPr>
      </w:pPr>
    </w:p>
    <w:p w14:paraId="4C4D280D">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C8F903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46B6685E">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5782AF3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16B3C9C9">
      <w:pPr>
        <w:pStyle w:val="3"/>
        <w:bidi w:val="0"/>
        <w:ind w:firstLine="482" w:firstLineChars="200"/>
        <w:rPr>
          <w:rFonts w:hint="eastAsia"/>
          <w:color w:val="auto"/>
          <w:lang w:val="en-US" w:eastAsia="zh-CN"/>
        </w:rPr>
      </w:pPr>
    </w:p>
    <w:p w14:paraId="389C42FC">
      <w:pPr>
        <w:pStyle w:val="3"/>
        <w:bidi w:val="0"/>
        <w:ind w:firstLine="482" w:firstLineChars="200"/>
        <w:rPr>
          <w:rFonts w:hint="eastAsia"/>
          <w:color w:val="auto"/>
          <w:lang w:val="en-US" w:eastAsia="zh-CN"/>
        </w:rPr>
      </w:pPr>
      <w:bookmarkStart w:id="29" w:name="_Toc7986"/>
      <w:bookmarkStart w:id="30" w:name="_Toc138151651"/>
      <w:r>
        <w:rPr>
          <w:rFonts w:hint="eastAsia"/>
          <w:color w:val="auto"/>
          <w:lang w:val="en-US" w:eastAsia="zh-CN"/>
        </w:rPr>
        <w:t>4.3三甲综合医院同类项目案例合同及验收佐证</w:t>
      </w:r>
      <w:bookmarkEnd w:id="29"/>
      <w:bookmarkEnd w:id="30"/>
    </w:p>
    <w:p w14:paraId="37ACC053">
      <w:pPr>
        <w:pStyle w:val="15"/>
        <w:spacing w:line="240" w:lineRule="auto"/>
        <w:rPr>
          <w:rFonts w:hint="eastAsia" w:ascii="仿宋" w:hAnsi="仿宋" w:eastAsia="仿宋" w:cs="仿宋"/>
          <w:b w:val="0"/>
          <w:color w:val="auto"/>
          <w:kern w:val="2"/>
          <w:sz w:val="24"/>
          <w:szCs w:val="24"/>
          <w:lang w:val="en-US" w:eastAsia="zh-CN" w:bidi="ar-SA"/>
        </w:rPr>
      </w:pPr>
    </w:p>
    <w:p w14:paraId="29A863C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684FC671">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48B6540">
      <w:pPr>
        <w:rPr>
          <w:rFonts w:hint="eastAsia"/>
          <w:color w:val="auto"/>
          <w:lang w:val="en-US" w:eastAsia="zh-CN"/>
        </w:rPr>
      </w:pPr>
    </w:p>
    <w:p w14:paraId="27D2C93C">
      <w:pPr>
        <w:rPr>
          <w:rFonts w:hint="eastAsia"/>
          <w:color w:val="auto"/>
          <w:lang w:val="en-US" w:eastAsia="zh-CN"/>
        </w:rPr>
      </w:pPr>
    </w:p>
    <w:p w14:paraId="6D99AB6B">
      <w:pPr>
        <w:rPr>
          <w:rFonts w:hint="default"/>
          <w:color w:val="auto"/>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9F6C1F-C47D-4711-B4FC-2718186101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524E141-8581-48B9-858E-CA8959ABB02B}"/>
  </w:font>
  <w:font w:name="仿宋">
    <w:panose1 w:val="02010609060101010101"/>
    <w:charset w:val="86"/>
    <w:family w:val="auto"/>
    <w:pitch w:val="default"/>
    <w:sig w:usb0="800002BF" w:usb1="38CF7CFA" w:usb2="00000016" w:usb3="00000000" w:csb0="00040001" w:csb1="00000000"/>
    <w:embedRegular r:id="rId3" w:fontKey="{631098C0-E07F-4B42-A1CE-BF2A9DD6A71A}"/>
  </w:font>
  <w:font w:name="方正小标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4" w:fontKey="{B5C51F43-7192-4C81-82EE-774607C46697}"/>
  </w:font>
  <w:font w:name="WPSEMBED28">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C864C"/>
    <w:multiLevelType w:val="singleLevel"/>
    <w:tmpl w:val="B4AC864C"/>
    <w:lvl w:ilvl="0" w:tentative="0">
      <w:start w:val="2"/>
      <w:numFmt w:val="chineseCounting"/>
      <w:suff w:val="nothing"/>
      <w:lvlText w:val="（%1）"/>
      <w:lvlJc w:val="left"/>
      <w:rPr>
        <w:rFonts w:hint="eastAsia"/>
      </w:rPr>
    </w:lvl>
  </w:abstractNum>
  <w:abstractNum w:abstractNumId="1">
    <w:nsid w:val="23DEF404"/>
    <w:multiLevelType w:val="singleLevel"/>
    <w:tmpl w:val="23DEF4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1D52A58"/>
    <w:rsid w:val="0224038E"/>
    <w:rsid w:val="02CE7139"/>
    <w:rsid w:val="03157A96"/>
    <w:rsid w:val="03163E1D"/>
    <w:rsid w:val="03552A08"/>
    <w:rsid w:val="03D3104E"/>
    <w:rsid w:val="04275A22"/>
    <w:rsid w:val="04593878"/>
    <w:rsid w:val="052B1309"/>
    <w:rsid w:val="05E25CD6"/>
    <w:rsid w:val="067C1B91"/>
    <w:rsid w:val="072D11D3"/>
    <w:rsid w:val="07C537D5"/>
    <w:rsid w:val="07E9598A"/>
    <w:rsid w:val="07F76D1E"/>
    <w:rsid w:val="09042474"/>
    <w:rsid w:val="0926542A"/>
    <w:rsid w:val="09572537"/>
    <w:rsid w:val="09EF4DDA"/>
    <w:rsid w:val="09F06B51"/>
    <w:rsid w:val="0A5A448A"/>
    <w:rsid w:val="0AED6E12"/>
    <w:rsid w:val="0C811C7B"/>
    <w:rsid w:val="0C8C3677"/>
    <w:rsid w:val="0CDC4161"/>
    <w:rsid w:val="0D293630"/>
    <w:rsid w:val="0D5422FE"/>
    <w:rsid w:val="0DD4413B"/>
    <w:rsid w:val="0E154AB8"/>
    <w:rsid w:val="0E266744"/>
    <w:rsid w:val="0EA93CA3"/>
    <w:rsid w:val="0F7C3008"/>
    <w:rsid w:val="0FE60171"/>
    <w:rsid w:val="10AE73EC"/>
    <w:rsid w:val="1118101A"/>
    <w:rsid w:val="113927B1"/>
    <w:rsid w:val="11DA6532"/>
    <w:rsid w:val="121A3D4C"/>
    <w:rsid w:val="126B2BAF"/>
    <w:rsid w:val="134306AA"/>
    <w:rsid w:val="134A6465"/>
    <w:rsid w:val="135A02D0"/>
    <w:rsid w:val="13712447"/>
    <w:rsid w:val="139D7869"/>
    <w:rsid w:val="146D684D"/>
    <w:rsid w:val="147A721A"/>
    <w:rsid w:val="14E013D0"/>
    <w:rsid w:val="14F31935"/>
    <w:rsid w:val="15B825AF"/>
    <w:rsid w:val="15CF1F26"/>
    <w:rsid w:val="16207B77"/>
    <w:rsid w:val="16B36D4D"/>
    <w:rsid w:val="183258F7"/>
    <w:rsid w:val="18342516"/>
    <w:rsid w:val="18552DB3"/>
    <w:rsid w:val="189E2676"/>
    <w:rsid w:val="18C17DE5"/>
    <w:rsid w:val="18D92EBD"/>
    <w:rsid w:val="1A44658D"/>
    <w:rsid w:val="1AAF2DD5"/>
    <w:rsid w:val="1AE31E7C"/>
    <w:rsid w:val="1B0C6C17"/>
    <w:rsid w:val="1B46204F"/>
    <w:rsid w:val="1B99074F"/>
    <w:rsid w:val="1BB8428A"/>
    <w:rsid w:val="1BBC5511"/>
    <w:rsid w:val="1CFC6AF6"/>
    <w:rsid w:val="1DBE13B8"/>
    <w:rsid w:val="1DD609E7"/>
    <w:rsid w:val="1E77318B"/>
    <w:rsid w:val="1ED65F1E"/>
    <w:rsid w:val="1F4A5F8A"/>
    <w:rsid w:val="1F794C63"/>
    <w:rsid w:val="1FDD356D"/>
    <w:rsid w:val="1FE37DA0"/>
    <w:rsid w:val="20390524"/>
    <w:rsid w:val="20E172DD"/>
    <w:rsid w:val="20E3342D"/>
    <w:rsid w:val="21254871"/>
    <w:rsid w:val="214831CD"/>
    <w:rsid w:val="21A97250"/>
    <w:rsid w:val="21F83C21"/>
    <w:rsid w:val="220D5A31"/>
    <w:rsid w:val="228C6E75"/>
    <w:rsid w:val="22A273FF"/>
    <w:rsid w:val="236C2324"/>
    <w:rsid w:val="23E3036F"/>
    <w:rsid w:val="249266C1"/>
    <w:rsid w:val="25380CA0"/>
    <w:rsid w:val="257D0110"/>
    <w:rsid w:val="25C63BAB"/>
    <w:rsid w:val="25C67C05"/>
    <w:rsid w:val="25D70354"/>
    <w:rsid w:val="263578BE"/>
    <w:rsid w:val="263D04BC"/>
    <w:rsid w:val="264D0C78"/>
    <w:rsid w:val="26A70C65"/>
    <w:rsid w:val="27026A05"/>
    <w:rsid w:val="270C409F"/>
    <w:rsid w:val="27415819"/>
    <w:rsid w:val="2777374E"/>
    <w:rsid w:val="283860D8"/>
    <w:rsid w:val="287560DE"/>
    <w:rsid w:val="29CB24F7"/>
    <w:rsid w:val="29D6511A"/>
    <w:rsid w:val="29FF496C"/>
    <w:rsid w:val="2A1F28C7"/>
    <w:rsid w:val="2B8925CC"/>
    <w:rsid w:val="2BA328F5"/>
    <w:rsid w:val="2C6F6170"/>
    <w:rsid w:val="2C9F6F43"/>
    <w:rsid w:val="2D2F2EBD"/>
    <w:rsid w:val="2D5664DE"/>
    <w:rsid w:val="2D755A60"/>
    <w:rsid w:val="2DCB175A"/>
    <w:rsid w:val="2E4C744E"/>
    <w:rsid w:val="2E8E10D4"/>
    <w:rsid w:val="2F62381D"/>
    <w:rsid w:val="3044051C"/>
    <w:rsid w:val="305F1B4D"/>
    <w:rsid w:val="30C93B1B"/>
    <w:rsid w:val="311A3CC6"/>
    <w:rsid w:val="3164236B"/>
    <w:rsid w:val="316E7B6E"/>
    <w:rsid w:val="31C92F18"/>
    <w:rsid w:val="32024D28"/>
    <w:rsid w:val="335F5D78"/>
    <w:rsid w:val="337511B1"/>
    <w:rsid w:val="337D4C69"/>
    <w:rsid w:val="33935522"/>
    <w:rsid w:val="343B467F"/>
    <w:rsid w:val="34535875"/>
    <w:rsid w:val="34A915E9"/>
    <w:rsid w:val="34AF257B"/>
    <w:rsid w:val="34B66051"/>
    <w:rsid w:val="36C21BE7"/>
    <w:rsid w:val="36C267C0"/>
    <w:rsid w:val="36C450EA"/>
    <w:rsid w:val="372B5D93"/>
    <w:rsid w:val="375B0AE1"/>
    <w:rsid w:val="386C41A1"/>
    <w:rsid w:val="38761053"/>
    <w:rsid w:val="38A804E3"/>
    <w:rsid w:val="39106763"/>
    <w:rsid w:val="39216F67"/>
    <w:rsid w:val="3A116084"/>
    <w:rsid w:val="3A763162"/>
    <w:rsid w:val="3A985554"/>
    <w:rsid w:val="3AAB598F"/>
    <w:rsid w:val="3B020707"/>
    <w:rsid w:val="3B9C785C"/>
    <w:rsid w:val="3BBD4EEF"/>
    <w:rsid w:val="3C2F2831"/>
    <w:rsid w:val="3D4435C6"/>
    <w:rsid w:val="3D8E5A8D"/>
    <w:rsid w:val="3DCC00F6"/>
    <w:rsid w:val="3E6D1D46"/>
    <w:rsid w:val="3E924036"/>
    <w:rsid w:val="3EBE4976"/>
    <w:rsid w:val="3EF73899"/>
    <w:rsid w:val="3F282526"/>
    <w:rsid w:val="400101C3"/>
    <w:rsid w:val="405F16F6"/>
    <w:rsid w:val="40842F0A"/>
    <w:rsid w:val="4195297C"/>
    <w:rsid w:val="41957568"/>
    <w:rsid w:val="41F10082"/>
    <w:rsid w:val="41F702EE"/>
    <w:rsid w:val="420704CD"/>
    <w:rsid w:val="428970E4"/>
    <w:rsid w:val="42BD668F"/>
    <w:rsid w:val="42D82436"/>
    <w:rsid w:val="43161672"/>
    <w:rsid w:val="43241EF6"/>
    <w:rsid w:val="43431778"/>
    <w:rsid w:val="4394151F"/>
    <w:rsid w:val="44084F35"/>
    <w:rsid w:val="44806E09"/>
    <w:rsid w:val="44BE1658"/>
    <w:rsid w:val="45B45D7E"/>
    <w:rsid w:val="46205483"/>
    <w:rsid w:val="46241EA6"/>
    <w:rsid w:val="46C53FAB"/>
    <w:rsid w:val="46D544C0"/>
    <w:rsid w:val="46DB13AA"/>
    <w:rsid w:val="47823284"/>
    <w:rsid w:val="47CF4028"/>
    <w:rsid w:val="47E67906"/>
    <w:rsid w:val="485431F5"/>
    <w:rsid w:val="485E35F8"/>
    <w:rsid w:val="49550899"/>
    <w:rsid w:val="49BA2D04"/>
    <w:rsid w:val="49BB0786"/>
    <w:rsid w:val="4A167183"/>
    <w:rsid w:val="4A3F4CC1"/>
    <w:rsid w:val="4A733A58"/>
    <w:rsid w:val="4B643ABC"/>
    <w:rsid w:val="4B6E7B09"/>
    <w:rsid w:val="4B9F639D"/>
    <w:rsid w:val="4BA5341F"/>
    <w:rsid w:val="4BB76564"/>
    <w:rsid w:val="4BC230D9"/>
    <w:rsid w:val="4C9358A6"/>
    <w:rsid w:val="4CA34014"/>
    <w:rsid w:val="4CE52F83"/>
    <w:rsid w:val="4D696680"/>
    <w:rsid w:val="4F4F10AC"/>
    <w:rsid w:val="4F5F64BA"/>
    <w:rsid w:val="4F90667E"/>
    <w:rsid w:val="4FB545D4"/>
    <w:rsid w:val="4FCE5CBE"/>
    <w:rsid w:val="4FDD301E"/>
    <w:rsid w:val="502E58AD"/>
    <w:rsid w:val="50B25872"/>
    <w:rsid w:val="50F327CB"/>
    <w:rsid w:val="51B47BC2"/>
    <w:rsid w:val="51D146FE"/>
    <w:rsid w:val="51E073DB"/>
    <w:rsid w:val="524D13AE"/>
    <w:rsid w:val="52B471BF"/>
    <w:rsid w:val="52C32D67"/>
    <w:rsid w:val="52FD5CE8"/>
    <w:rsid w:val="5339476F"/>
    <w:rsid w:val="536B2A7D"/>
    <w:rsid w:val="53DE59A8"/>
    <w:rsid w:val="53E51F5E"/>
    <w:rsid w:val="541505F1"/>
    <w:rsid w:val="54230D52"/>
    <w:rsid w:val="54400E09"/>
    <w:rsid w:val="54707AC1"/>
    <w:rsid w:val="55B6522E"/>
    <w:rsid w:val="55EA6E3F"/>
    <w:rsid w:val="56A06471"/>
    <w:rsid w:val="56EB682C"/>
    <w:rsid w:val="5715646F"/>
    <w:rsid w:val="57E56101"/>
    <w:rsid w:val="581F4351"/>
    <w:rsid w:val="58286EBC"/>
    <w:rsid w:val="585E1C89"/>
    <w:rsid w:val="59410223"/>
    <w:rsid w:val="596F2EE5"/>
    <w:rsid w:val="59723D50"/>
    <w:rsid w:val="5A864B12"/>
    <w:rsid w:val="5A920D49"/>
    <w:rsid w:val="5B4B35D6"/>
    <w:rsid w:val="5BB10EFE"/>
    <w:rsid w:val="5C682BA7"/>
    <w:rsid w:val="5D6D7971"/>
    <w:rsid w:val="5D762C66"/>
    <w:rsid w:val="5DEA79AF"/>
    <w:rsid w:val="5E2F3B42"/>
    <w:rsid w:val="5F035078"/>
    <w:rsid w:val="5F4131D6"/>
    <w:rsid w:val="5F6F0822"/>
    <w:rsid w:val="5F744CAA"/>
    <w:rsid w:val="5F957CDE"/>
    <w:rsid w:val="5FDD7E71"/>
    <w:rsid w:val="6108231E"/>
    <w:rsid w:val="62143C96"/>
    <w:rsid w:val="62561308"/>
    <w:rsid w:val="62927E29"/>
    <w:rsid w:val="62DD052C"/>
    <w:rsid w:val="62E054D8"/>
    <w:rsid w:val="638251B1"/>
    <w:rsid w:val="640D6CAC"/>
    <w:rsid w:val="64105038"/>
    <w:rsid w:val="644B199A"/>
    <w:rsid w:val="64D6157E"/>
    <w:rsid w:val="653C3FD8"/>
    <w:rsid w:val="65815AE7"/>
    <w:rsid w:val="65B14764"/>
    <w:rsid w:val="66180254"/>
    <w:rsid w:val="6671772C"/>
    <w:rsid w:val="66936F5E"/>
    <w:rsid w:val="67CB7B5D"/>
    <w:rsid w:val="687304EE"/>
    <w:rsid w:val="68783C73"/>
    <w:rsid w:val="68866F70"/>
    <w:rsid w:val="68EC7555"/>
    <w:rsid w:val="690B4CB3"/>
    <w:rsid w:val="693862AF"/>
    <w:rsid w:val="6A961A6F"/>
    <w:rsid w:val="6A987C6E"/>
    <w:rsid w:val="6C300DB3"/>
    <w:rsid w:val="6C8D73F3"/>
    <w:rsid w:val="6CFB4623"/>
    <w:rsid w:val="6D4B29EE"/>
    <w:rsid w:val="6D6D71FE"/>
    <w:rsid w:val="6E602279"/>
    <w:rsid w:val="6E7753CB"/>
    <w:rsid w:val="6E891670"/>
    <w:rsid w:val="6EC06CA8"/>
    <w:rsid w:val="6EED01BE"/>
    <w:rsid w:val="6F057177"/>
    <w:rsid w:val="6F593B69"/>
    <w:rsid w:val="6FCD7A7D"/>
    <w:rsid w:val="709E1F5D"/>
    <w:rsid w:val="70C85336"/>
    <w:rsid w:val="70E10E55"/>
    <w:rsid w:val="712612D9"/>
    <w:rsid w:val="718B036D"/>
    <w:rsid w:val="718F390E"/>
    <w:rsid w:val="71B2000E"/>
    <w:rsid w:val="72307267"/>
    <w:rsid w:val="725577F4"/>
    <w:rsid w:val="73593BFF"/>
    <w:rsid w:val="73A103C3"/>
    <w:rsid w:val="740C7A72"/>
    <w:rsid w:val="744F23F4"/>
    <w:rsid w:val="74BE1DD0"/>
    <w:rsid w:val="74F6547D"/>
    <w:rsid w:val="75AA5052"/>
    <w:rsid w:val="75BE2C2C"/>
    <w:rsid w:val="764010A6"/>
    <w:rsid w:val="765F4A43"/>
    <w:rsid w:val="76EB7264"/>
    <w:rsid w:val="7769462C"/>
    <w:rsid w:val="77F5610B"/>
    <w:rsid w:val="78B15C5E"/>
    <w:rsid w:val="79175759"/>
    <w:rsid w:val="79C773E8"/>
    <w:rsid w:val="7B035A20"/>
    <w:rsid w:val="7B224A66"/>
    <w:rsid w:val="7BBE620D"/>
    <w:rsid w:val="7BFB064C"/>
    <w:rsid w:val="7C785E63"/>
    <w:rsid w:val="7CEF5984"/>
    <w:rsid w:val="7E5C7744"/>
    <w:rsid w:val="7EF240BF"/>
    <w:rsid w:val="7F1135E0"/>
    <w:rsid w:val="7F2C38B2"/>
    <w:rsid w:val="7F2D0FB6"/>
    <w:rsid w:val="7F951E7F"/>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10">
    <w:name w:val="Title"/>
    <w:basedOn w:val="1"/>
    <w:next w:val="1"/>
    <w:qFormat/>
    <w:uiPriority w:val="0"/>
    <w:pPr>
      <w:jc w:val="center"/>
      <w:outlineLvl w:val="0"/>
    </w:pPr>
    <w:rPr>
      <w:rFonts w:cstheme="majorBidi"/>
      <w:b/>
      <w:bCs/>
      <w:sz w:val="48"/>
      <w:szCs w:val="32"/>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font81"/>
    <w:basedOn w:val="13"/>
    <w:qFormat/>
    <w:uiPriority w:val="0"/>
    <w:rPr>
      <w:rFonts w:hint="eastAsia" w:ascii="仿宋" w:hAnsi="仿宋" w:eastAsia="仿宋" w:cs="仿宋"/>
      <w:color w:val="FF0000"/>
      <w:sz w:val="24"/>
      <w:szCs w:val="24"/>
      <w:u w:val="none"/>
    </w:rPr>
  </w:style>
  <w:style w:type="character" w:customStyle="1" w:styleId="17">
    <w:name w:val="font61"/>
    <w:basedOn w:val="13"/>
    <w:qFormat/>
    <w:uiPriority w:val="0"/>
    <w:rPr>
      <w:rFonts w:hint="eastAsia" w:ascii="仿宋" w:hAnsi="仿宋" w:eastAsia="仿宋" w:cs="仿宋"/>
      <w:color w:val="000000"/>
      <w:sz w:val="24"/>
      <w:szCs w:val="24"/>
      <w:u w:val="none"/>
    </w:rPr>
  </w:style>
  <w:style w:type="character" w:customStyle="1" w:styleId="18">
    <w:name w:val="font41"/>
    <w:basedOn w:val="13"/>
    <w:qFormat/>
    <w:uiPriority w:val="0"/>
    <w:rPr>
      <w:rFonts w:hint="eastAsia" w:ascii="仿宋" w:hAnsi="仿宋" w:eastAsia="仿宋" w:cs="仿宋"/>
      <w:color w:val="000000"/>
      <w:sz w:val="24"/>
      <w:szCs w:val="24"/>
      <w:u w:val="none"/>
    </w:rPr>
  </w:style>
  <w:style w:type="character" w:customStyle="1" w:styleId="19">
    <w:name w:val="font71"/>
    <w:basedOn w:val="13"/>
    <w:qFormat/>
    <w:uiPriority w:val="0"/>
    <w:rPr>
      <w:rFonts w:hint="eastAsia" w:ascii="仿宋" w:hAnsi="仿宋" w:eastAsia="仿宋" w:cs="仿宋"/>
      <w:color w:val="0070C0"/>
      <w:sz w:val="24"/>
      <w:szCs w:val="24"/>
      <w:u w:val="none"/>
    </w:rPr>
  </w:style>
  <w:style w:type="character" w:customStyle="1" w:styleId="20">
    <w:name w:val="font51"/>
    <w:basedOn w:val="13"/>
    <w:qFormat/>
    <w:uiPriority w:val="0"/>
    <w:rPr>
      <w:rFonts w:hint="eastAsia" w:ascii="宋体" w:hAnsi="宋体" w:eastAsia="宋体" w:cs="宋体"/>
      <w:color w:val="000000"/>
      <w:sz w:val="24"/>
      <w:szCs w:val="24"/>
      <w:u w:val="none"/>
    </w:rPr>
  </w:style>
  <w:style w:type="character" w:customStyle="1" w:styleId="21">
    <w:name w:val="font21"/>
    <w:basedOn w:val="13"/>
    <w:qFormat/>
    <w:uiPriority w:val="0"/>
    <w:rPr>
      <w:rFonts w:hint="eastAsia" w:ascii="宋体" w:hAnsi="宋体" w:eastAsia="宋体" w:cs="宋体"/>
      <w:color w:val="000000"/>
      <w:sz w:val="22"/>
      <w:szCs w:val="22"/>
      <w:u w:val="none"/>
    </w:rPr>
  </w:style>
  <w:style w:type="character" w:customStyle="1" w:styleId="22">
    <w:name w:val="font11"/>
    <w:basedOn w:val="13"/>
    <w:qFormat/>
    <w:uiPriority w:val="0"/>
    <w:rPr>
      <w:rFonts w:hint="eastAsia" w:ascii="宋体" w:hAnsi="宋体" w:eastAsia="宋体" w:cs="宋体"/>
      <w:b/>
      <w:bCs/>
      <w:color w:val="000000"/>
      <w:sz w:val="24"/>
      <w:szCs w:val="24"/>
      <w:u w:val="none"/>
    </w:rPr>
  </w:style>
  <w:style w:type="paragraph" w:customStyle="1" w:styleId="23">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4">
    <w:name w:val="font31"/>
    <w:basedOn w:val="13"/>
    <w:qFormat/>
    <w:uiPriority w:val="0"/>
    <w:rPr>
      <w:rFonts w:hint="eastAsia" w:ascii="宋体" w:hAnsi="宋体" w:eastAsia="宋体" w:cs="宋体"/>
      <w:color w:val="000000"/>
      <w:sz w:val="24"/>
      <w:szCs w:val="24"/>
      <w:u w:val="none"/>
    </w:rPr>
  </w:style>
  <w:style w:type="character" w:customStyle="1" w:styleId="25">
    <w:name w:val="font01"/>
    <w:basedOn w:val="13"/>
    <w:qFormat/>
    <w:uiPriority w:val="0"/>
    <w:rPr>
      <w:rFonts w:hint="eastAsia" w:ascii="宋体" w:hAnsi="宋体" w:eastAsia="宋体" w:cs="宋体"/>
      <w:color w:val="000000"/>
      <w:sz w:val="22"/>
      <w:szCs w:val="22"/>
      <w:u w:val="none"/>
    </w:rPr>
  </w:style>
  <w:style w:type="paragraph" w:customStyle="1" w:styleId="26">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1692</Words>
  <Characters>1813</Characters>
  <Lines>0</Lines>
  <Paragraphs>0</Paragraphs>
  <TotalTime>0</TotalTime>
  <ScaleCrop>false</ScaleCrop>
  <LinksUpToDate>false</LinksUpToDate>
  <CharactersWithSpaces>1902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曦照</cp:lastModifiedBy>
  <cp:lastPrinted>2026-08-13T01:07:00Z</cp:lastPrinted>
  <dcterms:modified xsi:type="dcterms:W3CDTF">2026-08-20T03:52:21Z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44740171D8BA4B96BB290DE92874637C_13</vt:lpwstr>
  </property>
  <property fmtid="{D5CDD505-2E9C-101B-9397-08002B2CF9AE}" pid="4" name="KSOTemplateDocerSaveRecord">
    <vt:lpwstr>eyJoZGlkIjoiMjBjZTQxNjg4MDg1ZGI0ZjZmZjBkN2I2ZmMzY2JlNjQiLCJ1c2VySWQiOiI1NTAxMDQyNTcifQ==</vt:lpwstr>
  </property>
</Properties>
</file>