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D25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auto"/>
          <w:kern w:val="0"/>
          <w:sz w:val="36"/>
          <w:szCs w:val="36"/>
          <w:u w:val="none"/>
          <w:lang w:val="en-US" w:eastAsia="zh-CN" w:bidi="ar"/>
        </w:rPr>
      </w:pPr>
      <w:bookmarkStart w:id="0" w:name="OLE_LINK2"/>
      <w:r>
        <w:rPr>
          <w:rFonts w:hint="eastAsia" w:ascii="黑体" w:hAnsi="黑体" w:eastAsia="黑体" w:cs="黑体"/>
          <w:b w:val="0"/>
          <w:bCs w:val="0"/>
          <w:i w:val="0"/>
          <w:iCs w:val="0"/>
          <w:color w:val="auto"/>
          <w:kern w:val="0"/>
          <w:sz w:val="36"/>
          <w:szCs w:val="36"/>
          <w:u w:val="none"/>
          <w:lang w:val="en-US" w:eastAsia="zh-CN" w:bidi="ar"/>
        </w:rPr>
        <w:t>资阳市中心医院</w:t>
      </w:r>
      <w:r>
        <w:rPr>
          <w:rFonts w:hint="eastAsia" w:ascii="黑体" w:hAnsi="黑体" w:eastAsia="黑体" w:cs="黑体"/>
          <w:b w:val="0"/>
          <w:bCs w:val="0"/>
          <w:i w:val="0"/>
          <w:iCs w:val="0"/>
          <w:color w:val="auto"/>
          <w:kern w:val="0"/>
          <w:sz w:val="36"/>
          <w:szCs w:val="36"/>
          <w:u w:val="none"/>
          <w:lang w:val="en-US" w:eastAsia="zh-CN" w:bidi="ar"/>
        </w:rPr>
        <w:br w:type="textWrapping"/>
      </w:r>
      <w:r>
        <w:rPr>
          <w:rFonts w:hint="eastAsia" w:ascii="黑体" w:hAnsi="黑体" w:eastAsia="黑体" w:cs="黑体"/>
          <w:b w:val="0"/>
          <w:bCs w:val="0"/>
          <w:i w:val="0"/>
          <w:iCs w:val="0"/>
          <w:color w:val="auto"/>
          <w:kern w:val="0"/>
          <w:sz w:val="36"/>
          <w:szCs w:val="36"/>
          <w:u w:val="none"/>
          <w:lang w:val="en-US" w:eastAsia="zh-CN" w:bidi="ar"/>
        </w:rPr>
        <w:t>门诊病案首页功能调研公告（第二次）</w:t>
      </w:r>
      <w:bookmarkStart w:id="33" w:name="_GoBack"/>
      <w:bookmarkEnd w:id="33"/>
    </w:p>
    <w:p w14:paraId="1E929F61">
      <w:pPr>
        <w:pStyle w:val="5"/>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auto"/>
          <w:sz w:val="28"/>
          <w:szCs w:val="28"/>
          <w:u w:val="none"/>
          <w:lang w:val="en-US" w:eastAsia="zh-CN"/>
        </w:rPr>
      </w:pPr>
    </w:p>
    <w:p w14:paraId="09E78C9C">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因医院业务</w:t>
      </w:r>
      <w:r>
        <w:rPr>
          <w:rFonts w:hint="eastAsia" w:ascii="仿宋" w:hAnsi="仿宋" w:cs="仿宋"/>
          <w:i w:val="0"/>
          <w:iCs w:val="0"/>
          <w:color w:val="auto"/>
          <w:sz w:val="28"/>
          <w:szCs w:val="28"/>
          <w:u w:val="none"/>
          <w:lang w:val="en-US" w:eastAsia="zh-CN"/>
        </w:rPr>
        <w:t>发展</w:t>
      </w:r>
      <w:r>
        <w:rPr>
          <w:rFonts w:hint="eastAsia" w:ascii="仿宋" w:hAnsi="仿宋" w:eastAsia="仿宋" w:cs="仿宋"/>
          <w:i w:val="0"/>
          <w:iCs w:val="0"/>
          <w:color w:val="auto"/>
          <w:sz w:val="28"/>
          <w:szCs w:val="28"/>
          <w:u w:val="none"/>
          <w:lang w:val="en-US" w:eastAsia="zh-CN"/>
        </w:rPr>
        <w:t>需要，</w:t>
      </w:r>
      <w:r>
        <w:rPr>
          <w:rFonts w:hint="eastAsia" w:ascii="仿宋" w:hAnsi="仿宋" w:cs="仿宋"/>
          <w:i w:val="0"/>
          <w:iCs w:val="0"/>
          <w:color w:val="auto"/>
          <w:sz w:val="28"/>
          <w:szCs w:val="28"/>
          <w:u w:val="none"/>
          <w:lang w:val="en-US" w:eastAsia="zh-CN"/>
        </w:rPr>
        <w:t>对门诊病案首页功能</w:t>
      </w:r>
      <w:r>
        <w:rPr>
          <w:rFonts w:hint="eastAsia" w:ascii="仿宋" w:hAnsi="仿宋" w:eastAsia="仿宋" w:cs="仿宋"/>
          <w:i w:val="0"/>
          <w:iCs w:val="0"/>
          <w:color w:val="auto"/>
          <w:sz w:val="28"/>
          <w:szCs w:val="28"/>
          <w:u w:val="none"/>
          <w:lang w:val="en-US" w:eastAsia="zh-CN"/>
        </w:rPr>
        <w:t>进行市场调研</w:t>
      </w:r>
      <w:r>
        <w:rPr>
          <w:rFonts w:ascii="仿宋" w:hAnsi="仿宋" w:eastAsia="仿宋" w:cs="仿宋"/>
          <w:i w:val="0"/>
          <w:iCs w:val="0"/>
          <w:caps w:val="0"/>
          <w:color w:val="auto"/>
          <w:spacing w:val="0"/>
          <w:sz w:val="28"/>
          <w:szCs w:val="28"/>
          <w:shd w:val="clear" w:fill="FFFFFF"/>
        </w:rPr>
        <w:t>，</w:t>
      </w:r>
      <w:r>
        <w:rPr>
          <w:rFonts w:ascii="仿宋" w:hAnsi="仿宋" w:eastAsia="仿宋" w:cs="仿宋"/>
          <w:i w:val="0"/>
          <w:iCs w:val="0"/>
          <w:caps w:val="0"/>
          <w:color w:val="000000"/>
          <w:spacing w:val="0"/>
          <w:sz w:val="28"/>
          <w:szCs w:val="28"/>
          <w:shd w:val="clear" w:fill="FFFFFF"/>
        </w:rPr>
        <w:t>因第一次挂网调研报名公司不足三家，现</w:t>
      </w:r>
      <w:r>
        <w:rPr>
          <w:rFonts w:hint="eastAsia" w:ascii="仿宋" w:hAnsi="仿宋" w:cs="仿宋"/>
          <w:i w:val="0"/>
          <w:iCs w:val="0"/>
          <w:caps w:val="0"/>
          <w:color w:val="000000"/>
          <w:spacing w:val="0"/>
          <w:sz w:val="28"/>
          <w:szCs w:val="28"/>
          <w:shd w:val="clear" w:fill="FFFFFF"/>
          <w:lang w:val="en-US" w:eastAsia="zh-CN"/>
        </w:rPr>
        <w:t>发布</w:t>
      </w:r>
      <w:r>
        <w:rPr>
          <w:rFonts w:ascii="仿宋" w:hAnsi="仿宋" w:eastAsia="仿宋" w:cs="仿宋"/>
          <w:i w:val="0"/>
          <w:iCs w:val="0"/>
          <w:caps w:val="0"/>
          <w:color w:val="000000"/>
          <w:spacing w:val="0"/>
          <w:sz w:val="28"/>
          <w:szCs w:val="28"/>
          <w:shd w:val="clear" w:fill="FFFFFF"/>
        </w:rPr>
        <w:t>第二次调研公告，诚邀</w:t>
      </w:r>
      <w:r>
        <w:rPr>
          <w:rFonts w:hint="eastAsia" w:ascii="仿宋" w:hAnsi="仿宋" w:cs="仿宋"/>
          <w:i w:val="0"/>
          <w:iCs w:val="0"/>
          <w:caps w:val="0"/>
          <w:color w:val="000000"/>
          <w:spacing w:val="0"/>
          <w:sz w:val="28"/>
          <w:szCs w:val="28"/>
          <w:shd w:val="clear" w:fill="FFFFFF"/>
          <w:lang w:val="en-US" w:eastAsia="zh-CN"/>
        </w:rPr>
        <w:t>各</w:t>
      </w:r>
      <w:r>
        <w:rPr>
          <w:rFonts w:ascii="仿宋" w:hAnsi="仿宋" w:eastAsia="仿宋" w:cs="仿宋"/>
          <w:i w:val="0"/>
          <w:iCs w:val="0"/>
          <w:caps w:val="0"/>
          <w:color w:val="000000"/>
          <w:spacing w:val="0"/>
          <w:sz w:val="28"/>
          <w:szCs w:val="28"/>
          <w:shd w:val="clear" w:fill="FFFFFF"/>
        </w:rPr>
        <w:t>潜在供应商报名，已参加此项目调研报名的供应商可不用再二次提供报名资料</w:t>
      </w:r>
      <w:r>
        <w:rPr>
          <w:rFonts w:ascii="仿宋" w:hAnsi="仿宋" w:eastAsia="仿宋" w:cs="仿宋"/>
          <w:i w:val="0"/>
          <w:iCs w:val="0"/>
          <w:caps w:val="0"/>
          <w:color w:val="auto"/>
          <w:spacing w:val="0"/>
          <w:sz w:val="28"/>
          <w:szCs w:val="28"/>
          <w:shd w:val="clear" w:fill="FFFFFF"/>
        </w:rPr>
        <w:t>。现将有关事宜公告如下：</w:t>
      </w:r>
    </w:p>
    <w:p w14:paraId="3BC16C1A">
      <w:pPr>
        <w:keepNext w:val="0"/>
        <w:keepLines w:val="0"/>
        <w:pageBreakBefore w:val="0"/>
        <w:numPr>
          <w:ilvl w:val="0"/>
          <w:numId w:val="0"/>
        </w:numPr>
        <w:kinsoku/>
        <w:wordWrap/>
        <w:overflowPunct/>
        <w:topLinePunct w:val="0"/>
        <w:autoSpaceDE/>
        <w:autoSpaceDN/>
        <w:bidi w:val="0"/>
        <w:adjustRightInd/>
        <w:snapToGrid/>
        <w:spacing w:line="360" w:lineRule="exact"/>
        <w:ind w:leftChars="0" w:firstLine="560" w:firstLineChars="200"/>
        <w:rPr>
          <w:rFonts w:hint="eastAsia" w:ascii="方正黑体简体" w:hAnsi="方正黑体简体" w:eastAsia="方正黑体简体" w:cs="方正黑体简体"/>
          <w:i w:val="0"/>
          <w:iCs w:val="0"/>
          <w:color w:val="auto"/>
          <w:kern w:val="0"/>
          <w:sz w:val="28"/>
          <w:szCs w:val="28"/>
          <w:u w:val="none"/>
          <w:lang w:val="en-US" w:eastAsia="zh-CN" w:bidi="ar"/>
        </w:rPr>
      </w:pPr>
      <w:r>
        <w:rPr>
          <w:rFonts w:hint="eastAsia" w:ascii="方正黑体简体" w:hAnsi="方正黑体简体" w:eastAsia="方正黑体简体" w:cs="方正黑体简体"/>
          <w:i w:val="0"/>
          <w:iCs w:val="0"/>
          <w:color w:val="auto"/>
          <w:kern w:val="0"/>
          <w:sz w:val="28"/>
          <w:szCs w:val="28"/>
          <w:u w:val="none"/>
          <w:lang w:val="en-US" w:eastAsia="zh-CN" w:bidi="ar"/>
        </w:rPr>
        <w:t>一、项目概述</w:t>
      </w:r>
    </w:p>
    <w:p w14:paraId="00604038">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560" w:firstLineChars="200"/>
        <w:textAlignment w:val="auto"/>
        <w:rPr>
          <w:rFonts w:hint="default"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门诊病案首页功能应满足国家卫健委发布的《门（急）诊诊疗信息页数据报告接口标准》、《门（急）诊诊疗信息页质量管理规定（试行）》的要求。</w:t>
      </w:r>
    </w:p>
    <w:p w14:paraId="5681129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463FB06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（一）报名时间：本公告自挂网公告日起，截止时间为自发布公告起第3个工作日（包含发布当天），公告截止日期后递交的报名资料无效。</w:t>
      </w:r>
    </w:p>
    <w:p w14:paraId="3896E83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（二）报名方式:本次市场调研活动采用邮箱报名，不接受现场报名。</w:t>
      </w:r>
    </w:p>
    <w:p w14:paraId="45D1EBE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left"/>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三）1.报名资料按附件《报名须知》要求，将电子文档（盖章扫描件和可编辑版本）发送至zyszxyyxxb@163.com，并抄送至zyszxyyxxb001@163.com。邮件名称：“XXXX项目名称+公司名称+联系人+联系电话）”报名资料目录见附件。</w:t>
      </w:r>
    </w:p>
    <w:p w14:paraId="509EDDF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2.联系人：</w:t>
      </w:r>
      <w:r>
        <w:rPr>
          <w:rFonts w:hint="eastAsia" w:ascii="仿宋" w:hAnsi="仿宋" w:cs="仿宋"/>
          <w:i w:val="0"/>
          <w:iCs w:val="0"/>
          <w:color w:val="auto"/>
          <w:kern w:val="2"/>
          <w:sz w:val="28"/>
          <w:szCs w:val="28"/>
          <w:u w:val="none"/>
          <w:lang w:val="en-US" w:eastAsia="zh-CN" w:bidi="ar-SA"/>
        </w:rPr>
        <w:t>肖</w:t>
      </w:r>
      <w:r>
        <w:rPr>
          <w:rFonts w:hint="eastAsia" w:ascii="仿宋" w:hAnsi="仿宋" w:eastAsia="仿宋" w:cs="仿宋"/>
          <w:i w:val="0"/>
          <w:iCs w:val="0"/>
          <w:color w:val="auto"/>
          <w:kern w:val="2"/>
          <w:sz w:val="28"/>
          <w:szCs w:val="28"/>
          <w:u w:val="none"/>
          <w:lang w:val="en-US" w:eastAsia="zh-CN" w:bidi="ar-SA"/>
        </w:rPr>
        <w:t>老师，报名</w:t>
      </w:r>
      <w:r>
        <w:rPr>
          <w:rFonts w:hint="eastAsia" w:ascii="仿宋" w:hAnsi="仿宋" w:cs="仿宋"/>
          <w:i w:val="0"/>
          <w:iCs w:val="0"/>
          <w:color w:val="auto"/>
          <w:kern w:val="2"/>
          <w:sz w:val="28"/>
          <w:szCs w:val="28"/>
          <w:u w:val="none"/>
          <w:lang w:val="en-US" w:eastAsia="zh-CN" w:bidi="ar-SA"/>
        </w:rPr>
        <w:t>咨询</w:t>
      </w:r>
      <w:r>
        <w:rPr>
          <w:rFonts w:hint="eastAsia" w:ascii="仿宋" w:hAnsi="仿宋" w:eastAsia="仿宋" w:cs="仿宋"/>
          <w:i w:val="0"/>
          <w:iCs w:val="0"/>
          <w:color w:val="auto"/>
          <w:kern w:val="2"/>
          <w:sz w:val="28"/>
          <w:szCs w:val="28"/>
          <w:u w:val="none"/>
          <w:lang w:val="en-US" w:eastAsia="zh-CN" w:bidi="ar-SA"/>
        </w:rPr>
        <w:t>：028-26219526</w:t>
      </w:r>
    </w:p>
    <w:p w14:paraId="0B359B7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3.线上或线下集中调研需求论证时间及地点，另行通知，请参加调研会的各潜在供应商准备相应的纸质版报价表及汇报PPT等。</w:t>
      </w:r>
    </w:p>
    <w:p w14:paraId="74F72DE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5CCB385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配置和技术参数以采购时为准。对未公告配置及技术性能的，请供应商自行提供。</w:t>
      </w:r>
    </w:p>
    <w:p w14:paraId="3BB0CD0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本次市场调研需提供项目参考价格和配置清单，配置清单范围包括但不限于本公告所提供的配置需求内容，各供应商可依据本公司提供的具体方案对配置清单进行合理调整。所谓参考价格是指按照与我院项目相似或体量相当的建设方案计算的参考价格，如果项目中集成有硬件，请在配置清单中罗列，硬件配置的参考报价仅用于医院后期采购参考，并不一定集成在本项目之中。</w:t>
      </w:r>
    </w:p>
    <w:p w14:paraId="24AB5332">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3.参加供应商保证拟推荐货物应为合法、全新、未使用过的原装正品，配置应为出厂标准配置，如有选配件需单独注明；如需使用单一来源的耗材也需单独注明。</w:t>
      </w:r>
    </w:p>
    <w:p w14:paraId="4239085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4.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4364A259">
      <w:pPr>
        <w:rPr>
          <w:rFonts w:hint="eastAsia"/>
          <w:color w:val="auto"/>
          <w:lang w:val="en-US" w:eastAsia="zh-CN"/>
        </w:rPr>
      </w:pPr>
    </w:p>
    <w:p w14:paraId="3F529A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EFB45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61271EB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F00799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8FC93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2FA4ED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DFBA4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1C98B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AA3AC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1507E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FC4753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EB7189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2BC4B4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89B70D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D68FD2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2D921C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900F51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60F9DE1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26B0D4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22E6EC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B5855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6168651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65C85F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D2D41A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2523E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DEEEF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222EDF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950334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FA17DCF">
      <w:pPr>
        <w:pStyle w:val="14"/>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24D4D0D">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59BBC968">
      <w:pPr>
        <w:pStyle w:val="14"/>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2310D6F0">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2BC656B">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2AA7B7F7">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45BFCED6">
      <w:pPr>
        <w:pStyle w:val="14"/>
        <w:rPr>
          <w:color w:val="auto"/>
        </w:rPr>
      </w:pPr>
    </w:p>
    <w:p w14:paraId="1103D4C1">
      <w:pPr>
        <w:pStyle w:val="14"/>
        <w:rPr>
          <w:color w:val="auto"/>
        </w:rPr>
      </w:pPr>
    </w:p>
    <w:p w14:paraId="32CA48A2">
      <w:pPr>
        <w:pStyle w:val="14"/>
        <w:rPr>
          <w:color w:val="auto"/>
        </w:rPr>
      </w:pPr>
    </w:p>
    <w:p w14:paraId="1BD56027">
      <w:pPr>
        <w:pStyle w:val="14"/>
        <w:rPr>
          <w:color w:val="auto"/>
        </w:rPr>
      </w:pPr>
    </w:p>
    <w:p w14:paraId="642D0940">
      <w:pPr>
        <w:pStyle w:val="14"/>
        <w:rPr>
          <w:color w:val="auto"/>
        </w:rPr>
      </w:pPr>
    </w:p>
    <w:p w14:paraId="0FFA2F97">
      <w:pPr>
        <w:pStyle w:val="14"/>
        <w:rPr>
          <w:color w:val="auto"/>
        </w:rPr>
      </w:pPr>
    </w:p>
    <w:p w14:paraId="00D1C8D9">
      <w:pPr>
        <w:pStyle w:val="14"/>
        <w:rPr>
          <w:color w:val="auto"/>
        </w:rPr>
      </w:pPr>
    </w:p>
    <w:p w14:paraId="1B453A9C">
      <w:pPr>
        <w:pStyle w:val="14"/>
        <w:rPr>
          <w:color w:val="auto"/>
        </w:rPr>
      </w:pPr>
    </w:p>
    <w:p w14:paraId="792918CB">
      <w:pPr>
        <w:pStyle w:val="14"/>
        <w:rPr>
          <w:color w:val="auto"/>
        </w:rPr>
      </w:pPr>
    </w:p>
    <w:p w14:paraId="78E4D212">
      <w:pPr>
        <w:pStyle w:val="14"/>
        <w:rPr>
          <w:color w:val="auto"/>
        </w:rPr>
      </w:pPr>
    </w:p>
    <w:p w14:paraId="51BA36AF">
      <w:pPr>
        <w:pStyle w:val="14"/>
        <w:rPr>
          <w:color w:val="auto"/>
        </w:rPr>
      </w:pPr>
    </w:p>
    <w:p w14:paraId="02174CD7">
      <w:pPr>
        <w:pStyle w:val="14"/>
        <w:rPr>
          <w:color w:val="auto"/>
        </w:rPr>
      </w:pPr>
    </w:p>
    <w:p w14:paraId="19D2CB0C">
      <w:pPr>
        <w:pStyle w:val="14"/>
        <w:rPr>
          <w:color w:val="auto"/>
        </w:rPr>
      </w:pPr>
    </w:p>
    <w:p w14:paraId="69E2765E">
      <w:pPr>
        <w:pStyle w:val="14"/>
        <w:rPr>
          <w:color w:val="auto"/>
        </w:rPr>
      </w:pPr>
    </w:p>
    <w:p w14:paraId="1EB232D6">
      <w:pPr>
        <w:pStyle w:val="14"/>
        <w:rPr>
          <w:color w:val="auto"/>
        </w:rPr>
      </w:pPr>
    </w:p>
    <w:p w14:paraId="457D5CDA">
      <w:pPr>
        <w:pStyle w:val="14"/>
        <w:rPr>
          <w:color w:val="auto"/>
        </w:rPr>
      </w:pPr>
    </w:p>
    <w:p w14:paraId="7885D842">
      <w:pPr>
        <w:pStyle w:val="14"/>
        <w:rPr>
          <w:color w:val="auto"/>
        </w:rPr>
      </w:pPr>
    </w:p>
    <w:p w14:paraId="3F1559F6">
      <w:pPr>
        <w:pStyle w:val="14"/>
        <w:rPr>
          <w:rFonts w:hint="eastAsia" w:eastAsia="宋体"/>
          <w:color w:val="auto"/>
          <w:lang w:val="en-US" w:eastAsia="zh-CN"/>
        </w:rPr>
      </w:pPr>
      <w:r>
        <w:rPr>
          <w:rFonts w:hint="eastAsia"/>
          <w:color w:val="auto"/>
          <w:lang w:val="en-US" w:eastAsia="zh-CN"/>
        </w:rPr>
        <w:t>附件：</w:t>
      </w:r>
    </w:p>
    <w:sdt>
      <w:sdtPr>
        <w:rPr>
          <w:rFonts w:ascii="宋体" w:hAnsi="宋体" w:eastAsia="宋体" w:cstheme="minorBidi"/>
          <w:color w:val="auto"/>
          <w:kern w:val="2"/>
          <w:sz w:val="28"/>
          <w:szCs w:val="36"/>
          <w:lang w:val="en-US" w:eastAsia="zh-CN" w:bidi="ar-SA"/>
        </w:rPr>
        <w:id w:val="147450881"/>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12D91C66">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4AEFE61">
          <w:pPr>
            <w:spacing w:before="0" w:beforeLines="0" w:after="0" w:afterLines="0" w:line="240" w:lineRule="auto"/>
            <w:ind w:left="0" w:leftChars="0" w:right="0" w:rightChars="0" w:firstLine="0" w:firstLineChars="0"/>
            <w:jc w:val="center"/>
            <w:rPr>
              <w:color w:val="auto"/>
            </w:rPr>
          </w:pPr>
        </w:p>
        <w:p w14:paraId="7F0FCA1E">
          <w:pPr>
            <w:pStyle w:val="7"/>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5</w:t>
          </w:r>
          <w:r>
            <w:rPr>
              <w:color w:val="auto"/>
            </w:rPr>
            <w:fldChar w:fldCharType="end"/>
          </w:r>
          <w:r>
            <w:rPr>
              <w:color w:val="auto"/>
            </w:rPr>
            <w:fldChar w:fldCharType="end"/>
          </w:r>
        </w:p>
        <w:p w14:paraId="68D3AE78">
          <w:pPr>
            <w:pStyle w:val="7"/>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5</w:t>
          </w:r>
          <w:r>
            <w:rPr>
              <w:color w:val="auto"/>
            </w:rPr>
            <w:fldChar w:fldCharType="end"/>
          </w:r>
          <w:r>
            <w:rPr>
              <w:color w:val="auto"/>
            </w:rPr>
            <w:fldChar w:fldCharType="end"/>
          </w:r>
        </w:p>
        <w:p w14:paraId="13E67527">
          <w:pPr>
            <w:pStyle w:val="8"/>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5</w:t>
          </w:r>
          <w:r>
            <w:rPr>
              <w:color w:val="auto"/>
            </w:rPr>
            <w:fldChar w:fldCharType="end"/>
          </w:r>
          <w:r>
            <w:rPr>
              <w:color w:val="auto"/>
            </w:rPr>
            <w:fldChar w:fldCharType="end"/>
          </w:r>
        </w:p>
        <w:p w14:paraId="463BF1FA">
          <w:pPr>
            <w:pStyle w:val="8"/>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5</w:t>
          </w:r>
          <w:r>
            <w:rPr>
              <w:color w:val="auto"/>
            </w:rPr>
            <w:fldChar w:fldCharType="end"/>
          </w:r>
          <w:r>
            <w:rPr>
              <w:color w:val="auto"/>
            </w:rPr>
            <w:fldChar w:fldCharType="end"/>
          </w:r>
        </w:p>
        <w:p w14:paraId="0D9DD14E">
          <w:pPr>
            <w:pStyle w:val="8"/>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5</w:t>
          </w:r>
          <w:r>
            <w:rPr>
              <w:color w:val="auto"/>
            </w:rPr>
            <w:fldChar w:fldCharType="end"/>
          </w:r>
          <w:r>
            <w:rPr>
              <w:color w:val="auto"/>
            </w:rPr>
            <w:fldChar w:fldCharType="end"/>
          </w:r>
        </w:p>
        <w:p w14:paraId="0D66A70C">
          <w:pPr>
            <w:pStyle w:val="8"/>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5</w:t>
          </w:r>
          <w:r>
            <w:rPr>
              <w:color w:val="auto"/>
            </w:rPr>
            <w:fldChar w:fldCharType="end"/>
          </w:r>
          <w:r>
            <w:rPr>
              <w:color w:val="auto"/>
            </w:rPr>
            <w:fldChar w:fldCharType="end"/>
          </w:r>
        </w:p>
        <w:p w14:paraId="12E95791">
          <w:pPr>
            <w:pStyle w:val="8"/>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5</w:t>
          </w:r>
          <w:r>
            <w:rPr>
              <w:color w:val="auto"/>
            </w:rPr>
            <w:fldChar w:fldCharType="end"/>
          </w:r>
          <w:r>
            <w:rPr>
              <w:color w:val="auto"/>
            </w:rPr>
            <w:fldChar w:fldCharType="end"/>
          </w:r>
        </w:p>
        <w:p w14:paraId="126F140D">
          <w:pPr>
            <w:pStyle w:val="8"/>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5</w:t>
          </w:r>
          <w:r>
            <w:rPr>
              <w:color w:val="auto"/>
            </w:rPr>
            <w:fldChar w:fldCharType="end"/>
          </w:r>
          <w:r>
            <w:rPr>
              <w:color w:val="auto"/>
            </w:rPr>
            <w:fldChar w:fldCharType="end"/>
          </w:r>
        </w:p>
        <w:p w14:paraId="7A915B24">
          <w:pPr>
            <w:pStyle w:val="8"/>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5</w:t>
          </w:r>
          <w:r>
            <w:rPr>
              <w:color w:val="auto"/>
            </w:rPr>
            <w:fldChar w:fldCharType="end"/>
          </w:r>
          <w:r>
            <w:rPr>
              <w:color w:val="auto"/>
            </w:rPr>
            <w:fldChar w:fldCharType="end"/>
          </w:r>
        </w:p>
        <w:p w14:paraId="35457391">
          <w:pPr>
            <w:pStyle w:val="7"/>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5</w:t>
          </w:r>
          <w:r>
            <w:rPr>
              <w:color w:val="auto"/>
            </w:rPr>
            <w:fldChar w:fldCharType="end"/>
          </w:r>
          <w:r>
            <w:rPr>
              <w:color w:val="auto"/>
            </w:rPr>
            <w:fldChar w:fldCharType="end"/>
          </w:r>
        </w:p>
        <w:p w14:paraId="5DFF25C1">
          <w:pPr>
            <w:pStyle w:val="7"/>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6</w:t>
          </w:r>
          <w:r>
            <w:rPr>
              <w:color w:val="auto"/>
            </w:rPr>
            <w:fldChar w:fldCharType="end"/>
          </w:r>
          <w:r>
            <w:rPr>
              <w:color w:val="auto"/>
            </w:rPr>
            <w:fldChar w:fldCharType="end"/>
          </w:r>
        </w:p>
        <w:p w14:paraId="656650C0">
          <w:pPr>
            <w:pStyle w:val="7"/>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7</w:t>
          </w:r>
          <w:r>
            <w:rPr>
              <w:color w:val="auto"/>
            </w:rPr>
            <w:fldChar w:fldCharType="end"/>
          </w:r>
          <w:r>
            <w:rPr>
              <w:color w:val="auto"/>
            </w:rPr>
            <w:fldChar w:fldCharType="end"/>
          </w:r>
        </w:p>
        <w:p w14:paraId="4CE2DCED">
          <w:pPr>
            <w:pStyle w:val="8"/>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7</w:t>
          </w:r>
          <w:r>
            <w:rPr>
              <w:color w:val="auto"/>
            </w:rPr>
            <w:fldChar w:fldCharType="end"/>
          </w:r>
          <w:r>
            <w:rPr>
              <w:color w:val="auto"/>
            </w:rPr>
            <w:fldChar w:fldCharType="end"/>
          </w:r>
        </w:p>
        <w:p w14:paraId="4D3E0FFA">
          <w:pPr>
            <w:pStyle w:val="8"/>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7</w:t>
          </w:r>
          <w:r>
            <w:rPr>
              <w:color w:val="auto"/>
            </w:rPr>
            <w:fldChar w:fldCharType="end"/>
          </w:r>
          <w:r>
            <w:rPr>
              <w:color w:val="auto"/>
            </w:rPr>
            <w:fldChar w:fldCharType="end"/>
          </w:r>
        </w:p>
        <w:p w14:paraId="16B5F3C0">
          <w:pPr>
            <w:pStyle w:val="8"/>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7</w:t>
          </w:r>
          <w:r>
            <w:rPr>
              <w:color w:val="auto"/>
            </w:rPr>
            <w:fldChar w:fldCharType="end"/>
          </w:r>
          <w:r>
            <w:rPr>
              <w:color w:val="auto"/>
            </w:rPr>
            <w:fldChar w:fldCharType="end"/>
          </w:r>
        </w:p>
        <w:p w14:paraId="79F2F0E6">
          <w:pPr>
            <w:pStyle w:val="7"/>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7</w:t>
          </w:r>
          <w:r>
            <w:rPr>
              <w:color w:val="auto"/>
            </w:rPr>
            <w:fldChar w:fldCharType="end"/>
          </w:r>
          <w:r>
            <w:rPr>
              <w:color w:val="auto"/>
            </w:rPr>
            <w:fldChar w:fldCharType="end"/>
          </w:r>
        </w:p>
        <w:p w14:paraId="38BE21BE">
          <w:pPr>
            <w:rPr>
              <w:color w:val="auto"/>
            </w:rPr>
          </w:pPr>
          <w:r>
            <w:rPr>
              <w:color w:val="auto"/>
            </w:rPr>
            <w:fldChar w:fldCharType="end"/>
          </w:r>
        </w:p>
      </w:sdtContent>
    </w:sdt>
    <w:p w14:paraId="2E5D1581">
      <w:pPr>
        <w:rPr>
          <w:color w:val="auto"/>
        </w:rPr>
      </w:pPr>
    </w:p>
    <w:p w14:paraId="6938E4CD">
      <w:pPr>
        <w:rPr>
          <w:color w:val="auto"/>
        </w:rPr>
      </w:pPr>
    </w:p>
    <w:p w14:paraId="3E7DB8D0">
      <w:pPr>
        <w:rPr>
          <w:color w:val="auto"/>
        </w:rPr>
      </w:pPr>
    </w:p>
    <w:p w14:paraId="220B98ED">
      <w:pPr>
        <w:rPr>
          <w:color w:val="auto"/>
        </w:rPr>
      </w:pPr>
    </w:p>
    <w:p w14:paraId="1EE74401">
      <w:pPr>
        <w:rPr>
          <w:color w:val="auto"/>
        </w:rPr>
      </w:pPr>
    </w:p>
    <w:p w14:paraId="6F4D08CE">
      <w:pPr>
        <w:rPr>
          <w:color w:val="auto"/>
        </w:rPr>
      </w:pPr>
    </w:p>
    <w:p w14:paraId="7CFEB6C7">
      <w:pPr>
        <w:rPr>
          <w:color w:val="auto"/>
        </w:rPr>
      </w:pPr>
    </w:p>
    <w:p w14:paraId="0D767778">
      <w:pPr>
        <w:rPr>
          <w:color w:val="auto"/>
        </w:rPr>
      </w:pPr>
    </w:p>
    <w:p w14:paraId="07BCC5F4">
      <w:pPr>
        <w:rPr>
          <w:color w:val="auto"/>
        </w:rPr>
      </w:pPr>
    </w:p>
    <w:p w14:paraId="1182D410">
      <w:pPr>
        <w:rPr>
          <w:color w:val="auto"/>
        </w:rPr>
      </w:pPr>
    </w:p>
    <w:p w14:paraId="3C415913">
      <w:pPr>
        <w:rPr>
          <w:color w:val="auto"/>
        </w:rPr>
        <w:sectPr>
          <w:pgSz w:w="11906" w:h="16838"/>
          <w:pgMar w:top="2098" w:right="1474" w:bottom="1984" w:left="1587" w:header="851" w:footer="992" w:gutter="0"/>
          <w:cols w:space="425" w:num="1"/>
          <w:docGrid w:type="lines" w:linePitch="312" w:charSpace="0"/>
        </w:sectPr>
      </w:pPr>
    </w:p>
    <w:p w14:paraId="4FF2292F">
      <w:pPr>
        <w:pStyle w:val="2"/>
        <w:keepNext/>
        <w:keepLines/>
        <w:pageBreakBefore w:val="0"/>
        <w:widowControl w:val="0"/>
        <w:numPr>
          <w:ilvl w:val="0"/>
          <w:numId w:val="1"/>
        </w:numPr>
        <w:kinsoku/>
        <w:wordWrap/>
        <w:overflowPunct/>
        <w:topLinePunct w:val="0"/>
        <w:autoSpaceDE/>
        <w:autoSpaceDN/>
        <w:bidi w:val="0"/>
        <w:adjustRightInd/>
        <w:snapToGrid/>
        <w:spacing w:before="100" w:after="100"/>
        <w:jc w:val="both"/>
        <w:textAlignment w:val="auto"/>
        <w:rPr>
          <w:rFonts w:hint="eastAsia"/>
          <w:color w:val="auto"/>
        </w:rPr>
      </w:pPr>
      <w:bookmarkStart w:id="1" w:name="_Toc152045808"/>
      <w:bookmarkStart w:id="2" w:name="_Toc144974876"/>
      <w:bookmarkStart w:id="3" w:name="_Toc152042597"/>
      <w:bookmarkStart w:id="4" w:name="_Toc247514300"/>
      <w:bookmarkStart w:id="5" w:name="_Toc10065"/>
      <w:bookmarkStart w:id="6" w:name="_Toc7415"/>
      <w:bookmarkStart w:id="7" w:name="_Toc427002393"/>
      <w:bookmarkStart w:id="8" w:name="_Toc247527848"/>
      <w:bookmarkStart w:id="9" w:name="_Toc25232"/>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10"/>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12EFC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0A5DAE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B641D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C227A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1F6633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37672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5808F8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7E8A6167">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2E5DDF6">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EA31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72FCE3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5EAFBC">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5DA0612">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820933A">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B782C9">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685406CE">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591B3249">
            <w:pPr>
              <w:jc w:val="center"/>
              <w:rPr>
                <w:rFonts w:hint="eastAsia" w:ascii="宋体" w:hAnsi="宋体" w:eastAsia="宋体" w:cs="宋体"/>
                <w:i w:val="0"/>
                <w:iCs w:val="0"/>
                <w:color w:val="auto"/>
                <w:sz w:val="24"/>
                <w:szCs w:val="24"/>
                <w:u w:val="none"/>
              </w:rPr>
            </w:pPr>
          </w:p>
        </w:tc>
      </w:tr>
    </w:tbl>
    <w:p w14:paraId="156D1238">
      <w:pPr>
        <w:numPr>
          <w:ilvl w:val="0"/>
          <w:numId w:val="0"/>
        </w:numPr>
        <w:rPr>
          <w:rFonts w:hint="eastAsia"/>
          <w:color w:val="auto"/>
        </w:rPr>
      </w:pPr>
    </w:p>
    <w:p w14:paraId="6243BC17">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00A9358C">
      <w:pPr>
        <w:pStyle w:val="3"/>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24C0CCC9">
      <w:pPr>
        <w:pStyle w:val="3"/>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0B774947">
      <w:pPr>
        <w:pStyle w:val="3"/>
        <w:bidi w:val="0"/>
        <w:rPr>
          <w:rFonts w:hint="eastAsia"/>
          <w:color w:val="auto"/>
          <w:lang w:eastAsia="zh-CN"/>
        </w:rPr>
      </w:pPr>
      <w:bookmarkStart w:id="15" w:name="_Toc5131"/>
      <w:bookmarkStart w:id="16" w:name="_Toc22138"/>
      <w:r>
        <w:rPr>
          <w:rFonts w:hint="eastAsia"/>
          <w:color w:val="auto"/>
          <w:lang w:val="en-US" w:eastAsia="zh-CN"/>
        </w:rPr>
        <w:t>1.3</w:t>
      </w:r>
      <w:r>
        <w:rPr>
          <w:rFonts w:hint="eastAsia"/>
          <w:color w:val="auto"/>
          <w:lang w:eastAsia="zh-CN"/>
        </w:rPr>
        <w:t>法人及被授权人身份证</w:t>
      </w:r>
      <w:bookmarkEnd w:id="15"/>
      <w:bookmarkEnd w:id="16"/>
    </w:p>
    <w:p w14:paraId="0EE4FDF7">
      <w:pPr>
        <w:pStyle w:val="3"/>
        <w:bidi w:val="0"/>
        <w:rPr>
          <w:rFonts w:hint="eastAsia"/>
          <w:color w:val="auto"/>
          <w:lang w:eastAsia="zh-CN"/>
        </w:rPr>
      </w:pPr>
      <w:bookmarkStart w:id="17" w:name="_Toc17143"/>
      <w:bookmarkStart w:id="18" w:name="_Toc22588"/>
      <w:r>
        <w:rPr>
          <w:rFonts w:hint="eastAsia"/>
          <w:color w:val="auto"/>
          <w:lang w:val="en-US" w:eastAsia="zh-CN"/>
        </w:rPr>
        <w:t>1.4</w:t>
      </w:r>
      <w:r>
        <w:rPr>
          <w:rFonts w:hint="eastAsia"/>
          <w:color w:val="auto"/>
          <w:lang w:eastAsia="zh-CN"/>
        </w:rPr>
        <w:t>公司资质</w:t>
      </w:r>
      <w:bookmarkEnd w:id="17"/>
      <w:bookmarkEnd w:id="18"/>
    </w:p>
    <w:p w14:paraId="11524558">
      <w:pPr>
        <w:pStyle w:val="3"/>
        <w:bidi w:val="0"/>
        <w:rPr>
          <w:rFonts w:hint="default"/>
          <w:color w:val="auto"/>
          <w:lang w:val="en-US" w:eastAsia="zh-CN"/>
        </w:rPr>
      </w:pPr>
      <w:bookmarkStart w:id="19" w:name="_Toc24835"/>
      <w:r>
        <w:rPr>
          <w:rFonts w:hint="eastAsia"/>
          <w:color w:val="auto"/>
          <w:lang w:val="en-US" w:eastAsia="zh-CN"/>
        </w:rPr>
        <w:t>1.5软件资质</w:t>
      </w:r>
      <w:bookmarkEnd w:id="19"/>
    </w:p>
    <w:p w14:paraId="14205E1B">
      <w:pPr>
        <w:pStyle w:val="3"/>
        <w:bidi w:val="0"/>
        <w:rPr>
          <w:rFonts w:hint="eastAsia"/>
          <w:color w:val="auto"/>
          <w:lang w:eastAsia="zh-CN"/>
        </w:rPr>
      </w:pPr>
      <w:bookmarkStart w:id="20" w:name="_Toc3652"/>
      <w:bookmarkStart w:id="21" w:name="_Toc11995"/>
      <w:r>
        <w:rPr>
          <w:rFonts w:hint="eastAsia"/>
          <w:color w:val="auto"/>
          <w:lang w:val="en-US" w:eastAsia="zh-CN"/>
        </w:rPr>
        <w:t>1.6本项目涉及</w:t>
      </w:r>
      <w:r>
        <w:rPr>
          <w:rFonts w:hint="eastAsia"/>
          <w:color w:val="auto"/>
          <w:lang w:eastAsia="zh-CN"/>
        </w:rPr>
        <w:t>资质</w:t>
      </w:r>
      <w:bookmarkEnd w:id="20"/>
      <w:bookmarkEnd w:id="21"/>
    </w:p>
    <w:p w14:paraId="7465D186">
      <w:pPr>
        <w:pStyle w:val="3"/>
        <w:bidi w:val="0"/>
        <w:rPr>
          <w:rFonts w:hint="eastAsia" w:ascii="宋体" w:hAnsi="宋体" w:eastAsia="宋体" w:cs="宋体"/>
          <w:color w:val="auto"/>
          <w:sz w:val="24"/>
          <w:szCs w:val="24"/>
        </w:rPr>
      </w:pPr>
      <w:bookmarkStart w:id="22" w:name="_Toc6788"/>
      <w:bookmarkStart w:id="23" w:name="_Toc21787"/>
      <w:r>
        <w:rPr>
          <w:rFonts w:hint="eastAsia"/>
          <w:b/>
          <w:color w:val="auto"/>
          <w:lang w:val="en-US" w:eastAsia="zh-CN"/>
        </w:rPr>
        <w:t>1.7开发商委托销售授权函</w:t>
      </w:r>
      <w:bookmarkEnd w:id="22"/>
      <w:bookmarkEnd w:id="23"/>
    </w:p>
    <w:p w14:paraId="4AB46103">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4E5603C">
      <w:pPr>
        <w:pStyle w:val="14"/>
        <w:rPr>
          <w:rFonts w:hint="eastAsia" w:ascii="宋体" w:hAnsi="宋体" w:eastAsia="宋体" w:cs="宋体"/>
          <w:color w:val="auto"/>
          <w:sz w:val="24"/>
          <w:szCs w:val="24"/>
        </w:rPr>
      </w:pPr>
    </w:p>
    <w:p w14:paraId="02A67424">
      <w:pPr>
        <w:pStyle w:val="14"/>
        <w:rPr>
          <w:rFonts w:hint="eastAsia" w:ascii="宋体" w:hAnsi="宋体" w:eastAsia="宋体" w:cs="宋体"/>
          <w:color w:val="auto"/>
          <w:sz w:val="24"/>
          <w:szCs w:val="24"/>
        </w:rPr>
      </w:pPr>
    </w:p>
    <w:p w14:paraId="15524A86">
      <w:pPr>
        <w:pStyle w:val="14"/>
        <w:rPr>
          <w:rFonts w:hint="eastAsia" w:ascii="宋体" w:hAnsi="宋体" w:eastAsia="宋体" w:cs="宋体"/>
          <w:color w:val="auto"/>
          <w:sz w:val="24"/>
          <w:szCs w:val="24"/>
        </w:rPr>
      </w:pPr>
    </w:p>
    <w:p w14:paraId="78A5D3B8">
      <w:pPr>
        <w:pStyle w:val="14"/>
        <w:rPr>
          <w:rFonts w:hint="eastAsia" w:ascii="宋体" w:hAnsi="宋体" w:eastAsia="宋体" w:cs="宋体"/>
          <w:color w:val="auto"/>
          <w:sz w:val="24"/>
          <w:szCs w:val="24"/>
        </w:rPr>
      </w:pPr>
    </w:p>
    <w:p w14:paraId="1FB906DD">
      <w:pPr>
        <w:pStyle w:val="14"/>
        <w:rPr>
          <w:rFonts w:hint="eastAsia" w:ascii="宋体" w:hAnsi="宋体" w:eastAsia="宋体" w:cs="宋体"/>
          <w:color w:val="auto"/>
          <w:sz w:val="24"/>
          <w:szCs w:val="24"/>
        </w:rPr>
      </w:pPr>
    </w:p>
    <w:p w14:paraId="6A6FCF73">
      <w:pPr>
        <w:pStyle w:val="14"/>
        <w:rPr>
          <w:rFonts w:hint="eastAsia" w:ascii="宋体" w:hAnsi="宋体" w:eastAsia="宋体" w:cs="宋体"/>
          <w:color w:val="auto"/>
          <w:sz w:val="24"/>
          <w:szCs w:val="24"/>
        </w:rPr>
      </w:pPr>
    </w:p>
    <w:p w14:paraId="193DC50C">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386B417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08955908">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项目名称：门诊病案首页</w:t>
      </w:r>
      <w:r>
        <w:rPr>
          <w:rFonts w:hint="eastAsia" w:ascii="仿宋" w:hAnsi="仿宋" w:cs="仿宋"/>
          <w:i w:val="0"/>
          <w:iCs w:val="0"/>
          <w:color w:val="auto"/>
          <w:kern w:val="0"/>
          <w:sz w:val="24"/>
          <w:szCs w:val="24"/>
          <w:u w:val="none"/>
          <w:lang w:val="en-US" w:eastAsia="zh-CN" w:bidi="ar"/>
        </w:rPr>
        <w:t xml:space="preserve">功能                                 </w:t>
      </w:r>
      <w:r>
        <w:rPr>
          <w:rFonts w:hint="eastAsia" w:ascii="仿宋" w:hAnsi="仿宋" w:eastAsia="仿宋" w:cs="仿宋"/>
          <w:i w:val="0"/>
          <w:iCs w:val="0"/>
          <w:color w:val="auto"/>
          <w:kern w:val="0"/>
          <w:sz w:val="24"/>
          <w:szCs w:val="24"/>
          <w:u w:val="none"/>
          <w:lang w:val="en-US" w:eastAsia="zh-CN" w:bidi="ar"/>
        </w:rPr>
        <w:t>采购品目分类名称：</w:t>
      </w:r>
    </w:p>
    <w:p w14:paraId="579850F1">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cs="仿宋"/>
          <w:i w:val="0"/>
          <w:iCs w:val="0"/>
          <w:color w:val="auto"/>
          <w:kern w:val="0"/>
          <w:sz w:val="24"/>
          <w:szCs w:val="24"/>
          <w:u w:val="none"/>
          <w:lang w:val="en-US" w:eastAsia="zh-CN" w:bidi="ar"/>
        </w:rPr>
        <w:t>各潜在供应商</w:t>
      </w:r>
      <w:r>
        <w:rPr>
          <w:rFonts w:hint="eastAsia" w:ascii="仿宋" w:hAnsi="仿宋" w:eastAsia="仿宋" w:cs="仿宋"/>
          <w:i w:val="0"/>
          <w:iCs w:val="0"/>
          <w:color w:val="auto"/>
          <w:kern w:val="0"/>
          <w:sz w:val="24"/>
          <w:szCs w:val="24"/>
          <w:u w:val="none"/>
          <w:lang w:val="en-US" w:eastAsia="zh-CN" w:bidi="ar"/>
        </w:rPr>
        <w:t>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联系人及联系电话：</w:t>
      </w:r>
    </w:p>
    <w:tbl>
      <w:tblPr>
        <w:tblStyle w:val="10"/>
        <w:tblW w:w="500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1588"/>
        <w:gridCol w:w="6210"/>
        <w:gridCol w:w="795"/>
        <w:gridCol w:w="1080"/>
        <w:gridCol w:w="1530"/>
        <w:gridCol w:w="1395"/>
        <w:gridCol w:w="1544"/>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20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830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服务要求</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数量</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计量单位</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154CC">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报价单价</w:t>
            </w:r>
          </w:p>
          <w:p w14:paraId="3946DA86">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（万元）</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E51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报价总</w:t>
            </w:r>
            <w:r>
              <w:rPr>
                <w:rFonts w:hint="eastAsia" w:asciiTheme="minorEastAsia" w:hAnsiTheme="minorEastAsia" w:eastAsiaTheme="minorEastAsia" w:cstheme="minorEastAsia"/>
                <w:i w:val="0"/>
                <w:iCs w:val="0"/>
                <w:color w:val="auto"/>
                <w:kern w:val="0"/>
                <w:sz w:val="21"/>
                <w:szCs w:val="21"/>
                <w:u w:val="none"/>
                <w:lang w:val="en-US" w:eastAsia="zh-CN" w:bidi="ar"/>
              </w:rPr>
              <w:t>金额</w:t>
            </w:r>
          </w:p>
          <w:p w14:paraId="25AFEC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（万元）</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56FF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87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7E89">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sz w:val="21"/>
                <w:szCs w:val="21"/>
                <w:u w:val="none"/>
                <w:lang w:val="en-US"/>
              </w:rPr>
            </w:pPr>
            <w:r>
              <w:rPr>
                <w:rFonts w:hint="default" w:asciiTheme="minorEastAsia" w:hAnsiTheme="minorEastAsia" w:eastAsiaTheme="minorEastAsia" w:cstheme="minorEastAsia"/>
                <w:i w:val="0"/>
                <w:iCs w:val="0"/>
                <w:color w:val="auto"/>
                <w:sz w:val="21"/>
                <w:szCs w:val="21"/>
                <w:u w:val="none"/>
                <w:lang w:val="en-US" w:eastAsia="zh-CN"/>
              </w:rPr>
              <w:t>门诊病案首页功能</w:t>
            </w:r>
          </w:p>
        </w:tc>
        <w:tc>
          <w:tcPr>
            <w:tcW w:w="20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84128">
            <w:pPr>
              <w:keepNext w:val="0"/>
              <w:keepLines w:val="0"/>
              <w:widowControl/>
              <w:numPr>
                <w:ilvl w:val="0"/>
                <w:numId w:val="0"/>
              </w:numPr>
              <w:suppressLineNumbers w:val="0"/>
              <w:jc w:val="left"/>
              <w:textAlignment w:val="center"/>
              <w:rPr>
                <w:rFonts w:hint="default" w:asciiTheme="minorEastAsia" w:hAnsiTheme="minorEastAsia" w:eastAsiaTheme="minorEastAsia" w:cstheme="minorEastAsia"/>
                <w:i w:val="0"/>
                <w:iCs w:val="0"/>
                <w:color w:val="auto"/>
                <w:sz w:val="21"/>
                <w:szCs w:val="21"/>
                <w:u w:val="none"/>
                <w:lang w:val="en-US" w:eastAsia="zh-CN"/>
              </w:rPr>
            </w:pPr>
            <w:r>
              <w:rPr>
                <w:rFonts w:hint="default" w:asciiTheme="minorEastAsia" w:hAnsiTheme="minorEastAsia" w:eastAsiaTheme="minorEastAsia" w:cstheme="minorEastAsia"/>
                <w:i w:val="0"/>
                <w:iCs w:val="0"/>
                <w:color w:val="auto"/>
                <w:sz w:val="21"/>
                <w:szCs w:val="21"/>
                <w:u w:val="none"/>
                <w:lang w:val="en-US" w:eastAsia="zh-CN"/>
              </w:rPr>
              <w:t>满足国家卫健委发布的</w:t>
            </w:r>
            <w:r>
              <w:rPr>
                <w:rFonts w:hint="eastAsia" w:asciiTheme="minorEastAsia" w:hAnsiTheme="minorEastAsia" w:cstheme="minorEastAsia"/>
                <w:i w:val="0"/>
                <w:iCs w:val="0"/>
                <w:color w:val="auto"/>
                <w:sz w:val="21"/>
                <w:szCs w:val="21"/>
                <w:u w:val="none"/>
                <w:lang w:val="en-US" w:eastAsia="zh-CN"/>
              </w:rPr>
              <w:t xml:space="preserve"> </w:t>
            </w:r>
            <w:r>
              <w:rPr>
                <w:rFonts w:hint="default" w:asciiTheme="minorEastAsia" w:hAnsiTheme="minorEastAsia" w:eastAsiaTheme="minorEastAsia" w:cstheme="minorEastAsia"/>
                <w:i w:val="0"/>
                <w:iCs w:val="0"/>
                <w:color w:val="auto"/>
                <w:sz w:val="21"/>
                <w:szCs w:val="21"/>
                <w:u w:val="none"/>
                <w:lang w:val="en-US" w:eastAsia="zh-CN"/>
              </w:rPr>
              <w:t>《门（急）诊诊疗信息页数据报告接口标准》、《门（急）诊诊疗信息页质量管理规定（试行）》的要求。</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1B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eastAsia="zh-CN"/>
              </w:rPr>
            </w:pPr>
            <w:r>
              <w:rPr>
                <w:rFonts w:hint="eastAsia" w:asciiTheme="minorEastAsia" w:hAnsiTheme="minorEastAsia" w:cstheme="minorEastAsia"/>
                <w:i w:val="0"/>
                <w:iCs w:val="0"/>
                <w:color w:val="auto"/>
                <w:sz w:val="21"/>
                <w:szCs w:val="21"/>
                <w:u w:val="none"/>
                <w:lang w:val="en-US" w:eastAsia="zh-CN"/>
              </w:rPr>
              <w:t>1</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C0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cstheme="minorEastAsia"/>
                <w:i w:val="0"/>
                <w:iCs w:val="0"/>
                <w:color w:val="auto"/>
                <w:kern w:val="0"/>
                <w:sz w:val="21"/>
                <w:szCs w:val="21"/>
                <w:u w:val="none"/>
                <w:lang w:val="en-US" w:eastAsia="zh-CN" w:bidi="ar"/>
              </w:rPr>
              <w:t>项</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DE37">
            <w:pPr>
              <w:jc w:val="center"/>
              <w:rPr>
                <w:rFonts w:hint="eastAsia" w:asciiTheme="minorEastAsia" w:hAnsiTheme="minorEastAsia" w:eastAsiaTheme="minorEastAsia" w:cstheme="minorEastAsia"/>
                <w:i w:val="0"/>
                <w:iCs w:val="0"/>
                <w:color w:val="auto"/>
                <w:sz w:val="21"/>
                <w:szCs w:val="21"/>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E58BE">
            <w:pPr>
              <w:jc w:val="center"/>
              <w:rPr>
                <w:rFonts w:hint="eastAsia" w:asciiTheme="minorEastAsia" w:hAnsiTheme="minorEastAsia" w:eastAsiaTheme="minorEastAsia" w:cstheme="minorEastAsia"/>
                <w:i w:val="0"/>
                <w:iCs w:val="0"/>
                <w:color w:val="auto"/>
                <w:sz w:val="21"/>
                <w:szCs w:val="21"/>
                <w:u w:val="none"/>
              </w:rPr>
            </w:pP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F110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p>
        </w:tc>
      </w:tr>
    </w:tbl>
    <w:p w14:paraId="5D587B4B">
      <w:pPr>
        <w:rPr>
          <w:rFonts w:hint="eastAsia"/>
          <w:color w:val="auto"/>
          <w:lang w:val="en-US" w:eastAsia="zh-CN"/>
        </w:rPr>
        <w:sectPr>
          <w:pgSz w:w="16838" w:h="11906" w:orient="landscape"/>
          <w:pgMar w:top="1134" w:right="1134" w:bottom="567" w:left="1134" w:header="851" w:footer="992" w:gutter="0"/>
          <w:cols w:space="425" w:num="1"/>
          <w:docGrid w:type="lines" w:linePitch="312" w:charSpace="0"/>
        </w:sectPr>
      </w:pPr>
    </w:p>
    <w:p w14:paraId="6017D881">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6" w:name="_Toc17565"/>
      <w:r>
        <w:rPr>
          <w:rFonts w:hint="eastAsia"/>
          <w:color w:val="auto"/>
          <w:lang w:val="en-US" w:eastAsia="zh-CN"/>
        </w:rPr>
        <w:t>五、三甲综合医院同类项目案例</w:t>
      </w:r>
      <w:bookmarkEnd w:id="26"/>
    </w:p>
    <w:p w14:paraId="075950E2">
      <w:pPr>
        <w:pStyle w:val="3"/>
        <w:bidi w:val="0"/>
        <w:ind w:firstLine="482" w:firstLineChars="200"/>
        <w:rPr>
          <w:rFonts w:hint="eastAsia"/>
          <w:color w:val="auto"/>
          <w:lang w:val="en-US" w:eastAsia="zh-CN"/>
        </w:rPr>
      </w:pPr>
      <w:bookmarkStart w:id="27" w:name="_Toc29430"/>
      <w:r>
        <w:rPr>
          <w:rFonts w:hint="eastAsia"/>
          <w:color w:val="auto"/>
          <w:lang w:val="en-US" w:eastAsia="zh-CN"/>
        </w:rPr>
        <w:t>4.1四川省内（）家</w:t>
      </w:r>
      <w:bookmarkEnd w:id="27"/>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014E7BA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200167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5A397C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4564CB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519617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D3313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1A4366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18858F1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EF57D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0CD13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7394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C9E7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5C32F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5DE5D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E78D98F">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8F777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5AE11A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7F69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FA6A9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8FE9E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D53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3876902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23CAF7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3086A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9EE58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373E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91A81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08854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190D4FA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AB0F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5CA1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7CB0C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429E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9CA8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08377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02C7985D">
      <w:pPr>
        <w:pStyle w:val="22"/>
        <w:ind w:firstLine="0" w:firstLineChars="0"/>
        <w:rPr>
          <w:rFonts w:hint="eastAsia" w:ascii="仿宋" w:hAnsi="仿宋" w:eastAsia="仿宋" w:cs="仿宋"/>
          <w:color w:val="auto"/>
          <w:sz w:val="30"/>
          <w:szCs w:val="30"/>
        </w:rPr>
      </w:pPr>
    </w:p>
    <w:p w14:paraId="62CB2C95">
      <w:pPr>
        <w:pStyle w:val="14"/>
        <w:rPr>
          <w:rFonts w:hint="eastAsia" w:ascii="仿宋" w:hAnsi="仿宋" w:eastAsia="仿宋" w:cs="仿宋"/>
          <w:color w:val="auto"/>
          <w:kern w:val="2"/>
          <w:sz w:val="30"/>
          <w:szCs w:val="30"/>
        </w:rPr>
      </w:pPr>
    </w:p>
    <w:p w14:paraId="6FFD4938">
      <w:pPr>
        <w:pStyle w:val="14"/>
        <w:rPr>
          <w:rFonts w:hint="eastAsia" w:ascii="仿宋" w:hAnsi="仿宋" w:eastAsia="仿宋" w:cs="仿宋"/>
          <w:color w:val="auto"/>
          <w:kern w:val="2"/>
          <w:sz w:val="30"/>
          <w:szCs w:val="30"/>
        </w:rPr>
      </w:pPr>
    </w:p>
    <w:p w14:paraId="54849A12">
      <w:pPr>
        <w:pStyle w:val="14"/>
        <w:rPr>
          <w:rFonts w:hint="eastAsia" w:ascii="仿宋" w:hAnsi="仿宋" w:eastAsia="仿宋" w:cs="仿宋"/>
          <w:color w:val="auto"/>
          <w:kern w:val="2"/>
          <w:sz w:val="30"/>
          <w:szCs w:val="30"/>
        </w:rPr>
      </w:pPr>
    </w:p>
    <w:p w14:paraId="73DB42E5">
      <w:pPr>
        <w:pStyle w:val="14"/>
        <w:rPr>
          <w:rFonts w:hint="eastAsia" w:ascii="仿宋" w:hAnsi="仿宋" w:eastAsia="仿宋" w:cs="仿宋"/>
          <w:color w:val="auto"/>
          <w:kern w:val="2"/>
          <w:sz w:val="30"/>
          <w:szCs w:val="30"/>
        </w:rPr>
      </w:pPr>
    </w:p>
    <w:p w14:paraId="3B4BCB70">
      <w:pPr>
        <w:pStyle w:val="14"/>
        <w:rPr>
          <w:rFonts w:hint="eastAsia" w:ascii="仿宋" w:hAnsi="仿宋" w:eastAsia="仿宋" w:cs="仿宋"/>
          <w:color w:val="auto"/>
          <w:kern w:val="2"/>
          <w:sz w:val="30"/>
          <w:szCs w:val="30"/>
        </w:rPr>
      </w:pPr>
    </w:p>
    <w:p w14:paraId="681C6975">
      <w:pPr>
        <w:pStyle w:val="3"/>
        <w:bidi w:val="0"/>
        <w:ind w:firstLine="482" w:firstLineChars="200"/>
        <w:rPr>
          <w:rFonts w:hint="eastAsia"/>
          <w:color w:val="auto"/>
          <w:lang w:val="en-US" w:eastAsia="zh-CN"/>
        </w:rPr>
      </w:pPr>
      <w:bookmarkStart w:id="28" w:name="_Toc8493"/>
      <w:r>
        <w:rPr>
          <w:rFonts w:hint="eastAsia"/>
          <w:color w:val="auto"/>
          <w:lang w:val="en-US" w:eastAsia="zh-CN"/>
        </w:rPr>
        <w:t>4.1四川省外（）家</w:t>
      </w:r>
      <w:bookmarkEnd w:id="28"/>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2EE316A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007F04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0A110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6C1860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05DFD5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29385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57B04E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76F68CE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35818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F322B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2CF700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BDB54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A483C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39B2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85EB3B3">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72DFA2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B6432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9DB4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593EA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E70F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2B3AB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72AEF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50B9E7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64EB4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6B7C05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98F1F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10C82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D907A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14870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239DB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D1151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19F49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0803A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C7B0B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72EC1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41FC0966">
      <w:pPr>
        <w:rPr>
          <w:rFonts w:hint="eastAsia"/>
          <w:color w:val="auto"/>
          <w:lang w:val="en-US" w:eastAsia="zh-CN"/>
        </w:rPr>
      </w:pPr>
    </w:p>
    <w:p w14:paraId="4C4D280D">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2C8F903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46B6685E">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5782AF3C">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16B3C9C9">
      <w:pPr>
        <w:pStyle w:val="3"/>
        <w:bidi w:val="0"/>
        <w:ind w:firstLine="482" w:firstLineChars="200"/>
        <w:rPr>
          <w:rFonts w:hint="eastAsia"/>
          <w:color w:val="auto"/>
          <w:lang w:val="en-US" w:eastAsia="zh-CN"/>
        </w:rPr>
      </w:pPr>
    </w:p>
    <w:p w14:paraId="389C42FC">
      <w:pPr>
        <w:pStyle w:val="3"/>
        <w:bidi w:val="0"/>
        <w:ind w:firstLine="482" w:firstLineChars="200"/>
        <w:rPr>
          <w:rFonts w:hint="eastAsia"/>
          <w:color w:val="auto"/>
          <w:lang w:val="en-US" w:eastAsia="zh-CN"/>
        </w:rPr>
      </w:pPr>
      <w:bookmarkStart w:id="29" w:name="_Toc138151651"/>
      <w:bookmarkStart w:id="30" w:name="_Toc7986"/>
      <w:r>
        <w:rPr>
          <w:rFonts w:hint="eastAsia"/>
          <w:color w:val="auto"/>
          <w:lang w:val="en-US" w:eastAsia="zh-CN"/>
        </w:rPr>
        <w:t>4.3三甲综合医院同类项目案例合同及验收佐证</w:t>
      </w:r>
      <w:bookmarkEnd w:id="29"/>
      <w:bookmarkEnd w:id="30"/>
    </w:p>
    <w:p w14:paraId="37ACC053">
      <w:pPr>
        <w:pStyle w:val="14"/>
        <w:spacing w:line="240" w:lineRule="auto"/>
        <w:rPr>
          <w:rFonts w:hint="eastAsia" w:ascii="仿宋" w:hAnsi="仿宋" w:eastAsia="仿宋" w:cs="仿宋"/>
          <w:b w:val="0"/>
          <w:color w:val="auto"/>
          <w:kern w:val="2"/>
          <w:sz w:val="24"/>
          <w:szCs w:val="24"/>
          <w:lang w:val="en-US" w:eastAsia="zh-CN" w:bidi="ar-SA"/>
        </w:rPr>
      </w:pPr>
    </w:p>
    <w:p w14:paraId="29A863C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1" w:name="_Toc11734"/>
      <w:r>
        <w:rPr>
          <w:rFonts w:hint="eastAsia"/>
          <w:color w:val="auto"/>
          <w:lang w:val="en-US" w:eastAsia="zh-CN"/>
        </w:rPr>
        <w:t>六、服务方案</w:t>
      </w:r>
      <w:bookmarkEnd w:id="31"/>
    </w:p>
    <w:p w14:paraId="684FC671">
      <w:pPr>
        <w:bidi w:val="0"/>
        <w:rPr>
          <w:rFonts w:hint="eastAsia"/>
          <w:color w:val="auto"/>
          <w:lang w:val="en-US" w:eastAsia="zh-CN"/>
        </w:rPr>
      </w:pPr>
      <w:bookmarkStart w:id="32" w:name="_Toc138151653"/>
      <w:r>
        <w:rPr>
          <w:rFonts w:hint="eastAsia"/>
          <w:color w:val="auto"/>
          <w:lang w:val="en-US" w:eastAsia="zh-CN"/>
        </w:rPr>
        <w:t>（包含以上内容，其他内容自拟）</w:t>
      </w:r>
    </w:p>
    <w:bookmarkEnd w:id="32"/>
    <w:p w14:paraId="348B6540">
      <w:pPr>
        <w:rPr>
          <w:rFonts w:hint="eastAsia"/>
          <w:color w:val="auto"/>
          <w:lang w:val="en-US" w:eastAsia="zh-CN"/>
        </w:rPr>
      </w:pPr>
    </w:p>
    <w:p w14:paraId="27D2C93C">
      <w:pPr>
        <w:rPr>
          <w:rFonts w:hint="eastAsia"/>
          <w:color w:val="auto"/>
          <w:lang w:val="en-US" w:eastAsia="zh-CN"/>
        </w:rPr>
      </w:pPr>
    </w:p>
    <w:p w14:paraId="6D99AB6B">
      <w:pPr>
        <w:rPr>
          <w:rFonts w:hint="default"/>
          <w:color w:val="auto"/>
          <w:lang w:val="en-US" w:eastAsia="zh-CN"/>
        </w:rPr>
      </w:pPr>
    </w:p>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190D25-47E8-4034-9E8A-84461BA78C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EBDB641-6515-4090-B662-18078B06F98B}"/>
  </w:font>
  <w:font w:name="仿宋">
    <w:panose1 w:val="02010609060101010101"/>
    <w:charset w:val="86"/>
    <w:family w:val="auto"/>
    <w:pitch w:val="default"/>
    <w:sig w:usb0="800002BF" w:usb1="38CF7CFA" w:usb2="00000016" w:usb3="00000000" w:csb0="00040001" w:csb1="00000000"/>
    <w:embedRegular r:id="rId3" w:fontKey="{796907A9-D95F-4EF1-BFA2-7F73F0EAB54A}"/>
  </w:font>
  <w:font w:name="方正黑体简体">
    <w:panose1 w:val="02000000000000000000"/>
    <w:charset w:val="86"/>
    <w:family w:val="auto"/>
    <w:pitch w:val="default"/>
    <w:sig w:usb0="A00002BF" w:usb1="184F6CFA" w:usb2="00000012" w:usb3="00000000" w:csb0="00040001" w:csb1="00000000"/>
    <w:embedRegular r:id="rId4" w:fontKey="{F1EA682B-8F10-46F0-A6F4-EA67717B0BAB}"/>
  </w:font>
  <w:font w:name="WPSEMBED3">
    <w:panose1 w:val="02000000000000000000"/>
    <w:charset w:val="86"/>
    <w:family w:val="auto"/>
    <w:pitch w:val="default"/>
    <w:sig w:usb0="A00002BF" w:usb1="184F6CFA"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DEF404"/>
    <w:multiLevelType w:val="singleLevel"/>
    <w:tmpl w:val="23DEF40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WZkZDMxMzg2MTBmMjU2YTlhNWI3ZmFjNDQ4MWUifQ=="/>
  </w:docVars>
  <w:rsids>
    <w:rsidRoot w:val="00000000"/>
    <w:rsid w:val="003675E8"/>
    <w:rsid w:val="00885B23"/>
    <w:rsid w:val="01CB5422"/>
    <w:rsid w:val="01D52A58"/>
    <w:rsid w:val="0224038E"/>
    <w:rsid w:val="02CE7139"/>
    <w:rsid w:val="03157A96"/>
    <w:rsid w:val="03163E1D"/>
    <w:rsid w:val="03530F6F"/>
    <w:rsid w:val="03552A08"/>
    <w:rsid w:val="03675EC4"/>
    <w:rsid w:val="03722B16"/>
    <w:rsid w:val="03D3104E"/>
    <w:rsid w:val="04275A22"/>
    <w:rsid w:val="04593878"/>
    <w:rsid w:val="04F62AA4"/>
    <w:rsid w:val="052B1309"/>
    <w:rsid w:val="067C1B91"/>
    <w:rsid w:val="06AC4CCD"/>
    <w:rsid w:val="06AE77FE"/>
    <w:rsid w:val="072D11D3"/>
    <w:rsid w:val="07C537D5"/>
    <w:rsid w:val="07E9598A"/>
    <w:rsid w:val="07F76D1E"/>
    <w:rsid w:val="09042474"/>
    <w:rsid w:val="0926542A"/>
    <w:rsid w:val="09572537"/>
    <w:rsid w:val="09EF4DDA"/>
    <w:rsid w:val="09F06B51"/>
    <w:rsid w:val="0A5A448A"/>
    <w:rsid w:val="0AED6E12"/>
    <w:rsid w:val="0C811C7B"/>
    <w:rsid w:val="0C8C3677"/>
    <w:rsid w:val="0CDC4161"/>
    <w:rsid w:val="0D293630"/>
    <w:rsid w:val="0D5422FE"/>
    <w:rsid w:val="0DD4413B"/>
    <w:rsid w:val="0E056A05"/>
    <w:rsid w:val="0E154AB8"/>
    <w:rsid w:val="0E236E8B"/>
    <w:rsid w:val="0E266744"/>
    <w:rsid w:val="0EA93CA3"/>
    <w:rsid w:val="0F7C3008"/>
    <w:rsid w:val="0FE60171"/>
    <w:rsid w:val="10AE73EC"/>
    <w:rsid w:val="11111FC4"/>
    <w:rsid w:val="1118101A"/>
    <w:rsid w:val="11DA6532"/>
    <w:rsid w:val="121A3D4C"/>
    <w:rsid w:val="126B2BAF"/>
    <w:rsid w:val="12B91B6C"/>
    <w:rsid w:val="134306AA"/>
    <w:rsid w:val="134A6465"/>
    <w:rsid w:val="135A02D0"/>
    <w:rsid w:val="13712447"/>
    <w:rsid w:val="137E6021"/>
    <w:rsid w:val="139D7869"/>
    <w:rsid w:val="13EC5F71"/>
    <w:rsid w:val="147A721A"/>
    <w:rsid w:val="14E013D0"/>
    <w:rsid w:val="14F31935"/>
    <w:rsid w:val="152A0AFF"/>
    <w:rsid w:val="15B825AF"/>
    <w:rsid w:val="15CF1F26"/>
    <w:rsid w:val="15E02221"/>
    <w:rsid w:val="16207B77"/>
    <w:rsid w:val="16B36D4D"/>
    <w:rsid w:val="174D1B73"/>
    <w:rsid w:val="183258F7"/>
    <w:rsid w:val="18342516"/>
    <w:rsid w:val="18552DB3"/>
    <w:rsid w:val="189E2676"/>
    <w:rsid w:val="18C17DE5"/>
    <w:rsid w:val="18D92EBD"/>
    <w:rsid w:val="1A44658D"/>
    <w:rsid w:val="1AAF2DD5"/>
    <w:rsid w:val="1AC716B0"/>
    <w:rsid w:val="1AE31E7C"/>
    <w:rsid w:val="1B46204F"/>
    <w:rsid w:val="1B99074F"/>
    <w:rsid w:val="1B9B7856"/>
    <w:rsid w:val="1BB8428A"/>
    <w:rsid w:val="1BBC5511"/>
    <w:rsid w:val="1CFC6AF6"/>
    <w:rsid w:val="1DBE13B8"/>
    <w:rsid w:val="1DD609E7"/>
    <w:rsid w:val="1DE303E5"/>
    <w:rsid w:val="1E77318B"/>
    <w:rsid w:val="1ED65F1E"/>
    <w:rsid w:val="1F4A5F8A"/>
    <w:rsid w:val="1F794C63"/>
    <w:rsid w:val="1FDD356D"/>
    <w:rsid w:val="1FE37DA0"/>
    <w:rsid w:val="20390524"/>
    <w:rsid w:val="20E172DD"/>
    <w:rsid w:val="20E3342D"/>
    <w:rsid w:val="21254871"/>
    <w:rsid w:val="214831CD"/>
    <w:rsid w:val="21A97250"/>
    <w:rsid w:val="21F83C21"/>
    <w:rsid w:val="220D5A31"/>
    <w:rsid w:val="228C6E75"/>
    <w:rsid w:val="22A273FF"/>
    <w:rsid w:val="22C11246"/>
    <w:rsid w:val="236C2324"/>
    <w:rsid w:val="23E16FFF"/>
    <w:rsid w:val="23E3036F"/>
    <w:rsid w:val="249266C1"/>
    <w:rsid w:val="25333A00"/>
    <w:rsid w:val="25380CA0"/>
    <w:rsid w:val="257D0110"/>
    <w:rsid w:val="25C63BAB"/>
    <w:rsid w:val="25C67C05"/>
    <w:rsid w:val="25D70354"/>
    <w:rsid w:val="263578BE"/>
    <w:rsid w:val="263D04BC"/>
    <w:rsid w:val="264D0C78"/>
    <w:rsid w:val="26A70C65"/>
    <w:rsid w:val="26E1123A"/>
    <w:rsid w:val="27026A05"/>
    <w:rsid w:val="270C409F"/>
    <w:rsid w:val="27415819"/>
    <w:rsid w:val="274F108A"/>
    <w:rsid w:val="2777374E"/>
    <w:rsid w:val="28001FD3"/>
    <w:rsid w:val="283860D8"/>
    <w:rsid w:val="287560DE"/>
    <w:rsid w:val="28C11323"/>
    <w:rsid w:val="29C00667"/>
    <w:rsid w:val="29D6511A"/>
    <w:rsid w:val="29FF496C"/>
    <w:rsid w:val="2A1F28C7"/>
    <w:rsid w:val="2B8925CC"/>
    <w:rsid w:val="2BA328F5"/>
    <w:rsid w:val="2C6F6170"/>
    <w:rsid w:val="2C8B2374"/>
    <w:rsid w:val="2C9F6F43"/>
    <w:rsid w:val="2CEE1EA1"/>
    <w:rsid w:val="2D5664DE"/>
    <w:rsid w:val="2D755A60"/>
    <w:rsid w:val="2DCB175A"/>
    <w:rsid w:val="2E4C744E"/>
    <w:rsid w:val="2E8E10D4"/>
    <w:rsid w:val="2F62381D"/>
    <w:rsid w:val="305F1B4D"/>
    <w:rsid w:val="30C93B1B"/>
    <w:rsid w:val="311A3CC6"/>
    <w:rsid w:val="316E7B6E"/>
    <w:rsid w:val="31C92F18"/>
    <w:rsid w:val="32024D28"/>
    <w:rsid w:val="32094F70"/>
    <w:rsid w:val="335F5D78"/>
    <w:rsid w:val="337511B1"/>
    <w:rsid w:val="337D4C69"/>
    <w:rsid w:val="337E73C5"/>
    <w:rsid w:val="33935522"/>
    <w:rsid w:val="343B467F"/>
    <w:rsid w:val="34535875"/>
    <w:rsid w:val="34A915E9"/>
    <w:rsid w:val="34AF257B"/>
    <w:rsid w:val="34B66051"/>
    <w:rsid w:val="36C21BE7"/>
    <w:rsid w:val="36C267C0"/>
    <w:rsid w:val="36C450EA"/>
    <w:rsid w:val="372B5D93"/>
    <w:rsid w:val="375B0AE1"/>
    <w:rsid w:val="386C41A1"/>
    <w:rsid w:val="38761053"/>
    <w:rsid w:val="38A804E3"/>
    <w:rsid w:val="390E232D"/>
    <w:rsid w:val="39106763"/>
    <w:rsid w:val="3A116084"/>
    <w:rsid w:val="3A763162"/>
    <w:rsid w:val="3A985554"/>
    <w:rsid w:val="3AAB598F"/>
    <w:rsid w:val="3B020707"/>
    <w:rsid w:val="3B724665"/>
    <w:rsid w:val="3B9C785C"/>
    <w:rsid w:val="3C2F2831"/>
    <w:rsid w:val="3D4435C6"/>
    <w:rsid w:val="3D8E5A8D"/>
    <w:rsid w:val="3DCC00F6"/>
    <w:rsid w:val="3E6D1D46"/>
    <w:rsid w:val="3E924036"/>
    <w:rsid w:val="3EBE4976"/>
    <w:rsid w:val="3EF73899"/>
    <w:rsid w:val="3F282526"/>
    <w:rsid w:val="400101C3"/>
    <w:rsid w:val="405F16F6"/>
    <w:rsid w:val="40842F0A"/>
    <w:rsid w:val="40F732B0"/>
    <w:rsid w:val="4195297C"/>
    <w:rsid w:val="41957568"/>
    <w:rsid w:val="41F10082"/>
    <w:rsid w:val="41F702EE"/>
    <w:rsid w:val="420704CD"/>
    <w:rsid w:val="428970E4"/>
    <w:rsid w:val="42B83DC2"/>
    <w:rsid w:val="42BD668F"/>
    <w:rsid w:val="42D82436"/>
    <w:rsid w:val="43161672"/>
    <w:rsid w:val="43241EF6"/>
    <w:rsid w:val="43431778"/>
    <w:rsid w:val="4394151F"/>
    <w:rsid w:val="43C627FB"/>
    <w:rsid w:val="44084F35"/>
    <w:rsid w:val="44806E09"/>
    <w:rsid w:val="44BE1658"/>
    <w:rsid w:val="45B45D7E"/>
    <w:rsid w:val="46205483"/>
    <w:rsid w:val="46241EA6"/>
    <w:rsid w:val="46C53FAB"/>
    <w:rsid w:val="46D544C0"/>
    <w:rsid w:val="46DB13AA"/>
    <w:rsid w:val="47823284"/>
    <w:rsid w:val="47CF4028"/>
    <w:rsid w:val="47E67906"/>
    <w:rsid w:val="485431F5"/>
    <w:rsid w:val="485E35F8"/>
    <w:rsid w:val="49063D72"/>
    <w:rsid w:val="49550899"/>
    <w:rsid w:val="49BA2D04"/>
    <w:rsid w:val="49BB0786"/>
    <w:rsid w:val="49D40E82"/>
    <w:rsid w:val="4A167183"/>
    <w:rsid w:val="4A733A58"/>
    <w:rsid w:val="4AD8713A"/>
    <w:rsid w:val="4B46773A"/>
    <w:rsid w:val="4B643ABC"/>
    <w:rsid w:val="4B6E7B09"/>
    <w:rsid w:val="4B9F639D"/>
    <w:rsid w:val="4BA5341F"/>
    <w:rsid w:val="4BB76564"/>
    <w:rsid w:val="4BC230D9"/>
    <w:rsid w:val="4C9358A6"/>
    <w:rsid w:val="4CA34014"/>
    <w:rsid w:val="4CE52F83"/>
    <w:rsid w:val="4D696680"/>
    <w:rsid w:val="4F437CCA"/>
    <w:rsid w:val="4F4F10AC"/>
    <w:rsid w:val="4F5F64BA"/>
    <w:rsid w:val="4F90667E"/>
    <w:rsid w:val="4FB545D4"/>
    <w:rsid w:val="4FDD301E"/>
    <w:rsid w:val="4FE546BB"/>
    <w:rsid w:val="502E58AD"/>
    <w:rsid w:val="506E0570"/>
    <w:rsid w:val="50B25872"/>
    <w:rsid w:val="50F327CB"/>
    <w:rsid w:val="51B47BC2"/>
    <w:rsid w:val="51D146FE"/>
    <w:rsid w:val="51D919CD"/>
    <w:rsid w:val="52043807"/>
    <w:rsid w:val="524D13AE"/>
    <w:rsid w:val="52B471BF"/>
    <w:rsid w:val="52C32D67"/>
    <w:rsid w:val="52FD5CE8"/>
    <w:rsid w:val="5339476F"/>
    <w:rsid w:val="536B2A7D"/>
    <w:rsid w:val="53DE59A8"/>
    <w:rsid w:val="53E51F5E"/>
    <w:rsid w:val="541505F1"/>
    <w:rsid w:val="54230D52"/>
    <w:rsid w:val="54400E09"/>
    <w:rsid w:val="54707AC1"/>
    <w:rsid w:val="54CB6F02"/>
    <w:rsid w:val="55B6522E"/>
    <w:rsid w:val="55EA6E3F"/>
    <w:rsid w:val="56A06471"/>
    <w:rsid w:val="56EB682C"/>
    <w:rsid w:val="5715646F"/>
    <w:rsid w:val="57626D08"/>
    <w:rsid w:val="57E56101"/>
    <w:rsid w:val="581F4351"/>
    <w:rsid w:val="58286EBC"/>
    <w:rsid w:val="585E1C89"/>
    <w:rsid w:val="58AB2CC4"/>
    <w:rsid w:val="59410223"/>
    <w:rsid w:val="596F2EE5"/>
    <w:rsid w:val="59723D50"/>
    <w:rsid w:val="59814033"/>
    <w:rsid w:val="5A864B12"/>
    <w:rsid w:val="5A920D49"/>
    <w:rsid w:val="5B4B35D6"/>
    <w:rsid w:val="5BB10EFE"/>
    <w:rsid w:val="5C682BA7"/>
    <w:rsid w:val="5D6D7971"/>
    <w:rsid w:val="5D762C66"/>
    <w:rsid w:val="5DC04B9F"/>
    <w:rsid w:val="5DD11B6F"/>
    <w:rsid w:val="5DEA79AF"/>
    <w:rsid w:val="5E2F3B42"/>
    <w:rsid w:val="5EEA2239"/>
    <w:rsid w:val="5F035078"/>
    <w:rsid w:val="5F4131D6"/>
    <w:rsid w:val="5F6F0822"/>
    <w:rsid w:val="5F744CAA"/>
    <w:rsid w:val="5F957CDE"/>
    <w:rsid w:val="5FD2383A"/>
    <w:rsid w:val="5FDD7E71"/>
    <w:rsid w:val="6108231E"/>
    <w:rsid w:val="614754E2"/>
    <w:rsid w:val="620F48D2"/>
    <w:rsid w:val="62143C96"/>
    <w:rsid w:val="62561308"/>
    <w:rsid w:val="62927E29"/>
    <w:rsid w:val="62DD052C"/>
    <w:rsid w:val="62E054D8"/>
    <w:rsid w:val="6373270B"/>
    <w:rsid w:val="637335B7"/>
    <w:rsid w:val="638251B1"/>
    <w:rsid w:val="63BC0B4D"/>
    <w:rsid w:val="640D6CAC"/>
    <w:rsid w:val="64105038"/>
    <w:rsid w:val="644B199A"/>
    <w:rsid w:val="64CE443D"/>
    <w:rsid w:val="64D6157E"/>
    <w:rsid w:val="653C3FD8"/>
    <w:rsid w:val="65815AE7"/>
    <w:rsid w:val="65AB4A92"/>
    <w:rsid w:val="65B14764"/>
    <w:rsid w:val="66180254"/>
    <w:rsid w:val="66936F5E"/>
    <w:rsid w:val="674D37A6"/>
    <w:rsid w:val="67CB7B5D"/>
    <w:rsid w:val="686B4ECE"/>
    <w:rsid w:val="687304EE"/>
    <w:rsid w:val="68783C73"/>
    <w:rsid w:val="68866F70"/>
    <w:rsid w:val="68EC7555"/>
    <w:rsid w:val="690B4CB3"/>
    <w:rsid w:val="693862AF"/>
    <w:rsid w:val="6A515C4D"/>
    <w:rsid w:val="6A961A6F"/>
    <w:rsid w:val="6A987C6E"/>
    <w:rsid w:val="6C300DB3"/>
    <w:rsid w:val="6C8D73F3"/>
    <w:rsid w:val="6CFB4623"/>
    <w:rsid w:val="6D4B29EE"/>
    <w:rsid w:val="6D6D71FE"/>
    <w:rsid w:val="6E891670"/>
    <w:rsid w:val="6EC06CA8"/>
    <w:rsid w:val="6EED01BE"/>
    <w:rsid w:val="6F057177"/>
    <w:rsid w:val="6F593B69"/>
    <w:rsid w:val="6F64269F"/>
    <w:rsid w:val="6FCD7A7D"/>
    <w:rsid w:val="70230A50"/>
    <w:rsid w:val="70457313"/>
    <w:rsid w:val="70690760"/>
    <w:rsid w:val="709E1F5D"/>
    <w:rsid w:val="70C1323B"/>
    <w:rsid w:val="70C85336"/>
    <w:rsid w:val="70E10E55"/>
    <w:rsid w:val="712612D9"/>
    <w:rsid w:val="718B036D"/>
    <w:rsid w:val="718F390E"/>
    <w:rsid w:val="71B2000E"/>
    <w:rsid w:val="72307267"/>
    <w:rsid w:val="725577F4"/>
    <w:rsid w:val="729E4247"/>
    <w:rsid w:val="73593BFF"/>
    <w:rsid w:val="73A103C3"/>
    <w:rsid w:val="740C7A72"/>
    <w:rsid w:val="744F23F4"/>
    <w:rsid w:val="749F1AE5"/>
    <w:rsid w:val="74BE1DD0"/>
    <w:rsid w:val="74F6547D"/>
    <w:rsid w:val="75AA3FB8"/>
    <w:rsid w:val="75AA5052"/>
    <w:rsid w:val="75BE2C2C"/>
    <w:rsid w:val="764010A6"/>
    <w:rsid w:val="765F4A43"/>
    <w:rsid w:val="76EB7264"/>
    <w:rsid w:val="7769462C"/>
    <w:rsid w:val="777F1A8C"/>
    <w:rsid w:val="77AB4A55"/>
    <w:rsid w:val="77C35AEB"/>
    <w:rsid w:val="77F5610B"/>
    <w:rsid w:val="78B15C5E"/>
    <w:rsid w:val="78D5030D"/>
    <w:rsid w:val="79175759"/>
    <w:rsid w:val="79C773E8"/>
    <w:rsid w:val="7B035A20"/>
    <w:rsid w:val="7B224A66"/>
    <w:rsid w:val="7BBE620D"/>
    <w:rsid w:val="7BC50043"/>
    <w:rsid w:val="7BF07693"/>
    <w:rsid w:val="7BFB064C"/>
    <w:rsid w:val="7C785E63"/>
    <w:rsid w:val="7CD150D1"/>
    <w:rsid w:val="7CEF5984"/>
    <w:rsid w:val="7E5C7744"/>
    <w:rsid w:val="7EF240BF"/>
    <w:rsid w:val="7F1135E0"/>
    <w:rsid w:val="7F2C38B2"/>
    <w:rsid w:val="7F2D0FB6"/>
    <w:rsid w:val="7F951E7F"/>
    <w:rsid w:val="7F962F62"/>
    <w:rsid w:val="7FE0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39"/>
  </w:style>
  <w:style w:type="paragraph" w:styleId="8">
    <w:name w:val="toc 2"/>
    <w:basedOn w:val="1"/>
    <w:next w:val="1"/>
    <w:qFormat/>
    <w:uiPriority w:val="0"/>
    <w:pPr>
      <w:ind w:left="420" w:leftChars="200"/>
    </w:pPr>
  </w:style>
  <w:style w:type="paragraph" w:styleId="9">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font81"/>
    <w:basedOn w:val="12"/>
    <w:qFormat/>
    <w:uiPriority w:val="0"/>
    <w:rPr>
      <w:rFonts w:hint="eastAsia" w:ascii="仿宋" w:hAnsi="仿宋" w:eastAsia="仿宋" w:cs="仿宋"/>
      <w:color w:val="FF0000"/>
      <w:sz w:val="24"/>
      <w:szCs w:val="24"/>
      <w:u w:val="none"/>
    </w:rPr>
  </w:style>
  <w:style w:type="character" w:customStyle="1" w:styleId="16">
    <w:name w:val="font61"/>
    <w:basedOn w:val="12"/>
    <w:qFormat/>
    <w:uiPriority w:val="0"/>
    <w:rPr>
      <w:rFonts w:hint="eastAsia" w:ascii="仿宋" w:hAnsi="仿宋" w:eastAsia="仿宋" w:cs="仿宋"/>
      <w:color w:val="000000"/>
      <w:sz w:val="24"/>
      <w:szCs w:val="24"/>
      <w:u w:val="none"/>
    </w:rPr>
  </w:style>
  <w:style w:type="character" w:customStyle="1" w:styleId="17">
    <w:name w:val="font41"/>
    <w:basedOn w:val="12"/>
    <w:qFormat/>
    <w:uiPriority w:val="0"/>
    <w:rPr>
      <w:rFonts w:hint="eastAsia" w:ascii="仿宋" w:hAnsi="仿宋" w:eastAsia="仿宋" w:cs="仿宋"/>
      <w:color w:val="000000"/>
      <w:sz w:val="24"/>
      <w:szCs w:val="24"/>
      <w:u w:val="none"/>
    </w:rPr>
  </w:style>
  <w:style w:type="character" w:customStyle="1" w:styleId="18">
    <w:name w:val="font71"/>
    <w:basedOn w:val="12"/>
    <w:qFormat/>
    <w:uiPriority w:val="0"/>
    <w:rPr>
      <w:rFonts w:hint="eastAsia" w:ascii="仿宋" w:hAnsi="仿宋" w:eastAsia="仿宋" w:cs="仿宋"/>
      <w:color w:val="0070C0"/>
      <w:sz w:val="24"/>
      <w:szCs w:val="24"/>
      <w:u w:val="none"/>
    </w:rPr>
  </w:style>
  <w:style w:type="character" w:customStyle="1" w:styleId="19">
    <w:name w:val="font51"/>
    <w:basedOn w:val="12"/>
    <w:qFormat/>
    <w:uiPriority w:val="0"/>
    <w:rPr>
      <w:rFonts w:hint="eastAsia" w:ascii="宋体" w:hAnsi="宋体" w:eastAsia="宋体" w:cs="宋体"/>
      <w:color w:val="000000"/>
      <w:sz w:val="24"/>
      <w:szCs w:val="24"/>
      <w:u w:val="none"/>
    </w:rPr>
  </w:style>
  <w:style w:type="character" w:customStyle="1" w:styleId="20">
    <w:name w:val="font21"/>
    <w:basedOn w:val="12"/>
    <w:qFormat/>
    <w:uiPriority w:val="0"/>
    <w:rPr>
      <w:rFonts w:hint="eastAsia" w:ascii="宋体" w:hAnsi="宋体" w:eastAsia="宋体" w:cs="宋体"/>
      <w:color w:val="000000"/>
      <w:sz w:val="22"/>
      <w:szCs w:val="22"/>
      <w:u w:val="none"/>
    </w:rPr>
  </w:style>
  <w:style w:type="character" w:customStyle="1" w:styleId="21">
    <w:name w:val="font11"/>
    <w:basedOn w:val="12"/>
    <w:qFormat/>
    <w:uiPriority w:val="0"/>
    <w:rPr>
      <w:rFonts w:hint="eastAsia" w:ascii="宋体" w:hAnsi="宋体" w:eastAsia="宋体" w:cs="宋体"/>
      <w:b/>
      <w:bCs/>
      <w:color w:val="000000"/>
      <w:sz w:val="24"/>
      <w:szCs w:val="24"/>
      <w:u w:val="none"/>
    </w:rPr>
  </w:style>
  <w:style w:type="paragraph" w:customStyle="1" w:styleId="2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23">
    <w:name w:val="font31"/>
    <w:basedOn w:val="12"/>
    <w:qFormat/>
    <w:uiPriority w:val="0"/>
    <w:rPr>
      <w:rFonts w:hint="eastAsia" w:ascii="宋体" w:hAnsi="宋体" w:eastAsia="宋体" w:cs="宋体"/>
      <w:color w:val="000000"/>
      <w:sz w:val="24"/>
      <w:szCs w:val="24"/>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1660</Words>
  <Characters>1791</Characters>
  <Lines>0</Lines>
  <Paragraphs>0</Paragraphs>
  <TotalTime>0</TotalTime>
  <ScaleCrop>false</ScaleCrop>
  <LinksUpToDate>false</LinksUpToDate>
  <CharactersWithSpaces>1919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2023-07-17T06:43:00Z</dcterms:created>
  <dc:creator>Administrator</dc:creator>
  <cp:lastModifiedBy>曦照</cp:lastModifiedBy>
  <cp:lastPrinted>2026-08-24T02:46:00Z</cp:lastPrinted>
  <dcterms:modified xsi:type="dcterms:W3CDTF">2026-08-27T00:21:05Z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44740171D8BA4B96BB290DE92874637C_13</vt:lpwstr>
  </property>
  <property fmtid="{D5CDD505-2E9C-101B-9397-08002B2CF9AE}" pid="4" name="KSOTemplateDocerSaveRecord">
    <vt:lpwstr>eyJoZGlkIjoiMjBjZTQxNjg4MDg1ZGI0ZjZmZjBkN2I2ZmMzY2JlNjQiLCJ1c2VySWQiOiI1NTAxMDQyNTcifQ==</vt:lpwstr>
  </property>
</Properties>
</file>