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49A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kern w:val="0"/>
          <w:sz w:val="36"/>
          <w:szCs w:val="36"/>
          <w:u w:val="none"/>
          <w:lang w:val="en-US" w:eastAsia="zh-CN" w:bidi="ar"/>
        </w:rPr>
      </w:pPr>
      <w:r>
        <w:rPr>
          <w:rFonts w:hint="eastAsia" w:ascii="微软雅黑" w:hAnsi="微软雅黑" w:eastAsia="微软雅黑" w:cs="微软雅黑"/>
          <w:i w:val="0"/>
          <w:iCs w:val="0"/>
          <w:color w:val="000000"/>
          <w:kern w:val="0"/>
          <w:sz w:val="36"/>
          <w:szCs w:val="36"/>
          <w:u w:val="none"/>
          <w:lang w:val="en-US" w:eastAsia="zh-CN" w:bidi="ar"/>
        </w:rPr>
        <w:t>资阳市中心医院</w:t>
      </w:r>
      <w:r>
        <w:rPr>
          <w:rFonts w:hint="eastAsia" w:ascii="微软雅黑" w:hAnsi="微软雅黑" w:eastAsia="微软雅黑" w:cs="微软雅黑"/>
          <w:i w:val="0"/>
          <w:iCs w:val="0"/>
          <w:color w:val="000000"/>
          <w:kern w:val="0"/>
          <w:sz w:val="36"/>
          <w:szCs w:val="36"/>
          <w:u w:val="none"/>
          <w:lang w:val="en-US" w:eastAsia="zh-CN" w:bidi="ar"/>
        </w:rPr>
        <w:br w:type="textWrapping"/>
      </w:r>
      <w:r>
        <w:rPr>
          <w:rFonts w:hint="eastAsia" w:ascii="微软雅黑" w:hAnsi="微软雅黑" w:eastAsia="微软雅黑" w:cs="微软雅黑"/>
          <w:i w:val="0"/>
          <w:iCs w:val="0"/>
          <w:color w:val="000000"/>
          <w:kern w:val="0"/>
          <w:sz w:val="36"/>
          <w:szCs w:val="36"/>
          <w:u w:val="none"/>
          <w:lang w:val="en-US" w:eastAsia="zh-CN" w:bidi="ar"/>
        </w:rPr>
        <w:t>三级网络安全保护测评服务项目调研公告（第二次）</w:t>
      </w:r>
    </w:p>
    <w:p w14:paraId="1E43D7C9">
      <w:pPr>
        <w:pStyle w:val="2"/>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000000"/>
          <w:sz w:val="28"/>
          <w:szCs w:val="28"/>
          <w:u w:val="none"/>
          <w:lang w:val="en-US" w:eastAsia="zh-CN"/>
        </w:rPr>
      </w:pPr>
    </w:p>
    <w:p w14:paraId="1C1375AC">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因医院业务</w:t>
      </w:r>
      <w:r>
        <w:rPr>
          <w:rFonts w:hint="eastAsia" w:ascii="仿宋" w:hAnsi="仿宋" w:cs="仿宋"/>
          <w:i w:val="0"/>
          <w:iCs w:val="0"/>
          <w:color w:val="000000"/>
          <w:sz w:val="28"/>
          <w:szCs w:val="28"/>
          <w:u w:val="none"/>
          <w:lang w:val="en-US" w:eastAsia="zh-CN"/>
        </w:rPr>
        <w:t>发展</w:t>
      </w:r>
      <w:r>
        <w:rPr>
          <w:rFonts w:hint="eastAsia" w:ascii="仿宋" w:hAnsi="仿宋" w:eastAsia="仿宋" w:cs="仿宋"/>
          <w:i w:val="0"/>
          <w:iCs w:val="0"/>
          <w:color w:val="000000"/>
          <w:sz w:val="28"/>
          <w:szCs w:val="28"/>
          <w:u w:val="none"/>
          <w:lang w:val="en-US" w:eastAsia="zh-CN"/>
        </w:rPr>
        <w:t>需要，</w:t>
      </w:r>
      <w:r>
        <w:rPr>
          <w:rFonts w:hint="eastAsia" w:ascii="仿宋" w:hAnsi="仿宋" w:cs="仿宋"/>
          <w:i w:val="0"/>
          <w:iCs w:val="0"/>
          <w:color w:val="000000"/>
          <w:sz w:val="28"/>
          <w:szCs w:val="28"/>
          <w:u w:val="none"/>
          <w:lang w:val="en-US" w:eastAsia="zh-CN"/>
        </w:rPr>
        <w:t>对医院</w:t>
      </w:r>
      <w:r>
        <w:rPr>
          <w:rFonts w:hint="eastAsia" w:ascii="仿宋" w:hAnsi="仿宋" w:eastAsia="仿宋" w:cs="仿宋"/>
          <w:i w:val="0"/>
          <w:iCs w:val="0"/>
          <w:color w:val="000000"/>
          <w:sz w:val="28"/>
          <w:szCs w:val="28"/>
          <w:u w:val="none"/>
          <w:lang w:val="en-US" w:eastAsia="zh-CN"/>
        </w:rPr>
        <w:t>三级网络安全保护测评</w:t>
      </w:r>
      <w:r>
        <w:rPr>
          <w:rFonts w:hint="eastAsia" w:ascii="仿宋" w:hAnsi="仿宋" w:cs="仿宋"/>
          <w:i w:val="0"/>
          <w:iCs w:val="0"/>
          <w:color w:val="000000"/>
          <w:sz w:val="28"/>
          <w:szCs w:val="28"/>
          <w:u w:val="none"/>
          <w:lang w:val="en-US" w:eastAsia="zh-CN"/>
        </w:rPr>
        <w:t>服务</w:t>
      </w:r>
      <w:r>
        <w:rPr>
          <w:rFonts w:hint="eastAsia" w:ascii="仿宋" w:hAnsi="仿宋" w:eastAsia="仿宋" w:cs="仿宋"/>
          <w:i w:val="0"/>
          <w:iCs w:val="0"/>
          <w:color w:val="000000"/>
          <w:sz w:val="28"/>
          <w:szCs w:val="28"/>
          <w:u w:val="none"/>
          <w:lang w:val="en-US" w:eastAsia="zh-CN"/>
        </w:rPr>
        <w:t>项目进行</w:t>
      </w:r>
      <w:r>
        <w:rPr>
          <w:rFonts w:hint="eastAsia" w:ascii="仿宋" w:hAnsi="仿宋" w:cs="仿宋"/>
          <w:i w:val="0"/>
          <w:iCs w:val="0"/>
          <w:color w:val="000000"/>
          <w:sz w:val="28"/>
          <w:szCs w:val="28"/>
          <w:u w:val="none"/>
          <w:lang w:val="en-US" w:eastAsia="zh-CN"/>
        </w:rPr>
        <w:t>第二次</w:t>
      </w:r>
      <w:r>
        <w:rPr>
          <w:rFonts w:hint="eastAsia" w:ascii="仿宋" w:hAnsi="仿宋" w:eastAsia="仿宋" w:cs="仿宋"/>
          <w:i w:val="0"/>
          <w:iCs w:val="0"/>
          <w:color w:val="000000"/>
          <w:sz w:val="28"/>
          <w:szCs w:val="28"/>
          <w:u w:val="none"/>
          <w:lang w:val="en-US" w:eastAsia="zh-CN"/>
        </w:rPr>
        <w:t>市场调研,现公开征集相关资料,欢迎各</w:t>
      </w:r>
      <w:r>
        <w:rPr>
          <w:rFonts w:hint="eastAsia" w:ascii="仿宋" w:hAnsi="仿宋" w:cs="仿宋"/>
          <w:i w:val="0"/>
          <w:iCs w:val="0"/>
          <w:color w:val="000000"/>
          <w:sz w:val="28"/>
          <w:szCs w:val="28"/>
          <w:u w:val="none"/>
          <w:lang w:val="en-US" w:eastAsia="zh-CN"/>
        </w:rPr>
        <w:t>潜在供应商</w:t>
      </w:r>
      <w:r>
        <w:rPr>
          <w:rFonts w:hint="eastAsia" w:ascii="仿宋" w:hAnsi="仿宋" w:eastAsia="仿宋" w:cs="仿宋"/>
          <w:i w:val="0"/>
          <w:iCs w:val="0"/>
          <w:color w:val="000000"/>
          <w:sz w:val="28"/>
          <w:szCs w:val="28"/>
          <w:u w:val="none"/>
          <w:lang w:val="en-US" w:eastAsia="zh-CN"/>
        </w:rPr>
        <w:t>进行报名，现将有关事宜公告如下：</w:t>
      </w:r>
    </w:p>
    <w:p w14:paraId="11AFD9D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一、项目概述</w:t>
      </w:r>
      <w:bookmarkStart w:id="34" w:name="_GoBack"/>
      <w:bookmarkEnd w:id="34"/>
    </w:p>
    <w:p w14:paraId="07A13DBB">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r>
        <w:rPr>
          <w:rFonts w:hint="eastAsia" w:ascii="仿宋" w:hAnsi="仿宋" w:eastAsia="仿宋" w:cs="仿宋"/>
          <w:i w:val="0"/>
          <w:iCs w:val="0"/>
          <w:color w:val="000000"/>
          <w:kern w:val="2"/>
          <w:sz w:val="28"/>
          <w:szCs w:val="28"/>
          <w:u w:val="none"/>
          <w:lang w:val="en-US" w:eastAsia="zh-CN" w:bidi="zh-CN"/>
        </w:rPr>
        <w:t>通过专业的三级等保测评服务，全面评估医院信息系统的安全防护水平，确保符合国家网络安全等级保护三级标准（若该标准发生修订或更新，则应按届时最新版本执行），并协助完成公安部门备案。同时，针对测评发现的安全风险提供整改方案，建立健全安全管理体系，保障业务连续性和数据安全性。</w:t>
      </w:r>
    </w:p>
    <w:p w14:paraId="63D4F6D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二、报名时间、方式</w:t>
      </w:r>
    </w:p>
    <w:p w14:paraId="4F8CA69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报名时间：本公告自挂网公告日起，截止时间为自发布公告起第5个工作日（包含发布当天），公告截止日期后递交的报名资料无效。</w:t>
      </w:r>
    </w:p>
    <w:p w14:paraId="324D448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报名方式:本次市场调研活动采用邮箱报名，不接受现场报名。</w:t>
      </w:r>
    </w:p>
    <w:p w14:paraId="515E680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000000"/>
          <w:sz w:val="28"/>
          <w:szCs w:val="28"/>
          <w:u w:val="none"/>
          <w:lang w:val="en-US" w:eastAsia="zh-CN"/>
        </w:rPr>
        <w:t>。邮件名称：“XXXX项目名称+公司名称+联系人+联系电话）”报名资料目录见附件。</w:t>
      </w:r>
    </w:p>
    <w:p w14:paraId="5191F009">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2</w:t>
      </w:r>
      <w:r>
        <w:rPr>
          <w:rFonts w:hint="eastAsia" w:ascii="仿宋" w:hAnsi="仿宋" w:eastAsia="仿宋" w:cs="仿宋"/>
          <w:i w:val="0"/>
          <w:iCs w:val="0"/>
          <w:color w:val="000000"/>
          <w:sz w:val="28"/>
          <w:szCs w:val="28"/>
          <w:u w:val="none"/>
          <w:lang w:val="en-US" w:eastAsia="zh-CN"/>
        </w:rPr>
        <w:t>.联系人：</w:t>
      </w:r>
      <w:r>
        <w:rPr>
          <w:rFonts w:hint="eastAsia" w:ascii="仿宋" w:hAnsi="仿宋" w:cs="仿宋"/>
          <w:i w:val="0"/>
          <w:iCs w:val="0"/>
          <w:color w:val="000000"/>
          <w:sz w:val="28"/>
          <w:szCs w:val="28"/>
          <w:u w:val="none"/>
          <w:lang w:val="en-US" w:eastAsia="zh-CN"/>
        </w:rPr>
        <w:t xml:space="preserve">罗老师  </w:t>
      </w:r>
      <w:r>
        <w:rPr>
          <w:rFonts w:hint="eastAsia" w:ascii="仿宋" w:hAnsi="仿宋" w:eastAsia="仿宋" w:cs="仿宋"/>
          <w:i w:val="0"/>
          <w:iCs w:val="0"/>
          <w:color w:val="000000"/>
          <w:sz w:val="28"/>
          <w:szCs w:val="28"/>
          <w:u w:val="none"/>
          <w:lang w:val="en-US" w:eastAsia="zh-CN"/>
        </w:rPr>
        <w:t>报名</w:t>
      </w:r>
      <w:r>
        <w:rPr>
          <w:rFonts w:hint="eastAsia" w:ascii="仿宋" w:hAnsi="仿宋" w:cs="仿宋"/>
          <w:i w:val="0"/>
          <w:iCs w:val="0"/>
          <w:color w:val="000000"/>
          <w:sz w:val="28"/>
          <w:szCs w:val="28"/>
          <w:u w:val="none"/>
          <w:lang w:val="en-US" w:eastAsia="zh-CN"/>
        </w:rPr>
        <w:t>咨</w:t>
      </w:r>
      <w:r>
        <w:rPr>
          <w:rFonts w:hint="eastAsia" w:ascii="仿宋" w:hAnsi="仿宋" w:eastAsia="仿宋" w:cs="仿宋"/>
          <w:i w:val="0"/>
          <w:iCs w:val="0"/>
          <w:color w:val="000000"/>
          <w:sz w:val="28"/>
          <w:szCs w:val="28"/>
          <w:u w:val="none"/>
          <w:lang w:val="en-US" w:eastAsia="zh-CN"/>
        </w:rPr>
        <w:t>询</w:t>
      </w:r>
      <w:r>
        <w:rPr>
          <w:rFonts w:hint="eastAsia" w:ascii="仿宋" w:hAnsi="仿宋" w:cs="仿宋"/>
          <w:i w:val="0"/>
          <w:iCs w:val="0"/>
          <w:color w:val="000000"/>
          <w:sz w:val="28"/>
          <w:szCs w:val="28"/>
          <w:u w:val="none"/>
          <w:lang w:val="en-US" w:eastAsia="zh-CN"/>
        </w:rPr>
        <w:t>电话</w:t>
      </w:r>
      <w:r>
        <w:rPr>
          <w:rFonts w:hint="eastAsia" w:ascii="仿宋" w:hAnsi="仿宋" w:eastAsia="仿宋" w:cs="仿宋"/>
          <w:i w:val="0"/>
          <w:iCs w:val="0"/>
          <w:color w:val="000000"/>
          <w:sz w:val="28"/>
          <w:szCs w:val="28"/>
          <w:u w:val="none"/>
          <w:lang w:val="en-US" w:eastAsia="zh-CN"/>
        </w:rPr>
        <w:t>：028-26219526</w:t>
      </w:r>
    </w:p>
    <w:p w14:paraId="6D0856DE">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3.</w:t>
      </w:r>
      <w:r>
        <w:rPr>
          <w:rFonts w:hint="eastAsia" w:ascii="仿宋" w:hAnsi="仿宋" w:eastAsia="仿宋" w:cs="仿宋"/>
          <w:i w:val="0"/>
          <w:iCs w:val="0"/>
          <w:color w:val="000000"/>
          <w:sz w:val="28"/>
          <w:szCs w:val="28"/>
          <w:u w:val="none"/>
          <w:lang w:val="en-US" w:eastAsia="zh-CN"/>
        </w:rPr>
        <w:t>线上或线下集中调研需求论证时间及地点，另行通知</w:t>
      </w:r>
      <w:r>
        <w:rPr>
          <w:rFonts w:hint="eastAsia" w:ascii="仿宋" w:hAnsi="仿宋" w:cs="仿宋"/>
          <w:i w:val="0"/>
          <w:iCs w:val="0"/>
          <w:color w:val="000000"/>
          <w:sz w:val="28"/>
          <w:szCs w:val="28"/>
          <w:u w:val="none"/>
          <w:lang w:val="en-US" w:eastAsia="zh-CN"/>
        </w:rPr>
        <w:t>，</w:t>
      </w:r>
      <w:r>
        <w:rPr>
          <w:rFonts w:hint="eastAsia" w:ascii="仿宋" w:hAnsi="仿宋" w:eastAsia="仿宋" w:cs="仿宋"/>
          <w:i w:val="0"/>
          <w:iCs w:val="0"/>
          <w:color w:val="000000"/>
          <w:sz w:val="28"/>
          <w:szCs w:val="28"/>
          <w:u w:val="none"/>
          <w:lang w:val="en-US" w:eastAsia="zh-CN"/>
        </w:rPr>
        <w:t>请参加调研会的</w:t>
      </w:r>
      <w:r>
        <w:rPr>
          <w:rFonts w:hint="eastAsia" w:ascii="仿宋" w:hAnsi="仿宋" w:cs="仿宋"/>
          <w:i w:val="0"/>
          <w:iCs w:val="0"/>
          <w:color w:val="000000"/>
          <w:sz w:val="28"/>
          <w:szCs w:val="28"/>
          <w:u w:val="none"/>
          <w:lang w:val="en-US" w:eastAsia="zh-CN"/>
        </w:rPr>
        <w:t>各潜在供应商</w:t>
      </w:r>
      <w:r>
        <w:rPr>
          <w:rFonts w:hint="eastAsia" w:ascii="仿宋" w:hAnsi="仿宋" w:eastAsia="仿宋" w:cs="仿宋"/>
          <w:i w:val="0"/>
          <w:iCs w:val="0"/>
          <w:color w:val="000000"/>
          <w:sz w:val="28"/>
          <w:szCs w:val="28"/>
          <w:u w:val="none"/>
          <w:lang w:val="en-US" w:eastAsia="zh-CN"/>
        </w:rPr>
        <w:t>准备相应的纸质版</w:t>
      </w:r>
      <w:r>
        <w:rPr>
          <w:rFonts w:hint="eastAsia" w:ascii="仿宋" w:hAnsi="仿宋" w:cs="仿宋"/>
          <w:i w:val="0"/>
          <w:iCs w:val="0"/>
          <w:color w:val="000000"/>
          <w:sz w:val="28"/>
          <w:szCs w:val="28"/>
          <w:u w:val="none"/>
          <w:lang w:val="en-US" w:eastAsia="zh-CN"/>
        </w:rPr>
        <w:t>报价表</w:t>
      </w:r>
      <w:r>
        <w:rPr>
          <w:rFonts w:hint="eastAsia" w:ascii="仿宋" w:hAnsi="仿宋" w:eastAsia="仿宋" w:cs="仿宋"/>
          <w:i w:val="0"/>
          <w:iCs w:val="0"/>
          <w:color w:val="000000"/>
          <w:sz w:val="28"/>
          <w:szCs w:val="28"/>
          <w:u w:val="none"/>
          <w:lang w:val="en-US" w:eastAsia="zh-CN"/>
        </w:rPr>
        <w:t>及汇报PPT等。</w:t>
      </w:r>
    </w:p>
    <w:p w14:paraId="7837517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三、其他说明</w:t>
      </w:r>
    </w:p>
    <w:p w14:paraId="33E6A9D7">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1.本次公开市场调研内容因市场了解的局限性，仅作为医院市场调研参考使用，</w:t>
      </w:r>
      <w:r>
        <w:rPr>
          <w:rFonts w:hint="eastAsia" w:ascii="仿宋" w:hAnsi="仿宋" w:eastAsia="仿宋" w:cs="仿宋"/>
          <w:i w:val="0"/>
          <w:iCs w:val="0"/>
          <w:color w:val="000000"/>
          <w:sz w:val="28"/>
          <w:szCs w:val="28"/>
          <w:u w:val="none"/>
          <w:lang w:val="en-US" w:eastAsia="zh-CN"/>
        </w:rPr>
        <w:t>我院有权使用所征集技术指标中的相关内容</w:t>
      </w:r>
      <w:r>
        <w:rPr>
          <w:rFonts w:hint="eastAsia" w:ascii="仿宋" w:hAnsi="仿宋" w:cs="仿宋"/>
          <w:i w:val="0"/>
          <w:iCs w:val="0"/>
          <w:color w:val="000000"/>
          <w:sz w:val="28"/>
          <w:szCs w:val="28"/>
          <w:u w:val="none"/>
          <w:lang w:val="en-US" w:eastAsia="zh-CN"/>
        </w:rPr>
        <w:t>，不作为正式采购依据，无任何针对性，如有不全之处，敬请理解，并请各潜在供应商详实介绍服务方案，本项目最终服务参数以采购时为准。对未公告服务要求的，请各潜在供应商自行提供。</w:t>
      </w:r>
    </w:p>
    <w:p w14:paraId="71B78830">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2.参与本次市场调研活动的潜在供应商，我院不作任何承诺。因参与市场调研所产生的一切费用由报名潜在供应商自行承担，我院不支付任何相关费用。本次市场调研的后续工作及结果，我院不做任何解释。本次市场调研的解释权归院方。</w:t>
      </w:r>
    </w:p>
    <w:p w14:paraId="5CC3795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560BA35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00460BA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000000"/>
          <w:kern w:val="2"/>
          <w:sz w:val="28"/>
          <w:szCs w:val="28"/>
          <w:u w:val="none"/>
          <w:lang w:val="en-US" w:eastAsia="zh-CN" w:bidi="zh-CN"/>
        </w:rPr>
      </w:pPr>
    </w:p>
    <w:p w14:paraId="75218DF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58EA090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04ABEE8C">
      <w:pPr>
        <w:pStyle w:val="15"/>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0C100449">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4B0E8026">
      <w:pPr>
        <w:pStyle w:val="15"/>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56FD6626">
      <w:pPr>
        <w:pStyle w:val="15"/>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4AE730C0">
      <w:pPr>
        <w:pStyle w:val="15"/>
        <w:keepNext w:val="0"/>
        <w:keepLines w:val="0"/>
        <w:pageBreakBefore w:val="0"/>
        <w:widowControl w:val="0"/>
        <w:kinsoku/>
        <w:wordWrap/>
        <w:overflowPunct/>
        <w:topLinePunct w:val="0"/>
        <w:autoSpaceDE w:val="0"/>
        <w:autoSpaceDN w:val="0"/>
        <w:bidi w:val="0"/>
        <w:adjustRightInd w:val="0"/>
        <w:snapToGrid/>
        <w:spacing w:line="360" w:lineRule="auto"/>
        <w:ind w:right="0" w:rightChars="0" w:firstLine="600" w:firstLineChars="200"/>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w:t>
      </w:r>
      <w:r>
        <w:rPr>
          <w:rFonts w:hint="eastAsia" w:ascii="仿宋" w:hAnsi="仿宋" w:eastAsia="仿宋" w:cs="仿宋"/>
          <w:b w:val="0"/>
          <w:bCs w:val="0"/>
          <w:color w:val="FF0000"/>
          <w:sz w:val="30"/>
          <w:szCs w:val="30"/>
          <w:lang w:val="en-US" w:eastAsia="zh-CN"/>
        </w:rPr>
        <w:t>“XXXX项目名称（公司名称+联系人+联系电话）</w:t>
      </w:r>
      <w:r>
        <w:rPr>
          <w:rFonts w:hint="eastAsia" w:ascii="仿宋" w:hAnsi="仿宋" w:eastAsia="仿宋" w:cs="仿宋"/>
          <w:b w:val="0"/>
          <w:bCs w:val="0"/>
          <w:color w:val="auto"/>
          <w:sz w:val="30"/>
          <w:szCs w:val="30"/>
          <w:lang w:val="en-US" w:eastAsia="zh-CN"/>
        </w:rPr>
        <w:t>”</w:t>
      </w:r>
    </w:p>
    <w:p w14:paraId="578E0399">
      <w:pPr>
        <w:pStyle w:val="15"/>
        <w:keepNext w:val="0"/>
        <w:keepLines w:val="0"/>
        <w:pageBreakBefore w:val="0"/>
        <w:widowControl w:val="0"/>
        <w:kinsoku/>
        <w:wordWrap/>
        <w:overflowPunct/>
        <w:topLinePunct w:val="0"/>
        <w:autoSpaceDE w:val="0"/>
        <w:autoSpaceDN w:val="0"/>
        <w:bidi w:val="0"/>
        <w:adjustRightInd w:val="0"/>
        <w:snapToGrid/>
        <w:spacing w:line="360" w:lineRule="auto"/>
        <w:ind w:right="0" w:rightChars="0" w:firstLine="600" w:firstLineChars="200"/>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p w14:paraId="4CBFEAC5">
      <w:pPr>
        <w:pStyle w:val="15"/>
        <w:keepNext w:val="0"/>
        <w:keepLines w:val="0"/>
        <w:pageBreakBefore w:val="0"/>
        <w:widowControl w:val="0"/>
        <w:kinsoku/>
        <w:wordWrap/>
        <w:overflowPunct/>
        <w:topLinePunct w:val="0"/>
        <w:bidi w:val="0"/>
        <w:snapToGrid/>
        <w:spacing w:line="360" w:lineRule="auto"/>
        <w:ind w:left="0" w:leftChars="0" w:right="0" w:rightChars="0"/>
        <w:rPr>
          <w:rFonts w:hint="eastAsia" w:ascii="宋体" w:hAnsi="宋体" w:eastAsia="宋体" w:cs="宋体"/>
          <w:b w:val="0"/>
          <w:bCs w:val="0"/>
          <w:color w:val="auto"/>
          <w:sz w:val="30"/>
          <w:szCs w:val="30"/>
          <w:lang w:val="en-US" w:eastAsia="zh-CN"/>
        </w:rPr>
      </w:pPr>
    </w:p>
    <w:p w14:paraId="21AB2F34">
      <w:pPr>
        <w:rPr>
          <w:rFonts w:hint="eastAsia"/>
          <w:lang w:val="en-US" w:eastAsia="zh-CN"/>
        </w:rPr>
      </w:pPr>
    </w:p>
    <w:p w14:paraId="20BE1E03">
      <w:pPr>
        <w:pStyle w:val="2"/>
        <w:rPr>
          <w:rFonts w:hint="default"/>
          <w:lang w:val="en-US" w:eastAsia="zh-CN"/>
        </w:rPr>
      </w:pPr>
    </w:p>
    <w:p w14:paraId="02043E00">
      <w:pPr>
        <w:pStyle w:val="2"/>
        <w:rPr>
          <w:rFonts w:hint="eastAsia"/>
          <w:lang w:eastAsia="zh-CN"/>
        </w:rPr>
      </w:pPr>
    </w:p>
    <w:p w14:paraId="0C6705FE">
      <w:pPr>
        <w:pStyle w:val="15"/>
      </w:pPr>
    </w:p>
    <w:p w14:paraId="4E022E04">
      <w:pPr>
        <w:pStyle w:val="15"/>
      </w:pPr>
    </w:p>
    <w:p w14:paraId="7B562D01">
      <w:pPr>
        <w:pStyle w:val="15"/>
      </w:pPr>
    </w:p>
    <w:p w14:paraId="2AACC706">
      <w:pPr>
        <w:pStyle w:val="15"/>
      </w:pPr>
    </w:p>
    <w:p w14:paraId="6121E002">
      <w:pPr>
        <w:pStyle w:val="15"/>
      </w:pPr>
    </w:p>
    <w:p w14:paraId="466F7595">
      <w:pPr>
        <w:pStyle w:val="15"/>
      </w:pPr>
    </w:p>
    <w:p w14:paraId="28FB3DA9">
      <w:pPr>
        <w:pStyle w:val="15"/>
      </w:pPr>
    </w:p>
    <w:p w14:paraId="5AF54E6C">
      <w:pPr>
        <w:pStyle w:val="15"/>
      </w:pPr>
    </w:p>
    <w:p w14:paraId="6DB5A362">
      <w:pPr>
        <w:pStyle w:val="15"/>
      </w:pPr>
    </w:p>
    <w:p w14:paraId="78DBE6C2">
      <w:pPr>
        <w:pStyle w:val="15"/>
      </w:pPr>
    </w:p>
    <w:p w14:paraId="69B88316">
      <w:pPr>
        <w:pStyle w:val="15"/>
      </w:pPr>
    </w:p>
    <w:p w14:paraId="46DB01FB">
      <w:pPr>
        <w:pStyle w:val="15"/>
      </w:pPr>
    </w:p>
    <w:p w14:paraId="475BD167">
      <w:pPr>
        <w:pStyle w:val="15"/>
      </w:pPr>
    </w:p>
    <w:p w14:paraId="758E5DC4">
      <w:pPr>
        <w:pStyle w:val="15"/>
      </w:pPr>
    </w:p>
    <w:p w14:paraId="793B3062">
      <w:pPr>
        <w:pStyle w:val="15"/>
      </w:pPr>
    </w:p>
    <w:p w14:paraId="1403CAC5">
      <w:pPr>
        <w:pStyle w:val="15"/>
      </w:pPr>
    </w:p>
    <w:sdt>
      <w:sdtPr>
        <w:rPr>
          <w:rFonts w:ascii="宋体" w:hAnsi="宋体" w:eastAsia="宋体" w:cstheme="minorBidi"/>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20995604">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kern w:val="2"/>
              <w:sz w:val="40"/>
              <w:szCs w:val="40"/>
              <w:lang w:val="en-US" w:eastAsia="zh-CN" w:bidi="ar-SA"/>
            </w:rPr>
            <w:t>调研报名</w:t>
          </w:r>
          <w:r>
            <w:rPr>
              <w:rFonts w:hint="eastAsia" w:asciiTheme="minorEastAsia" w:hAnsiTheme="minorEastAsia" w:eastAsiaTheme="minorEastAsia" w:cstheme="minorEastAsia"/>
              <w:b/>
              <w:bCs/>
              <w:sz w:val="40"/>
              <w:szCs w:val="40"/>
            </w:rPr>
            <w:t>目录</w:t>
          </w:r>
        </w:p>
        <w:p w14:paraId="70983076">
          <w:pPr>
            <w:spacing w:before="0" w:beforeLines="0" w:after="0" w:afterLines="0" w:line="240" w:lineRule="auto"/>
            <w:ind w:left="0" w:leftChars="0" w:right="0" w:rightChars="0" w:firstLine="0" w:firstLineChars="0"/>
            <w:jc w:val="center"/>
          </w:pPr>
        </w:p>
        <w:p w14:paraId="0C7D9977">
          <w:pPr>
            <w:pStyle w:val="7"/>
            <w:tabs>
              <w:tab w:val="right" w:leader="dot" w:pos="8306"/>
            </w:tabs>
          </w:pPr>
          <w:r>
            <w:fldChar w:fldCharType="begin"/>
          </w:r>
          <w:r>
            <w:instrText xml:space="preserve">TOC \o "1-3" \h \u </w:instrText>
          </w:r>
          <w:r>
            <w:fldChar w:fldCharType="separate"/>
          </w:r>
          <w:r>
            <w:fldChar w:fldCharType="begin"/>
          </w:r>
          <w:r>
            <w:instrText xml:space="preserve"> HYPERLINK \l _Toc4916 </w:instrText>
          </w:r>
          <w:r>
            <w:fldChar w:fldCharType="separate"/>
          </w:r>
          <w:r>
            <w:rPr>
              <w:rFonts w:hint="eastAsia"/>
            </w:rPr>
            <w:t>一、 报名</w:t>
          </w:r>
          <w:r>
            <w:rPr>
              <w:rFonts w:hint="eastAsia"/>
              <w:lang w:eastAsia="zh-CN"/>
            </w:rPr>
            <w:t>登记</w:t>
          </w:r>
          <w:r>
            <w:rPr>
              <w:rFonts w:hint="eastAsia"/>
            </w:rPr>
            <w:t>表</w:t>
          </w:r>
          <w:r>
            <w:tab/>
          </w:r>
          <w:r>
            <w:fldChar w:fldCharType="begin"/>
          </w:r>
          <w:r>
            <w:instrText xml:space="preserve"> PAGEREF _Toc4916 \h </w:instrText>
          </w:r>
          <w:r>
            <w:fldChar w:fldCharType="separate"/>
          </w:r>
          <w:r>
            <w:t>4</w:t>
          </w:r>
          <w:r>
            <w:fldChar w:fldCharType="end"/>
          </w:r>
          <w:r>
            <w:fldChar w:fldCharType="end"/>
          </w:r>
        </w:p>
        <w:p w14:paraId="5CC548A6">
          <w:pPr>
            <w:pStyle w:val="7"/>
            <w:tabs>
              <w:tab w:val="right" w:leader="dot" w:pos="8306"/>
            </w:tabs>
          </w:pPr>
          <w:r>
            <w:fldChar w:fldCharType="begin"/>
          </w:r>
          <w:r>
            <w:instrText xml:space="preserve"> HYPERLINK \l _Toc7230 </w:instrText>
          </w:r>
          <w:r>
            <w:fldChar w:fldCharType="separate"/>
          </w:r>
          <w:r>
            <w:rPr>
              <w:rFonts w:hint="eastAsia"/>
              <w:lang w:val="en-US" w:eastAsia="zh-CN"/>
            </w:rPr>
            <w:t>二、资质：</w:t>
          </w:r>
          <w:r>
            <w:tab/>
          </w:r>
          <w:r>
            <w:fldChar w:fldCharType="begin"/>
          </w:r>
          <w:r>
            <w:instrText xml:space="preserve"> PAGEREF _Toc7230 \h </w:instrText>
          </w:r>
          <w:r>
            <w:fldChar w:fldCharType="separate"/>
          </w:r>
          <w:r>
            <w:t>4</w:t>
          </w:r>
          <w:r>
            <w:fldChar w:fldCharType="end"/>
          </w:r>
          <w:r>
            <w:fldChar w:fldCharType="end"/>
          </w:r>
        </w:p>
        <w:p w14:paraId="6097A5E8">
          <w:pPr>
            <w:pStyle w:val="8"/>
            <w:tabs>
              <w:tab w:val="right" w:leader="dot" w:pos="8306"/>
            </w:tabs>
          </w:pPr>
          <w:r>
            <w:fldChar w:fldCharType="begin"/>
          </w:r>
          <w:r>
            <w:instrText xml:space="preserve"> HYPERLINK \l _Toc21098 </w:instrText>
          </w:r>
          <w:r>
            <w:fldChar w:fldCharType="separate"/>
          </w:r>
          <w:r>
            <w:rPr>
              <w:rFonts w:hint="eastAsia"/>
              <w:lang w:val="en-US" w:eastAsia="zh-CN"/>
            </w:rPr>
            <w:t>2.1</w:t>
          </w:r>
          <w:r>
            <w:rPr>
              <w:rFonts w:hint="eastAsia"/>
            </w:rPr>
            <w:t>营业执照</w:t>
          </w:r>
          <w:r>
            <w:tab/>
          </w:r>
          <w:r>
            <w:fldChar w:fldCharType="begin"/>
          </w:r>
          <w:r>
            <w:instrText xml:space="preserve"> PAGEREF _Toc21098 \h </w:instrText>
          </w:r>
          <w:r>
            <w:fldChar w:fldCharType="separate"/>
          </w:r>
          <w:r>
            <w:t>4</w:t>
          </w:r>
          <w:r>
            <w:fldChar w:fldCharType="end"/>
          </w:r>
          <w:r>
            <w:fldChar w:fldCharType="end"/>
          </w:r>
        </w:p>
        <w:p w14:paraId="5D796337">
          <w:pPr>
            <w:pStyle w:val="8"/>
            <w:tabs>
              <w:tab w:val="right" w:leader="dot" w:pos="8306"/>
            </w:tabs>
          </w:pPr>
          <w:r>
            <w:fldChar w:fldCharType="begin"/>
          </w:r>
          <w:r>
            <w:instrText xml:space="preserve"> HYPERLINK \l _Toc16249 </w:instrText>
          </w:r>
          <w:r>
            <w:fldChar w:fldCharType="separate"/>
          </w:r>
          <w:r>
            <w:rPr>
              <w:rFonts w:hint="eastAsia"/>
              <w:lang w:val="en-US" w:eastAsia="zh-CN"/>
            </w:rPr>
            <w:t>2.1</w:t>
          </w:r>
          <w:r>
            <w:rPr>
              <w:rFonts w:hint="eastAsia"/>
              <w:lang w:eastAsia="zh-CN"/>
            </w:rPr>
            <w:t>法定代表人授权书</w:t>
          </w:r>
          <w:r>
            <w:tab/>
          </w:r>
          <w:r>
            <w:fldChar w:fldCharType="begin"/>
          </w:r>
          <w:r>
            <w:instrText xml:space="preserve"> PAGEREF _Toc16249 \h </w:instrText>
          </w:r>
          <w:r>
            <w:fldChar w:fldCharType="separate"/>
          </w:r>
          <w:r>
            <w:t>4</w:t>
          </w:r>
          <w:r>
            <w:fldChar w:fldCharType="end"/>
          </w:r>
          <w:r>
            <w:fldChar w:fldCharType="end"/>
          </w:r>
        </w:p>
        <w:p w14:paraId="25384FAA">
          <w:pPr>
            <w:pStyle w:val="8"/>
            <w:tabs>
              <w:tab w:val="right" w:leader="dot" w:pos="8306"/>
            </w:tabs>
          </w:pPr>
          <w:r>
            <w:fldChar w:fldCharType="begin"/>
          </w:r>
          <w:r>
            <w:instrText xml:space="preserve"> HYPERLINK \l _Toc32583 </w:instrText>
          </w:r>
          <w:r>
            <w:fldChar w:fldCharType="separate"/>
          </w:r>
          <w:r>
            <w:rPr>
              <w:rFonts w:hint="eastAsia"/>
              <w:lang w:val="en-US" w:eastAsia="zh-CN"/>
            </w:rPr>
            <w:t>2.3</w:t>
          </w:r>
          <w:r>
            <w:rPr>
              <w:rFonts w:hint="eastAsia"/>
              <w:lang w:eastAsia="zh-CN"/>
            </w:rPr>
            <w:t>法人及被授权人身份证</w:t>
          </w:r>
          <w:r>
            <w:tab/>
          </w:r>
          <w:r>
            <w:fldChar w:fldCharType="begin"/>
          </w:r>
          <w:r>
            <w:instrText xml:space="preserve"> PAGEREF _Toc32583 \h </w:instrText>
          </w:r>
          <w:r>
            <w:fldChar w:fldCharType="separate"/>
          </w:r>
          <w:r>
            <w:t>4</w:t>
          </w:r>
          <w:r>
            <w:fldChar w:fldCharType="end"/>
          </w:r>
          <w:r>
            <w:fldChar w:fldCharType="end"/>
          </w:r>
        </w:p>
        <w:p w14:paraId="49C73E6C">
          <w:pPr>
            <w:pStyle w:val="8"/>
            <w:tabs>
              <w:tab w:val="right" w:leader="dot" w:pos="8306"/>
            </w:tabs>
          </w:pPr>
          <w:r>
            <w:fldChar w:fldCharType="begin"/>
          </w:r>
          <w:r>
            <w:instrText xml:space="preserve"> HYPERLINK \l _Toc18909 </w:instrText>
          </w:r>
          <w:r>
            <w:fldChar w:fldCharType="separate"/>
          </w:r>
          <w:r>
            <w:rPr>
              <w:rFonts w:hint="eastAsia"/>
              <w:lang w:val="en-US" w:eastAsia="zh-CN"/>
            </w:rPr>
            <w:t>2.4</w:t>
          </w:r>
          <w:r>
            <w:rPr>
              <w:rFonts w:hint="eastAsia"/>
              <w:lang w:eastAsia="zh-CN"/>
            </w:rPr>
            <w:t>公司资质</w:t>
          </w:r>
          <w:r>
            <w:tab/>
          </w:r>
          <w:r>
            <w:fldChar w:fldCharType="begin"/>
          </w:r>
          <w:r>
            <w:instrText xml:space="preserve"> PAGEREF _Toc18909 \h </w:instrText>
          </w:r>
          <w:r>
            <w:fldChar w:fldCharType="separate"/>
          </w:r>
          <w:r>
            <w:t>4</w:t>
          </w:r>
          <w:r>
            <w:fldChar w:fldCharType="end"/>
          </w:r>
          <w:r>
            <w:fldChar w:fldCharType="end"/>
          </w:r>
        </w:p>
        <w:p w14:paraId="19F77A93">
          <w:pPr>
            <w:pStyle w:val="8"/>
            <w:tabs>
              <w:tab w:val="right" w:leader="dot" w:pos="8306"/>
            </w:tabs>
          </w:pPr>
          <w:r>
            <w:fldChar w:fldCharType="begin"/>
          </w:r>
          <w:r>
            <w:instrText xml:space="preserve"> HYPERLINK \l _Toc12108 </w:instrText>
          </w:r>
          <w:r>
            <w:fldChar w:fldCharType="separate"/>
          </w:r>
          <w:r>
            <w:rPr>
              <w:rFonts w:hint="eastAsia"/>
              <w:lang w:val="en-US" w:eastAsia="zh-CN"/>
            </w:rPr>
            <w:t>2.5软件资质</w:t>
          </w:r>
          <w:r>
            <w:tab/>
          </w:r>
          <w:r>
            <w:fldChar w:fldCharType="begin"/>
          </w:r>
          <w:r>
            <w:instrText xml:space="preserve"> PAGEREF _Toc12108 \h </w:instrText>
          </w:r>
          <w:r>
            <w:fldChar w:fldCharType="separate"/>
          </w:r>
          <w:r>
            <w:t>4</w:t>
          </w:r>
          <w:r>
            <w:fldChar w:fldCharType="end"/>
          </w:r>
          <w:r>
            <w:fldChar w:fldCharType="end"/>
          </w:r>
        </w:p>
        <w:p w14:paraId="105A436E">
          <w:pPr>
            <w:pStyle w:val="8"/>
            <w:tabs>
              <w:tab w:val="right" w:leader="dot" w:pos="8306"/>
            </w:tabs>
          </w:pPr>
          <w:r>
            <w:fldChar w:fldCharType="begin"/>
          </w:r>
          <w:r>
            <w:instrText xml:space="preserve"> HYPERLINK \l _Toc17878 </w:instrText>
          </w:r>
          <w:r>
            <w:fldChar w:fldCharType="separate"/>
          </w:r>
          <w:r>
            <w:rPr>
              <w:rFonts w:hint="eastAsia"/>
              <w:lang w:val="en-US" w:eastAsia="zh-CN"/>
            </w:rPr>
            <w:t>2.6本项目涉及</w:t>
          </w:r>
          <w:r>
            <w:rPr>
              <w:rFonts w:hint="eastAsia"/>
              <w:lang w:eastAsia="zh-CN"/>
            </w:rPr>
            <w:t>资质</w:t>
          </w:r>
          <w:r>
            <w:tab/>
          </w:r>
          <w:r>
            <w:fldChar w:fldCharType="begin"/>
          </w:r>
          <w:r>
            <w:instrText xml:space="preserve"> PAGEREF _Toc17878 \h </w:instrText>
          </w:r>
          <w:r>
            <w:fldChar w:fldCharType="separate"/>
          </w:r>
          <w:r>
            <w:t>4</w:t>
          </w:r>
          <w:r>
            <w:fldChar w:fldCharType="end"/>
          </w:r>
          <w:r>
            <w:fldChar w:fldCharType="end"/>
          </w:r>
        </w:p>
        <w:p w14:paraId="03BD3FBF">
          <w:pPr>
            <w:pStyle w:val="8"/>
            <w:tabs>
              <w:tab w:val="right" w:leader="dot" w:pos="8306"/>
            </w:tabs>
          </w:pPr>
          <w:r>
            <w:fldChar w:fldCharType="begin"/>
          </w:r>
          <w:r>
            <w:instrText xml:space="preserve"> HYPERLINK \l _Toc10850 </w:instrText>
          </w:r>
          <w:r>
            <w:fldChar w:fldCharType="separate"/>
          </w:r>
          <w:r>
            <w:rPr>
              <w:rFonts w:hint="eastAsia"/>
              <w:lang w:val="en-US" w:eastAsia="zh-CN"/>
            </w:rPr>
            <w:t>2.7开发商委托销售授权函</w:t>
          </w:r>
          <w:r>
            <w:tab/>
          </w:r>
          <w:r>
            <w:fldChar w:fldCharType="begin"/>
          </w:r>
          <w:r>
            <w:instrText xml:space="preserve"> PAGEREF _Toc10850 \h </w:instrText>
          </w:r>
          <w:r>
            <w:fldChar w:fldCharType="separate"/>
          </w:r>
          <w:r>
            <w:t>4</w:t>
          </w:r>
          <w:r>
            <w:fldChar w:fldCharType="end"/>
          </w:r>
          <w:r>
            <w:fldChar w:fldCharType="end"/>
          </w:r>
        </w:p>
        <w:p w14:paraId="6D7DA4F9">
          <w:pPr>
            <w:pStyle w:val="7"/>
            <w:tabs>
              <w:tab w:val="right" w:leader="dot" w:pos="8306"/>
            </w:tabs>
          </w:pPr>
          <w:r>
            <w:fldChar w:fldCharType="begin"/>
          </w:r>
          <w:r>
            <w:instrText xml:space="preserve"> HYPERLINK \l _Toc20019 </w:instrText>
          </w:r>
          <w:r>
            <w:fldChar w:fldCharType="separate"/>
          </w:r>
          <w:r>
            <w:rPr>
              <w:rFonts w:hint="eastAsia"/>
              <w:lang w:val="en-US" w:eastAsia="zh-CN"/>
            </w:rPr>
            <w:t>三、单一来源说明及佐证材料</w:t>
          </w:r>
          <w:r>
            <w:tab/>
          </w:r>
          <w:r>
            <w:fldChar w:fldCharType="begin"/>
          </w:r>
          <w:r>
            <w:instrText xml:space="preserve"> PAGEREF _Toc20019 \h </w:instrText>
          </w:r>
          <w:r>
            <w:fldChar w:fldCharType="separate"/>
          </w:r>
          <w:r>
            <w:t>4</w:t>
          </w:r>
          <w:r>
            <w:fldChar w:fldCharType="end"/>
          </w:r>
          <w:r>
            <w:fldChar w:fldCharType="end"/>
          </w:r>
        </w:p>
        <w:p w14:paraId="32CA2CE7">
          <w:pPr>
            <w:pStyle w:val="7"/>
            <w:tabs>
              <w:tab w:val="right" w:leader="dot" w:pos="8306"/>
            </w:tabs>
          </w:pPr>
          <w:r>
            <w:fldChar w:fldCharType="begin"/>
          </w:r>
          <w:r>
            <w:instrText xml:space="preserve"> HYPERLINK \l _Toc20631 </w:instrText>
          </w:r>
          <w:r>
            <w:fldChar w:fldCharType="separate"/>
          </w:r>
          <w:r>
            <w:rPr>
              <w:rFonts w:hint="eastAsia"/>
              <w:lang w:val="en-US" w:eastAsia="zh-CN"/>
            </w:rPr>
            <w:t>四、项目调研情况一览汇总表</w:t>
          </w:r>
          <w:r>
            <w:tab/>
          </w:r>
          <w:r>
            <w:fldChar w:fldCharType="begin"/>
          </w:r>
          <w:r>
            <w:instrText xml:space="preserve"> PAGEREF _Toc20631 \h </w:instrText>
          </w:r>
          <w:r>
            <w:fldChar w:fldCharType="separate"/>
          </w:r>
          <w:r>
            <w:t>5</w:t>
          </w:r>
          <w:r>
            <w:fldChar w:fldCharType="end"/>
          </w:r>
          <w:r>
            <w:fldChar w:fldCharType="end"/>
          </w:r>
        </w:p>
        <w:p w14:paraId="48BA9C28">
          <w:pPr>
            <w:pStyle w:val="8"/>
            <w:tabs>
              <w:tab w:val="right" w:leader="dot" w:pos="8306"/>
            </w:tabs>
          </w:pPr>
          <w:r>
            <w:fldChar w:fldCharType="begin"/>
          </w:r>
          <w:r>
            <w:instrText xml:space="preserve"> HYPERLINK \l _Toc6483 </w:instrText>
          </w:r>
          <w:r>
            <w:fldChar w:fldCharType="separate"/>
          </w:r>
          <w:r>
            <w:rPr>
              <w:rFonts w:hint="eastAsia"/>
              <w:lang w:val="en-US" w:eastAsia="zh-CN"/>
            </w:rPr>
            <w:t>4.1报价表</w:t>
          </w:r>
          <w:r>
            <w:tab/>
          </w:r>
          <w:r>
            <w:fldChar w:fldCharType="begin"/>
          </w:r>
          <w:r>
            <w:instrText xml:space="preserve"> PAGEREF _Toc6483 \h </w:instrText>
          </w:r>
          <w:r>
            <w:fldChar w:fldCharType="separate"/>
          </w:r>
          <w:r>
            <w:t>5</w:t>
          </w:r>
          <w:r>
            <w:fldChar w:fldCharType="end"/>
          </w:r>
          <w:r>
            <w:fldChar w:fldCharType="end"/>
          </w:r>
        </w:p>
        <w:p w14:paraId="392EFD54">
          <w:pPr>
            <w:pStyle w:val="8"/>
            <w:tabs>
              <w:tab w:val="right" w:leader="dot" w:pos="8306"/>
            </w:tabs>
          </w:pPr>
          <w:r>
            <w:fldChar w:fldCharType="begin"/>
          </w:r>
          <w:r>
            <w:instrText xml:space="preserve"> HYPERLINK \l _Toc17174 </w:instrText>
          </w:r>
          <w:r>
            <w:fldChar w:fldCharType="separate"/>
          </w:r>
          <w:r>
            <w:rPr>
              <w:rFonts w:hint="eastAsia"/>
              <w:lang w:val="en-US" w:eastAsia="zh-CN"/>
            </w:rPr>
            <w:t>4.2服务要求</w:t>
          </w:r>
          <w:r>
            <w:tab/>
          </w:r>
          <w:r>
            <w:fldChar w:fldCharType="begin"/>
          </w:r>
          <w:r>
            <w:instrText xml:space="preserve"> PAGEREF _Toc17174 \h </w:instrText>
          </w:r>
          <w:r>
            <w:fldChar w:fldCharType="separate"/>
          </w:r>
          <w:r>
            <w:t>6</w:t>
          </w:r>
          <w:r>
            <w:fldChar w:fldCharType="end"/>
          </w:r>
          <w:r>
            <w:fldChar w:fldCharType="end"/>
          </w:r>
        </w:p>
        <w:p w14:paraId="4E3DC7DA">
          <w:pPr>
            <w:pStyle w:val="7"/>
            <w:tabs>
              <w:tab w:val="right" w:leader="dot" w:pos="8306"/>
            </w:tabs>
          </w:pPr>
          <w:r>
            <w:fldChar w:fldCharType="begin"/>
          </w:r>
          <w:r>
            <w:instrText xml:space="preserve"> HYPERLINK \l _Toc7903 </w:instrText>
          </w:r>
          <w:r>
            <w:fldChar w:fldCharType="separate"/>
          </w:r>
          <w:r>
            <w:rPr>
              <w:rFonts w:hint="eastAsia"/>
              <w:lang w:val="en-US" w:eastAsia="zh-CN"/>
            </w:rPr>
            <w:t>五、三甲综合医院同类项目案例</w:t>
          </w:r>
          <w:r>
            <w:tab/>
          </w:r>
          <w:r>
            <w:fldChar w:fldCharType="begin"/>
          </w:r>
          <w:r>
            <w:instrText xml:space="preserve"> PAGEREF _Toc7903 \h </w:instrText>
          </w:r>
          <w:r>
            <w:fldChar w:fldCharType="separate"/>
          </w:r>
          <w:r>
            <w:t>17</w:t>
          </w:r>
          <w:r>
            <w:fldChar w:fldCharType="end"/>
          </w:r>
          <w:r>
            <w:fldChar w:fldCharType="end"/>
          </w:r>
        </w:p>
        <w:p w14:paraId="6A38DC76">
          <w:pPr>
            <w:pStyle w:val="8"/>
            <w:tabs>
              <w:tab w:val="right" w:leader="dot" w:pos="8306"/>
            </w:tabs>
          </w:pPr>
          <w:r>
            <w:fldChar w:fldCharType="begin"/>
          </w:r>
          <w:r>
            <w:instrText xml:space="preserve"> HYPERLINK \l _Toc4476 </w:instrText>
          </w:r>
          <w:r>
            <w:fldChar w:fldCharType="separate"/>
          </w:r>
          <w:r>
            <w:rPr>
              <w:rFonts w:hint="eastAsia"/>
              <w:lang w:val="en-US" w:eastAsia="zh-CN"/>
            </w:rPr>
            <w:t>5.1四川省内（）家</w:t>
          </w:r>
          <w:r>
            <w:tab/>
          </w:r>
          <w:r>
            <w:fldChar w:fldCharType="begin"/>
          </w:r>
          <w:r>
            <w:instrText xml:space="preserve"> PAGEREF _Toc4476 \h </w:instrText>
          </w:r>
          <w:r>
            <w:fldChar w:fldCharType="separate"/>
          </w:r>
          <w:r>
            <w:t>17</w:t>
          </w:r>
          <w:r>
            <w:fldChar w:fldCharType="end"/>
          </w:r>
          <w:r>
            <w:fldChar w:fldCharType="end"/>
          </w:r>
        </w:p>
        <w:p w14:paraId="0F8955E5">
          <w:pPr>
            <w:pStyle w:val="8"/>
            <w:tabs>
              <w:tab w:val="right" w:leader="dot" w:pos="8306"/>
            </w:tabs>
          </w:pPr>
          <w:r>
            <w:fldChar w:fldCharType="begin"/>
          </w:r>
          <w:r>
            <w:instrText xml:space="preserve"> HYPERLINK \l _Toc13355 </w:instrText>
          </w:r>
          <w:r>
            <w:fldChar w:fldCharType="separate"/>
          </w:r>
          <w:r>
            <w:rPr>
              <w:rFonts w:hint="eastAsia"/>
              <w:lang w:val="en-US" w:eastAsia="zh-CN"/>
            </w:rPr>
            <w:t>5.2四川省外（）家</w:t>
          </w:r>
          <w:r>
            <w:tab/>
          </w:r>
          <w:r>
            <w:fldChar w:fldCharType="begin"/>
          </w:r>
          <w:r>
            <w:instrText xml:space="preserve"> PAGEREF _Toc13355 \h </w:instrText>
          </w:r>
          <w:r>
            <w:fldChar w:fldCharType="separate"/>
          </w:r>
          <w:r>
            <w:t>17</w:t>
          </w:r>
          <w:r>
            <w:fldChar w:fldCharType="end"/>
          </w:r>
          <w:r>
            <w:fldChar w:fldCharType="end"/>
          </w:r>
        </w:p>
        <w:p w14:paraId="6AEADB06">
          <w:pPr>
            <w:pStyle w:val="8"/>
            <w:tabs>
              <w:tab w:val="right" w:leader="dot" w:pos="8306"/>
            </w:tabs>
          </w:pPr>
          <w:r>
            <w:fldChar w:fldCharType="begin"/>
          </w:r>
          <w:r>
            <w:instrText xml:space="preserve"> HYPERLINK \l _Toc30521 </w:instrText>
          </w:r>
          <w:r>
            <w:fldChar w:fldCharType="separate"/>
          </w:r>
          <w:r>
            <w:rPr>
              <w:rFonts w:hint="eastAsia"/>
              <w:lang w:val="en-US" w:eastAsia="zh-CN"/>
            </w:rPr>
            <w:t>5.3三甲综合医院同类项目案例合同及验收佐证</w:t>
          </w:r>
          <w:r>
            <w:tab/>
          </w:r>
          <w:r>
            <w:fldChar w:fldCharType="begin"/>
          </w:r>
          <w:r>
            <w:instrText xml:space="preserve"> PAGEREF _Toc30521 \h </w:instrText>
          </w:r>
          <w:r>
            <w:fldChar w:fldCharType="separate"/>
          </w:r>
          <w:r>
            <w:t>17</w:t>
          </w:r>
          <w:r>
            <w:fldChar w:fldCharType="end"/>
          </w:r>
          <w:r>
            <w:fldChar w:fldCharType="end"/>
          </w:r>
        </w:p>
        <w:p w14:paraId="47079FF0">
          <w:pPr>
            <w:pStyle w:val="7"/>
            <w:tabs>
              <w:tab w:val="right" w:leader="dot" w:pos="8306"/>
            </w:tabs>
          </w:pPr>
          <w:r>
            <w:fldChar w:fldCharType="begin"/>
          </w:r>
          <w:r>
            <w:instrText xml:space="preserve"> HYPERLINK \l _Toc7342 </w:instrText>
          </w:r>
          <w:r>
            <w:fldChar w:fldCharType="separate"/>
          </w:r>
          <w:r>
            <w:rPr>
              <w:rFonts w:hint="eastAsia"/>
              <w:lang w:val="en-US" w:eastAsia="zh-CN"/>
            </w:rPr>
            <w:t>六、服务方案</w:t>
          </w:r>
          <w:r>
            <w:tab/>
          </w:r>
          <w:r>
            <w:fldChar w:fldCharType="begin"/>
          </w:r>
          <w:r>
            <w:instrText xml:space="preserve"> PAGEREF _Toc7342 \h </w:instrText>
          </w:r>
          <w:r>
            <w:fldChar w:fldCharType="separate"/>
          </w:r>
          <w:r>
            <w:t>18</w:t>
          </w:r>
          <w:r>
            <w:fldChar w:fldCharType="end"/>
          </w:r>
          <w:r>
            <w:fldChar w:fldCharType="end"/>
          </w:r>
        </w:p>
        <w:p w14:paraId="1860074C">
          <w:r>
            <w:fldChar w:fldCharType="end"/>
          </w:r>
        </w:p>
      </w:sdtContent>
    </w:sdt>
    <w:p w14:paraId="2E4DF8A4"/>
    <w:p w14:paraId="03CC10E0"/>
    <w:p w14:paraId="045481C5"/>
    <w:p w14:paraId="6E460F13"/>
    <w:p w14:paraId="0BB5B4F9"/>
    <w:p w14:paraId="62B23199"/>
    <w:p w14:paraId="4C58EDDF"/>
    <w:p w14:paraId="3F969AA0"/>
    <w:p w14:paraId="00284FF9"/>
    <w:p w14:paraId="3640C6FD"/>
    <w:p w14:paraId="755A702C"/>
    <w:p w14:paraId="3F16D029">
      <w:pPr>
        <w:sectPr>
          <w:pgSz w:w="11906" w:h="16838"/>
          <w:pgMar w:top="1134" w:right="1800" w:bottom="1134" w:left="1800" w:header="851" w:footer="992" w:gutter="0"/>
          <w:cols w:space="425" w:num="1"/>
          <w:docGrid w:type="lines" w:linePitch="312" w:charSpace="0"/>
        </w:sectPr>
      </w:pPr>
    </w:p>
    <w:p w14:paraId="534FD3C0">
      <w:pPr>
        <w:pStyle w:val="3"/>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rPr>
      </w:pPr>
      <w:bookmarkStart w:id="0" w:name="_Toc152045808"/>
      <w:bookmarkStart w:id="1" w:name="_Toc247514300"/>
      <w:bookmarkStart w:id="2" w:name="_Toc10065"/>
      <w:bookmarkStart w:id="3" w:name="_Toc144974876"/>
      <w:bookmarkStart w:id="4" w:name="_Toc152042597"/>
      <w:bookmarkStart w:id="5" w:name="_Toc247527848"/>
      <w:bookmarkStart w:id="6" w:name="_Toc7415"/>
      <w:bookmarkStart w:id="7" w:name="_Toc427002393"/>
      <w:bookmarkStart w:id="8" w:name="_Toc4916"/>
      <w:r>
        <w:rPr>
          <w:rFonts w:hint="eastAsia"/>
        </w:rPr>
        <w:t>报名</w:t>
      </w:r>
      <w:r>
        <w:rPr>
          <w:rFonts w:hint="eastAsia"/>
          <w:lang w:eastAsia="zh-CN"/>
        </w:rPr>
        <w:t>登记</w:t>
      </w:r>
      <w:r>
        <w:rPr>
          <w:rFonts w:hint="eastAsia"/>
        </w:rPr>
        <w:t>表</w:t>
      </w:r>
      <w:bookmarkEnd w:id="0"/>
      <w:bookmarkEnd w:id="1"/>
      <w:bookmarkEnd w:id="2"/>
      <w:bookmarkEnd w:id="3"/>
      <w:bookmarkEnd w:id="4"/>
      <w:bookmarkEnd w:id="5"/>
      <w:bookmarkEnd w:id="6"/>
      <w:bookmarkEnd w:id="7"/>
      <w:bookmarkEnd w:id="8"/>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68D6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21480E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A79A1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7D583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A571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64D833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联系邮箱</w:t>
            </w:r>
          </w:p>
          <w:p w14:paraId="50728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58519050">
            <w:pPr>
              <w:jc w:val="center"/>
              <w:rPr>
                <w:rFonts w:hint="eastAsia"/>
              </w:rPr>
            </w:pPr>
            <w:r>
              <w:rPr>
                <w:rFonts w:hint="eastAsia" w:ascii="宋体" w:hAnsi="宋体" w:eastAsia="宋体" w:cs="宋体"/>
                <w:i w:val="0"/>
                <w:iCs w:val="0"/>
                <w:color w:val="000000"/>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3A4ECD1A">
            <w:pPr>
              <w:jc w:val="center"/>
              <w:rPr>
                <w:rFonts w:hint="default"/>
                <w:lang w:val="en-US" w:eastAsia="zh-CN"/>
              </w:rPr>
            </w:pPr>
            <w:r>
              <w:rPr>
                <w:rFonts w:hint="eastAsia" w:ascii="宋体" w:hAnsi="宋体" w:eastAsia="宋体" w:cs="宋体"/>
                <w:i w:val="0"/>
                <w:iCs w:val="0"/>
                <w:color w:val="000000"/>
                <w:kern w:val="0"/>
                <w:sz w:val="24"/>
                <w:szCs w:val="24"/>
                <w:u w:val="none"/>
                <w:lang w:val="en-US" w:eastAsia="zh-CN" w:bidi="ar"/>
              </w:rPr>
              <w:t>备注</w:t>
            </w:r>
          </w:p>
        </w:tc>
      </w:tr>
      <w:tr w14:paraId="1A8FA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5786D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6C8FEBC">
            <w:pPr>
              <w:jc w:val="center"/>
              <w:rPr>
                <w:rFonts w:hint="eastAsia" w:ascii="宋体" w:hAnsi="宋体" w:eastAsia="宋体" w:cs="宋体"/>
                <w:i w:val="0"/>
                <w:iCs w:val="0"/>
                <w:color w:val="000000"/>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16E35B2">
            <w:pPr>
              <w:jc w:val="center"/>
              <w:rPr>
                <w:rFonts w:hint="eastAsia" w:ascii="宋体" w:hAnsi="宋体" w:eastAsia="宋体" w:cs="宋体"/>
                <w:i w:val="0"/>
                <w:iCs w:val="0"/>
                <w:color w:val="000000"/>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C95D7CA">
            <w:pPr>
              <w:jc w:val="center"/>
              <w:rPr>
                <w:rFonts w:hint="eastAsia" w:ascii="宋体" w:hAnsi="宋体" w:eastAsia="宋体" w:cs="宋体"/>
                <w:i w:val="0"/>
                <w:iCs w:val="0"/>
                <w:color w:val="000000"/>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6562831">
            <w:pPr>
              <w:jc w:val="center"/>
              <w:rPr>
                <w:rFonts w:hint="eastAsia" w:ascii="宋体" w:hAnsi="宋体" w:eastAsia="宋体" w:cs="宋体"/>
                <w:i w:val="0"/>
                <w:iCs w:val="0"/>
                <w:color w:val="000000"/>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2BA05B98">
            <w:pPr>
              <w:jc w:val="center"/>
              <w:rPr>
                <w:rFonts w:hint="eastAsia" w:ascii="宋体" w:hAnsi="宋体" w:eastAsia="宋体" w:cs="宋体"/>
                <w:i w:val="0"/>
                <w:iCs w:val="0"/>
                <w:color w:val="000000"/>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E0A8616">
            <w:pPr>
              <w:jc w:val="center"/>
              <w:rPr>
                <w:rFonts w:hint="eastAsia" w:ascii="宋体" w:hAnsi="宋体" w:eastAsia="宋体" w:cs="宋体"/>
                <w:i w:val="0"/>
                <w:iCs w:val="0"/>
                <w:color w:val="000000"/>
                <w:sz w:val="24"/>
                <w:szCs w:val="24"/>
                <w:u w:val="none"/>
              </w:rPr>
            </w:pPr>
          </w:p>
        </w:tc>
      </w:tr>
    </w:tbl>
    <w:p w14:paraId="5E16A6B5">
      <w:pPr>
        <w:numPr>
          <w:ilvl w:val="0"/>
          <w:numId w:val="0"/>
        </w:numPr>
        <w:rPr>
          <w:rFonts w:hint="eastAsia"/>
        </w:rPr>
      </w:pPr>
    </w:p>
    <w:p w14:paraId="4E5CFD16">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9" w:name="_Toc7230"/>
      <w:bookmarkStart w:id="10" w:name="_Toc2669"/>
      <w:r>
        <w:rPr>
          <w:rFonts w:hint="eastAsia"/>
          <w:lang w:val="en-US" w:eastAsia="zh-CN"/>
        </w:rPr>
        <w:t>二、资质：</w:t>
      </w:r>
      <w:bookmarkEnd w:id="9"/>
    </w:p>
    <w:p w14:paraId="7F06158F">
      <w:pPr>
        <w:pStyle w:val="4"/>
        <w:bidi w:val="0"/>
        <w:rPr>
          <w:rFonts w:hint="eastAsia"/>
        </w:rPr>
      </w:pPr>
      <w:bookmarkStart w:id="11" w:name="_Toc21098"/>
      <w:r>
        <w:rPr>
          <w:rFonts w:hint="eastAsia"/>
          <w:lang w:val="en-US" w:eastAsia="zh-CN"/>
        </w:rPr>
        <w:t>2.1</w:t>
      </w:r>
      <w:r>
        <w:rPr>
          <w:rFonts w:hint="eastAsia"/>
        </w:rPr>
        <w:t>营业执照</w:t>
      </w:r>
      <w:bookmarkEnd w:id="10"/>
      <w:bookmarkEnd w:id="11"/>
      <w:bookmarkStart w:id="12" w:name="_Toc3036"/>
    </w:p>
    <w:p w14:paraId="40C1620F">
      <w:pPr>
        <w:pStyle w:val="4"/>
        <w:bidi w:val="0"/>
        <w:rPr>
          <w:rFonts w:hint="eastAsia"/>
          <w:lang w:val="en-US" w:eastAsia="zh-CN"/>
        </w:rPr>
      </w:pPr>
      <w:bookmarkStart w:id="13" w:name="_Toc16249"/>
      <w:r>
        <w:rPr>
          <w:rFonts w:hint="eastAsia"/>
          <w:lang w:val="en-US" w:eastAsia="zh-CN"/>
        </w:rPr>
        <w:t>2.1</w:t>
      </w:r>
      <w:r>
        <w:rPr>
          <w:rFonts w:hint="eastAsia"/>
          <w:lang w:eastAsia="zh-CN"/>
        </w:rPr>
        <w:t>法定代表人授权书</w:t>
      </w:r>
      <w:bookmarkEnd w:id="12"/>
      <w:bookmarkEnd w:id="13"/>
    </w:p>
    <w:p w14:paraId="3771381C">
      <w:pPr>
        <w:pStyle w:val="4"/>
        <w:bidi w:val="0"/>
        <w:rPr>
          <w:rFonts w:hint="eastAsia"/>
          <w:lang w:eastAsia="zh-CN"/>
        </w:rPr>
      </w:pPr>
      <w:bookmarkStart w:id="14" w:name="_Toc32583"/>
      <w:bookmarkStart w:id="15" w:name="_Toc5131"/>
      <w:r>
        <w:rPr>
          <w:rFonts w:hint="eastAsia"/>
          <w:lang w:val="en-US" w:eastAsia="zh-CN"/>
        </w:rPr>
        <w:t>2.3</w:t>
      </w:r>
      <w:r>
        <w:rPr>
          <w:rFonts w:hint="eastAsia"/>
          <w:lang w:eastAsia="zh-CN"/>
        </w:rPr>
        <w:t>法人及被授权人身份证</w:t>
      </w:r>
      <w:bookmarkEnd w:id="14"/>
      <w:bookmarkEnd w:id="15"/>
    </w:p>
    <w:p w14:paraId="3AA75AAA">
      <w:pPr>
        <w:pStyle w:val="4"/>
        <w:bidi w:val="0"/>
        <w:rPr>
          <w:rFonts w:hint="eastAsia"/>
          <w:lang w:eastAsia="zh-CN"/>
        </w:rPr>
      </w:pPr>
      <w:bookmarkStart w:id="16" w:name="_Toc18909"/>
      <w:bookmarkStart w:id="17" w:name="_Toc22588"/>
      <w:r>
        <w:rPr>
          <w:rFonts w:hint="eastAsia"/>
          <w:lang w:val="en-US" w:eastAsia="zh-CN"/>
        </w:rPr>
        <w:t>2.4</w:t>
      </w:r>
      <w:r>
        <w:rPr>
          <w:rFonts w:hint="eastAsia"/>
          <w:lang w:eastAsia="zh-CN"/>
        </w:rPr>
        <w:t>公司资质</w:t>
      </w:r>
      <w:bookmarkEnd w:id="16"/>
      <w:bookmarkEnd w:id="17"/>
    </w:p>
    <w:p w14:paraId="3B9E3166">
      <w:pPr>
        <w:pStyle w:val="4"/>
        <w:bidi w:val="0"/>
        <w:rPr>
          <w:rFonts w:hint="default"/>
          <w:lang w:val="en-US" w:eastAsia="zh-CN"/>
        </w:rPr>
      </w:pPr>
      <w:bookmarkStart w:id="18" w:name="_Toc12108"/>
      <w:r>
        <w:rPr>
          <w:rFonts w:hint="eastAsia"/>
          <w:lang w:val="en-US" w:eastAsia="zh-CN"/>
        </w:rPr>
        <w:t>2.5软件资质</w:t>
      </w:r>
      <w:bookmarkEnd w:id="18"/>
    </w:p>
    <w:p w14:paraId="04149700">
      <w:pPr>
        <w:pStyle w:val="4"/>
        <w:bidi w:val="0"/>
        <w:rPr>
          <w:rFonts w:hint="eastAsia"/>
          <w:lang w:eastAsia="zh-CN"/>
        </w:rPr>
      </w:pPr>
      <w:bookmarkStart w:id="19" w:name="_Toc11995"/>
      <w:bookmarkStart w:id="20" w:name="_Toc17878"/>
      <w:r>
        <w:rPr>
          <w:rFonts w:hint="eastAsia"/>
          <w:lang w:val="en-US" w:eastAsia="zh-CN"/>
        </w:rPr>
        <w:t>2.6本项目涉及</w:t>
      </w:r>
      <w:r>
        <w:rPr>
          <w:rFonts w:hint="eastAsia"/>
          <w:lang w:eastAsia="zh-CN"/>
        </w:rPr>
        <w:t>资质</w:t>
      </w:r>
      <w:bookmarkEnd w:id="19"/>
      <w:bookmarkEnd w:id="20"/>
    </w:p>
    <w:p w14:paraId="5F361545">
      <w:pPr>
        <w:pStyle w:val="4"/>
        <w:bidi w:val="0"/>
        <w:rPr>
          <w:rFonts w:hint="eastAsia" w:ascii="宋体" w:hAnsi="宋体" w:eastAsia="宋体" w:cs="宋体"/>
          <w:sz w:val="24"/>
          <w:szCs w:val="24"/>
        </w:rPr>
      </w:pPr>
      <w:bookmarkStart w:id="21" w:name="_Toc10850"/>
      <w:bookmarkStart w:id="22" w:name="_Toc21787"/>
      <w:r>
        <w:rPr>
          <w:rFonts w:hint="eastAsia"/>
          <w:b/>
          <w:lang w:val="en-US" w:eastAsia="zh-CN"/>
        </w:rPr>
        <w:t>2.7开发商委托销售授权函</w:t>
      </w:r>
      <w:bookmarkEnd w:id="21"/>
      <w:bookmarkEnd w:id="22"/>
    </w:p>
    <w:p w14:paraId="2D89F460">
      <w:pPr>
        <w:pStyle w:val="3"/>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lang w:val="en-US" w:eastAsia="zh-CN"/>
        </w:rPr>
      </w:pPr>
      <w:bookmarkStart w:id="23" w:name="_Toc20019"/>
      <w:r>
        <w:rPr>
          <w:rFonts w:hint="eastAsia"/>
          <w:lang w:val="en-US" w:eastAsia="zh-CN"/>
        </w:rPr>
        <w:t>三、单一来源说明及佐证材料</w:t>
      </w:r>
      <w:bookmarkEnd w:id="23"/>
    </w:p>
    <w:p w14:paraId="4A8FEC16">
      <w:pPr>
        <w:pStyle w:val="15"/>
        <w:rPr>
          <w:rFonts w:hint="eastAsia" w:ascii="宋体" w:hAnsi="宋体" w:eastAsia="宋体" w:cs="宋体"/>
          <w:sz w:val="24"/>
          <w:szCs w:val="24"/>
        </w:rPr>
      </w:pPr>
    </w:p>
    <w:p w14:paraId="0A2415B7">
      <w:pPr>
        <w:pStyle w:val="15"/>
        <w:rPr>
          <w:rFonts w:hint="eastAsia" w:ascii="宋体" w:hAnsi="宋体" w:eastAsia="宋体" w:cs="宋体"/>
          <w:sz w:val="24"/>
          <w:szCs w:val="24"/>
        </w:rPr>
      </w:pPr>
    </w:p>
    <w:p w14:paraId="00C60657">
      <w:pPr>
        <w:pStyle w:val="15"/>
        <w:rPr>
          <w:rFonts w:hint="eastAsia" w:ascii="宋体" w:hAnsi="宋体" w:eastAsia="宋体" w:cs="宋体"/>
          <w:sz w:val="24"/>
          <w:szCs w:val="24"/>
        </w:rPr>
      </w:pPr>
    </w:p>
    <w:p w14:paraId="022F31E4">
      <w:pPr>
        <w:pStyle w:val="15"/>
        <w:rPr>
          <w:rFonts w:hint="eastAsia" w:ascii="宋体" w:hAnsi="宋体" w:eastAsia="宋体" w:cs="宋体"/>
          <w:sz w:val="24"/>
          <w:szCs w:val="24"/>
        </w:rPr>
      </w:pPr>
    </w:p>
    <w:p w14:paraId="3FD28250">
      <w:pPr>
        <w:pStyle w:val="15"/>
        <w:rPr>
          <w:rFonts w:hint="eastAsia" w:ascii="宋体" w:hAnsi="宋体" w:eastAsia="宋体" w:cs="宋体"/>
          <w:sz w:val="24"/>
          <w:szCs w:val="24"/>
        </w:rPr>
      </w:pPr>
    </w:p>
    <w:p w14:paraId="642FBADD">
      <w:pPr>
        <w:rPr>
          <w:rFonts w:hint="eastAsia"/>
          <w:lang w:val="en-US" w:eastAsia="zh-CN"/>
        </w:rPr>
        <w:sectPr>
          <w:pgSz w:w="11906" w:h="16838"/>
          <w:pgMar w:top="1440" w:right="1800" w:bottom="1440" w:left="1800" w:header="851" w:footer="992" w:gutter="0"/>
          <w:cols w:space="425" w:num="1"/>
          <w:docGrid w:type="lines" w:linePitch="312" w:charSpace="0"/>
        </w:sectPr>
      </w:pPr>
    </w:p>
    <w:p w14:paraId="53474EA3">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24" w:name="_Toc20631"/>
      <w:r>
        <w:rPr>
          <w:rFonts w:hint="eastAsia"/>
          <w:lang w:val="en-US" w:eastAsia="zh-CN"/>
        </w:rPr>
        <w:t>四、项目调研情况一览汇总表</w:t>
      </w:r>
      <w:bookmarkEnd w:id="24"/>
    </w:p>
    <w:p w14:paraId="3E6C3BF6">
      <w:pPr>
        <w:pStyle w:val="2"/>
        <w:spacing w:line="360" w:lineRule="auto"/>
        <w:ind w:firstLine="720" w:firstLineChars="300"/>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项目名称：</w:t>
      </w:r>
      <w:r>
        <w:rPr>
          <w:rFonts w:hint="eastAsia" w:ascii="仿宋" w:hAnsi="仿宋" w:cs="仿宋"/>
          <w:i w:val="0"/>
          <w:iCs w:val="0"/>
          <w:color w:val="000000"/>
          <w:kern w:val="0"/>
          <w:sz w:val="24"/>
          <w:szCs w:val="24"/>
          <w:u w:val="non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采购品目分类名称：</w:t>
      </w:r>
    </w:p>
    <w:p w14:paraId="184F0710">
      <w:pPr>
        <w:pStyle w:val="2"/>
        <w:spacing w:line="360" w:lineRule="auto"/>
        <w:ind w:firstLine="720" w:firstLineChars="300"/>
        <w:rPr>
          <w:rFonts w:hint="eastAsia" w:ascii="仿宋" w:hAnsi="仿宋" w:eastAsia="仿宋" w:cs="仿宋"/>
          <w:i w:val="0"/>
          <w:iCs w:val="0"/>
          <w:color w:val="000000"/>
          <w:kern w:val="0"/>
          <w:sz w:val="24"/>
          <w:szCs w:val="24"/>
          <w:u w:val="none"/>
          <w:lang w:val="en-US" w:eastAsia="zh-CN" w:bidi="ar"/>
        </w:rPr>
      </w:pPr>
      <w:r>
        <w:rPr>
          <w:rFonts w:hint="eastAsia" w:ascii="仿宋" w:hAnsi="仿宋" w:cs="仿宋"/>
          <w:i w:val="0"/>
          <w:iCs w:val="0"/>
          <w:color w:val="000000"/>
          <w:kern w:val="0"/>
          <w:sz w:val="24"/>
          <w:szCs w:val="24"/>
          <w:u w:val="none"/>
          <w:lang w:val="en-US" w:eastAsia="zh-CN" w:bidi="ar"/>
        </w:rPr>
        <w:t>各潜在供应商</w:t>
      </w:r>
      <w:r>
        <w:rPr>
          <w:rFonts w:hint="eastAsia" w:ascii="仿宋" w:hAnsi="仿宋" w:eastAsia="仿宋" w:cs="仿宋"/>
          <w:i w:val="0"/>
          <w:iCs w:val="0"/>
          <w:color w:val="000000"/>
          <w:kern w:val="0"/>
          <w:sz w:val="24"/>
          <w:szCs w:val="24"/>
          <w:u w:val="none"/>
          <w:lang w:val="en-US" w:eastAsia="zh-CN" w:bidi="ar"/>
        </w:rPr>
        <w:t>名称：</w:t>
      </w:r>
      <w:r>
        <w:rPr>
          <w:rFonts w:hint="eastAsia" w:ascii="仿宋" w:hAnsi="仿宋" w:cs="仿宋"/>
          <w:i w:val="0"/>
          <w:iCs w:val="0"/>
          <w:color w:val="000000"/>
          <w:kern w:val="0"/>
          <w:sz w:val="24"/>
          <w:szCs w:val="24"/>
          <w:u w:val="non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联系人及联系电话：</w:t>
      </w:r>
    </w:p>
    <w:p w14:paraId="4C2DD488">
      <w:pPr>
        <w:pStyle w:val="4"/>
        <w:bidi w:val="0"/>
        <w:rPr>
          <w:rFonts w:hint="default"/>
          <w:b/>
          <w:sz w:val="18"/>
          <w:szCs w:val="18"/>
          <w:lang w:val="en-US" w:eastAsia="zh-CN"/>
        </w:rPr>
      </w:pPr>
      <w:bookmarkStart w:id="25" w:name="_Toc6483"/>
      <w:r>
        <w:rPr>
          <w:rFonts w:hint="eastAsia"/>
          <w:b/>
          <w:lang w:val="en-US" w:eastAsia="zh-CN"/>
        </w:rPr>
        <w:t>4.1报价表</w:t>
      </w:r>
      <w:bookmarkEnd w:id="25"/>
    </w:p>
    <w:tbl>
      <w:tblPr>
        <w:tblStyle w:val="11"/>
        <w:tblW w:w="15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1197"/>
        <w:gridCol w:w="947"/>
        <w:gridCol w:w="947"/>
        <w:gridCol w:w="947"/>
        <w:gridCol w:w="947"/>
        <w:gridCol w:w="947"/>
        <w:gridCol w:w="3827"/>
        <w:gridCol w:w="3640"/>
        <w:gridCol w:w="1321"/>
      </w:tblGrid>
      <w:tr w14:paraId="46A0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501" w:type="dxa"/>
            <w:vAlign w:val="center"/>
          </w:tcPr>
          <w:p w14:paraId="78A2E4BD">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序号</w:t>
            </w:r>
          </w:p>
        </w:tc>
        <w:tc>
          <w:tcPr>
            <w:tcW w:w="1197" w:type="dxa"/>
            <w:vAlign w:val="center"/>
          </w:tcPr>
          <w:p w14:paraId="60532163">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项目名称</w:t>
            </w:r>
          </w:p>
        </w:tc>
        <w:tc>
          <w:tcPr>
            <w:tcW w:w="947" w:type="dxa"/>
            <w:vAlign w:val="center"/>
          </w:tcPr>
          <w:p w14:paraId="62997D08">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服务期1年测评单价报价（元/个）</w:t>
            </w:r>
          </w:p>
        </w:tc>
        <w:tc>
          <w:tcPr>
            <w:tcW w:w="947" w:type="dxa"/>
            <w:vAlign w:val="center"/>
          </w:tcPr>
          <w:p w14:paraId="3E38ED34">
            <w:pPr>
              <w:widowControl/>
              <w:spacing w:line="24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服务期3年测评单价报价（元/个）</w:t>
            </w:r>
          </w:p>
        </w:tc>
        <w:tc>
          <w:tcPr>
            <w:tcW w:w="947" w:type="dxa"/>
            <w:vAlign w:val="center"/>
          </w:tcPr>
          <w:p w14:paraId="584A0BE8">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测评总数量（个/年）</w:t>
            </w:r>
          </w:p>
        </w:tc>
        <w:tc>
          <w:tcPr>
            <w:tcW w:w="947" w:type="dxa"/>
            <w:vAlign w:val="center"/>
          </w:tcPr>
          <w:p w14:paraId="1D8FBF19">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服务期1年总报价（元）</w:t>
            </w:r>
          </w:p>
        </w:tc>
        <w:tc>
          <w:tcPr>
            <w:tcW w:w="947" w:type="dxa"/>
            <w:vAlign w:val="center"/>
          </w:tcPr>
          <w:p w14:paraId="1E73F293">
            <w:pPr>
              <w:widowControl/>
              <w:spacing w:line="240" w:lineRule="exact"/>
              <w:jc w:val="center"/>
              <w:textAlignment w:val="center"/>
              <w:rPr>
                <w:rFonts w:hint="eastAsia" w:ascii="仿宋" w:hAnsi="仿宋" w:eastAsia="仿宋" w:cs="仿宋"/>
                <w:sz w:val="20"/>
                <w:szCs w:val="20"/>
              </w:rPr>
            </w:pPr>
            <w:r>
              <w:rPr>
                <w:rFonts w:hint="eastAsia" w:ascii="仿宋" w:hAnsi="仿宋" w:eastAsia="仿宋" w:cs="仿宋"/>
                <w:sz w:val="20"/>
                <w:szCs w:val="20"/>
                <w:lang w:val="en-US" w:eastAsia="zh-CN"/>
              </w:rPr>
              <w:t>服务期3年总报价（元）</w:t>
            </w:r>
          </w:p>
        </w:tc>
        <w:tc>
          <w:tcPr>
            <w:tcW w:w="3827" w:type="dxa"/>
            <w:vAlign w:val="center"/>
          </w:tcPr>
          <w:p w14:paraId="1457F27C">
            <w:pPr>
              <w:widowControl/>
              <w:spacing w:line="24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rPr>
              <w:t>该产品在国内三甲医院用户案例</w:t>
            </w:r>
          </w:p>
        </w:tc>
        <w:tc>
          <w:tcPr>
            <w:tcW w:w="3640" w:type="dxa"/>
            <w:vAlign w:val="center"/>
          </w:tcPr>
          <w:p w14:paraId="3B84F923">
            <w:pPr>
              <w:widowControl/>
              <w:spacing w:line="240" w:lineRule="exact"/>
              <w:jc w:val="center"/>
              <w:textAlignment w:val="center"/>
              <w:rPr>
                <w:rFonts w:hint="eastAsia" w:ascii="仿宋" w:hAnsi="仿宋" w:eastAsia="仿宋" w:cs="仿宋"/>
                <w:sz w:val="20"/>
                <w:szCs w:val="20"/>
              </w:rPr>
            </w:pPr>
            <w:r>
              <w:rPr>
                <w:rFonts w:hint="eastAsia" w:ascii="仿宋" w:hAnsi="仿宋" w:eastAsia="仿宋" w:cs="仿宋"/>
                <w:sz w:val="20"/>
                <w:szCs w:val="20"/>
              </w:rPr>
              <w:t>优势特色</w:t>
            </w:r>
          </w:p>
        </w:tc>
        <w:tc>
          <w:tcPr>
            <w:tcW w:w="1321" w:type="dxa"/>
            <w:vAlign w:val="center"/>
          </w:tcPr>
          <w:p w14:paraId="16513CA8">
            <w:pPr>
              <w:widowControl/>
              <w:spacing w:line="24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备注</w:t>
            </w:r>
          </w:p>
        </w:tc>
      </w:tr>
      <w:tr w14:paraId="1069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501" w:type="dxa"/>
            <w:vAlign w:val="center"/>
          </w:tcPr>
          <w:p w14:paraId="0954D323">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1197" w:type="dxa"/>
            <w:vAlign w:val="center"/>
          </w:tcPr>
          <w:p w14:paraId="6F260C87">
            <w:pPr>
              <w:widowControl/>
              <w:spacing w:line="240" w:lineRule="exact"/>
              <w:jc w:val="center"/>
              <w:textAlignment w:val="center"/>
              <w:rPr>
                <w:rFonts w:hint="default" w:ascii="仿宋" w:hAnsi="仿宋" w:eastAsia="仿宋" w:cs="仿宋"/>
                <w:sz w:val="20"/>
                <w:szCs w:val="20"/>
                <w:lang w:val="en-US" w:eastAsia="zh-CN"/>
              </w:rPr>
            </w:pPr>
            <w:r>
              <w:rPr>
                <w:rFonts w:hint="default" w:ascii="仿宋" w:hAnsi="仿宋" w:eastAsia="仿宋" w:cs="仿宋"/>
                <w:sz w:val="20"/>
                <w:szCs w:val="20"/>
                <w:lang w:val="en-US" w:eastAsia="zh-CN"/>
              </w:rPr>
              <w:t>三级网络安全保护测评服务</w:t>
            </w:r>
          </w:p>
        </w:tc>
        <w:tc>
          <w:tcPr>
            <w:tcW w:w="947" w:type="dxa"/>
            <w:vAlign w:val="center"/>
          </w:tcPr>
          <w:p w14:paraId="58FF6E19">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3C108DAB">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770D08AD">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w:t>
            </w:r>
          </w:p>
        </w:tc>
        <w:tc>
          <w:tcPr>
            <w:tcW w:w="947" w:type="dxa"/>
            <w:vAlign w:val="center"/>
          </w:tcPr>
          <w:p w14:paraId="180263AB">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6546AB78">
            <w:pPr>
              <w:widowControl/>
              <w:spacing w:line="240" w:lineRule="exact"/>
              <w:jc w:val="center"/>
              <w:textAlignment w:val="center"/>
              <w:rPr>
                <w:rFonts w:hint="eastAsia" w:ascii="仿宋" w:hAnsi="仿宋" w:eastAsia="仿宋" w:cs="仿宋"/>
                <w:sz w:val="20"/>
                <w:szCs w:val="20"/>
              </w:rPr>
            </w:pPr>
          </w:p>
        </w:tc>
        <w:tc>
          <w:tcPr>
            <w:tcW w:w="3827" w:type="dxa"/>
            <w:vAlign w:val="center"/>
          </w:tcPr>
          <w:p w14:paraId="460E440A">
            <w:pPr>
              <w:widowControl/>
              <w:spacing w:line="240" w:lineRule="exact"/>
              <w:jc w:val="center"/>
              <w:textAlignment w:val="center"/>
              <w:rPr>
                <w:rFonts w:hint="eastAsia" w:ascii="仿宋" w:hAnsi="仿宋" w:eastAsia="仿宋" w:cs="仿宋"/>
                <w:sz w:val="20"/>
                <w:szCs w:val="20"/>
              </w:rPr>
            </w:pPr>
            <w:r>
              <w:rPr>
                <w:rFonts w:hint="eastAsia" w:ascii="仿宋" w:hAnsi="仿宋" w:eastAsia="仿宋" w:cs="仿宋"/>
                <w:sz w:val="20"/>
                <w:szCs w:val="20"/>
              </w:rPr>
              <w:t>填写样例:</w:t>
            </w:r>
          </w:p>
          <w:p w14:paraId="3A405B26">
            <w:pPr>
              <w:widowControl/>
              <w:spacing w:line="240" w:lineRule="exact"/>
              <w:jc w:val="center"/>
              <w:textAlignment w:val="center"/>
              <w:rPr>
                <w:rFonts w:hint="eastAsia" w:ascii="仿宋" w:hAnsi="仿宋" w:eastAsia="仿宋" w:cs="仿宋"/>
                <w:sz w:val="20"/>
                <w:szCs w:val="20"/>
              </w:rPr>
            </w:pPr>
            <w:r>
              <w:rPr>
                <w:rFonts w:hint="eastAsia" w:ascii="仿宋" w:hAnsi="仿宋" w:eastAsia="仿宋" w:cs="仿宋"/>
                <w:sz w:val="20"/>
                <w:szCs w:val="20"/>
              </w:rPr>
              <w:t>省内X家，省外X家</w:t>
            </w:r>
          </w:p>
          <w:p w14:paraId="2CA71DC9">
            <w:pPr>
              <w:widowControl/>
              <w:spacing w:line="24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rPr>
              <w:t>代表案例具体医院名称：</w:t>
            </w:r>
          </w:p>
        </w:tc>
        <w:tc>
          <w:tcPr>
            <w:tcW w:w="3640" w:type="dxa"/>
            <w:vAlign w:val="center"/>
          </w:tcPr>
          <w:p w14:paraId="2DBAEE51">
            <w:pPr>
              <w:widowControl/>
              <w:spacing w:line="240" w:lineRule="exact"/>
              <w:jc w:val="center"/>
              <w:textAlignment w:val="center"/>
              <w:rPr>
                <w:rFonts w:hint="eastAsia" w:ascii="仿宋" w:hAnsi="仿宋" w:eastAsia="仿宋" w:cs="仿宋"/>
                <w:sz w:val="20"/>
                <w:szCs w:val="20"/>
              </w:rPr>
            </w:pPr>
          </w:p>
        </w:tc>
        <w:tc>
          <w:tcPr>
            <w:tcW w:w="1321" w:type="dxa"/>
            <w:vAlign w:val="center"/>
          </w:tcPr>
          <w:p w14:paraId="6B33909D">
            <w:pPr>
              <w:widowControl/>
              <w:spacing w:line="240" w:lineRule="exact"/>
              <w:jc w:val="left"/>
              <w:textAlignment w:val="center"/>
              <w:rPr>
                <w:rFonts w:hint="eastAsia" w:ascii="仿宋" w:hAnsi="仿宋" w:eastAsia="仿宋" w:cs="仿宋"/>
                <w:sz w:val="20"/>
                <w:szCs w:val="20"/>
              </w:rPr>
            </w:pPr>
            <w:r>
              <w:rPr>
                <w:rFonts w:hint="eastAsia" w:ascii="仿宋" w:hAnsi="仿宋" w:eastAsia="仿宋" w:cs="仿宋"/>
                <w:sz w:val="20"/>
                <w:szCs w:val="20"/>
                <w:lang w:val="en-US" w:eastAsia="zh-CN"/>
              </w:rPr>
              <w:t>实际参与评测的信息系统由医院结合实际工作情况指定。</w:t>
            </w:r>
          </w:p>
        </w:tc>
      </w:tr>
    </w:tbl>
    <w:p w14:paraId="4B7E9E4C">
      <w:pPr>
        <w:rPr>
          <w:rFonts w:hint="eastAsia"/>
          <w:lang w:val="en-US" w:eastAsia="zh-CN"/>
        </w:rPr>
        <w:sectPr>
          <w:pgSz w:w="16838" w:h="11906" w:orient="landscape"/>
          <w:pgMar w:top="1134" w:right="1134" w:bottom="567" w:left="1134" w:header="851" w:footer="992" w:gutter="0"/>
          <w:cols w:space="425" w:num="1"/>
          <w:docGrid w:type="lines" w:linePitch="312" w:charSpace="0"/>
        </w:sectPr>
      </w:pPr>
    </w:p>
    <w:p w14:paraId="1D271A12">
      <w:pPr>
        <w:pStyle w:val="4"/>
        <w:bidi w:val="0"/>
        <w:rPr>
          <w:rFonts w:hint="default"/>
          <w:b/>
          <w:lang w:val="en-US" w:eastAsia="zh-CN"/>
        </w:rPr>
      </w:pPr>
      <w:bookmarkStart w:id="26" w:name="_Toc17174"/>
      <w:r>
        <w:rPr>
          <w:rFonts w:hint="eastAsia"/>
          <w:b/>
          <w:lang w:val="en-US" w:eastAsia="zh-CN"/>
        </w:rPr>
        <w:t>4.2服务要求</w:t>
      </w:r>
      <w:bookmarkEnd w:id="26"/>
    </w:p>
    <w:p w14:paraId="28AF06BD">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HAnsi" w:hAnsiTheme="minorHAnsi" w:eastAsiaTheme="minorEastAsia" w:cstheme="minorBidi"/>
          <w:b w:val="0"/>
          <w:color w:val="auto"/>
          <w:kern w:val="2"/>
          <w:sz w:val="21"/>
          <w:szCs w:val="24"/>
          <w:lang w:val="en-US" w:eastAsia="zh-CN" w:bidi="ar-SA"/>
        </w:rPr>
      </w:pPr>
    </w:p>
    <w:tbl>
      <w:tblPr>
        <w:tblStyle w:val="10"/>
        <w:tblpPr w:leftFromText="180" w:rightFromText="180" w:vertAnchor="text" w:tblpXSpec="center" w:tblpY="1"/>
        <w:tblOverlap w:val="never"/>
        <w:tblW w:w="99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5"/>
        <w:gridCol w:w="945"/>
        <w:gridCol w:w="8397"/>
      </w:tblGrid>
      <w:tr w14:paraId="37283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AC0E">
            <w:pPr>
              <w:keepNext/>
              <w:snapToGrid w:val="0"/>
              <w:ind w:left="0" w:leftChars="0" w:right="0" w:rightChars="0" w:firstLine="0" w:firstLine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序号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3D18">
            <w:pPr>
              <w:keepNext/>
              <w:snapToGrid w:val="0"/>
              <w:ind w:left="0" w:leftChars="0" w:right="0" w:rightChars="0" w:firstLine="0" w:firstLine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内容</w:t>
            </w:r>
          </w:p>
        </w:tc>
        <w:tc>
          <w:tcPr>
            <w:tcW w:w="8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B11B">
            <w:pPr>
              <w:keepNext/>
              <w:snapToGrid w:val="0"/>
              <w:ind w:left="0" w:leftChars="0" w:right="0" w:rightChars="0" w:firstLine="0" w:firstLine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服务要求</w:t>
            </w:r>
          </w:p>
        </w:tc>
      </w:tr>
      <w:tr w14:paraId="06D7B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EBAA">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16A9">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项目目标</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39B6">
            <w:pPr>
              <w:keepNext/>
              <w:snapToGrid w:val="0"/>
              <w:ind w:left="0" w:leftChars="0" w:right="0" w:righ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依据国家和行业网络安全的相关标准，全面了解和掌握医院网络信息系统现有安全状况，对安全性进行整体评估，配合医院制定相关的网络安全整体安全策略和中长期的安全规划，以便对被测系统进行安全方面的调整和改进。</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2、找出各被测系统与三级等保要求的差距，及时发现系统存在的安全问题，针对测评中发现的各种安全风险，测评项目组提出适宜的安全整改建议并配合整改，最终提交等级保护测评报告并向资阳市公安局备案。</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3、在服务过程中向医院出具相关专业报告，并按要求组织对医院相关人员进行网络安全意识与技术培训。</w:t>
            </w:r>
          </w:p>
        </w:tc>
      </w:tr>
      <w:tr w14:paraId="42544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28C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BA8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服务范围</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2D0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1、网络安全等级保护测评的服务范围参考以下信息系统：</w:t>
            </w:r>
          </w:p>
          <w:tbl>
            <w:tblPr>
              <w:tblStyle w:val="10"/>
              <w:tblpPr w:leftFromText="180" w:rightFromText="180" w:vertAnchor="text" w:horzAnchor="page" w:tblpXSpec="center" w:tblpY="320"/>
              <w:tblOverlap w:val="never"/>
              <w:tblW w:w="4999" w:type="pct"/>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417"/>
              <w:gridCol w:w="5076"/>
              <w:gridCol w:w="1686"/>
            </w:tblGrid>
            <w:tr w14:paraId="4888B5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085F0D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序号</w:t>
                  </w:r>
                </w:p>
              </w:tc>
              <w:tc>
                <w:tcPr>
                  <w:tcW w:w="3102"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8970DE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信息系统名称</w:t>
                  </w:r>
                </w:p>
              </w:tc>
              <w:tc>
                <w:tcPr>
                  <w:tcW w:w="1030"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3D4D003">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安全等级</w:t>
                  </w:r>
                </w:p>
              </w:tc>
            </w:tr>
            <w:tr w14:paraId="640C01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135C88">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37D9AB0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HIS系统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41EB4BF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059389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7B680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48FCC1C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LIS系统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165629A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755448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090C7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2F2475C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PACS系统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31A1A38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43F28C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3F7FD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697F5DB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EMR系统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0531094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6568A9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DE129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233AB55D">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HRP信息系统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2AA580C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16CC97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B3647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10DCFD5C">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门户网站系统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1D8784F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13F93A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AE3DD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5C441912">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互联网医院平台系统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780AEA2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4AB12A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3FBD6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1D0A93E1">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集成平台系统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04BE6F1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218EDF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18462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3164E6C2">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OA 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0172136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bl>
          <w:p w14:paraId="601D192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p w14:paraId="768C0AB3">
            <w:pPr>
              <w:keepNext/>
              <w:snapToGrid w:val="0"/>
              <w:ind w:left="0" w:leftChars="0" w:right="0" w:rightChars="0" w:firstLine="0" w:firstLineChars="0"/>
              <w:jc w:val="center"/>
              <w:rPr>
                <w:rFonts w:hint="eastAsia" w:ascii="宋体" w:hAnsi="宋体" w:eastAsia="宋体" w:cs="宋体"/>
                <w:color w:val="0000FF"/>
                <w:szCs w:val="21"/>
                <w:highlight w:val="none"/>
                <w:lang w:val="en-US" w:eastAsia="zh-CN"/>
              </w:rPr>
            </w:pPr>
          </w:p>
          <w:p w14:paraId="73ABCF7A">
            <w:pPr>
              <w:keepNext/>
              <w:snapToGrid w:val="0"/>
              <w:ind w:left="0" w:leftChars="0" w:right="0" w:rightChars="0" w:firstLine="0" w:firstLineChars="0"/>
              <w:jc w:val="left"/>
              <w:rPr>
                <w:rFonts w:hint="eastAsia" w:ascii="宋体" w:hAnsi="宋体" w:eastAsia="宋体" w:cs="宋体"/>
                <w:color w:val="0000FF"/>
                <w:szCs w:val="21"/>
                <w:highlight w:val="none"/>
                <w:lang w:val="en-US" w:eastAsia="zh-CN"/>
              </w:rPr>
            </w:pPr>
            <w:r>
              <w:rPr>
                <w:rFonts w:hint="eastAsia" w:ascii="宋体" w:hAnsi="宋体" w:eastAsia="宋体" w:cs="宋体"/>
                <w:color w:val="0000FF"/>
                <w:szCs w:val="21"/>
                <w:highlight w:val="none"/>
                <w:lang w:val="en-US" w:eastAsia="zh-CN"/>
              </w:rPr>
              <w:t>注：实际参与评测的信息系统由医院结合实际工作情况指定，等保测评包括指定信息系统及包含的子模块系统。</w:t>
            </w:r>
          </w:p>
          <w:p w14:paraId="2497E388">
            <w:pPr>
              <w:keepNext/>
              <w:numPr>
                <w:ilvl w:val="-1"/>
                <w:numId w:val="0"/>
              </w:numPr>
              <w:snapToGrid w:val="0"/>
              <w:ind w:left="0" w:leftChars="0" w:right="0" w:rightChars="0" w:firstLine="0" w:firstLineChars="0"/>
              <w:jc w:val="left"/>
              <w:rPr>
                <w:rFonts w:hint="eastAsia"/>
                <w:lang w:val="en-US" w:eastAsia="zh-CN"/>
              </w:rPr>
            </w:pPr>
          </w:p>
        </w:tc>
      </w:tr>
      <w:tr w14:paraId="0FF59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2E38">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484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技术要求</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top"/>
          </w:tcPr>
          <w:tbl>
            <w:tblPr>
              <w:tblStyle w:val="10"/>
              <w:tblW w:w="8030" w:type="dxa"/>
              <w:tblInd w:w="-118"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71"/>
              <w:gridCol w:w="1313"/>
              <w:gridCol w:w="5646"/>
            </w:tblGrid>
            <w:tr w14:paraId="39F1ED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34BB05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分类</w:t>
                  </w:r>
                </w:p>
              </w:tc>
              <w:tc>
                <w:tcPr>
                  <w:tcW w:w="131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8DCF9F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子类</w:t>
                  </w:r>
                </w:p>
              </w:tc>
              <w:tc>
                <w:tcPr>
                  <w:tcW w:w="564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4D9C46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基本要求</w:t>
                  </w:r>
                </w:p>
              </w:tc>
            </w:tr>
            <w:tr w14:paraId="1D932F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6E80C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安全物理环境</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D4380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物理位置选择</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C54F9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机房场地应选择在具有防震、防风和防雨等能力的建筑内;</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机房场地应避免设在建筑物的顶层或地下室，否则应加强防水和防潮措施。</w:t>
                  </w:r>
                </w:p>
              </w:tc>
            </w:tr>
            <w:tr w14:paraId="594333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34601B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AF7B0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物理访问控制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B5CB3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机房出入口应配置电子门禁系统，控制、鉴别和记录进入的人员。</w:t>
                  </w:r>
                </w:p>
              </w:tc>
            </w:tr>
            <w:tr w14:paraId="7DED57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7E9B30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177018">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防盗窃和防破坏</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679B4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应将设备或主要部件进行固定，并设置明显的不易除去的标识;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应将通信线缆铺设在隐蔽安全处。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c）应设置机房防盗报警系统或设置有专人值守的视频监控系统。</w:t>
                  </w:r>
                </w:p>
              </w:tc>
            </w:tr>
            <w:tr w14:paraId="32B38D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477A33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D3CFD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防雷击</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73BF3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应将各类机柜、设施和设备等通过接地系统安全接地。</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应采取措施防止感应雷，例如设置防雷保安器或过压保护装置等。</w:t>
                  </w:r>
                </w:p>
              </w:tc>
            </w:tr>
            <w:tr w14:paraId="3C5E77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370EC0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48C77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防火</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4632C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机房应设置火灾自动消防系统，能够自动检测火情、自动报警，并自动灭火;</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机房及相关的工作房间和辅助房应采用具有耐火等级的建筑材料;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c）应对机房划分区域进行管理，区域和区域之间设置隔离防火措施。</w:t>
                  </w:r>
                </w:p>
              </w:tc>
            </w:tr>
            <w:tr w14:paraId="3F3CA0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A2C75C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56CDB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防水和防潮</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88041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应采取措施防止雨水通过机房窗户、屋顶和墙壁渗透;</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应采取措施防止机房内水蒸气结露和地下积水的转移与渗透;</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c）应安装对水敏感的检测仪表或元件，对机房进行防水检测和报警。</w:t>
                  </w:r>
                </w:p>
              </w:tc>
            </w:tr>
            <w:tr w14:paraId="09345E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4CB4C3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7EF51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防静电</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44568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应采用防静电地板或地面并采用必要的接地防静电措施;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b）应采取措施防止静电的产生，例如采用静电消除器、佩戴防静电手环等。</w:t>
                  </w:r>
                </w:p>
              </w:tc>
            </w:tr>
            <w:tr w14:paraId="5DE801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320B78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289B9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温湿度控制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3FA03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应设置温湿度自动调节设施，使机房温湿度的变化在设备运行所允许的范围之内。</w:t>
                  </w:r>
                </w:p>
              </w:tc>
            </w:tr>
            <w:tr w14:paraId="6CCC75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8879BD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063D9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电力供应</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872A82">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应在机房供电线路上配置稳压器和过电压防护设备;</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应提供短期的备用电力供应，至少满足设备在断电情况下的正常运行要求;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c）应设置冗余或并行的电力电缆线路为计算机系统供电。</w:t>
                  </w:r>
                </w:p>
              </w:tc>
            </w:tr>
            <w:tr w14:paraId="5F416D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0C4AEB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0E140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电磁防护</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0F387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电源线和通信线缆应隔离铺设，避免互相干扰;</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b）应对关键设备实施电磁屏蔽。</w:t>
                  </w:r>
                </w:p>
              </w:tc>
            </w:tr>
            <w:tr w14:paraId="463E8B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52CF9B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安全通信网络</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80144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网络架构</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36A93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应保证网络设备的业务处理能力满足业务高峰期需要;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应保证网络各个部分的带宽满足业务高峰期需要;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应划分不同的网络区域，并按照方便管理和控制的原则为各网络区域分配地址;</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应避免将重要网络区域部署在边界处，重要网络区域与其他网络区域之间应采取可靠的技术隔离手段;</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应提供通信线路、关键网络设备和关键计算设备的硬件冗余，保证系统的可用性。</w:t>
                  </w:r>
                </w:p>
              </w:tc>
            </w:tr>
            <w:tr w14:paraId="399043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0D9C86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68035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通信传输</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28396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应采用校验技术或密码技术保证通信过程中数据的完整性;</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应采用密码技术保证通信过程中数据的保密性。</w:t>
                  </w:r>
                </w:p>
              </w:tc>
            </w:tr>
            <w:tr w14:paraId="6AA99D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17C52D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FDA941">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可信验证</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6EF48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基于可信根对通信设备的系统引导程序、系统程序、重要配置参数和通信应用程序等进行可信验证，应用程序的关键执行环节进行动态可信验证，在检测到其可信性受到破坏后进行报警，并将验证结果形成审计记录送至安全管理中心。</w:t>
                  </w:r>
                </w:p>
              </w:tc>
            </w:tr>
            <w:tr w14:paraId="2920E8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9F2FB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安全区域边界</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89F47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边界防护</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A30E0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应保证跨越边界的访问和数据流通过边界设备提供的受控接口进行通信;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应能够对非授权设备私自联到内部网络的行为进行检查或限制;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应能够对内部用户非授权联到外部网络的行为进行检查或限制;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应限制无线网络的使用,保证无线网络通过受控的边界设备接入内部网络。</w:t>
                  </w:r>
                </w:p>
              </w:tc>
            </w:tr>
            <w:tr w14:paraId="753FB6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7BC987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47967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访问控制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32185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应在网络边界或区域之间根据访问控制策略设置访问控制规则，默认情况下除允许通信外受控接口拒绝所有通信;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应删除多余或无效的访问控制规则，优化访问控制列表，并保证访问控制规则数量最小化;</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应对源地址、目的地址、源端口、目的端口和协议等进行检查，以允许/拒绝数据包进出;</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应能根据会话状态信息为进出数据流提供明确的允许/拒绝访问的能力;</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应对进出网络的数据流实现基于应用协议和应用内容的访问控制。</w:t>
                  </w:r>
                </w:p>
              </w:tc>
            </w:tr>
            <w:tr w14:paraId="5BC135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6C73AD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AB46D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入侵防范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F155A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应在关键网络节点处检测、防止或限制从外部发起的网络攻击行为;</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应在关键网络节点处检测、防止或限制从内部发起的网络攻击行为;</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应采取技术措施对网络行为进行分析，实现对网络攻击特别是新型网络攻击行为的分析;</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当检测到攻击行为时，记录攻击源IP、攻击类型、攻击目标、攻击时间，在发生严重入侵事件时应提供报警。</w:t>
                  </w:r>
                </w:p>
              </w:tc>
            </w:tr>
            <w:tr w14:paraId="66FC12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1C3873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3D56E1">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恶意代码和垃圾邮件防范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EB610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应在关键网络节点处对恶意代码进行检测和清除，并维护恶意代码防护机制的升级和更新;</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应在关键网络节点处对垃圾邮件进行检测和防护，并维护垃圾邮件防护机制的升级和更新。</w:t>
                  </w:r>
                </w:p>
              </w:tc>
            </w:tr>
            <w:tr w14:paraId="224E6B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E507CE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11F85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安全审计</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861C2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应在网络边界、重要网络节点进行安全审计，审计覆盖到每个用户，对重要的用户行为和重要安全事件进行审计;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审计记录应包括事件的日期和时间、用户、事件类型、事件是否成功及其他与审计相关的信息;</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应对审计记录进行保护，定期备份，避免受到未预期的删除、修改或覆盖等;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应能对远程访问的用户行为、访问互联网的用户行为等单独进行行为审计和数据分析。</w:t>
                  </w:r>
                </w:p>
              </w:tc>
            </w:tr>
            <w:tr w14:paraId="1581C4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1D7081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75452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可信验证</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00F46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基于可信根对边界设备的系统引导程序、系统程序、重要配置参数和边界防护应用程序等进行可信验证，并在应用程序的关键执行环节进行动态可信验证，在检测到其可信性受到破坏后进行报警，并将验证结果形成审计记录送至安全管理中心。</w:t>
                  </w:r>
                </w:p>
              </w:tc>
            </w:tr>
            <w:tr w14:paraId="0270FF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4F17D8">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安全计算环境</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DF67B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身份鉴别</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25AA2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应对登录的用户进行身份标识和鉴别，身份标识具有唯一性，身份鉴别信息具有复杂度要求并定期更换;</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应具有登录失败处理功能，应配置并启用结束会话、限制非法登录次数和当登录连接超时自动退出等相关措施;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当进行远程管理时，应采取必要措施防止鉴别信息在网络传输过程中被窃听;</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应采用口令、密码技术、生物技术等两种或两种以上组合的鉴别技术对用户进行身份鉴别，且其中一种鉴别技术至少应使用密码技术来实现。</w:t>
                  </w:r>
                </w:p>
              </w:tc>
            </w:tr>
            <w:tr w14:paraId="2955F4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6EC050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97DA6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访问控制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99BAC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应对登录的用户分配账户和权限;</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应重命名或删除默认账户，修改默认账户的默认口令;</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 xml:space="preserve">c) 应及时删除或停用多余的、过期的账户，避免共享账户的存在;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应授予管理用户所需的最小权限，实现管理用户的权限分离;</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应由授权主体配置访问控制策略，访间控制策略规定主体对客体的访问规则;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 访问控制的粒度应达到主体为用户级或进程级，客体为文件、数据库表级;</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g) 应对重要主体和客体设置安全标记，并控制主体对有安全标记信息资源的访问。</w:t>
                  </w:r>
                </w:p>
              </w:tc>
            </w:tr>
            <w:tr w14:paraId="04BB2B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06FB33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E3821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安全审计</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C19E3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应启用安全审计功能，审计覆盖到每个用户，对重要的用户行为和重要安全事件进行审计;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审计记录应包括事件的日期和时间、用户、事件类型、事件是否成功及其他与审计相关的信息;</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应对审计记录进行保护，定期备份，避免受到未预期的删除、修改或覆盖等;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d）应对审计进程进行保护，防止未经授权的中断。</w:t>
                  </w:r>
                </w:p>
              </w:tc>
            </w:tr>
            <w:tr w14:paraId="169A75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A7BD77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B840D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入侵防范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708AA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应遵循最小安装的原则，仅安装需要的组件和应用程序;</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应关闭不需要的系统服务、默认共享和高危端口;</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应通过设定终端接入方式或网络地址范围对通过网络进行管理的管理终端进行限制;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应提供数据有效性检验功能，保证通过人机接口输入或通过通信接口输入的内容符合系统设定要求;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应能发现可能存在的已知漏洞，并在经过充分测试评估后，及时修补漏洞;</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 应能够检测到对重要节点进行入侵的行为，并在发生严重入侵事件时提供报警。</w:t>
                  </w:r>
                </w:p>
              </w:tc>
            </w:tr>
            <w:tr w14:paraId="470453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F90D31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D89CF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恶意代码防范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E466A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应采用免受恶意代码攻击的技术措施或主动免疫可信验证机制及时识别入侵和病毒行为，并将其有效阻断。</w:t>
                  </w:r>
                </w:p>
              </w:tc>
            </w:tr>
            <w:tr w14:paraId="009544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B2251F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43E8E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可信验证</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AE8BC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基于可信根对计算设备的系统引导程序、系统程序、重要配置参数和应用程序等进行可信验证，并在应用程序的关键执行环节进行动态可信验证，在检测到其可信性受到破坏后进行报警，并将验证结果形成审计记录送至安全管理中心。</w:t>
                  </w:r>
                </w:p>
              </w:tc>
            </w:tr>
            <w:tr w14:paraId="61FE2B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2B080F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5B56C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数据完整性</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CDB14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应采用校验技术保证重要数据在传输过程中的完整性，至少包括鉴别数据、重要业务数据、重要审计数据、重要配置数据、重要视频数据和重要个人信息等;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应采用校验技术或密码技术保证重要数据在存储过程中的完整性，至少包括鉴别数据、重要业务数据、重要审计数据、重要配置数据、重要视频数据和重要个人信息等。</w:t>
                  </w:r>
                </w:p>
              </w:tc>
            </w:tr>
            <w:tr w14:paraId="342E58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F918CF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B9686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数据保密性</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E4496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a）应采用密码技术保证重要数据在传输过程中的保密性，至少包括鉴别数据、重要业务数据和重要个人信息等;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b）应采用密码技术保证重要数据在存储过程中的保密性，至少包括鉴别数据、重要业务数据和重要个人信息等。</w:t>
                  </w:r>
                </w:p>
              </w:tc>
            </w:tr>
            <w:tr w14:paraId="7B9CF7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A8ABB32">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0C2228">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数据备份恢复</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E09F5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应提供重要数据的本地数据备份与恢复功能;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应提供异地数据备份功能，利用通信网络将重要数据定时批量传送至备用场地;</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应提供重要数据处理系统的热冗余，保证系统的高可用性。</w:t>
                  </w:r>
                </w:p>
              </w:tc>
            </w:tr>
            <w:tr w14:paraId="438615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FAF3D2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D9A9C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剩余信息保护</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668B3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a）应保证鉴别信息所在的存储空间被释放或重新分配前得到完全清除;</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b）应保证存有敏感数据的存储空间被释放或重新分配前得到完全清除。</w:t>
                  </w:r>
                </w:p>
              </w:tc>
            </w:tr>
            <w:tr w14:paraId="70D83E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344839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F92E1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个人信息保护</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49152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应仅采集和保存业务必需的用户个人信息;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应禁止未授权访问和非法使用用户个人信息。</w:t>
                  </w:r>
                </w:p>
              </w:tc>
            </w:tr>
            <w:tr w14:paraId="14D03E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956FE8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安全管理中心</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D9480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系统管理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F8C5E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应对系统管理员进行身份鉴别，只允许其通过特定的命令或操作界面进行系统管理操作，并对这些操作进行审计;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应通过系统管理员对系统的资源和运行进行配置、控制和管理，包括用户身份、系统资源配置、系统加载和启动、系统运行的异常处理、数据和设备的备份与恢复等。</w:t>
                  </w:r>
                </w:p>
              </w:tc>
            </w:tr>
            <w:tr w14:paraId="43A9E9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BDD4CA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9080D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审计管理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3E15B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应对审计管理员进行身份鉴别，只允许其通过特定的命令或操作界面进行安全审计操作，并对这些操作进行审计;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应通过审计管理员对审计记录进行分析，并根据分析结果进行处理，包括根据安全审计策略对审计记录进行存储、管理和查询等。</w:t>
                  </w:r>
                </w:p>
              </w:tc>
            </w:tr>
            <w:tr w14:paraId="3B9AA6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82A5BA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07F53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E8B7F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a）应对安全管理员进行身份鉴别，只允许其通过特定的命令或操作界面进行安全管理操作，并对这些操作进行审计;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应通过安全管理员对系统中的安全策略进行配置，包括安全参数的设置，主体、客体进行统一安全标记，对主体进行授权，配置可信验证策略等。</w:t>
                  </w:r>
                </w:p>
              </w:tc>
            </w:tr>
            <w:tr w14:paraId="403535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CC096B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7CC69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集中管控</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3A3CA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a）应划分出特定的管理区域，对分布在网络中的安全设备或安全组件进行管控;</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应能够建立一条安全的信息传输路径，对网络中的安全设备或安全组件进行管理;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c）应对网络链路、安全设备、网络设备和服务器等的运行状况进行集中监测;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d）应对分散在各个设备上的审计数据进行收集汇总和集中分析，并保证审计记录的留存时间符合法律法规要求;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e）应对安全策路、恶意代码、补丁升级等安全相关事项进行集中管理;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f）应能对网络中发生的各类安全事件进行识别、报警和分析。</w:t>
                  </w:r>
                </w:p>
              </w:tc>
            </w:tr>
            <w:tr w14:paraId="591F5D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142E2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安全管理制度</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F8AEE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安全策略</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83747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应制定网络安全工作的总体方针和安全策略，阐明机构安全工作的总体目标、范围、原则和安全框架等。</w:t>
                  </w:r>
                </w:p>
              </w:tc>
            </w:tr>
            <w:tr w14:paraId="79CBB6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vAlign w:val="center"/>
                </w:tcPr>
                <w:p w14:paraId="6894689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C2C77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管理制度</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04F72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应对安全管理活动中的主要管理内容建立安全管理制度;</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应对管理人员或操作人员执行的日常管理操作建立操作规程;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应形成由安全策略、管理制度、操作规程、记录表单等构成的全面的安全管理制度体系。</w:t>
                  </w:r>
                </w:p>
              </w:tc>
            </w:tr>
            <w:tr w14:paraId="277109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vAlign w:val="center"/>
                </w:tcPr>
                <w:p w14:paraId="3553D0C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749C51">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制定和发布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DC0AD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应指定或授权专门的部门或人员负责安全管理制度的制定;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安全管理制度应通过正式、有效的方式发布，并进行版本控制。</w:t>
                  </w:r>
                </w:p>
              </w:tc>
            </w:tr>
            <w:tr w14:paraId="16349F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vAlign w:val="center"/>
                </w:tcPr>
                <w:p w14:paraId="60E576B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13B05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评审和修订</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7D450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应定期对安全管理制度的合理性和适用性进行论证和审定，对存在不足或需要改进的安全管理制度进行修订。</w:t>
                  </w:r>
                </w:p>
              </w:tc>
            </w:tr>
            <w:tr w14:paraId="4B174B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CE91F2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安全管理机构</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0356C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岗位设置</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6F6F6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a）应成立指导和管理网络安全工作的委员会或领导小组，其最高领导由单位主管领导担任或授权;</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b）应设立网络安全管理工作的职能部门，设立安全主管、安全管理各个方面的负责人岗位，并定义各负责人的职责;</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c）应设立系统管理员、审计管理员和安全管理员等岗位，并定义部门及各个工作岗位的职责。</w:t>
                  </w:r>
                </w:p>
              </w:tc>
            </w:tr>
            <w:tr w14:paraId="5A6549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79891A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8F628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人员配备</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2E2A3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a）应配备一定数量的系统管理员、审计管理员和安全管理员等;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应配备专职安全管理员，不可兼任。</w:t>
                  </w:r>
                </w:p>
              </w:tc>
            </w:tr>
            <w:tr w14:paraId="34DD94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64C611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D767E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授权和审批</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9D53E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a）应根据各个部门和岗位的职责明确授权审批事项、审批部门和批准人等;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b）应针对系统变更、重要操作、物理访问和系统接入等事项建立审批程序，按照审批程序执行审批过程，对重要活动建立逐级审批制度;</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c）应定期审查审批事项，及时更新需授权和审批的项目、审批部门和审批人等信息。</w:t>
                  </w:r>
                </w:p>
              </w:tc>
            </w:tr>
            <w:tr w14:paraId="0F66DD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2F906C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8470A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沟通和合作</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00466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应加强各类管理人员、组织内部机构和网络安全管理部门之间的合作与沟通，定期召开协调会议，共同协作处理网络安全问题;</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应加强与网络安全职能部门、各类供应商、业界专家及安全组织的合作与沟通;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应建立外联单位联系列表，包括外联单位名称、合作内容、联系人和联系方式等信息。</w:t>
                  </w:r>
                </w:p>
              </w:tc>
            </w:tr>
            <w:tr w14:paraId="2EAC51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121DF0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1DE2B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审核和检查</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567AD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应定期进行常规安全检查，检查内容包括系统日常运行、系统漏洞和数据备份等情况;</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应定期进行全面安全检查，检查内容包括现有安全技术措施的有效性、安全配置与安全策略的一致性、安全管理制度的执行情况等;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应制定安全检查表格实施安全检查，汇总安全检查数据，形成安全检查报告，并对安全检查结果进行通报。</w:t>
                  </w:r>
                </w:p>
              </w:tc>
            </w:tr>
            <w:tr w14:paraId="7007E8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FFE0D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安全管理人员</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CB742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人员录用</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38E80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应指定或授权专门的部门或人员负责人员录用;</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b）应对被录用人员的身份、安全背景、专业资格或资质等进行审查，对其所具有的技术技能进行考核;</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c）应与被录用人员签署保密协议，与关键岗位人员签署岗位责任协议。</w:t>
                  </w:r>
                </w:p>
              </w:tc>
            </w:tr>
            <w:tr w14:paraId="6742DE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2D4AE3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CE53F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人员离岗</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A9BA0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a）应及时终止离岗人员的所有访问权限，取回各种身份证件、钥匙、徽章等以及机构提供的软硬件设备;</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应办理严格的调离手续，并承诺调离后的保密义务后方可离开。</w:t>
                  </w:r>
                </w:p>
              </w:tc>
            </w:tr>
            <w:tr w14:paraId="4319E8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3B6730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95343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安全意识教育和培训</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84FFB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a）应对各类人员进行安全意识教育和岗位技能培训，并告知相关的安全责任和惩戒措施;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b）应针对不同岗位制定不同的培训计划，对安全基础知识、岗位操作规程等进行培训;</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c）应定期对不同岗位的人员进行技能考核。</w:t>
                  </w:r>
                </w:p>
              </w:tc>
            </w:tr>
            <w:tr w14:paraId="26A4BE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8B2BBD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4654B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外部人员访问管理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29BF8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应在外部人员物理访问受控区域前先提出书面申请，批准后由专人全程陪同，并登记备案;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应在外部人员接入受控网络访问系统前先提出书面申请，批准后由专人开设账户、分配权限，并登记备案;</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外部人员离场后应及时清除其所有的访问权限;</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d）获得系统访问授权的外部人员应签署保密协议，不得进行非授权操作，不得复制和泄露任何敏感信息。</w:t>
                  </w:r>
                </w:p>
              </w:tc>
            </w:tr>
            <w:tr w14:paraId="4C6C2C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6B731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安全建设管理</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D79BD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定级和备案</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433CE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应以书面的形式说明保护对象的安全保护等级及确定等级的方法和理由;</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 xml:space="preserve">b) 应组织相关部门和有关安全技术专家对定级结果的合理性和正确性进行论证和审定;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应保证定级结果经过相关部门的批准;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应将备案材料报主管部门和相应公安机关备案。</w:t>
                  </w:r>
                </w:p>
              </w:tc>
            </w:tr>
            <w:tr w14:paraId="0B146D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B80564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45373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安全方案设计</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25E62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a）应根据安全保护等级选择基本安全措施，依据风险分析的结果补充和调整安全措施;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b）应根据保护对象的安全保护等级及与其他级别保护对象的关系进行安全整体规划和安全方案设计，设计内容应包含密码技术相关内容，并形成配套文件;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c）应组织相关部门和有关安全专家对安全整体规划及其配套文件的合理性和正确性进行论证和审定，经过批准后才能正式实施。</w:t>
                  </w:r>
                </w:p>
              </w:tc>
            </w:tr>
            <w:tr w14:paraId="565021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8DC9B72">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6EA12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产品采购和使用</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980FE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应确保网络安全产品采购和使用符合国家的有关规定;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应确保密码产品与服务的采购和使用符合国家密码管理主管部门的要求;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c）应预先对产品进行选型测试，确定产品的候选范围，并定期审定和更新候选产品名单。</w:t>
                  </w:r>
                </w:p>
              </w:tc>
            </w:tr>
            <w:tr w14:paraId="56B959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092A43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89F48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自行软件开发</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87557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a）应将开发环境与实际运行环境物理分开，测试数据和测试结果受到控制;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应制定软件开发管理制度，明确说明开发过程的控制方法和人员行为准则;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c）应制定代码编写安全规范，要求开发人员参照规范编写代码;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应具备软件设计的相关文档和使用指南，并对文档使用进行控制;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e）应保证在软件开发过程中对安全性进行测试，在软件安装前对可能存在的恶意代码进行检测;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 应对程序资源库的修改、更新、发布进行授权和批准，并严格进行版本控制;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g）应保证开发人员为专职人员、开发人员的开发活动受到控制、监视和审查。</w:t>
                  </w:r>
                </w:p>
              </w:tc>
            </w:tr>
            <w:tr w14:paraId="11D300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532F6B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43E22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外包软件开发</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A6A59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应在软件交付前检测其中可能存在的恶意代码;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应保证开发单位提供软件设计文档和使用指南;</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c）应保证开发单位提供软件源代码，并审查软件中可能存在的后门和隐蔽信道。</w:t>
                  </w:r>
                </w:p>
              </w:tc>
            </w:tr>
            <w:tr w14:paraId="63572C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9D95D8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9CA8C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工程实施</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543AC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应指定或授权专门的部门或人员负责工程实施过程的管理;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应制定安全工程实施方案控制工程实施过程;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c）应通过第三方工程监理控制项目的实施过程。</w:t>
                  </w:r>
                </w:p>
              </w:tc>
            </w:tr>
            <w:tr w14:paraId="186DB0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D16FA4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B734D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测试验收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090A2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应制订测试验收方案，并依据测试验收方案实施测试验收，形成测试验收报告;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b）应进行上线前的安全性测试，并出具安全测试报告，安全测试报告应包含密码应用安全性测试相关内容。</w:t>
                  </w:r>
                </w:p>
              </w:tc>
            </w:tr>
            <w:tr w14:paraId="37DEFB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4486A83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4D878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系统交付</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B846F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应制定交付清单，并根据交付清单对所交接的设备、软件和文档等进行清点;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应对负责运行维护的技术人员进行相应的技能培训;</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应提供建设过程文档和运行维护文档。</w:t>
                  </w:r>
                </w:p>
              </w:tc>
            </w:tr>
            <w:tr w14:paraId="7A1C21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9DC9F7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337D0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等级测评</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FC855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应定期进行等级测评，发现不符合相应等级保护标准要求的及时整改;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应在发生重大变更或级别发生变化时进行等级测评;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应确保测评机构的选择符合国家有关规定。</w:t>
                  </w:r>
                </w:p>
              </w:tc>
            </w:tr>
            <w:tr w14:paraId="7DE9E1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4AEF90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6B759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服务供应商选择</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768D0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应确保服务供应商的选择符合国家的有关规定;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应与选定的服务供应商签订相关协议，明确整个服务供应链各方需履行的网络安全相关义务;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c）应定期监督、评审和审核服务供应商提供的服务，并对其变更服务内容加以控制。</w:t>
                  </w:r>
                </w:p>
              </w:tc>
            </w:tr>
            <w:tr w14:paraId="39A850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3F0C9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安全运维管理</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DA3F11">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环境管理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E6754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应指定专门的部门或人员负责机房安全，对机房出入进行管理，定期对机房供配电、空调、温湿度控制、消防等设施进行维护管理;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b）应建立机房安全管理制度，对有关物理访问、物品带进出和环境安全等方面的管理作出规定;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应不在重要区域接待来访人员，不随意放置含有敏感信息的纸档文件和移动介质等。</w:t>
                  </w:r>
                </w:p>
              </w:tc>
            </w:tr>
            <w:tr w14:paraId="3A68DC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64E65D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63EAE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资产管理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20FAF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应编制并保存与保护对象相关的资产清单，包括资产责任部门、重要程度和所处位置等内容;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b）应根据资产的重要程度对资产进行标识管理，根据资产的价值选择相应的管理措施;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c）应对信息分类与标识方法作出规定，并对信息的使用、传输和存储等进行规范化管理。</w:t>
                  </w:r>
                </w:p>
              </w:tc>
            </w:tr>
            <w:tr w14:paraId="014EE5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E57EA0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C91CF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介质管理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A75F5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应将介质存放在安全的环境中，对各类介质进行控制和保护，实行存储环境专人管理，并根据存档介质的目录清单定期盘点;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应对介质在物理传输过程中的人员选择、打包、交付等情况进行控制，并对介质的归档和查询等进行登记记录。</w:t>
                  </w:r>
                </w:p>
              </w:tc>
            </w:tr>
            <w:tr w14:paraId="04F86E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14B79F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86729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设备维护管理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94853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应对各种设备(包括备份和冗余设备)、线路等指定专门的部门或人员定期进行维护管理;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应对配套设施、软硬件维护管理做出规定，包括明确维护人员的责任、维修和服务的审批、维修过程的监督控制等;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c）信息处理设备应经过审批才能带离机房或办公地点，含有存储介质的设备带出工作环境时其中重要数据应加密;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d）含有存储介质的设备在报废或重用前，应进行完全清除或被安全覆盖，保证该设备上的敏感数据和授权软件无法被恢复重用。</w:t>
                  </w:r>
                </w:p>
              </w:tc>
            </w:tr>
            <w:tr w14:paraId="0C8FA8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46508F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2C7E2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漏洞和风险管理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AAB8D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应采取必要的措施识别安全漏洞和隐患，对发现的安全漏洞和隐患及时进行修补或评估可能的影响后进行修补;</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b）应定期开展安全测评，形成安全测评报告，采取措施应对发现的安全问题。</w:t>
                  </w:r>
                </w:p>
              </w:tc>
            </w:tr>
            <w:tr w14:paraId="72F253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73DC04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1DAB0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网络和系统安全管理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05F2F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应划分不同的管理员角色进行网络和系统的运维管理，明确各个角色的责任和权限;</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应指定专门的部门或人员进行账户管理，对申请账户、建立账户、删除账户等进行控制;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应建立网络和系统安全管理制度，对安全策略、账户管理、配置管理、日志管理、日常操作、升级与打补丁、口令更新周期等方面作出规定;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应制定重要设备的配置和操作手册，依据手册对设备进行安全配置和优化配置等;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应详细记录运维操作日志，包括日常巡检工作、运行维护记录、参数的设置和修改等内容;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f）应指定专门的部门或人员对日志、监测和报警数据等进行分析、统计，及时发现可疑行为;</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g）应严格控制变更性运维，经过审批后才可改变连接、安装系统组件或调整配置参数，操作过程中应保留不可更改的审计日志，操作结束后应同步更新配置信息库;</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h）应严格控制运维工具的使用，经过审批后才可接入进行操作，操作过程中应保留不可更改的审计日志，操作结束后应删除工具中的敏感数据;</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i）应严格控制远程运维的开通，经过审批后才可开通远程运维接口或通道，操作过程中应保留不可更改的审计日志，操作结束后立即关闭接口或通道;</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j）应保证所有与外部的连接均得到授权和批准，应定期检查违反规定无线上网及其他违反网络安全策略的行为。</w:t>
                  </w:r>
                </w:p>
              </w:tc>
            </w:tr>
            <w:tr w14:paraId="1338FE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8BE726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C57CC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恶意代码防范管理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869EE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应提高所有用户的防恶意代码意识，对外来计算机或存储设备接入系统前进行恶意代码检查等;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b）应定期验证防范恶意代码攻击的技术措施的有效性。</w:t>
                  </w:r>
                </w:p>
              </w:tc>
            </w:tr>
            <w:tr w14:paraId="1FD543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C694B3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DD6F7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配置管理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55302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应记录和保存基本配置信息，包括网络拓扑结构、各个设备安装的软件组件、软件组件的版本和 补丁信息、各个设备或软件组件的配置参数等;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应将基本配置信息改变纳入变更范畴，实施对配置信息改变的控制，并及时更新基本配置信息库。</w:t>
                  </w:r>
                </w:p>
              </w:tc>
            </w:tr>
            <w:tr w14:paraId="52B60E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E13D78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825AD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密码管理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319DF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应遵循密码相关国家标准和行业标准;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应使用国家密码管理主管部门认证核准的密码技术和产品。</w:t>
                  </w:r>
                </w:p>
              </w:tc>
            </w:tr>
            <w:tr w14:paraId="6E8038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D351D4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BB845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变更管理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80AF4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a）应明确变更需求，变更前根据变更需求制定变更方案，变更方案经过评审、审批后方可实施;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应建立变更的申报和审批控制程序，依据程序控制所有的变更，记录变更实施过程;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c）应建立中止变更并从失败变更中恢复的程序，明确过程控制方法和人员职责，必要时对恢复过程进行演练。</w:t>
                  </w:r>
                </w:p>
              </w:tc>
            </w:tr>
            <w:tr w14:paraId="796FBA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D13017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96D89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备份与恢复管理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3EE8D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应识别需要定期备份的重要业务信息、系统数据及软件系统等;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应规定备份信息的备份方式、备份频度、存储介质、保存期等;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应根据数据的重要性和数据对系统运行的影响，制定数据的备份策略和恢复策略、备份程序和恢复程序等。</w:t>
                  </w:r>
                </w:p>
              </w:tc>
            </w:tr>
            <w:tr w14:paraId="7E1078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DAC148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6862F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安全事件处置</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238E5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应及时向安全管理部门报告所发现的安全弱点和可疑事件;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应制定安全事件报告和处置管理制度，明确不同安全事件的报告、处置和响应流程，规定安全事件的现场处理、事件报告和后期恢复的管理职责等;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应在安全事件报告和响应处理过程中，分析和鉴定事件产生的原因，收集证据，记录处理过程，总结经验教训;</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d）对造成系统中断和造成信息泄漏的重大安全事件应采用不同的处理程序和报告程序。</w:t>
                  </w:r>
                </w:p>
              </w:tc>
            </w:tr>
            <w:tr w14:paraId="1B188C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AEA73E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4F894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应急预案管理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53FBC2">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a）应规定统一的应急预案框架，包括启动预案的条件、应急组织构成、应急资源保障、事后教育和培训等内容;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应制定重要事件的应急预案，包括应急处理流程、系统恢复流程等内容;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c）应定期对系统相关的人员进行应急预案培训，并进行应急预案的演练;</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d）应定期对原有的应急预案重新评估，修订完善。</w:t>
                  </w:r>
                </w:p>
              </w:tc>
            </w:tr>
            <w:tr w14:paraId="3C2C41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44C46D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FFAD3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外包运维管理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67C38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应确保外包运维服务商的选择符合国家的有关规定;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应与选定的外包运维服务商签订相关的协议，明确约定外包运维的范围、工作内容;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c）应保证选择的外包运维服务商在技术和管理方面均应具有按照等级保护要求开展安全运维工作的能力，并将能力要求在签订的协议中明确;</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应在与外包运维服务商签订的协议中明确所有相关的安全要求，如可能涉及对敏感信息的访问、处理、存储要求，对IT基础设施中断服务的应急保障要求等。</w:t>
                  </w:r>
                </w:p>
              </w:tc>
            </w:tr>
          </w:tbl>
          <w:p w14:paraId="6155298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r>
      <w:tr w14:paraId="402BB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A2B8">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2D78">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质量与人员要求</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632C">
            <w:pPr>
              <w:keepNext/>
              <w:numPr>
                <w:ilvl w:val="0"/>
                <w:numId w:val="3"/>
              </w:numPr>
              <w:snapToGrid w:val="0"/>
              <w:ind w:left="0" w:leftChars="0" w:right="0" w:rightChars="0" w:firstLine="0" w:firstLineChars="0"/>
              <w:jc w:val="left"/>
              <w:rPr>
                <w:rFonts w:hint="eastAsia"/>
              </w:rPr>
            </w:pPr>
            <w:r>
              <w:rPr>
                <w:rFonts w:hint="eastAsia" w:ascii="宋体" w:hAnsi="宋体" w:eastAsia="宋体" w:cs="宋体"/>
                <w:color w:val="auto"/>
                <w:szCs w:val="21"/>
                <w:highlight w:val="none"/>
                <w:lang w:val="en-US" w:eastAsia="zh-CN"/>
              </w:rPr>
              <w:t>投标人所提供的服务质量须达到医院的要求，在保证服务期和服务质量的前提下为医院提供服务，服务中的一切风险（包括人员安全事故责任、与第三方的劳务纠纷、项目实施过程中的劳务纠纷及人员伤害等）均由投标人承担责任。</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项目实施过程中，若项目服务团队无法满足项目工作要求，医院有权要求投标人调换服务人员，投标人须无条件配合。在测评服务期间，投标人项目经理及核心服务人员未经医院书面同意不得随意调整。如遇特殊情况需调整人员，投标人应至少提前5个工作日向医院提交书面变更申请，经医院书面审批通过后方可执行。</w:t>
            </w:r>
          </w:p>
          <w:p w14:paraId="7F03A5F2">
            <w:pPr>
              <w:keepNext/>
              <w:numPr>
                <w:ilvl w:val="0"/>
                <w:numId w:val="0"/>
              </w:numPr>
              <w:snapToGrid w:val="0"/>
              <w:ind w:leftChars="0" w:right="0" w:rightChars="0"/>
              <w:jc w:val="left"/>
              <w:rPr>
                <w:rFonts w:hint="eastAsia"/>
              </w:rPr>
            </w:pPr>
            <w:r>
              <w:rPr>
                <w:rFonts w:hint="eastAsia" w:ascii="宋体" w:hAnsi="宋体" w:eastAsia="宋体" w:cs="宋体"/>
                <w:color w:val="auto"/>
                <w:szCs w:val="21"/>
                <w:highlight w:val="none"/>
                <w:lang w:val="en-US" w:eastAsia="zh-CN"/>
              </w:rPr>
              <w:t>3、测评机构人员要求：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（1）开展此次等级保护测评工作的人员仅限于中华人民共和国境内的中国公民，且无犯罪记录。</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（2）开展此次等级保护测评工作的人员应参加信息安全等级保护测评人员培训。</w:t>
            </w:r>
          </w:p>
        </w:tc>
      </w:tr>
      <w:tr w14:paraId="023B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789B">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481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服务内容</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7C8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1、测评服务对象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按照网络安全等级保护第三级测评标准，完成我院在用或在建HIS系统、LIS系统、PACS系统、EMR系统、HRP系统、门户网站、互联网医院、集成平台、OA系统的测评，具体测评内容医院将根据政策文件和业务需求确定测评内容，以每年签署《测评系统确认单》为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2、测评服务内容：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根据等级保护测评2.0的工作要求，测评范围覆盖安全管理中心、安全物理环境、安全通信网络、安全区域边界、安全计算环境、安全管理制度，以及云计算安全、移动互联安全、物联网安全、工业控制系统安全等扩展方面的要求。具体服务内容包括：</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（1）协助医院进行信息系统的信息安全等级定级和备案工作。</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（2）差距测评，至少包括：</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安全技术测评。包括安全物理环境、安全通信网络、安全区域边界、安全计算环境、安全管理中心方面的安全测评。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安全管理测评。包括安全管理制度、安全管理机构、安全管理人员、安全系统建设和安全系统运维五个方面的安全测评。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形成问题汇总及整改意见报告。依据测评结果，对等级测评结果进行汇总统计（测评项符合情况及比例、单元测评结果符合情况比例以及整体测评结果）；通过对信息系统基本安全保护状态的分析给出初步测评结论。根据测评结果制定《系统等级保护测评问题汇总及整改意见报告》，列出被测信息系统中存在的主要问题及整改意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（3）协助完成整改工作。依据整改方案，为安全整改的各项工作提供技术咨询服务。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（4）等级测评，至少包括：</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按照等级保护相关标准对系统从安全技术、安全管理等方面进行等级测评工作。</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编制测评报告，制定并提交《网络安全等级测评报告》，报告需提交公安机关有关部门备案，且能满足合规性要求。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（5）其他服务内容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①服务年度内根据医院需求选择开展为医院开展一次网络安全风险评估，提供报告，或组织一次攻防演练。</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②负责对医院职工进行网络安全培训1次，对信息安全管理人员进行技术培训2次。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③年度内出具共4次（分季度）网络安全分析报告，包括防攻击、容灾、数据安全的内容。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④提供网络安全咨询服务，提供新建系统网络安全规划咨询服务、信息与网络安全整体设计优化方案等。</w:t>
            </w:r>
          </w:p>
        </w:tc>
      </w:tr>
      <w:tr w14:paraId="66573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EE91">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32F3">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服务要求</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BAD4">
            <w:pPr>
              <w:keepNext/>
              <w:snapToGrid w:val="0"/>
              <w:ind w:left="0" w:leftChars="0" w:right="0" w:rightChars="0"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1、测评要求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按照等级保护测评2.0的工作要求进行三级等保测评（若行业标准有变化则按照最新标准执行）</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2、测评应满足的原则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本次信息系统等级保护测评服务方案设计，以及具体实施内容应满足以下原则：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(1)保密原则：对测评的过程数据和结果数据严格保密，未经授权不得泄露给任何单位和个人，不得利用此数据进行任何侵害医院的行为，否则医院有权追究投标人的责任。</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(2)标准性原则：测评方案的设计与实施应依据国家等级保护的相关标准进行。</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(3)规范性原则：投标人的工作中的过程和文档，具有很好的规范性，可以便于项目的跟踪和控制。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(4)可控性原则：等保测评服务的进度要跟上进度表的安排，保证医院对于测评工作的可控性。</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(5)整体性原则：等保测评服务的范围和内容应当整体全面，包括国家等级保护相关要求涉及的各个层面。</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(6)最小影响原则：等保测评服务工作应尽可能小的影响系统和网络，并在可控范围内；测评工作不能对现有信息系统的正常运行、业务的正常开展产生任何影响。投标人应严格依照上述原则和国家等级保护相关标准开展项目实施工作。</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3、项目进度要求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(1)本项目测评实施要求同步实施、重点先行、阶段性成果展现相结合。具体实现进度要求如下：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(2)系统梳理。组建项目组，协助医院完成待测信息系统梳理工作。</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(3)现场测评。进行现场测评，同时对医院信息安全相关人员进行安全技术培训。初次测评完成后，提交初评的整改意见报告。</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(4)整改加固协助。协助医院针对测评过程中发现的安全问题进行技术整改加固工作，并进行整改后的回归测评。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4、项目实施要求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投标人应为本项目配置相应的实施团队，负责提供的服务内容至少应包括，但不限于以下各项：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(1)等保测评包括但不限于以下对象：网络结构、网络服务、主机系统、存储备份系统、数据库、中间件、应用系统、数据安全、安全系统、系统安全策略等。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(2)安全测评工作应选择在非业务繁忙时段进行，将可能带来的影响减至最小。</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(3)等级保护测评完成后，协助院方整理备案材料和进行主管部门备案。</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(4)提供医院要求的网络安全其他服务。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5、项目管理要求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对项目进行科学严格的管理，通过系统计划、有序组织、科学指导和有效控制，促进项目全面顺利实施，投标人必须提供完整的项目管理方案，并符合以下要求：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(1)投标人及其测评人员应当严格执行有关国家信息安全等级保护相关标准和有关规定，提供客观、公平、公正、有效的等级保护测评服务，并承担相应的法律责任；</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应具备能够保证其公正性、独立性的质量体系，确保测评活动不受任何可能影响测评结果的商业、财务、健康、环境等方面的压力；</w:t>
            </w:r>
          </w:p>
        </w:tc>
      </w:tr>
      <w:tr w14:paraId="10F7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7DAE">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82B53">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测评工具要求</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A602">
            <w:pPr>
              <w:keepNext/>
              <w:snapToGrid w:val="0"/>
              <w:ind w:left="0" w:leftChars="0" w:right="0" w:rightChars="0"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1、采用的测评工具必须获得正版授权，并在有效期内，不得使用盗版软件；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2、采用的测评工具在功能、性能等满足使用要求前提下，应优先采用具有国内自主知识产权的同类产品；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3、测评机构所使用的测评工具不会对系统产生破坏或负面影响。</w:t>
            </w:r>
          </w:p>
        </w:tc>
      </w:tr>
      <w:tr w14:paraId="1F73C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06B9">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1964">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服务成果</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495C">
            <w:pPr>
              <w:keepNext/>
              <w:numPr>
                <w:ilvl w:val="0"/>
                <w:numId w:val="0"/>
              </w:numPr>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lang w:val="en-US" w:eastAsia="zh-CN"/>
              </w:rPr>
              <w:t>投标人应在对项目内容充分调研了解的基础上，结合现有运维管理体系和技术状况，根据等级保护相关要求，针对实际业务需要，提出系统建设整改建议。具体应包括：信息安全管理体系、信息安全技术体系等方面，应编制《网络安全整改建议方案》，对医院指定的信息系统开展等级保护测评并交付测评报告。</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安全整改完成后，投标人进行安全问题复测，并进行信息系统等级测评报告编制。测评报告编制需按照公安机关颁布最新测评报告模板，对信息系统的安全问题项进行符合度评分，并根据各测评项权重计算各层面得分、信息系统总体得分，并在报告中给出安全问题处置建议。投标人应针对被测系统分别出具《网络安全等级测评报告》。</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3、在测评完成后，投标人应根据《网络安全整改建议方案》，分析当前安全形势，分析整体安全态势。做出合理的安全优化建议方案，并协助医院完成整改。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4、满足其他服务要求，在服务期内每季度向医院提交《网络安全分析报告》。</w:t>
            </w:r>
          </w:p>
          <w:p w14:paraId="79F12115">
            <w:pPr>
              <w:keepNext/>
              <w:numPr>
                <w:ilvl w:val="0"/>
                <w:numId w:val="0"/>
              </w:numPr>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5、服务期内按采购人要求完成《攻防演练报告》和《渗透测试报告》，不少于2次。</w:t>
            </w:r>
          </w:p>
          <w:p w14:paraId="4949F55F">
            <w:pPr>
              <w:keepNext/>
              <w:numPr>
                <w:ilvl w:val="0"/>
                <w:numId w:val="0"/>
              </w:numPr>
              <w:snapToGrid w:val="0"/>
              <w:ind w:left="0" w:leftChars="0" w:right="0" w:rightChars="0"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6、服务期内要求完成《网络安全意识培训手册》《网络安全技术培训手册》《网络安全建设意见》等文档。</w:t>
            </w:r>
          </w:p>
        </w:tc>
      </w:tr>
    </w:tbl>
    <w:p w14:paraId="591CDEF3">
      <w:pPr>
        <w:rPr>
          <w:rFonts w:hint="eastAsia"/>
          <w:lang w:val="en-US" w:eastAsia="zh-CN"/>
        </w:rPr>
      </w:pPr>
    </w:p>
    <w:p w14:paraId="18B3071B">
      <w:pPr>
        <w:rPr>
          <w:rFonts w:hint="eastAsia"/>
          <w:lang w:val="en-US" w:eastAsia="zh-CN"/>
        </w:rPr>
        <w:sectPr>
          <w:pgSz w:w="11906" w:h="16838"/>
          <w:pgMar w:top="1134" w:right="567" w:bottom="1134" w:left="1134" w:header="851" w:footer="992" w:gutter="0"/>
          <w:cols w:space="425" w:num="1"/>
          <w:docGrid w:type="lines" w:linePitch="312" w:charSpace="0"/>
        </w:sectPr>
      </w:pPr>
    </w:p>
    <w:p w14:paraId="7E703842">
      <w:pPr>
        <w:pStyle w:val="15"/>
        <w:rPr>
          <w:rFonts w:hint="eastAsia"/>
          <w:lang w:val="en-US" w:eastAsia="zh-CN"/>
        </w:rPr>
      </w:pPr>
    </w:p>
    <w:p w14:paraId="18DD3D7E">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27" w:name="_Toc7903"/>
      <w:r>
        <w:rPr>
          <w:rFonts w:hint="eastAsia"/>
          <w:lang w:val="en-US" w:eastAsia="zh-CN"/>
        </w:rPr>
        <w:t>五、三甲综合医院同类项目案例</w:t>
      </w:r>
      <w:bookmarkEnd w:id="27"/>
    </w:p>
    <w:p w14:paraId="7AB2E5A9">
      <w:pPr>
        <w:pStyle w:val="4"/>
        <w:bidi w:val="0"/>
        <w:ind w:firstLine="482" w:firstLineChars="200"/>
        <w:rPr>
          <w:rFonts w:hint="eastAsia"/>
          <w:lang w:val="en-US" w:eastAsia="zh-CN"/>
        </w:rPr>
      </w:pPr>
      <w:bookmarkStart w:id="28" w:name="_Toc4476"/>
      <w:r>
        <w:rPr>
          <w:rFonts w:hint="eastAsia"/>
          <w:lang w:val="en-US" w:eastAsia="zh-CN"/>
        </w:rPr>
        <w:t>5.1四川省内（）家</w:t>
      </w:r>
      <w:bookmarkEnd w:id="28"/>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A84646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7A042C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15B06E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12005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49C4A6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447613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7F3C62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验收时间</w:t>
            </w:r>
          </w:p>
        </w:tc>
      </w:tr>
      <w:tr w14:paraId="3C76D48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CBC2C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ED80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782FD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4CCAB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9F86D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1111B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515CE5A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B8C50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2</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EE75E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3D533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7471A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D6DAF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674BD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7872F2A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173977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BE753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1C24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75C27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7B5A7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21E3A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657AFF2D">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F0AF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051C6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A0CB4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A6D10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6D795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2E5D7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bl>
    <w:p w14:paraId="643454EC">
      <w:pPr>
        <w:pStyle w:val="23"/>
        <w:ind w:firstLine="0" w:firstLineChars="0"/>
        <w:rPr>
          <w:rFonts w:hint="eastAsia" w:ascii="仿宋" w:hAnsi="仿宋" w:eastAsia="仿宋" w:cs="仿宋"/>
          <w:sz w:val="30"/>
          <w:szCs w:val="30"/>
        </w:rPr>
      </w:pPr>
    </w:p>
    <w:p w14:paraId="4337E2B5">
      <w:pPr>
        <w:pStyle w:val="15"/>
        <w:rPr>
          <w:rFonts w:hint="eastAsia" w:ascii="仿宋" w:hAnsi="仿宋" w:eastAsia="仿宋" w:cs="仿宋"/>
          <w:kern w:val="2"/>
          <w:sz w:val="30"/>
          <w:szCs w:val="30"/>
        </w:rPr>
      </w:pPr>
    </w:p>
    <w:p w14:paraId="607BD5F6">
      <w:pPr>
        <w:pStyle w:val="15"/>
        <w:rPr>
          <w:rFonts w:hint="eastAsia" w:ascii="仿宋" w:hAnsi="仿宋" w:eastAsia="仿宋" w:cs="仿宋"/>
          <w:kern w:val="2"/>
          <w:sz w:val="30"/>
          <w:szCs w:val="30"/>
        </w:rPr>
      </w:pPr>
    </w:p>
    <w:p w14:paraId="22586352">
      <w:pPr>
        <w:pStyle w:val="15"/>
        <w:rPr>
          <w:rFonts w:hint="eastAsia" w:ascii="仿宋" w:hAnsi="仿宋" w:eastAsia="仿宋" w:cs="仿宋"/>
          <w:kern w:val="2"/>
          <w:sz w:val="30"/>
          <w:szCs w:val="30"/>
        </w:rPr>
      </w:pPr>
    </w:p>
    <w:p w14:paraId="6CC2E8DE">
      <w:pPr>
        <w:pStyle w:val="15"/>
        <w:rPr>
          <w:rFonts w:hint="eastAsia" w:ascii="仿宋" w:hAnsi="仿宋" w:eastAsia="仿宋" w:cs="仿宋"/>
          <w:kern w:val="2"/>
          <w:sz w:val="30"/>
          <w:szCs w:val="30"/>
        </w:rPr>
      </w:pPr>
    </w:p>
    <w:p w14:paraId="1D180795">
      <w:pPr>
        <w:pStyle w:val="15"/>
        <w:rPr>
          <w:rFonts w:hint="eastAsia" w:ascii="仿宋" w:hAnsi="仿宋" w:eastAsia="仿宋" w:cs="仿宋"/>
          <w:kern w:val="2"/>
          <w:sz w:val="30"/>
          <w:szCs w:val="30"/>
        </w:rPr>
      </w:pPr>
    </w:p>
    <w:p w14:paraId="7A5F7BF4">
      <w:pPr>
        <w:pStyle w:val="4"/>
        <w:bidi w:val="0"/>
        <w:ind w:firstLine="482" w:firstLineChars="200"/>
        <w:rPr>
          <w:rFonts w:hint="eastAsia"/>
          <w:lang w:val="en-US" w:eastAsia="zh-CN"/>
        </w:rPr>
      </w:pPr>
      <w:bookmarkStart w:id="29" w:name="_Toc13355"/>
      <w:r>
        <w:rPr>
          <w:rFonts w:hint="eastAsia"/>
          <w:lang w:val="en-US" w:eastAsia="zh-CN"/>
        </w:rPr>
        <w:t>5.2四川省外（）家</w:t>
      </w:r>
      <w:bookmarkEnd w:id="29"/>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13DFCBC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775D08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2F40C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26E033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36215A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548C39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0A2505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验收时间</w:t>
            </w:r>
          </w:p>
        </w:tc>
      </w:tr>
      <w:tr w14:paraId="13B582A7">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37943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7C77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EB2D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A9C8A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31CA0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B4FB5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44322D2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1DAE8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2</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612C75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BF515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DE5D9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8E04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19472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528ECAF1">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80712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8570A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6907A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75120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A497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37F39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16D58C7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7AC1A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F660F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C4060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C837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006D2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257E01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bl>
    <w:p w14:paraId="7A10F7B0">
      <w:pPr>
        <w:rPr>
          <w:rFonts w:hint="eastAsia"/>
          <w:lang w:val="en-US" w:eastAsia="zh-CN"/>
        </w:rPr>
      </w:pPr>
    </w:p>
    <w:p w14:paraId="17A922E8">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3C796354">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69868A95">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0B12C8A5">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346ACD2B">
      <w:pPr>
        <w:pStyle w:val="4"/>
        <w:bidi w:val="0"/>
        <w:ind w:firstLine="482" w:firstLineChars="200"/>
        <w:rPr>
          <w:rFonts w:hint="eastAsia"/>
          <w:lang w:val="en-US" w:eastAsia="zh-CN"/>
        </w:rPr>
      </w:pPr>
    </w:p>
    <w:p w14:paraId="2825E0AF">
      <w:pPr>
        <w:pStyle w:val="4"/>
        <w:bidi w:val="0"/>
        <w:ind w:firstLine="482" w:firstLineChars="200"/>
        <w:rPr>
          <w:rFonts w:hint="eastAsia"/>
          <w:lang w:val="en-US" w:eastAsia="zh-CN"/>
        </w:rPr>
      </w:pPr>
      <w:bookmarkStart w:id="30" w:name="_Toc30521"/>
      <w:bookmarkStart w:id="31" w:name="_Toc138151651"/>
      <w:r>
        <w:rPr>
          <w:rFonts w:hint="eastAsia"/>
          <w:lang w:val="en-US" w:eastAsia="zh-CN"/>
        </w:rPr>
        <w:t>5.3三甲综合医院同类项目案例合同及验收佐证</w:t>
      </w:r>
      <w:bookmarkEnd w:id="30"/>
      <w:bookmarkEnd w:id="31"/>
    </w:p>
    <w:p w14:paraId="6066B77B">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000000"/>
          <w:kern w:val="2"/>
          <w:sz w:val="24"/>
          <w:szCs w:val="24"/>
          <w:lang w:val="en-US" w:eastAsia="zh-CN" w:bidi="ar-SA"/>
        </w:rPr>
      </w:pPr>
      <w:r>
        <w:rPr>
          <w:rFonts w:hint="eastAsia"/>
          <w:lang w:val="en-US" w:eastAsia="zh-CN"/>
        </w:rPr>
        <w:t>六、</w:t>
      </w:r>
      <w:bookmarkStart w:id="32" w:name="_Toc7342"/>
      <w:r>
        <w:rPr>
          <w:rFonts w:hint="eastAsia"/>
          <w:lang w:val="en-US" w:eastAsia="zh-CN"/>
        </w:rPr>
        <w:t>服务方案</w:t>
      </w:r>
      <w:bookmarkEnd w:id="32"/>
    </w:p>
    <w:p w14:paraId="69AE2DAA">
      <w:pPr>
        <w:bidi w:val="0"/>
        <w:rPr>
          <w:rFonts w:hint="eastAsia"/>
          <w:lang w:val="en-US" w:eastAsia="zh-CN"/>
        </w:rPr>
      </w:pPr>
      <w:bookmarkStart w:id="33" w:name="_Toc138151653"/>
      <w:r>
        <w:rPr>
          <w:rFonts w:hint="eastAsia"/>
          <w:lang w:val="en-US" w:eastAsia="zh-CN"/>
        </w:rPr>
        <w:t>（包含以上内容，其他内容自拟）</w:t>
      </w:r>
    </w:p>
    <w:bookmarkEnd w:id="33"/>
    <w:p w14:paraId="6CB9F6A8">
      <w:pPr>
        <w:rPr>
          <w:rFonts w:hint="eastAsia"/>
          <w:lang w:val="en-US" w:eastAsia="zh-CN"/>
        </w:rPr>
      </w:pPr>
    </w:p>
    <w:p w14:paraId="1C3A7D4D">
      <w:pPr>
        <w:rPr>
          <w:rFonts w:hint="eastAsia"/>
          <w:lang w:val="en-US" w:eastAsia="zh-CN"/>
        </w:rPr>
      </w:pPr>
    </w:p>
    <w:p w14:paraId="7086F3D8">
      <w:pPr>
        <w:rPr>
          <w:rFonts w:hint="default"/>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7213F1-DB3F-4685-9F28-E17A479DD9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0A6195B-DB7D-4A3D-9BB6-BBA14B386C61}"/>
  </w:font>
  <w:font w:name="仿宋">
    <w:panose1 w:val="02010609060101010101"/>
    <w:charset w:val="86"/>
    <w:family w:val="auto"/>
    <w:pitch w:val="default"/>
    <w:sig w:usb0="800002BF" w:usb1="38CF7CFA" w:usb2="00000016" w:usb3="00000000" w:csb0="00040001" w:csb1="00000000"/>
    <w:embedRegular r:id="rId3" w:fontKey="{6E74ABAE-5918-4916-B12E-E0468E78979B}"/>
  </w:font>
  <w:font w:name="微软雅黑">
    <w:panose1 w:val="020B0503020204020204"/>
    <w:charset w:val="86"/>
    <w:family w:val="auto"/>
    <w:pitch w:val="default"/>
    <w:sig w:usb0="80000287" w:usb1="2ACF3C50" w:usb2="00000016" w:usb3="00000000" w:csb0="0004001F" w:csb1="00000000"/>
    <w:embedRegular r:id="rId4" w:fontKey="{655A5C9F-B77C-480E-A401-18555B007A1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07668A"/>
    <w:multiLevelType w:val="singleLevel"/>
    <w:tmpl w:val="C907668A"/>
    <w:lvl w:ilvl="0" w:tentative="0">
      <w:start w:val="1"/>
      <w:numFmt w:val="decimal"/>
      <w:lvlText w:val="%1."/>
      <w:lvlJc w:val="left"/>
      <w:pPr>
        <w:tabs>
          <w:tab w:val="left" w:pos="312"/>
        </w:tabs>
      </w:pPr>
    </w:lvl>
  </w:abstractNum>
  <w:abstractNum w:abstractNumId="1">
    <w:nsid w:val="E64DC3CE"/>
    <w:multiLevelType w:val="singleLevel"/>
    <w:tmpl w:val="E64DC3CE"/>
    <w:lvl w:ilvl="0" w:tentative="0">
      <w:start w:val="1"/>
      <w:numFmt w:val="chineseCounting"/>
      <w:suff w:val="nothing"/>
      <w:lvlText w:val="（%1）"/>
      <w:lvlJc w:val="left"/>
      <w:rPr>
        <w:rFonts w:hint="eastAsia"/>
      </w:rPr>
    </w:lvl>
  </w:abstractNum>
  <w:abstractNum w:abstractNumId="2">
    <w:nsid w:val="23DEF404"/>
    <w:multiLevelType w:val="singleLevel"/>
    <w:tmpl w:val="23DEF404"/>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11822FF"/>
    <w:rsid w:val="01D52A58"/>
    <w:rsid w:val="021006E5"/>
    <w:rsid w:val="0224038E"/>
    <w:rsid w:val="02CE7139"/>
    <w:rsid w:val="03163E1D"/>
    <w:rsid w:val="03552A08"/>
    <w:rsid w:val="03D3104E"/>
    <w:rsid w:val="04593878"/>
    <w:rsid w:val="052B1309"/>
    <w:rsid w:val="05E665A4"/>
    <w:rsid w:val="064055CE"/>
    <w:rsid w:val="06707752"/>
    <w:rsid w:val="07B611C8"/>
    <w:rsid w:val="07C115F6"/>
    <w:rsid w:val="07C537D5"/>
    <w:rsid w:val="07E9598A"/>
    <w:rsid w:val="07F76D1E"/>
    <w:rsid w:val="085B7E12"/>
    <w:rsid w:val="088E0B0F"/>
    <w:rsid w:val="09EF4DDA"/>
    <w:rsid w:val="0A4B342C"/>
    <w:rsid w:val="0A5A448A"/>
    <w:rsid w:val="0AED6E12"/>
    <w:rsid w:val="0B307376"/>
    <w:rsid w:val="0C007C2F"/>
    <w:rsid w:val="0C603D76"/>
    <w:rsid w:val="0C811C7B"/>
    <w:rsid w:val="0CDC4161"/>
    <w:rsid w:val="0D041EBC"/>
    <w:rsid w:val="0D5422FE"/>
    <w:rsid w:val="0DD4413B"/>
    <w:rsid w:val="0E266744"/>
    <w:rsid w:val="0EA93CA3"/>
    <w:rsid w:val="10151202"/>
    <w:rsid w:val="10AE73EC"/>
    <w:rsid w:val="10BD6274"/>
    <w:rsid w:val="1118101A"/>
    <w:rsid w:val="11DA6532"/>
    <w:rsid w:val="121A3D4C"/>
    <w:rsid w:val="134306AA"/>
    <w:rsid w:val="135A02D0"/>
    <w:rsid w:val="13712447"/>
    <w:rsid w:val="14461E0A"/>
    <w:rsid w:val="148B7538"/>
    <w:rsid w:val="14E013D0"/>
    <w:rsid w:val="15C73093"/>
    <w:rsid w:val="15CF1F26"/>
    <w:rsid w:val="15DB7F42"/>
    <w:rsid w:val="16207B77"/>
    <w:rsid w:val="16B36D4D"/>
    <w:rsid w:val="1799286B"/>
    <w:rsid w:val="185B5474"/>
    <w:rsid w:val="18D92EBD"/>
    <w:rsid w:val="190C14F0"/>
    <w:rsid w:val="1AAF2DD5"/>
    <w:rsid w:val="1AC85C22"/>
    <w:rsid w:val="1AE31E7C"/>
    <w:rsid w:val="1B46204F"/>
    <w:rsid w:val="1BBC5511"/>
    <w:rsid w:val="1BEB00C0"/>
    <w:rsid w:val="1C036DD3"/>
    <w:rsid w:val="1DBE13B8"/>
    <w:rsid w:val="1E053C26"/>
    <w:rsid w:val="1E4A73F0"/>
    <w:rsid w:val="1E77318B"/>
    <w:rsid w:val="1EB94F81"/>
    <w:rsid w:val="1ED65F1E"/>
    <w:rsid w:val="20390524"/>
    <w:rsid w:val="20E172DD"/>
    <w:rsid w:val="20E3342D"/>
    <w:rsid w:val="210E5779"/>
    <w:rsid w:val="217F7DF1"/>
    <w:rsid w:val="22A273FF"/>
    <w:rsid w:val="23161D76"/>
    <w:rsid w:val="23E3036F"/>
    <w:rsid w:val="25380CA0"/>
    <w:rsid w:val="25707940"/>
    <w:rsid w:val="257D0110"/>
    <w:rsid w:val="25C63BAB"/>
    <w:rsid w:val="25C67C05"/>
    <w:rsid w:val="260F404F"/>
    <w:rsid w:val="263578BE"/>
    <w:rsid w:val="269C53C9"/>
    <w:rsid w:val="26A70C65"/>
    <w:rsid w:val="270C409F"/>
    <w:rsid w:val="2777374E"/>
    <w:rsid w:val="27CF4822"/>
    <w:rsid w:val="283860D8"/>
    <w:rsid w:val="286E270D"/>
    <w:rsid w:val="29FF496C"/>
    <w:rsid w:val="2A1F28C7"/>
    <w:rsid w:val="2A2A3E76"/>
    <w:rsid w:val="2B8925CC"/>
    <w:rsid w:val="2C376479"/>
    <w:rsid w:val="2C6F6170"/>
    <w:rsid w:val="2C9F6F43"/>
    <w:rsid w:val="2D5028A8"/>
    <w:rsid w:val="2D755A60"/>
    <w:rsid w:val="2E8E10D4"/>
    <w:rsid w:val="2F8D0CD0"/>
    <w:rsid w:val="305F1B4D"/>
    <w:rsid w:val="3062425E"/>
    <w:rsid w:val="30893524"/>
    <w:rsid w:val="30C93B1B"/>
    <w:rsid w:val="31595845"/>
    <w:rsid w:val="32024D28"/>
    <w:rsid w:val="337511B1"/>
    <w:rsid w:val="34821AD6"/>
    <w:rsid w:val="34A93520"/>
    <w:rsid w:val="34B66051"/>
    <w:rsid w:val="34EF00BE"/>
    <w:rsid w:val="35C97E96"/>
    <w:rsid w:val="36C21BE7"/>
    <w:rsid w:val="36C450EA"/>
    <w:rsid w:val="372B5D93"/>
    <w:rsid w:val="375B0AE1"/>
    <w:rsid w:val="37686F52"/>
    <w:rsid w:val="384A4E91"/>
    <w:rsid w:val="386C41A1"/>
    <w:rsid w:val="38761053"/>
    <w:rsid w:val="38A804E3"/>
    <w:rsid w:val="39106763"/>
    <w:rsid w:val="3A097CB1"/>
    <w:rsid w:val="3A985554"/>
    <w:rsid w:val="3AAB598F"/>
    <w:rsid w:val="3ABC5573"/>
    <w:rsid w:val="3B9C785C"/>
    <w:rsid w:val="3C0E1309"/>
    <w:rsid w:val="3C4D1AF8"/>
    <w:rsid w:val="3CEF0777"/>
    <w:rsid w:val="3D033860"/>
    <w:rsid w:val="3D877BF2"/>
    <w:rsid w:val="3D8E5A8D"/>
    <w:rsid w:val="3E2619C7"/>
    <w:rsid w:val="3E4D7489"/>
    <w:rsid w:val="3E924036"/>
    <w:rsid w:val="3EBE4976"/>
    <w:rsid w:val="3EF73899"/>
    <w:rsid w:val="41F702EE"/>
    <w:rsid w:val="426B6130"/>
    <w:rsid w:val="428970E4"/>
    <w:rsid w:val="42BD668F"/>
    <w:rsid w:val="42D82436"/>
    <w:rsid w:val="44BE1658"/>
    <w:rsid w:val="46C53FAB"/>
    <w:rsid w:val="47823284"/>
    <w:rsid w:val="47E67906"/>
    <w:rsid w:val="485E35F8"/>
    <w:rsid w:val="49550899"/>
    <w:rsid w:val="49BA2D04"/>
    <w:rsid w:val="49BB0786"/>
    <w:rsid w:val="4B643ABC"/>
    <w:rsid w:val="4B9F639D"/>
    <w:rsid w:val="4BC230D9"/>
    <w:rsid w:val="4D696680"/>
    <w:rsid w:val="4E844AD0"/>
    <w:rsid w:val="4F4F10AC"/>
    <w:rsid w:val="4F5F64BA"/>
    <w:rsid w:val="4FB545D4"/>
    <w:rsid w:val="502E58AD"/>
    <w:rsid w:val="51351499"/>
    <w:rsid w:val="51B13361"/>
    <w:rsid w:val="51B47BC2"/>
    <w:rsid w:val="520F39C4"/>
    <w:rsid w:val="525F5F34"/>
    <w:rsid w:val="5339476F"/>
    <w:rsid w:val="536B2A7D"/>
    <w:rsid w:val="53DE59A8"/>
    <w:rsid w:val="53E51F5E"/>
    <w:rsid w:val="541505F1"/>
    <w:rsid w:val="54400E09"/>
    <w:rsid w:val="545266C4"/>
    <w:rsid w:val="550810AE"/>
    <w:rsid w:val="55B6522E"/>
    <w:rsid w:val="5715646F"/>
    <w:rsid w:val="57C224F5"/>
    <w:rsid w:val="581F4981"/>
    <w:rsid w:val="58CB413F"/>
    <w:rsid w:val="59410223"/>
    <w:rsid w:val="59723D50"/>
    <w:rsid w:val="59E91D42"/>
    <w:rsid w:val="5A864B12"/>
    <w:rsid w:val="5A920D49"/>
    <w:rsid w:val="5B4B35D6"/>
    <w:rsid w:val="5BB10EFE"/>
    <w:rsid w:val="5C00128F"/>
    <w:rsid w:val="5D2D190B"/>
    <w:rsid w:val="5D3C6BEF"/>
    <w:rsid w:val="5D762C66"/>
    <w:rsid w:val="5DEA79AF"/>
    <w:rsid w:val="5E2F3B42"/>
    <w:rsid w:val="5F10655A"/>
    <w:rsid w:val="5F4131D6"/>
    <w:rsid w:val="5F684284"/>
    <w:rsid w:val="5F6F0822"/>
    <w:rsid w:val="5F744CAA"/>
    <w:rsid w:val="5F957CDE"/>
    <w:rsid w:val="5FDD7E71"/>
    <w:rsid w:val="602B6FE5"/>
    <w:rsid w:val="61323FD4"/>
    <w:rsid w:val="62561308"/>
    <w:rsid w:val="62927E29"/>
    <w:rsid w:val="632E15A0"/>
    <w:rsid w:val="63C11A36"/>
    <w:rsid w:val="640D6CAC"/>
    <w:rsid w:val="64105038"/>
    <w:rsid w:val="644B199A"/>
    <w:rsid w:val="64927383"/>
    <w:rsid w:val="64D6157E"/>
    <w:rsid w:val="655D64CF"/>
    <w:rsid w:val="656A4F30"/>
    <w:rsid w:val="65B14764"/>
    <w:rsid w:val="65D55C25"/>
    <w:rsid w:val="67CB7B5D"/>
    <w:rsid w:val="68014CBD"/>
    <w:rsid w:val="687304EE"/>
    <w:rsid w:val="68783C73"/>
    <w:rsid w:val="693862AF"/>
    <w:rsid w:val="69557BB0"/>
    <w:rsid w:val="6A961A6F"/>
    <w:rsid w:val="6A987C6E"/>
    <w:rsid w:val="6ACB7AD0"/>
    <w:rsid w:val="6C9D138F"/>
    <w:rsid w:val="6D4B29EE"/>
    <w:rsid w:val="6D6D71FE"/>
    <w:rsid w:val="6E00285E"/>
    <w:rsid w:val="6E2B3418"/>
    <w:rsid w:val="6E92169B"/>
    <w:rsid w:val="6EC06CA8"/>
    <w:rsid w:val="6EED01BE"/>
    <w:rsid w:val="6F2C33B6"/>
    <w:rsid w:val="6FCD7A7D"/>
    <w:rsid w:val="709E1F5D"/>
    <w:rsid w:val="712612D9"/>
    <w:rsid w:val="71B2000E"/>
    <w:rsid w:val="72307267"/>
    <w:rsid w:val="725577F4"/>
    <w:rsid w:val="73A103C3"/>
    <w:rsid w:val="740C7A72"/>
    <w:rsid w:val="74AB4B27"/>
    <w:rsid w:val="74BE1DD0"/>
    <w:rsid w:val="74EE1F10"/>
    <w:rsid w:val="74FC7C89"/>
    <w:rsid w:val="75AA5052"/>
    <w:rsid w:val="75BE2C2C"/>
    <w:rsid w:val="75BF7348"/>
    <w:rsid w:val="765F4A43"/>
    <w:rsid w:val="76EB7264"/>
    <w:rsid w:val="77F5610B"/>
    <w:rsid w:val="78A832CE"/>
    <w:rsid w:val="79175759"/>
    <w:rsid w:val="7A9F77BB"/>
    <w:rsid w:val="7B694BFB"/>
    <w:rsid w:val="7CEF5984"/>
    <w:rsid w:val="7D65005C"/>
    <w:rsid w:val="7E283B0C"/>
    <w:rsid w:val="7E543940"/>
    <w:rsid w:val="7E7519CA"/>
    <w:rsid w:val="7EF240BF"/>
    <w:rsid w:val="7F2C38B2"/>
    <w:rsid w:val="7F2D0FB6"/>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5">
    <w:name w:val="Normal Indent"/>
    <w:basedOn w:val="1"/>
    <w:next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Emphasis"/>
    <w:basedOn w:val="12"/>
    <w:qFormat/>
    <w:uiPriority w:val="0"/>
    <w:rPr>
      <w:i/>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font81"/>
    <w:basedOn w:val="12"/>
    <w:qFormat/>
    <w:uiPriority w:val="0"/>
    <w:rPr>
      <w:rFonts w:hint="eastAsia" w:ascii="仿宋" w:hAnsi="仿宋" w:eastAsia="仿宋" w:cs="仿宋"/>
      <w:color w:val="FF0000"/>
      <w:sz w:val="24"/>
      <w:szCs w:val="24"/>
      <w:u w:val="none"/>
    </w:rPr>
  </w:style>
  <w:style w:type="character" w:customStyle="1" w:styleId="17">
    <w:name w:val="font61"/>
    <w:basedOn w:val="12"/>
    <w:qFormat/>
    <w:uiPriority w:val="0"/>
    <w:rPr>
      <w:rFonts w:hint="eastAsia" w:ascii="仿宋" w:hAnsi="仿宋" w:eastAsia="仿宋" w:cs="仿宋"/>
      <w:color w:val="000000"/>
      <w:sz w:val="24"/>
      <w:szCs w:val="24"/>
      <w:u w:val="none"/>
    </w:rPr>
  </w:style>
  <w:style w:type="character" w:customStyle="1" w:styleId="18">
    <w:name w:val="font41"/>
    <w:basedOn w:val="12"/>
    <w:qFormat/>
    <w:uiPriority w:val="0"/>
    <w:rPr>
      <w:rFonts w:hint="eastAsia" w:ascii="仿宋" w:hAnsi="仿宋" w:eastAsia="仿宋" w:cs="仿宋"/>
      <w:color w:val="000000"/>
      <w:sz w:val="24"/>
      <w:szCs w:val="24"/>
      <w:u w:val="none"/>
    </w:rPr>
  </w:style>
  <w:style w:type="character" w:customStyle="1" w:styleId="19">
    <w:name w:val="font71"/>
    <w:basedOn w:val="12"/>
    <w:qFormat/>
    <w:uiPriority w:val="0"/>
    <w:rPr>
      <w:rFonts w:hint="eastAsia" w:ascii="仿宋" w:hAnsi="仿宋" w:eastAsia="仿宋" w:cs="仿宋"/>
      <w:color w:val="0070C0"/>
      <w:sz w:val="24"/>
      <w:szCs w:val="24"/>
      <w:u w:val="none"/>
    </w:rPr>
  </w:style>
  <w:style w:type="character" w:customStyle="1" w:styleId="20">
    <w:name w:val="font51"/>
    <w:basedOn w:val="12"/>
    <w:qFormat/>
    <w:uiPriority w:val="0"/>
    <w:rPr>
      <w:rFonts w:hint="eastAsia" w:ascii="宋体" w:hAnsi="宋体" w:eastAsia="宋体" w:cs="宋体"/>
      <w:color w:val="000000"/>
      <w:sz w:val="24"/>
      <w:szCs w:val="24"/>
      <w:u w:val="none"/>
    </w:rPr>
  </w:style>
  <w:style w:type="character" w:customStyle="1" w:styleId="21">
    <w:name w:val="font21"/>
    <w:basedOn w:val="12"/>
    <w:qFormat/>
    <w:uiPriority w:val="0"/>
    <w:rPr>
      <w:rFonts w:hint="eastAsia" w:ascii="宋体" w:hAnsi="宋体" w:eastAsia="宋体" w:cs="宋体"/>
      <w:color w:val="000000"/>
      <w:sz w:val="22"/>
      <w:szCs w:val="22"/>
      <w:u w:val="none"/>
    </w:rPr>
  </w:style>
  <w:style w:type="character" w:customStyle="1" w:styleId="22">
    <w:name w:val="font11"/>
    <w:basedOn w:val="12"/>
    <w:qFormat/>
    <w:uiPriority w:val="0"/>
    <w:rPr>
      <w:rFonts w:hint="eastAsia" w:ascii="宋体" w:hAnsi="宋体" w:eastAsia="宋体" w:cs="宋体"/>
      <w:b/>
      <w:bCs/>
      <w:color w:val="000000"/>
      <w:sz w:val="24"/>
      <w:szCs w:val="24"/>
      <w:u w:val="none"/>
    </w:rPr>
  </w:style>
  <w:style w:type="paragraph" w:customStyle="1" w:styleId="23">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4">
    <w:name w:val="font31"/>
    <w:basedOn w:val="12"/>
    <w:qFormat/>
    <w:uiPriority w:val="0"/>
    <w:rPr>
      <w:rFonts w:hint="eastAsia" w:ascii="宋体" w:hAnsi="宋体" w:eastAsia="宋体" w:cs="宋体"/>
      <w:color w:val="000000"/>
      <w:sz w:val="24"/>
      <w:szCs w:val="24"/>
      <w:u w:val="none"/>
    </w:rPr>
  </w:style>
  <w:style w:type="character" w:customStyle="1" w:styleId="25">
    <w:name w:val="font01"/>
    <w:basedOn w:val="12"/>
    <w:qFormat/>
    <w:uiPriority w:val="0"/>
    <w:rPr>
      <w:rFonts w:hint="eastAsia" w:ascii="宋体" w:hAnsi="宋体" w:eastAsia="宋体" w:cs="宋体"/>
      <w:color w:val="000000"/>
      <w:sz w:val="22"/>
      <w:szCs w:val="22"/>
      <w:u w:val="none"/>
    </w:rPr>
  </w:style>
  <w:style w:type="paragraph" w:customStyle="1" w:styleId="26">
    <w:name w:val="null3"/>
    <w:hidden/>
    <w:qFormat/>
    <w:uiPriority w:val="0"/>
    <w:rPr>
      <w:rFonts w:hint="eastAsia" w:asciiTheme="minorHAnsi" w:hAnsiTheme="minorHAnsi" w:eastAsiaTheme="minorEastAsia" w:cstheme="minorBidi"/>
      <w:lang w:val="en-US" w:eastAsia="zh-Hans" w:bidi="ar-SA"/>
    </w:rPr>
  </w:style>
  <w:style w:type="paragraph" w:customStyle="1" w:styleId="27">
    <w:name w:val="标题 5（有编号）（绿盟科技）"/>
    <w:basedOn w:val="1"/>
    <w:next w:val="28"/>
    <w:qFormat/>
    <w:uiPriority w:val="0"/>
    <w:pPr>
      <w:keepNext/>
      <w:keepLines/>
      <w:widowControl w:val="0"/>
      <w:tabs>
        <w:tab w:val="left" w:pos="4832"/>
      </w:tabs>
      <w:spacing w:before="280" w:after="156" w:line="377" w:lineRule="auto"/>
      <w:ind w:left="4832" w:hanging="992"/>
      <w:outlineLvl w:val="4"/>
    </w:pPr>
    <w:rPr>
      <w:rFonts w:ascii="Arial" w:hAnsi="Arial" w:eastAsia="黑体"/>
      <w:b/>
      <w:sz w:val="24"/>
      <w:szCs w:val="28"/>
    </w:rPr>
  </w:style>
  <w:style w:type="paragraph" w:customStyle="1" w:styleId="28">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10858</Words>
  <Characters>11127</Characters>
  <Lines>0</Lines>
  <Paragraphs>0</Paragraphs>
  <TotalTime>39</TotalTime>
  <ScaleCrop>false</ScaleCrop>
  <LinksUpToDate>false</LinksUpToDate>
  <CharactersWithSpaces>11391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尼摩船长</cp:lastModifiedBy>
  <cp:lastPrinted>2026-09-04T06:00:00Z</cp:lastPrinted>
  <dcterms:modified xsi:type="dcterms:W3CDTF">2026-09-04T09:16:50Z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B7269DD0B3CD49F08EE06898AADBD747_13</vt:lpwstr>
  </property>
  <property fmtid="{D5CDD505-2E9C-101B-9397-08002B2CF9AE}" pid="4" name="KSOTemplateDocerSaveRecord">
    <vt:lpwstr>eyJoZGlkIjoiMjgzMzRjZDg1OGM3M2ZhM2MzYzc5NjIzMWExNzhmNWUiLCJ1c2VySWQiOiIxMTI1OTczNjEwIn0=</vt:lpwstr>
  </property>
</Properties>
</file>