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449A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微软雅黑" w:hAnsi="微软雅黑" w:eastAsia="微软雅黑" w:cs="微软雅黑"/>
          <w:i w:val="0"/>
          <w:iCs w:val="0"/>
          <w:color w:val="000000"/>
          <w:kern w:val="0"/>
          <w:sz w:val="36"/>
          <w:szCs w:val="36"/>
          <w:u w:val="none"/>
          <w:lang w:val="en-US" w:eastAsia="zh-CN" w:bidi="ar"/>
        </w:rPr>
      </w:pPr>
      <w:r>
        <w:rPr>
          <w:rFonts w:hint="eastAsia" w:ascii="微软雅黑" w:hAnsi="微软雅黑" w:eastAsia="微软雅黑" w:cs="微软雅黑"/>
          <w:i w:val="0"/>
          <w:iCs w:val="0"/>
          <w:color w:val="000000"/>
          <w:kern w:val="0"/>
          <w:sz w:val="36"/>
          <w:szCs w:val="36"/>
          <w:u w:val="none"/>
          <w:lang w:val="en-US" w:eastAsia="zh-CN" w:bidi="ar"/>
        </w:rPr>
        <w:t>资阳市中心医院</w:t>
      </w:r>
      <w:r>
        <w:rPr>
          <w:rFonts w:hint="eastAsia" w:ascii="微软雅黑" w:hAnsi="微软雅黑" w:eastAsia="微软雅黑" w:cs="微软雅黑"/>
          <w:i w:val="0"/>
          <w:iCs w:val="0"/>
          <w:color w:val="000000"/>
          <w:kern w:val="0"/>
          <w:sz w:val="36"/>
          <w:szCs w:val="36"/>
          <w:u w:val="none"/>
          <w:lang w:val="en-US" w:eastAsia="zh-CN" w:bidi="ar"/>
        </w:rPr>
        <w:br w:type="textWrapping"/>
      </w:r>
      <w:r>
        <w:rPr>
          <w:rFonts w:hint="eastAsia" w:ascii="微软雅黑" w:hAnsi="微软雅黑" w:eastAsia="微软雅黑" w:cs="微软雅黑"/>
          <w:i w:val="0"/>
          <w:iCs w:val="0"/>
          <w:color w:val="000000"/>
          <w:kern w:val="0"/>
          <w:sz w:val="36"/>
          <w:szCs w:val="36"/>
          <w:u w:val="none"/>
          <w:lang w:val="en-US" w:eastAsia="zh-CN" w:bidi="ar"/>
        </w:rPr>
        <w:t>2027年一批显示屏等设备采购项目调研公告</w:t>
      </w:r>
    </w:p>
    <w:p w14:paraId="1E43D7C9">
      <w:pPr>
        <w:pStyle w:val="6"/>
        <w:keepNext w:val="0"/>
        <w:keepLines w:val="0"/>
        <w:pageBreakBefore w:val="0"/>
        <w:kinsoku/>
        <w:wordWrap/>
        <w:overflowPunct/>
        <w:topLinePunct w:val="0"/>
        <w:autoSpaceDE/>
        <w:autoSpaceDN/>
        <w:bidi w:val="0"/>
        <w:adjustRightInd/>
        <w:snapToGrid/>
        <w:spacing w:line="400" w:lineRule="exact"/>
        <w:ind w:firstLine="560" w:firstLineChars="200"/>
        <w:rPr>
          <w:rFonts w:hint="eastAsia" w:ascii="仿宋" w:hAnsi="仿宋" w:eastAsia="仿宋" w:cs="仿宋"/>
          <w:i w:val="0"/>
          <w:iCs w:val="0"/>
          <w:color w:val="000000"/>
          <w:sz w:val="28"/>
          <w:szCs w:val="28"/>
          <w:u w:val="none"/>
          <w:lang w:val="en-US" w:eastAsia="zh-CN"/>
        </w:rPr>
      </w:pPr>
    </w:p>
    <w:p w14:paraId="1C1375AC">
      <w:pPr>
        <w:pStyle w:val="6"/>
        <w:keepNext w:val="0"/>
        <w:keepLines w:val="0"/>
        <w:pageBreakBefore w:val="0"/>
        <w:kinsoku/>
        <w:wordWrap/>
        <w:overflowPunct/>
        <w:topLinePunct w:val="0"/>
        <w:autoSpaceDE/>
        <w:autoSpaceDN/>
        <w:bidi w:val="0"/>
        <w:adjustRightInd/>
        <w:snapToGrid/>
        <w:spacing w:line="360" w:lineRule="exact"/>
        <w:ind w:firstLine="560" w:firstLineChars="200"/>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因医院业务</w:t>
      </w:r>
      <w:r>
        <w:rPr>
          <w:rFonts w:hint="eastAsia" w:ascii="仿宋" w:hAnsi="仿宋" w:cs="仿宋"/>
          <w:i w:val="0"/>
          <w:iCs w:val="0"/>
          <w:color w:val="000000"/>
          <w:sz w:val="28"/>
          <w:szCs w:val="28"/>
          <w:u w:val="none"/>
          <w:lang w:val="en-US" w:eastAsia="zh-CN"/>
        </w:rPr>
        <w:t>发展</w:t>
      </w:r>
      <w:r>
        <w:rPr>
          <w:rFonts w:hint="eastAsia" w:ascii="仿宋" w:hAnsi="仿宋" w:eastAsia="仿宋" w:cs="仿宋"/>
          <w:i w:val="0"/>
          <w:iCs w:val="0"/>
          <w:color w:val="000000"/>
          <w:sz w:val="28"/>
          <w:szCs w:val="28"/>
          <w:u w:val="none"/>
          <w:lang w:val="en-US" w:eastAsia="zh-CN"/>
        </w:rPr>
        <w:t>需要，</w:t>
      </w:r>
      <w:r>
        <w:rPr>
          <w:rFonts w:hint="eastAsia" w:ascii="仿宋" w:hAnsi="仿宋" w:cs="仿宋"/>
          <w:i w:val="0"/>
          <w:iCs w:val="0"/>
          <w:color w:val="000000"/>
          <w:sz w:val="28"/>
          <w:szCs w:val="28"/>
          <w:u w:val="none"/>
          <w:lang w:val="en-US" w:eastAsia="zh-CN"/>
        </w:rPr>
        <w:t>对医院</w:t>
      </w:r>
      <w:r>
        <w:rPr>
          <w:rFonts w:hint="eastAsia" w:ascii="仿宋" w:hAnsi="仿宋" w:eastAsia="仿宋" w:cs="仿宋"/>
          <w:i w:val="0"/>
          <w:iCs w:val="0"/>
          <w:color w:val="000000"/>
          <w:sz w:val="28"/>
          <w:szCs w:val="28"/>
          <w:u w:val="none"/>
          <w:lang w:val="en-US" w:eastAsia="zh-CN"/>
        </w:rPr>
        <w:t>一批显示屏等设备进行市场调研,现公开征集相关资料,欢迎各</w:t>
      </w:r>
      <w:r>
        <w:rPr>
          <w:rFonts w:hint="eastAsia" w:ascii="仿宋" w:hAnsi="仿宋" w:cs="仿宋"/>
          <w:i w:val="0"/>
          <w:iCs w:val="0"/>
          <w:color w:val="000000"/>
          <w:sz w:val="28"/>
          <w:szCs w:val="28"/>
          <w:u w:val="none"/>
          <w:lang w:val="en-US" w:eastAsia="zh-CN"/>
        </w:rPr>
        <w:t>潜在供应商</w:t>
      </w:r>
      <w:r>
        <w:rPr>
          <w:rFonts w:hint="eastAsia" w:ascii="仿宋" w:hAnsi="仿宋" w:eastAsia="仿宋" w:cs="仿宋"/>
          <w:i w:val="0"/>
          <w:iCs w:val="0"/>
          <w:color w:val="000000"/>
          <w:sz w:val="28"/>
          <w:szCs w:val="28"/>
          <w:u w:val="none"/>
          <w:lang w:val="en-US" w:eastAsia="zh-CN"/>
        </w:rPr>
        <w:t>进行报名，现将有关事宜公告如下：</w:t>
      </w:r>
    </w:p>
    <w:p w14:paraId="11AFD9D8">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exact"/>
        <w:ind w:leftChars="0" w:firstLine="560" w:firstLineChars="200"/>
        <w:jc w:val="both"/>
        <w:textAlignment w:val="center"/>
        <w:rPr>
          <w:rFonts w:hint="eastAsia" w:ascii="黑体" w:hAnsi="黑体" w:eastAsia="黑体" w:cs="黑体"/>
          <w:i w:val="0"/>
          <w:iCs w:val="0"/>
          <w:color w:val="000000"/>
          <w:kern w:val="0"/>
          <w:sz w:val="28"/>
          <w:szCs w:val="28"/>
          <w:u w:val="none"/>
          <w:lang w:val="en-US" w:eastAsia="zh-CN" w:bidi="ar"/>
        </w:rPr>
      </w:pPr>
      <w:r>
        <w:rPr>
          <w:rFonts w:hint="eastAsia" w:ascii="黑体" w:hAnsi="黑体" w:eastAsia="黑体" w:cs="黑体"/>
          <w:i w:val="0"/>
          <w:iCs w:val="0"/>
          <w:color w:val="000000"/>
          <w:kern w:val="0"/>
          <w:sz w:val="28"/>
          <w:szCs w:val="28"/>
          <w:u w:val="none"/>
          <w:lang w:val="en-US" w:eastAsia="zh-CN" w:bidi="ar"/>
        </w:rPr>
        <w:t>一、项目概述</w:t>
      </w:r>
    </w:p>
    <w:p w14:paraId="72591DCE">
      <w:pPr>
        <w:pStyle w:val="6"/>
        <w:keepNext w:val="0"/>
        <w:keepLines w:val="0"/>
        <w:pageBreakBefore w:val="0"/>
        <w:kinsoku/>
        <w:wordWrap/>
        <w:overflowPunct/>
        <w:topLinePunct w:val="0"/>
        <w:autoSpaceDE/>
        <w:autoSpaceDN/>
        <w:bidi w:val="0"/>
        <w:adjustRightInd/>
        <w:snapToGrid/>
        <w:spacing w:line="400" w:lineRule="exact"/>
        <w:ind w:firstLine="560" w:firstLineChars="200"/>
        <w:rPr>
          <w:rFonts w:hint="eastAsia" w:ascii="仿宋" w:hAnsi="仿宋" w:eastAsia="仿宋" w:cs="仿宋"/>
          <w:i w:val="0"/>
          <w:iCs w:val="0"/>
          <w:color w:val="000000"/>
          <w:sz w:val="28"/>
          <w:szCs w:val="28"/>
          <w:u w:val="none"/>
          <w:lang w:val="en-US" w:eastAsia="zh-CN"/>
        </w:rPr>
      </w:pPr>
      <w:r>
        <w:rPr>
          <w:rFonts w:hint="eastAsia" w:ascii="仿宋" w:hAnsi="仿宋" w:cs="仿宋"/>
          <w:i w:val="0"/>
          <w:iCs w:val="0"/>
          <w:color w:val="000000"/>
          <w:sz w:val="28"/>
          <w:szCs w:val="28"/>
          <w:u w:val="none"/>
          <w:lang w:val="en-US" w:eastAsia="zh-CN"/>
        </w:rPr>
        <w:t>为满足</w:t>
      </w:r>
      <w:r>
        <w:rPr>
          <w:rFonts w:hint="eastAsia" w:ascii="仿宋" w:hAnsi="仿宋" w:eastAsia="仿宋" w:cs="仿宋"/>
          <w:i w:val="0"/>
          <w:iCs w:val="0"/>
          <w:color w:val="000000"/>
          <w:sz w:val="28"/>
          <w:szCs w:val="28"/>
          <w:u w:val="none"/>
          <w:lang w:val="en-US" w:eastAsia="zh-CN"/>
        </w:rPr>
        <w:t>医院</w:t>
      </w:r>
      <w:r>
        <w:rPr>
          <w:rFonts w:hint="eastAsia" w:ascii="仿宋" w:hAnsi="仿宋" w:cs="仿宋"/>
          <w:i w:val="0"/>
          <w:iCs w:val="0"/>
          <w:color w:val="000000"/>
          <w:sz w:val="28"/>
          <w:szCs w:val="28"/>
          <w:u w:val="none"/>
          <w:lang w:val="en-US" w:eastAsia="zh-CN"/>
        </w:rPr>
        <w:t>2027年业务办公需要，我院有意向采购一批电脑、显示屏等办公设备（详见项目调研情况一览汇总表）。本次调研</w:t>
      </w:r>
      <w:r>
        <w:rPr>
          <w:rFonts w:hint="eastAsia" w:ascii="仿宋" w:hAnsi="仿宋" w:eastAsia="仿宋" w:cs="仿宋"/>
          <w:i w:val="0"/>
          <w:iCs w:val="0"/>
          <w:color w:val="000000"/>
          <w:sz w:val="28"/>
          <w:szCs w:val="28"/>
          <w:u w:val="none"/>
          <w:lang w:val="en-US" w:eastAsia="zh-CN"/>
        </w:rPr>
        <w:t>邀请有意</w:t>
      </w:r>
      <w:r>
        <w:rPr>
          <w:rFonts w:hint="eastAsia" w:ascii="仿宋" w:hAnsi="仿宋" w:cs="仿宋"/>
          <w:i w:val="0"/>
          <w:iCs w:val="0"/>
          <w:color w:val="000000"/>
          <w:sz w:val="28"/>
          <w:szCs w:val="28"/>
          <w:u w:val="none"/>
          <w:lang w:val="en-US" w:eastAsia="zh-CN"/>
        </w:rPr>
        <w:t>供应商进行调研报价</w:t>
      </w:r>
      <w:r>
        <w:rPr>
          <w:rFonts w:hint="eastAsia" w:ascii="仿宋" w:hAnsi="仿宋" w:eastAsia="仿宋" w:cs="仿宋"/>
          <w:i w:val="0"/>
          <w:iCs w:val="0"/>
          <w:color w:val="000000"/>
          <w:sz w:val="28"/>
          <w:szCs w:val="28"/>
          <w:u w:val="none"/>
          <w:lang w:val="en-US" w:eastAsia="zh-CN"/>
        </w:rPr>
        <w:t>。</w:t>
      </w:r>
    </w:p>
    <w:p w14:paraId="63D4F6D7">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exact"/>
        <w:ind w:leftChars="0" w:firstLine="560" w:firstLineChars="200"/>
        <w:jc w:val="both"/>
        <w:textAlignment w:val="center"/>
        <w:rPr>
          <w:rFonts w:hint="eastAsia" w:ascii="黑体" w:hAnsi="黑体" w:eastAsia="黑体" w:cs="黑体"/>
          <w:i w:val="0"/>
          <w:iCs w:val="0"/>
          <w:color w:val="000000"/>
          <w:kern w:val="0"/>
          <w:sz w:val="28"/>
          <w:szCs w:val="28"/>
          <w:u w:val="none"/>
          <w:lang w:val="en-US" w:eastAsia="zh-CN" w:bidi="ar"/>
        </w:rPr>
      </w:pPr>
      <w:r>
        <w:rPr>
          <w:rFonts w:hint="eastAsia" w:ascii="黑体" w:hAnsi="黑体" w:eastAsia="黑体" w:cs="黑体"/>
          <w:i w:val="0"/>
          <w:iCs w:val="0"/>
          <w:color w:val="000000"/>
          <w:kern w:val="0"/>
          <w:sz w:val="28"/>
          <w:szCs w:val="28"/>
          <w:u w:val="none"/>
          <w:lang w:val="en-US" w:eastAsia="zh-CN" w:bidi="ar"/>
        </w:rPr>
        <w:t>二、报名时间、方式</w:t>
      </w:r>
    </w:p>
    <w:p w14:paraId="4F8CA69D">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exact"/>
        <w:ind w:firstLine="560" w:firstLineChars="200"/>
        <w:jc w:val="both"/>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报名时间：本公告自挂网公告日起，截止时间为自发布公告起第3个工作日（包含发布当天），公告截止日期后递交的报名资料无效。</w:t>
      </w:r>
    </w:p>
    <w:p w14:paraId="324D4489">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exact"/>
        <w:ind w:firstLine="560" w:firstLineChars="200"/>
        <w:jc w:val="both"/>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报名方式:本次市场调研活动采用邮箱报名，不接受现场报名。</w:t>
      </w:r>
    </w:p>
    <w:p w14:paraId="515E6808">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exact"/>
        <w:ind w:firstLine="560" w:firstLineChars="200"/>
        <w:jc w:val="both"/>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1.报名资料按附件《报名须知》要求，将电子文档（盖章扫描件和可编辑版本）发送至</w:t>
      </w:r>
      <w:r>
        <w:rPr>
          <w:rFonts w:hint="eastAsia" w:ascii="仿宋" w:hAnsi="仿宋" w:eastAsia="仿宋" w:cs="仿宋"/>
          <w:b w:val="0"/>
          <w:bCs w:val="0"/>
          <w:color w:val="auto"/>
          <w:sz w:val="30"/>
          <w:szCs w:val="30"/>
          <w:lang w:val="en-US" w:eastAsia="zh-CN"/>
        </w:rPr>
        <w:t>zyszxyyxxb@163.com，</w:t>
      </w:r>
      <w:r>
        <w:rPr>
          <w:rFonts w:hint="eastAsia" w:ascii="仿宋" w:hAnsi="仿宋" w:eastAsia="仿宋" w:cs="仿宋"/>
          <w:i w:val="0"/>
          <w:iCs w:val="0"/>
          <w:color w:val="000000"/>
          <w:sz w:val="28"/>
          <w:szCs w:val="28"/>
          <w:u w:val="none"/>
          <w:lang w:val="en-US" w:eastAsia="zh-CN"/>
        </w:rPr>
        <w:t>并抄送至</w:t>
      </w:r>
      <w:r>
        <w:rPr>
          <w:rFonts w:hint="eastAsia" w:ascii="仿宋" w:hAnsi="仿宋" w:eastAsia="仿宋" w:cs="仿宋"/>
          <w:b w:val="0"/>
          <w:bCs w:val="0"/>
          <w:color w:val="auto"/>
          <w:sz w:val="30"/>
          <w:szCs w:val="30"/>
          <w:lang w:val="en-US" w:eastAsia="zh-CN"/>
        </w:rPr>
        <w:t>zyszxyyxxb001@163.com</w:t>
      </w:r>
      <w:r>
        <w:rPr>
          <w:rFonts w:hint="eastAsia" w:ascii="仿宋" w:hAnsi="仿宋" w:eastAsia="仿宋" w:cs="仿宋"/>
          <w:color w:val="000000"/>
          <w:sz w:val="28"/>
          <w:szCs w:val="28"/>
        </w:rPr>
        <w:t>。</w:t>
      </w:r>
      <w:r>
        <w:rPr>
          <w:rFonts w:hint="eastAsia" w:ascii="仿宋" w:hAnsi="仿宋" w:eastAsia="仿宋" w:cs="仿宋"/>
          <w:i w:val="0"/>
          <w:iCs w:val="0"/>
          <w:color w:val="000000"/>
          <w:sz w:val="28"/>
          <w:szCs w:val="28"/>
          <w:u w:val="none"/>
          <w:lang w:val="en-US" w:eastAsia="zh-CN"/>
        </w:rPr>
        <w:t>。邮件名称：“XXXX项目名称+公司名称+联系人+联系电话）”报名资料目录见附件。</w:t>
      </w:r>
    </w:p>
    <w:p w14:paraId="5191F009">
      <w:pPr>
        <w:pStyle w:val="6"/>
        <w:keepNext w:val="0"/>
        <w:keepLines w:val="0"/>
        <w:pageBreakBefore w:val="0"/>
        <w:kinsoku/>
        <w:wordWrap/>
        <w:overflowPunct/>
        <w:topLinePunct w:val="0"/>
        <w:autoSpaceDE/>
        <w:autoSpaceDN/>
        <w:bidi w:val="0"/>
        <w:adjustRightInd/>
        <w:snapToGrid/>
        <w:spacing w:line="360" w:lineRule="exact"/>
        <w:ind w:firstLine="560" w:firstLineChars="200"/>
        <w:rPr>
          <w:rFonts w:hint="eastAsia" w:ascii="仿宋" w:hAnsi="仿宋" w:eastAsia="仿宋" w:cs="仿宋"/>
          <w:i w:val="0"/>
          <w:iCs w:val="0"/>
          <w:color w:val="000000"/>
          <w:sz w:val="28"/>
          <w:szCs w:val="28"/>
          <w:u w:val="none"/>
          <w:lang w:val="en-US" w:eastAsia="zh-CN"/>
        </w:rPr>
      </w:pPr>
      <w:r>
        <w:rPr>
          <w:rFonts w:hint="eastAsia" w:ascii="仿宋" w:hAnsi="仿宋" w:cs="仿宋"/>
          <w:i w:val="0"/>
          <w:iCs w:val="0"/>
          <w:color w:val="000000"/>
          <w:sz w:val="28"/>
          <w:szCs w:val="28"/>
          <w:u w:val="none"/>
          <w:lang w:val="en-US" w:eastAsia="zh-CN"/>
        </w:rPr>
        <w:t>2</w:t>
      </w:r>
      <w:r>
        <w:rPr>
          <w:rFonts w:hint="eastAsia" w:ascii="仿宋" w:hAnsi="仿宋" w:eastAsia="仿宋" w:cs="仿宋"/>
          <w:i w:val="0"/>
          <w:iCs w:val="0"/>
          <w:color w:val="000000"/>
          <w:sz w:val="28"/>
          <w:szCs w:val="28"/>
          <w:u w:val="none"/>
          <w:lang w:val="en-US" w:eastAsia="zh-CN"/>
        </w:rPr>
        <w:t>.联系人：</w:t>
      </w:r>
      <w:r>
        <w:rPr>
          <w:rFonts w:hint="eastAsia" w:ascii="仿宋" w:hAnsi="仿宋" w:cs="仿宋"/>
          <w:i w:val="0"/>
          <w:iCs w:val="0"/>
          <w:color w:val="000000"/>
          <w:sz w:val="28"/>
          <w:szCs w:val="28"/>
          <w:u w:val="none"/>
          <w:lang w:val="en-US" w:eastAsia="zh-CN"/>
        </w:rPr>
        <w:t xml:space="preserve">陈老师  </w:t>
      </w:r>
      <w:r>
        <w:rPr>
          <w:rFonts w:hint="eastAsia" w:ascii="仿宋" w:hAnsi="仿宋" w:eastAsia="仿宋" w:cs="仿宋"/>
          <w:i w:val="0"/>
          <w:iCs w:val="0"/>
          <w:color w:val="000000"/>
          <w:sz w:val="28"/>
          <w:szCs w:val="28"/>
          <w:u w:val="none"/>
          <w:lang w:val="en-US" w:eastAsia="zh-CN"/>
        </w:rPr>
        <w:t>报名</w:t>
      </w:r>
      <w:r>
        <w:rPr>
          <w:rFonts w:hint="eastAsia" w:ascii="仿宋" w:hAnsi="仿宋" w:cs="仿宋"/>
          <w:i w:val="0"/>
          <w:iCs w:val="0"/>
          <w:color w:val="000000"/>
          <w:sz w:val="28"/>
          <w:szCs w:val="28"/>
          <w:u w:val="none"/>
          <w:lang w:val="en-US" w:eastAsia="zh-CN"/>
        </w:rPr>
        <w:t>咨</w:t>
      </w:r>
      <w:r>
        <w:rPr>
          <w:rFonts w:hint="eastAsia" w:ascii="仿宋" w:hAnsi="仿宋" w:eastAsia="仿宋" w:cs="仿宋"/>
          <w:i w:val="0"/>
          <w:iCs w:val="0"/>
          <w:color w:val="000000"/>
          <w:sz w:val="28"/>
          <w:szCs w:val="28"/>
          <w:u w:val="none"/>
          <w:lang w:val="en-US" w:eastAsia="zh-CN"/>
        </w:rPr>
        <w:t>询</w:t>
      </w:r>
      <w:r>
        <w:rPr>
          <w:rFonts w:hint="eastAsia" w:ascii="仿宋" w:hAnsi="仿宋" w:cs="仿宋"/>
          <w:i w:val="0"/>
          <w:iCs w:val="0"/>
          <w:color w:val="000000"/>
          <w:sz w:val="28"/>
          <w:szCs w:val="28"/>
          <w:u w:val="none"/>
          <w:lang w:val="en-US" w:eastAsia="zh-CN"/>
        </w:rPr>
        <w:t>电话</w:t>
      </w:r>
      <w:r>
        <w:rPr>
          <w:rFonts w:hint="eastAsia" w:ascii="仿宋" w:hAnsi="仿宋" w:eastAsia="仿宋" w:cs="仿宋"/>
          <w:i w:val="0"/>
          <w:iCs w:val="0"/>
          <w:color w:val="000000"/>
          <w:sz w:val="28"/>
          <w:szCs w:val="28"/>
          <w:u w:val="none"/>
          <w:lang w:val="en-US" w:eastAsia="zh-CN"/>
        </w:rPr>
        <w:t>：028-26219526</w:t>
      </w:r>
    </w:p>
    <w:p w14:paraId="6D0856DE">
      <w:pPr>
        <w:pStyle w:val="6"/>
        <w:keepNext w:val="0"/>
        <w:keepLines w:val="0"/>
        <w:pageBreakBefore w:val="0"/>
        <w:kinsoku/>
        <w:wordWrap/>
        <w:overflowPunct/>
        <w:topLinePunct w:val="0"/>
        <w:autoSpaceDE/>
        <w:autoSpaceDN/>
        <w:bidi w:val="0"/>
        <w:adjustRightInd/>
        <w:snapToGrid/>
        <w:spacing w:line="360" w:lineRule="exact"/>
        <w:ind w:firstLine="560" w:firstLineChars="200"/>
        <w:rPr>
          <w:rFonts w:hint="eastAsia" w:ascii="仿宋" w:hAnsi="仿宋" w:eastAsia="仿宋" w:cs="仿宋"/>
          <w:i w:val="0"/>
          <w:iCs w:val="0"/>
          <w:color w:val="000000"/>
          <w:sz w:val="28"/>
          <w:szCs w:val="28"/>
          <w:u w:val="none"/>
          <w:lang w:val="en-US" w:eastAsia="zh-CN"/>
        </w:rPr>
      </w:pPr>
      <w:r>
        <w:rPr>
          <w:rFonts w:hint="eastAsia" w:ascii="仿宋" w:hAnsi="仿宋" w:cs="仿宋"/>
          <w:i w:val="0"/>
          <w:iCs w:val="0"/>
          <w:color w:val="000000"/>
          <w:sz w:val="28"/>
          <w:szCs w:val="28"/>
          <w:u w:val="none"/>
          <w:lang w:val="en-US" w:eastAsia="zh-CN"/>
        </w:rPr>
        <w:t>3.</w:t>
      </w:r>
      <w:r>
        <w:rPr>
          <w:rFonts w:hint="eastAsia" w:ascii="仿宋" w:hAnsi="仿宋" w:eastAsia="仿宋" w:cs="仿宋"/>
          <w:i w:val="0"/>
          <w:iCs w:val="0"/>
          <w:color w:val="000000"/>
          <w:sz w:val="28"/>
          <w:szCs w:val="28"/>
          <w:u w:val="none"/>
          <w:lang w:val="en-US" w:eastAsia="zh-CN"/>
        </w:rPr>
        <w:t>线上或线下集中调研需求论证时间及地点，另行通知</w:t>
      </w:r>
      <w:r>
        <w:rPr>
          <w:rFonts w:hint="eastAsia" w:ascii="仿宋" w:hAnsi="仿宋" w:cs="仿宋"/>
          <w:i w:val="0"/>
          <w:iCs w:val="0"/>
          <w:color w:val="000000"/>
          <w:sz w:val="28"/>
          <w:szCs w:val="28"/>
          <w:u w:val="none"/>
          <w:lang w:val="en-US" w:eastAsia="zh-CN"/>
        </w:rPr>
        <w:t>，</w:t>
      </w:r>
      <w:r>
        <w:rPr>
          <w:rFonts w:hint="eastAsia" w:ascii="仿宋" w:hAnsi="仿宋" w:eastAsia="仿宋" w:cs="仿宋"/>
          <w:i w:val="0"/>
          <w:iCs w:val="0"/>
          <w:color w:val="000000"/>
          <w:sz w:val="28"/>
          <w:szCs w:val="28"/>
          <w:u w:val="none"/>
          <w:lang w:val="en-US" w:eastAsia="zh-CN"/>
        </w:rPr>
        <w:t>请参加调研会的</w:t>
      </w:r>
      <w:r>
        <w:rPr>
          <w:rFonts w:hint="eastAsia" w:ascii="仿宋" w:hAnsi="仿宋" w:cs="仿宋"/>
          <w:i w:val="0"/>
          <w:iCs w:val="0"/>
          <w:color w:val="000000"/>
          <w:sz w:val="28"/>
          <w:szCs w:val="28"/>
          <w:u w:val="none"/>
          <w:lang w:val="en-US" w:eastAsia="zh-CN"/>
        </w:rPr>
        <w:t>各潜在供应商</w:t>
      </w:r>
      <w:r>
        <w:rPr>
          <w:rFonts w:hint="eastAsia" w:ascii="仿宋" w:hAnsi="仿宋" w:eastAsia="仿宋" w:cs="仿宋"/>
          <w:i w:val="0"/>
          <w:iCs w:val="0"/>
          <w:color w:val="000000"/>
          <w:sz w:val="28"/>
          <w:szCs w:val="28"/>
          <w:u w:val="none"/>
          <w:lang w:val="en-US" w:eastAsia="zh-CN"/>
        </w:rPr>
        <w:t>准备相应的纸质版</w:t>
      </w:r>
      <w:r>
        <w:rPr>
          <w:rFonts w:hint="eastAsia" w:ascii="仿宋" w:hAnsi="仿宋" w:cs="仿宋"/>
          <w:i w:val="0"/>
          <w:iCs w:val="0"/>
          <w:color w:val="000000"/>
          <w:sz w:val="28"/>
          <w:szCs w:val="28"/>
          <w:u w:val="none"/>
          <w:lang w:val="en-US" w:eastAsia="zh-CN"/>
        </w:rPr>
        <w:t>报价表</w:t>
      </w:r>
      <w:r>
        <w:rPr>
          <w:rFonts w:hint="eastAsia" w:ascii="仿宋" w:hAnsi="仿宋" w:eastAsia="仿宋" w:cs="仿宋"/>
          <w:i w:val="0"/>
          <w:iCs w:val="0"/>
          <w:color w:val="000000"/>
          <w:sz w:val="28"/>
          <w:szCs w:val="28"/>
          <w:u w:val="none"/>
          <w:lang w:val="en-US" w:eastAsia="zh-CN"/>
        </w:rPr>
        <w:t>及汇报PPT等。</w:t>
      </w:r>
    </w:p>
    <w:p w14:paraId="78375170">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exact"/>
        <w:ind w:leftChars="0" w:firstLine="560" w:firstLineChars="200"/>
        <w:jc w:val="both"/>
        <w:textAlignment w:val="center"/>
        <w:rPr>
          <w:rFonts w:hint="default" w:ascii="黑体" w:hAnsi="黑体" w:eastAsia="黑体" w:cs="黑体"/>
          <w:i w:val="0"/>
          <w:iCs w:val="0"/>
          <w:color w:val="000000"/>
          <w:kern w:val="0"/>
          <w:sz w:val="28"/>
          <w:szCs w:val="28"/>
          <w:u w:val="none"/>
          <w:lang w:val="en-US" w:eastAsia="zh-CN" w:bidi="ar"/>
        </w:rPr>
      </w:pPr>
      <w:r>
        <w:rPr>
          <w:rFonts w:hint="eastAsia" w:ascii="黑体" w:hAnsi="黑体" w:eastAsia="黑体" w:cs="黑体"/>
          <w:i w:val="0"/>
          <w:iCs w:val="0"/>
          <w:color w:val="000000"/>
          <w:kern w:val="0"/>
          <w:sz w:val="28"/>
          <w:szCs w:val="28"/>
          <w:u w:val="none"/>
          <w:lang w:val="en-US" w:eastAsia="zh-CN" w:bidi="ar"/>
        </w:rPr>
        <w:t>三、其他说明</w:t>
      </w:r>
    </w:p>
    <w:p w14:paraId="33E6A9D7">
      <w:pPr>
        <w:pStyle w:val="6"/>
        <w:keepNext w:val="0"/>
        <w:keepLines w:val="0"/>
        <w:pageBreakBefore w:val="0"/>
        <w:kinsoku/>
        <w:wordWrap/>
        <w:overflowPunct/>
        <w:topLinePunct w:val="0"/>
        <w:autoSpaceDE/>
        <w:autoSpaceDN/>
        <w:bidi w:val="0"/>
        <w:adjustRightInd/>
        <w:snapToGrid/>
        <w:spacing w:line="360" w:lineRule="exact"/>
        <w:ind w:firstLine="560" w:firstLineChars="200"/>
        <w:rPr>
          <w:rFonts w:hint="eastAsia" w:ascii="仿宋" w:hAnsi="仿宋" w:cs="仿宋"/>
          <w:i w:val="0"/>
          <w:iCs w:val="0"/>
          <w:color w:val="000000"/>
          <w:sz w:val="28"/>
          <w:szCs w:val="28"/>
          <w:u w:val="none"/>
          <w:lang w:val="en-US" w:eastAsia="zh-CN"/>
        </w:rPr>
      </w:pPr>
      <w:r>
        <w:rPr>
          <w:rFonts w:hint="eastAsia" w:ascii="仿宋" w:hAnsi="仿宋" w:cs="仿宋"/>
          <w:i w:val="0"/>
          <w:iCs w:val="0"/>
          <w:color w:val="000000"/>
          <w:sz w:val="28"/>
          <w:szCs w:val="28"/>
          <w:u w:val="none"/>
          <w:lang w:val="en-US" w:eastAsia="zh-CN"/>
        </w:rPr>
        <w:t>1.本次公开市场调研内容因市场了解的局限性，仅作为医院市场调研参考使用，</w:t>
      </w:r>
      <w:r>
        <w:rPr>
          <w:rFonts w:hint="eastAsia" w:ascii="仿宋" w:hAnsi="仿宋" w:eastAsia="仿宋" w:cs="仿宋"/>
          <w:i w:val="0"/>
          <w:iCs w:val="0"/>
          <w:color w:val="000000"/>
          <w:sz w:val="28"/>
          <w:szCs w:val="28"/>
          <w:u w:val="none"/>
          <w:lang w:val="en-US" w:eastAsia="zh-CN"/>
        </w:rPr>
        <w:t>我院有权使用所征集技术指标中的相关内容</w:t>
      </w:r>
      <w:r>
        <w:rPr>
          <w:rFonts w:hint="eastAsia" w:ascii="仿宋" w:hAnsi="仿宋" w:cs="仿宋"/>
          <w:i w:val="0"/>
          <w:iCs w:val="0"/>
          <w:color w:val="000000"/>
          <w:sz w:val="28"/>
          <w:szCs w:val="28"/>
          <w:u w:val="none"/>
          <w:lang w:val="en-US" w:eastAsia="zh-CN"/>
        </w:rPr>
        <w:t>，不作为正式采购依据，无任何针对性，如有不全之处，敬请理解，并请各潜在供应商详实介绍服务方案，本项目最终服务参数以采购时为准。对未公告服务要求的，请各潜在供应商自行提供。</w:t>
      </w:r>
    </w:p>
    <w:p w14:paraId="71B78830">
      <w:pPr>
        <w:pStyle w:val="6"/>
        <w:keepNext w:val="0"/>
        <w:keepLines w:val="0"/>
        <w:pageBreakBefore w:val="0"/>
        <w:kinsoku/>
        <w:wordWrap/>
        <w:overflowPunct/>
        <w:topLinePunct w:val="0"/>
        <w:autoSpaceDE/>
        <w:autoSpaceDN/>
        <w:bidi w:val="0"/>
        <w:adjustRightInd/>
        <w:snapToGrid/>
        <w:spacing w:line="360" w:lineRule="exact"/>
        <w:ind w:firstLine="560" w:firstLineChars="200"/>
        <w:rPr>
          <w:rFonts w:hint="eastAsia" w:ascii="仿宋" w:hAnsi="仿宋" w:cs="仿宋"/>
          <w:i w:val="0"/>
          <w:iCs w:val="0"/>
          <w:color w:val="000000"/>
          <w:sz w:val="28"/>
          <w:szCs w:val="28"/>
          <w:u w:val="none"/>
          <w:lang w:val="en-US" w:eastAsia="zh-CN"/>
        </w:rPr>
      </w:pPr>
      <w:r>
        <w:rPr>
          <w:rFonts w:hint="eastAsia" w:ascii="仿宋" w:hAnsi="仿宋" w:cs="仿宋"/>
          <w:i w:val="0"/>
          <w:iCs w:val="0"/>
          <w:color w:val="000000"/>
          <w:sz w:val="28"/>
          <w:szCs w:val="28"/>
          <w:u w:val="none"/>
          <w:lang w:val="en-US" w:eastAsia="zh-CN"/>
        </w:rPr>
        <w:t>2.参与本次市场调研活动的潜在供应商，我院不作任何承诺。因参与市场调研所产生的一切费用由报名潜在供应商自行承担，我院不支付任何相关费用。本次市场调研的后续工作及结果，我院不做任何解释。本次市场调研的解释权归院方。</w:t>
      </w:r>
    </w:p>
    <w:p w14:paraId="5CC37956">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i w:val="0"/>
          <w:iCs w:val="0"/>
          <w:color w:val="000000"/>
          <w:kern w:val="2"/>
          <w:sz w:val="28"/>
          <w:szCs w:val="28"/>
          <w:u w:val="none"/>
          <w:lang w:val="en-US" w:eastAsia="zh-CN" w:bidi="zh-CN"/>
        </w:rPr>
      </w:pPr>
    </w:p>
    <w:p w14:paraId="560BA351">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i w:val="0"/>
          <w:iCs w:val="0"/>
          <w:color w:val="000000"/>
          <w:kern w:val="2"/>
          <w:sz w:val="28"/>
          <w:szCs w:val="28"/>
          <w:u w:val="none"/>
          <w:lang w:val="en-US" w:eastAsia="zh-CN" w:bidi="zh-CN"/>
        </w:rPr>
      </w:pPr>
    </w:p>
    <w:p w14:paraId="6D2EEE43">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i w:val="0"/>
          <w:iCs w:val="0"/>
          <w:color w:val="000000"/>
          <w:kern w:val="2"/>
          <w:sz w:val="28"/>
          <w:szCs w:val="28"/>
          <w:u w:val="none"/>
          <w:lang w:val="en-US" w:eastAsia="zh-CN" w:bidi="zh-CN"/>
        </w:rPr>
      </w:pPr>
    </w:p>
    <w:p w14:paraId="20FF397D">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i w:val="0"/>
          <w:iCs w:val="0"/>
          <w:color w:val="000000"/>
          <w:kern w:val="2"/>
          <w:sz w:val="28"/>
          <w:szCs w:val="28"/>
          <w:u w:val="none"/>
          <w:lang w:val="en-US" w:eastAsia="zh-CN" w:bidi="zh-CN"/>
        </w:rPr>
      </w:pPr>
    </w:p>
    <w:p w14:paraId="7AC6205B">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i w:val="0"/>
          <w:iCs w:val="0"/>
          <w:color w:val="000000"/>
          <w:kern w:val="2"/>
          <w:sz w:val="28"/>
          <w:szCs w:val="28"/>
          <w:u w:val="none"/>
          <w:lang w:val="en-US" w:eastAsia="zh-CN" w:bidi="zh-CN"/>
        </w:rPr>
      </w:pPr>
    </w:p>
    <w:p w14:paraId="00460BAD">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i w:val="0"/>
          <w:iCs w:val="0"/>
          <w:color w:val="000000"/>
          <w:kern w:val="2"/>
          <w:sz w:val="28"/>
          <w:szCs w:val="28"/>
          <w:u w:val="none"/>
          <w:lang w:val="en-US" w:eastAsia="zh-CN" w:bidi="zh-CN"/>
        </w:rPr>
      </w:pPr>
    </w:p>
    <w:p w14:paraId="75218DF9">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i w:val="0"/>
          <w:iCs w:val="0"/>
          <w:color w:val="000000"/>
          <w:kern w:val="2"/>
          <w:sz w:val="28"/>
          <w:szCs w:val="28"/>
          <w:u w:val="none"/>
          <w:lang w:val="en-US" w:eastAsia="zh-CN" w:bidi="zh-CN"/>
        </w:rPr>
      </w:pPr>
    </w:p>
    <w:p w14:paraId="58EA0909">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i w:val="0"/>
          <w:iCs w:val="0"/>
          <w:color w:val="000000"/>
          <w:kern w:val="2"/>
          <w:sz w:val="28"/>
          <w:szCs w:val="28"/>
          <w:u w:val="none"/>
          <w:lang w:val="en-US" w:eastAsia="zh-CN" w:bidi="zh-CN"/>
        </w:rPr>
      </w:pPr>
    </w:p>
    <w:p w14:paraId="04ABEE8C">
      <w:pPr>
        <w:pStyle w:val="2"/>
        <w:keepNext w:val="0"/>
        <w:keepLines w:val="0"/>
        <w:pageBreakBefore w:val="0"/>
        <w:widowControl w:val="0"/>
        <w:kinsoku/>
        <w:wordWrap/>
        <w:overflowPunct/>
        <w:topLinePunct w:val="0"/>
        <w:bidi w:val="0"/>
        <w:snapToGrid/>
        <w:spacing w:line="360" w:lineRule="auto"/>
        <w:ind w:right="0" w:rightChars="0"/>
        <w:jc w:val="center"/>
        <w:rPr>
          <w:rFonts w:hint="eastAsia" w:ascii="仿宋" w:hAnsi="仿宋" w:eastAsia="仿宋" w:cs="仿宋"/>
          <w:b/>
          <w:bCs/>
          <w:color w:val="auto"/>
          <w:sz w:val="44"/>
          <w:szCs w:val="44"/>
          <w:lang w:val="en-US" w:eastAsia="zh-CN"/>
        </w:rPr>
      </w:pPr>
      <w:r>
        <w:rPr>
          <w:rFonts w:hint="eastAsia" w:ascii="仿宋" w:hAnsi="仿宋" w:eastAsia="仿宋" w:cs="仿宋"/>
          <w:b/>
          <w:bCs/>
          <w:color w:val="auto"/>
          <w:sz w:val="44"/>
          <w:szCs w:val="44"/>
          <w:lang w:val="en-US" w:eastAsia="zh-CN"/>
        </w:rPr>
        <w:t>报名注意事项</w:t>
      </w:r>
    </w:p>
    <w:p w14:paraId="0C100449">
      <w:pPr>
        <w:numPr>
          <w:ilvl w:val="0"/>
          <w:numId w:val="0"/>
        </w:numPr>
        <w:spacing w:line="500" w:lineRule="exact"/>
        <w:textAlignment w:val="baseline"/>
        <w:outlineLvl w:val="1"/>
        <w:rPr>
          <w:rFonts w:hint="eastAsia" w:ascii="仿宋" w:hAnsi="仿宋" w:eastAsia="仿宋" w:cs="仿宋"/>
          <w:b w:val="0"/>
          <w:bCs w:val="0"/>
          <w:color w:val="auto"/>
          <w:sz w:val="30"/>
          <w:szCs w:val="30"/>
          <w:lang w:val="en-US" w:eastAsia="zh-CN"/>
        </w:rPr>
      </w:pPr>
    </w:p>
    <w:p w14:paraId="4B0E8026">
      <w:pPr>
        <w:pStyle w:val="2"/>
        <w:keepNext w:val="0"/>
        <w:keepLines w:val="0"/>
        <w:pageBreakBefore w:val="0"/>
        <w:widowControl w:val="0"/>
        <w:kinsoku/>
        <w:wordWrap/>
        <w:overflowPunct/>
        <w:topLinePunct w:val="0"/>
        <w:bidi w:val="0"/>
        <w:snapToGrid/>
        <w:spacing w:line="360" w:lineRule="auto"/>
        <w:ind w:left="0" w:leftChars="0" w:right="0" w:rightChars="0" w:firstLine="600"/>
        <w:rPr>
          <w:rFonts w:hint="eastAsia" w:ascii="仿宋" w:hAnsi="仿宋" w:eastAsia="仿宋" w:cs="仿宋"/>
          <w:b w:val="0"/>
          <w:bCs w:val="0"/>
          <w:color w:val="auto"/>
          <w:sz w:val="30"/>
          <w:szCs w:val="30"/>
          <w:lang w:val="en-US" w:eastAsia="zh-CN"/>
        </w:rPr>
      </w:pPr>
      <w:r>
        <w:rPr>
          <w:rFonts w:hint="eastAsia" w:ascii="仿宋" w:hAnsi="仿宋" w:eastAsia="仿宋" w:cs="仿宋"/>
          <w:b w:val="0"/>
          <w:bCs w:val="0"/>
          <w:color w:val="auto"/>
          <w:sz w:val="30"/>
          <w:szCs w:val="30"/>
          <w:lang w:val="en-US" w:eastAsia="zh-CN"/>
        </w:rPr>
        <w:t>1.请参与报名的各潜在供应商在准备报名资料时，按照报名资料目录顺序和模板提交，若其中某项资料不需提供，请勿删除页面，自动跳过当前页即可。</w:t>
      </w:r>
    </w:p>
    <w:p w14:paraId="56FD6626">
      <w:pPr>
        <w:pStyle w:val="2"/>
        <w:keepNext w:val="0"/>
        <w:keepLines w:val="0"/>
        <w:pageBreakBefore w:val="0"/>
        <w:widowControl w:val="0"/>
        <w:kinsoku/>
        <w:wordWrap/>
        <w:overflowPunct/>
        <w:topLinePunct w:val="0"/>
        <w:bidi w:val="0"/>
        <w:snapToGrid/>
        <w:spacing w:line="360" w:lineRule="auto"/>
        <w:ind w:right="0" w:rightChars="0" w:firstLine="600" w:firstLineChars="200"/>
        <w:rPr>
          <w:rFonts w:hint="eastAsia" w:ascii="仿宋" w:hAnsi="仿宋" w:eastAsia="仿宋" w:cs="仿宋"/>
          <w:b w:val="0"/>
          <w:bCs w:val="0"/>
          <w:color w:val="auto"/>
          <w:sz w:val="30"/>
          <w:szCs w:val="30"/>
          <w:lang w:val="en-US" w:eastAsia="zh-CN"/>
        </w:rPr>
      </w:pPr>
      <w:r>
        <w:rPr>
          <w:rFonts w:hint="eastAsia" w:ascii="仿宋" w:hAnsi="仿宋" w:eastAsia="仿宋" w:cs="仿宋"/>
          <w:b w:val="0"/>
          <w:bCs w:val="0"/>
          <w:color w:val="auto"/>
          <w:sz w:val="30"/>
          <w:szCs w:val="30"/>
          <w:lang w:val="en-US" w:eastAsia="zh-CN"/>
        </w:rPr>
        <w:t>2.可根据项目方案内容通过PPT重点介绍产品功能、亮点及落地案例，15分钟。</w:t>
      </w:r>
    </w:p>
    <w:p w14:paraId="4AE730C0">
      <w:pPr>
        <w:pStyle w:val="2"/>
        <w:keepNext w:val="0"/>
        <w:keepLines w:val="0"/>
        <w:pageBreakBefore w:val="0"/>
        <w:widowControl w:val="0"/>
        <w:kinsoku/>
        <w:wordWrap/>
        <w:overflowPunct/>
        <w:topLinePunct w:val="0"/>
        <w:autoSpaceDE w:val="0"/>
        <w:autoSpaceDN w:val="0"/>
        <w:bidi w:val="0"/>
        <w:adjustRightInd w:val="0"/>
        <w:snapToGrid/>
        <w:spacing w:line="360" w:lineRule="auto"/>
        <w:ind w:right="0" w:rightChars="0" w:firstLine="600" w:firstLineChars="200"/>
        <w:textAlignment w:val="auto"/>
        <w:rPr>
          <w:rFonts w:hint="eastAsia" w:ascii="仿宋" w:hAnsi="仿宋" w:eastAsia="仿宋" w:cs="仿宋"/>
          <w:b w:val="0"/>
          <w:bCs w:val="0"/>
          <w:color w:val="auto"/>
          <w:sz w:val="30"/>
          <w:szCs w:val="30"/>
          <w:lang w:val="en-US" w:eastAsia="zh-CN"/>
        </w:rPr>
      </w:pPr>
      <w:r>
        <w:rPr>
          <w:rFonts w:hint="eastAsia" w:ascii="仿宋" w:hAnsi="仿宋" w:eastAsia="仿宋" w:cs="仿宋"/>
          <w:b w:val="0"/>
          <w:bCs w:val="0"/>
          <w:color w:val="auto"/>
          <w:sz w:val="30"/>
          <w:szCs w:val="30"/>
          <w:lang w:val="en-US" w:eastAsia="zh-CN"/>
        </w:rPr>
        <w:t>3.报名资料电子文档（盖章扫描件和可编辑版本）发送至zyszxyyxxb@163.com。邮件名称：</w:t>
      </w:r>
      <w:r>
        <w:rPr>
          <w:rFonts w:hint="eastAsia" w:ascii="仿宋" w:hAnsi="仿宋" w:eastAsia="仿宋" w:cs="仿宋"/>
          <w:b w:val="0"/>
          <w:bCs w:val="0"/>
          <w:color w:val="FF0000"/>
          <w:sz w:val="30"/>
          <w:szCs w:val="30"/>
          <w:lang w:val="en-US" w:eastAsia="zh-CN"/>
        </w:rPr>
        <w:t>“XXXX项目名称（公司名称+联系人+联系电话）</w:t>
      </w:r>
      <w:r>
        <w:rPr>
          <w:rFonts w:hint="eastAsia" w:ascii="仿宋" w:hAnsi="仿宋" w:eastAsia="仿宋" w:cs="仿宋"/>
          <w:b w:val="0"/>
          <w:bCs w:val="0"/>
          <w:color w:val="auto"/>
          <w:sz w:val="30"/>
          <w:szCs w:val="30"/>
          <w:lang w:val="en-US" w:eastAsia="zh-CN"/>
        </w:rPr>
        <w:t>”</w:t>
      </w:r>
    </w:p>
    <w:p w14:paraId="578E0399">
      <w:pPr>
        <w:pStyle w:val="2"/>
        <w:keepNext w:val="0"/>
        <w:keepLines w:val="0"/>
        <w:pageBreakBefore w:val="0"/>
        <w:widowControl w:val="0"/>
        <w:kinsoku/>
        <w:wordWrap/>
        <w:overflowPunct/>
        <w:topLinePunct w:val="0"/>
        <w:autoSpaceDE w:val="0"/>
        <w:autoSpaceDN w:val="0"/>
        <w:bidi w:val="0"/>
        <w:adjustRightInd w:val="0"/>
        <w:snapToGrid/>
        <w:spacing w:line="360" w:lineRule="auto"/>
        <w:ind w:right="0" w:rightChars="0" w:firstLine="600" w:firstLineChars="200"/>
        <w:textAlignment w:val="auto"/>
        <w:rPr>
          <w:rFonts w:hint="eastAsia" w:ascii="仿宋" w:hAnsi="仿宋" w:eastAsia="仿宋" w:cs="仿宋"/>
          <w:b w:val="0"/>
          <w:bCs w:val="0"/>
          <w:color w:val="auto"/>
          <w:sz w:val="30"/>
          <w:szCs w:val="30"/>
          <w:lang w:val="en-US" w:eastAsia="zh-CN"/>
        </w:rPr>
      </w:pPr>
      <w:r>
        <w:rPr>
          <w:rFonts w:hint="eastAsia" w:ascii="仿宋" w:hAnsi="仿宋" w:eastAsia="仿宋" w:cs="仿宋"/>
          <w:b w:val="0"/>
          <w:bCs w:val="0"/>
          <w:color w:val="auto"/>
          <w:sz w:val="30"/>
          <w:szCs w:val="30"/>
          <w:lang w:val="en-US" w:eastAsia="zh-CN"/>
        </w:rPr>
        <w:t>4.收到您的邮件即报名成功。特殊情况，我们会通过电话与您联系，请注意保持电话畅通。感谢您的积极参与！</w:t>
      </w:r>
    </w:p>
    <w:p w14:paraId="4CBFEAC5">
      <w:pPr>
        <w:pStyle w:val="2"/>
        <w:keepNext w:val="0"/>
        <w:keepLines w:val="0"/>
        <w:pageBreakBefore w:val="0"/>
        <w:widowControl w:val="0"/>
        <w:kinsoku/>
        <w:wordWrap/>
        <w:overflowPunct/>
        <w:topLinePunct w:val="0"/>
        <w:bidi w:val="0"/>
        <w:snapToGrid/>
        <w:spacing w:line="360" w:lineRule="auto"/>
        <w:ind w:left="0" w:leftChars="0" w:right="0" w:rightChars="0"/>
        <w:rPr>
          <w:rFonts w:hint="eastAsia" w:ascii="宋体" w:hAnsi="宋体" w:eastAsia="宋体" w:cs="宋体"/>
          <w:b w:val="0"/>
          <w:bCs w:val="0"/>
          <w:color w:val="auto"/>
          <w:sz w:val="30"/>
          <w:szCs w:val="30"/>
          <w:lang w:val="en-US" w:eastAsia="zh-CN"/>
        </w:rPr>
      </w:pPr>
    </w:p>
    <w:p w14:paraId="21AB2F34">
      <w:pPr>
        <w:rPr>
          <w:rFonts w:hint="eastAsia"/>
          <w:lang w:val="en-US" w:eastAsia="zh-CN"/>
        </w:rPr>
      </w:pPr>
    </w:p>
    <w:p w14:paraId="20BE1E03">
      <w:pPr>
        <w:pStyle w:val="6"/>
        <w:rPr>
          <w:rFonts w:hint="default"/>
          <w:lang w:val="en-US" w:eastAsia="zh-CN"/>
        </w:rPr>
      </w:pPr>
    </w:p>
    <w:p w14:paraId="02043E00">
      <w:pPr>
        <w:pStyle w:val="6"/>
        <w:rPr>
          <w:rFonts w:hint="eastAsia"/>
          <w:lang w:eastAsia="zh-CN"/>
        </w:rPr>
      </w:pPr>
    </w:p>
    <w:p w14:paraId="0C6705FE">
      <w:pPr>
        <w:pStyle w:val="2"/>
      </w:pPr>
    </w:p>
    <w:p w14:paraId="4E022E04">
      <w:pPr>
        <w:pStyle w:val="2"/>
      </w:pPr>
    </w:p>
    <w:p w14:paraId="7B562D01">
      <w:pPr>
        <w:pStyle w:val="2"/>
      </w:pPr>
    </w:p>
    <w:p w14:paraId="2AACC706">
      <w:pPr>
        <w:pStyle w:val="2"/>
      </w:pPr>
    </w:p>
    <w:p w14:paraId="6121E002">
      <w:pPr>
        <w:pStyle w:val="2"/>
      </w:pPr>
    </w:p>
    <w:p w14:paraId="466F7595">
      <w:pPr>
        <w:pStyle w:val="2"/>
      </w:pPr>
    </w:p>
    <w:p w14:paraId="28FB3DA9">
      <w:pPr>
        <w:pStyle w:val="2"/>
      </w:pPr>
    </w:p>
    <w:p w14:paraId="5AF54E6C">
      <w:pPr>
        <w:pStyle w:val="2"/>
      </w:pPr>
    </w:p>
    <w:p w14:paraId="6DB5A362">
      <w:pPr>
        <w:pStyle w:val="2"/>
      </w:pPr>
    </w:p>
    <w:p w14:paraId="78DBE6C2">
      <w:pPr>
        <w:pStyle w:val="2"/>
      </w:pPr>
    </w:p>
    <w:p w14:paraId="69B88316">
      <w:pPr>
        <w:pStyle w:val="2"/>
      </w:pPr>
    </w:p>
    <w:p w14:paraId="46DB01FB">
      <w:pPr>
        <w:pStyle w:val="2"/>
      </w:pPr>
    </w:p>
    <w:p w14:paraId="475BD167">
      <w:pPr>
        <w:pStyle w:val="2"/>
      </w:pPr>
    </w:p>
    <w:p w14:paraId="758E5DC4">
      <w:pPr>
        <w:pStyle w:val="2"/>
      </w:pPr>
    </w:p>
    <w:p w14:paraId="793B3062">
      <w:pPr>
        <w:pStyle w:val="2"/>
      </w:pPr>
    </w:p>
    <w:p w14:paraId="1403CAC5">
      <w:pPr>
        <w:pStyle w:val="2"/>
      </w:pPr>
    </w:p>
    <w:sdt>
      <w:sdtPr>
        <w:rPr>
          <w:rFonts w:ascii="宋体" w:hAnsi="宋体" w:eastAsia="宋体" w:cstheme="minorBidi"/>
          <w:kern w:val="2"/>
          <w:sz w:val="28"/>
          <w:szCs w:val="36"/>
          <w:lang w:val="en-US" w:eastAsia="zh-CN" w:bidi="ar-SA"/>
        </w:rPr>
        <w:id w:val="147450881"/>
        <w15:color w:val="DBDBDB"/>
        <w:docPartObj>
          <w:docPartGallery w:val="Table of Contents"/>
          <w:docPartUnique/>
        </w:docPartObj>
      </w:sdtPr>
      <w:sdtEndPr>
        <w:rPr>
          <w:rFonts w:asciiTheme="minorHAnsi" w:hAnsiTheme="minorHAnsi" w:eastAsiaTheme="minorEastAsia" w:cstheme="minorBidi"/>
          <w:kern w:val="2"/>
          <w:sz w:val="21"/>
          <w:szCs w:val="24"/>
          <w:lang w:val="en-US" w:eastAsia="zh-CN" w:bidi="ar-SA"/>
        </w:rPr>
      </w:sdtEndPr>
      <w:sdtContent>
        <w:p w14:paraId="20995604">
          <w:pPr>
            <w:spacing w:before="0" w:beforeLines="0" w:after="0" w:afterLines="0" w:line="240" w:lineRule="auto"/>
            <w:ind w:left="0" w:leftChars="0" w:right="0" w:rightChars="0" w:firstLine="0" w:firstLineChars="0"/>
            <w:jc w:val="center"/>
            <w:rPr>
              <w:rFonts w:hint="eastAsia" w:asciiTheme="minorEastAsia" w:hAnsiTheme="minorEastAsia" w:eastAsiaTheme="minorEastAsia" w:cstheme="minorEastAsia"/>
              <w:b/>
              <w:bCs/>
              <w:sz w:val="40"/>
              <w:szCs w:val="40"/>
            </w:rPr>
          </w:pPr>
          <w:r>
            <w:rPr>
              <w:rFonts w:hint="eastAsia" w:asciiTheme="minorEastAsia" w:hAnsiTheme="minorEastAsia" w:eastAsiaTheme="minorEastAsia" w:cstheme="minorEastAsia"/>
              <w:b/>
              <w:bCs/>
              <w:kern w:val="2"/>
              <w:sz w:val="40"/>
              <w:szCs w:val="40"/>
              <w:lang w:val="en-US" w:eastAsia="zh-CN" w:bidi="ar-SA"/>
            </w:rPr>
            <w:t>调研报名</w:t>
          </w:r>
          <w:r>
            <w:rPr>
              <w:rFonts w:hint="eastAsia" w:asciiTheme="minorEastAsia" w:hAnsiTheme="minorEastAsia" w:eastAsiaTheme="minorEastAsia" w:cstheme="minorEastAsia"/>
              <w:b/>
              <w:bCs/>
              <w:sz w:val="40"/>
              <w:szCs w:val="40"/>
            </w:rPr>
            <w:t>目录</w:t>
          </w:r>
        </w:p>
        <w:p w14:paraId="70983076">
          <w:pPr>
            <w:spacing w:before="0" w:beforeLines="0" w:after="0" w:afterLines="0" w:line="240" w:lineRule="auto"/>
            <w:ind w:left="0" w:leftChars="0" w:right="0" w:rightChars="0" w:firstLine="0" w:firstLineChars="0"/>
            <w:jc w:val="center"/>
          </w:pPr>
        </w:p>
        <w:p w14:paraId="4BD8C80A">
          <w:pPr>
            <w:pStyle w:val="8"/>
            <w:tabs>
              <w:tab w:val="right" w:leader="dot" w:pos="8306"/>
            </w:tabs>
          </w:pPr>
          <w:r>
            <w:fldChar w:fldCharType="begin"/>
          </w:r>
          <w:r>
            <w:instrText xml:space="preserve">TOC \o "1-3" \h \u </w:instrText>
          </w:r>
          <w:r>
            <w:fldChar w:fldCharType="separate"/>
          </w:r>
          <w:r>
            <w:fldChar w:fldCharType="begin"/>
          </w:r>
          <w:r>
            <w:instrText xml:space="preserve"> HYPERLINK \l _Toc3172 </w:instrText>
          </w:r>
          <w:r>
            <w:fldChar w:fldCharType="separate"/>
          </w:r>
          <w:r>
            <w:rPr>
              <w:rFonts w:hint="eastAsia"/>
            </w:rPr>
            <w:t>一、 报名</w:t>
          </w:r>
          <w:r>
            <w:rPr>
              <w:rFonts w:hint="eastAsia"/>
              <w:lang w:eastAsia="zh-CN"/>
            </w:rPr>
            <w:t>登记</w:t>
          </w:r>
          <w:r>
            <w:rPr>
              <w:rFonts w:hint="eastAsia"/>
            </w:rPr>
            <w:t>表</w:t>
          </w:r>
          <w:r>
            <w:tab/>
          </w:r>
          <w:r>
            <w:fldChar w:fldCharType="begin"/>
          </w:r>
          <w:r>
            <w:instrText xml:space="preserve"> PAGEREF _Toc3172 \h </w:instrText>
          </w:r>
          <w:r>
            <w:fldChar w:fldCharType="separate"/>
          </w:r>
          <w:r>
            <w:t>4</w:t>
          </w:r>
          <w:r>
            <w:fldChar w:fldCharType="end"/>
          </w:r>
          <w:r>
            <w:fldChar w:fldCharType="end"/>
          </w:r>
        </w:p>
        <w:p w14:paraId="5CB0DF9C">
          <w:pPr>
            <w:pStyle w:val="8"/>
            <w:tabs>
              <w:tab w:val="right" w:leader="dot" w:pos="8306"/>
            </w:tabs>
          </w:pPr>
          <w:r>
            <w:fldChar w:fldCharType="begin"/>
          </w:r>
          <w:r>
            <w:instrText xml:space="preserve"> HYPERLINK \l _Toc18765 </w:instrText>
          </w:r>
          <w:r>
            <w:fldChar w:fldCharType="separate"/>
          </w:r>
          <w:r>
            <w:rPr>
              <w:rFonts w:hint="eastAsia"/>
              <w:lang w:val="en-US" w:eastAsia="zh-CN"/>
            </w:rPr>
            <w:t>二、资质：</w:t>
          </w:r>
          <w:r>
            <w:tab/>
          </w:r>
          <w:r>
            <w:fldChar w:fldCharType="begin"/>
          </w:r>
          <w:r>
            <w:instrText xml:space="preserve"> PAGEREF _Toc18765 \h </w:instrText>
          </w:r>
          <w:r>
            <w:fldChar w:fldCharType="separate"/>
          </w:r>
          <w:r>
            <w:t>4</w:t>
          </w:r>
          <w:r>
            <w:fldChar w:fldCharType="end"/>
          </w:r>
          <w:r>
            <w:fldChar w:fldCharType="end"/>
          </w:r>
        </w:p>
        <w:p w14:paraId="65CC8705">
          <w:pPr>
            <w:pStyle w:val="9"/>
            <w:tabs>
              <w:tab w:val="right" w:leader="dot" w:pos="8306"/>
            </w:tabs>
          </w:pPr>
          <w:r>
            <w:fldChar w:fldCharType="begin"/>
          </w:r>
          <w:r>
            <w:instrText xml:space="preserve"> HYPERLINK \l _Toc21032 </w:instrText>
          </w:r>
          <w:r>
            <w:fldChar w:fldCharType="separate"/>
          </w:r>
          <w:r>
            <w:rPr>
              <w:rFonts w:hint="eastAsia"/>
              <w:lang w:val="en-US" w:eastAsia="zh-CN"/>
            </w:rPr>
            <w:t>2.1</w:t>
          </w:r>
          <w:r>
            <w:rPr>
              <w:rFonts w:hint="eastAsia"/>
            </w:rPr>
            <w:t>营业执照</w:t>
          </w:r>
          <w:r>
            <w:tab/>
          </w:r>
          <w:r>
            <w:fldChar w:fldCharType="begin"/>
          </w:r>
          <w:r>
            <w:instrText xml:space="preserve"> PAGEREF _Toc21032 \h </w:instrText>
          </w:r>
          <w:r>
            <w:fldChar w:fldCharType="separate"/>
          </w:r>
          <w:r>
            <w:t>4</w:t>
          </w:r>
          <w:r>
            <w:fldChar w:fldCharType="end"/>
          </w:r>
          <w:r>
            <w:fldChar w:fldCharType="end"/>
          </w:r>
        </w:p>
        <w:p w14:paraId="4B6766E2">
          <w:pPr>
            <w:pStyle w:val="9"/>
            <w:tabs>
              <w:tab w:val="right" w:leader="dot" w:pos="8306"/>
            </w:tabs>
          </w:pPr>
          <w:r>
            <w:fldChar w:fldCharType="begin"/>
          </w:r>
          <w:r>
            <w:instrText xml:space="preserve"> HYPERLINK \l _Toc14663 </w:instrText>
          </w:r>
          <w:r>
            <w:fldChar w:fldCharType="separate"/>
          </w:r>
          <w:r>
            <w:rPr>
              <w:rFonts w:hint="eastAsia"/>
              <w:lang w:val="en-US" w:eastAsia="zh-CN"/>
            </w:rPr>
            <w:t>2.1</w:t>
          </w:r>
          <w:r>
            <w:rPr>
              <w:rFonts w:hint="eastAsia"/>
              <w:lang w:eastAsia="zh-CN"/>
            </w:rPr>
            <w:t>法定代表人授权书</w:t>
          </w:r>
          <w:r>
            <w:tab/>
          </w:r>
          <w:r>
            <w:fldChar w:fldCharType="begin"/>
          </w:r>
          <w:r>
            <w:instrText xml:space="preserve"> PAGEREF _Toc14663 \h </w:instrText>
          </w:r>
          <w:r>
            <w:fldChar w:fldCharType="separate"/>
          </w:r>
          <w:r>
            <w:t>4</w:t>
          </w:r>
          <w:r>
            <w:fldChar w:fldCharType="end"/>
          </w:r>
          <w:r>
            <w:fldChar w:fldCharType="end"/>
          </w:r>
        </w:p>
        <w:p w14:paraId="1550ABDA">
          <w:pPr>
            <w:pStyle w:val="9"/>
            <w:tabs>
              <w:tab w:val="right" w:leader="dot" w:pos="8306"/>
            </w:tabs>
          </w:pPr>
          <w:r>
            <w:fldChar w:fldCharType="begin"/>
          </w:r>
          <w:r>
            <w:instrText xml:space="preserve"> HYPERLINK \l _Toc32138 </w:instrText>
          </w:r>
          <w:r>
            <w:fldChar w:fldCharType="separate"/>
          </w:r>
          <w:r>
            <w:rPr>
              <w:rFonts w:hint="eastAsia"/>
              <w:lang w:val="en-US" w:eastAsia="zh-CN"/>
            </w:rPr>
            <w:t>2.3</w:t>
          </w:r>
          <w:r>
            <w:rPr>
              <w:rFonts w:hint="eastAsia"/>
              <w:lang w:eastAsia="zh-CN"/>
            </w:rPr>
            <w:t>法人及被授权人身份证</w:t>
          </w:r>
          <w:r>
            <w:tab/>
          </w:r>
          <w:r>
            <w:fldChar w:fldCharType="begin"/>
          </w:r>
          <w:r>
            <w:instrText xml:space="preserve"> PAGEREF _Toc32138 \h </w:instrText>
          </w:r>
          <w:r>
            <w:fldChar w:fldCharType="separate"/>
          </w:r>
          <w:r>
            <w:t>4</w:t>
          </w:r>
          <w:r>
            <w:fldChar w:fldCharType="end"/>
          </w:r>
          <w:r>
            <w:fldChar w:fldCharType="end"/>
          </w:r>
        </w:p>
        <w:p w14:paraId="37C0A682">
          <w:pPr>
            <w:pStyle w:val="9"/>
            <w:tabs>
              <w:tab w:val="right" w:leader="dot" w:pos="8306"/>
            </w:tabs>
          </w:pPr>
          <w:r>
            <w:fldChar w:fldCharType="begin"/>
          </w:r>
          <w:r>
            <w:instrText xml:space="preserve"> HYPERLINK \l _Toc2000 </w:instrText>
          </w:r>
          <w:r>
            <w:fldChar w:fldCharType="separate"/>
          </w:r>
          <w:r>
            <w:rPr>
              <w:rFonts w:hint="eastAsia"/>
              <w:lang w:val="en-US" w:eastAsia="zh-CN"/>
            </w:rPr>
            <w:t>2.4</w:t>
          </w:r>
          <w:r>
            <w:rPr>
              <w:rFonts w:hint="eastAsia"/>
              <w:lang w:eastAsia="zh-CN"/>
            </w:rPr>
            <w:t>公司资质</w:t>
          </w:r>
          <w:r>
            <w:tab/>
          </w:r>
          <w:r>
            <w:fldChar w:fldCharType="begin"/>
          </w:r>
          <w:r>
            <w:instrText xml:space="preserve"> PAGEREF _Toc2000 \h </w:instrText>
          </w:r>
          <w:r>
            <w:fldChar w:fldCharType="separate"/>
          </w:r>
          <w:r>
            <w:t>4</w:t>
          </w:r>
          <w:r>
            <w:fldChar w:fldCharType="end"/>
          </w:r>
          <w:r>
            <w:fldChar w:fldCharType="end"/>
          </w:r>
        </w:p>
        <w:p w14:paraId="13B6176F">
          <w:pPr>
            <w:pStyle w:val="9"/>
            <w:tabs>
              <w:tab w:val="right" w:leader="dot" w:pos="8306"/>
            </w:tabs>
          </w:pPr>
          <w:r>
            <w:fldChar w:fldCharType="begin"/>
          </w:r>
          <w:r>
            <w:instrText xml:space="preserve"> HYPERLINK \l _Toc22527 </w:instrText>
          </w:r>
          <w:r>
            <w:fldChar w:fldCharType="separate"/>
          </w:r>
          <w:r>
            <w:rPr>
              <w:rFonts w:hint="eastAsia"/>
              <w:lang w:val="en-US" w:eastAsia="zh-CN"/>
            </w:rPr>
            <w:t>2.5软件资质</w:t>
          </w:r>
          <w:r>
            <w:tab/>
          </w:r>
          <w:r>
            <w:fldChar w:fldCharType="begin"/>
          </w:r>
          <w:r>
            <w:instrText xml:space="preserve"> PAGEREF _Toc22527 \h </w:instrText>
          </w:r>
          <w:r>
            <w:fldChar w:fldCharType="separate"/>
          </w:r>
          <w:r>
            <w:t>4</w:t>
          </w:r>
          <w:r>
            <w:fldChar w:fldCharType="end"/>
          </w:r>
          <w:r>
            <w:fldChar w:fldCharType="end"/>
          </w:r>
        </w:p>
        <w:p w14:paraId="38A665A7">
          <w:pPr>
            <w:pStyle w:val="9"/>
            <w:tabs>
              <w:tab w:val="right" w:leader="dot" w:pos="8306"/>
            </w:tabs>
          </w:pPr>
          <w:r>
            <w:fldChar w:fldCharType="begin"/>
          </w:r>
          <w:r>
            <w:instrText xml:space="preserve"> HYPERLINK \l _Toc32219 </w:instrText>
          </w:r>
          <w:r>
            <w:fldChar w:fldCharType="separate"/>
          </w:r>
          <w:r>
            <w:rPr>
              <w:rFonts w:hint="eastAsia"/>
              <w:lang w:val="en-US" w:eastAsia="zh-CN"/>
            </w:rPr>
            <w:t>2.6本项目涉及</w:t>
          </w:r>
          <w:r>
            <w:rPr>
              <w:rFonts w:hint="eastAsia"/>
              <w:lang w:eastAsia="zh-CN"/>
            </w:rPr>
            <w:t>资质</w:t>
          </w:r>
          <w:r>
            <w:tab/>
          </w:r>
          <w:r>
            <w:fldChar w:fldCharType="begin"/>
          </w:r>
          <w:r>
            <w:instrText xml:space="preserve"> PAGEREF _Toc32219 \h </w:instrText>
          </w:r>
          <w:r>
            <w:fldChar w:fldCharType="separate"/>
          </w:r>
          <w:r>
            <w:t>4</w:t>
          </w:r>
          <w:r>
            <w:fldChar w:fldCharType="end"/>
          </w:r>
          <w:r>
            <w:fldChar w:fldCharType="end"/>
          </w:r>
        </w:p>
        <w:p w14:paraId="6FAE0C5A">
          <w:pPr>
            <w:pStyle w:val="9"/>
            <w:tabs>
              <w:tab w:val="right" w:leader="dot" w:pos="8306"/>
            </w:tabs>
          </w:pPr>
          <w:r>
            <w:fldChar w:fldCharType="begin"/>
          </w:r>
          <w:r>
            <w:instrText xml:space="preserve"> HYPERLINK \l _Toc24251 </w:instrText>
          </w:r>
          <w:r>
            <w:fldChar w:fldCharType="separate"/>
          </w:r>
          <w:r>
            <w:rPr>
              <w:rFonts w:hint="eastAsia"/>
              <w:lang w:val="en-US" w:eastAsia="zh-CN"/>
            </w:rPr>
            <w:t>2.7开发商委托销售授权函</w:t>
          </w:r>
          <w:r>
            <w:tab/>
          </w:r>
          <w:r>
            <w:fldChar w:fldCharType="begin"/>
          </w:r>
          <w:r>
            <w:instrText xml:space="preserve"> PAGEREF _Toc24251 \h </w:instrText>
          </w:r>
          <w:r>
            <w:fldChar w:fldCharType="separate"/>
          </w:r>
          <w:r>
            <w:t>4</w:t>
          </w:r>
          <w:r>
            <w:fldChar w:fldCharType="end"/>
          </w:r>
          <w:r>
            <w:fldChar w:fldCharType="end"/>
          </w:r>
        </w:p>
        <w:p w14:paraId="28534AE6">
          <w:pPr>
            <w:pStyle w:val="8"/>
            <w:tabs>
              <w:tab w:val="right" w:leader="dot" w:pos="8306"/>
            </w:tabs>
          </w:pPr>
          <w:r>
            <w:fldChar w:fldCharType="begin"/>
          </w:r>
          <w:r>
            <w:instrText xml:space="preserve"> HYPERLINK \l _Toc17330 </w:instrText>
          </w:r>
          <w:r>
            <w:fldChar w:fldCharType="separate"/>
          </w:r>
          <w:r>
            <w:rPr>
              <w:rFonts w:hint="eastAsia"/>
              <w:lang w:val="en-US" w:eastAsia="zh-CN"/>
            </w:rPr>
            <w:t>三、单一来源说明及佐证材料</w:t>
          </w:r>
          <w:r>
            <w:tab/>
          </w:r>
          <w:r>
            <w:fldChar w:fldCharType="begin"/>
          </w:r>
          <w:r>
            <w:instrText xml:space="preserve"> PAGEREF _Toc17330 \h </w:instrText>
          </w:r>
          <w:r>
            <w:fldChar w:fldCharType="separate"/>
          </w:r>
          <w:r>
            <w:t>4</w:t>
          </w:r>
          <w:r>
            <w:fldChar w:fldCharType="end"/>
          </w:r>
          <w:r>
            <w:fldChar w:fldCharType="end"/>
          </w:r>
        </w:p>
        <w:p w14:paraId="49D525F8">
          <w:pPr>
            <w:pStyle w:val="8"/>
            <w:tabs>
              <w:tab w:val="right" w:leader="dot" w:pos="8306"/>
            </w:tabs>
          </w:pPr>
          <w:r>
            <w:fldChar w:fldCharType="begin"/>
          </w:r>
          <w:r>
            <w:instrText xml:space="preserve"> HYPERLINK \l _Toc16696 </w:instrText>
          </w:r>
          <w:r>
            <w:fldChar w:fldCharType="separate"/>
          </w:r>
          <w:r>
            <w:rPr>
              <w:rFonts w:hint="eastAsia"/>
              <w:lang w:val="en-US" w:eastAsia="zh-CN"/>
            </w:rPr>
            <w:t>四、项目调研情况一览汇总表</w:t>
          </w:r>
          <w:r>
            <w:tab/>
          </w:r>
          <w:r>
            <w:fldChar w:fldCharType="begin"/>
          </w:r>
          <w:r>
            <w:instrText xml:space="preserve"> PAGEREF _Toc16696 \h </w:instrText>
          </w:r>
          <w:r>
            <w:fldChar w:fldCharType="separate"/>
          </w:r>
          <w:r>
            <w:t>5</w:t>
          </w:r>
          <w:r>
            <w:fldChar w:fldCharType="end"/>
          </w:r>
          <w:r>
            <w:fldChar w:fldCharType="end"/>
          </w:r>
        </w:p>
        <w:p w14:paraId="54031B67">
          <w:pPr>
            <w:pStyle w:val="9"/>
            <w:tabs>
              <w:tab w:val="right" w:leader="dot" w:pos="8306"/>
            </w:tabs>
          </w:pPr>
          <w:r>
            <w:fldChar w:fldCharType="begin"/>
          </w:r>
          <w:r>
            <w:instrText xml:space="preserve"> HYPERLINK \l _Toc14806 </w:instrText>
          </w:r>
          <w:r>
            <w:fldChar w:fldCharType="separate"/>
          </w:r>
          <w:r>
            <w:rPr>
              <w:rFonts w:hint="eastAsia"/>
              <w:lang w:val="en-US" w:eastAsia="zh-CN"/>
            </w:rPr>
            <w:t>4.1报价表（</w:t>
          </w:r>
          <w:r>
            <w:rPr>
              <w:rFonts w:hint="eastAsia" w:ascii="仿宋" w:hAnsi="仿宋" w:eastAsia="仿宋" w:cs="仿宋"/>
              <w:szCs w:val="20"/>
              <w:lang w:val="en-US" w:eastAsia="zh-CN"/>
            </w:rPr>
            <w:t>*为必填项，若缺项报价表无效</w:t>
          </w:r>
          <w:r>
            <w:rPr>
              <w:rFonts w:hint="eastAsia"/>
              <w:lang w:val="en-US" w:eastAsia="zh-CN"/>
            </w:rPr>
            <w:t>）</w:t>
          </w:r>
          <w:r>
            <w:tab/>
          </w:r>
          <w:r>
            <w:fldChar w:fldCharType="begin"/>
          </w:r>
          <w:r>
            <w:instrText xml:space="preserve"> PAGEREF _Toc14806 \h </w:instrText>
          </w:r>
          <w:r>
            <w:fldChar w:fldCharType="separate"/>
          </w:r>
          <w:r>
            <w:t>5</w:t>
          </w:r>
          <w:r>
            <w:fldChar w:fldCharType="end"/>
          </w:r>
          <w:r>
            <w:fldChar w:fldCharType="end"/>
          </w:r>
        </w:p>
        <w:p w14:paraId="126E0DFF">
          <w:pPr>
            <w:pStyle w:val="8"/>
            <w:tabs>
              <w:tab w:val="right" w:leader="dot" w:pos="8306"/>
            </w:tabs>
          </w:pPr>
          <w:r>
            <w:fldChar w:fldCharType="begin"/>
          </w:r>
          <w:r>
            <w:instrText xml:space="preserve"> HYPERLINK \l _Toc22814 </w:instrText>
          </w:r>
          <w:r>
            <w:fldChar w:fldCharType="separate"/>
          </w:r>
          <w:r>
            <w:rPr>
              <w:rFonts w:hint="eastAsia"/>
              <w:lang w:val="en-US" w:eastAsia="zh-CN"/>
            </w:rPr>
            <w:t>4.2服务要求及</w:t>
          </w:r>
          <w:r>
            <w:rPr>
              <w:rFonts w:hint="eastAsia"/>
            </w:rPr>
            <w:t>报价表包含内容</w:t>
          </w:r>
          <w:r>
            <w:tab/>
          </w:r>
          <w:r>
            <w:fldChar w:fldCharType="begin"/>
          </w:r>
          <w:r>
            <w:instrText xml:space="preserve"> PAGEREF _Toc22814 \h </w:instrText>
          </w:r>
          <w:r>
            <w:fldChar w:fldCharType="separate"/>
          </w:r>
          <w:r>
            <w:t>22</w:t>
          </w:r>
          <w:r>
            <w:fldChar w:fldCharType="end"/>
          </w:r>
          <w:r>
            <w:fldChar w:fldCharType="end"/>
          </w:r>
        </w:p>
        <w:p w14:paraId="39E5EBA2">
          <w:pPr>
            <w:pStyle w:val="8"/>
            <w:tabs>
              <w:tab w:val="right" w:leader="dot" w:pos="8306"/>
            </w:tabs>
          </w:pPr>
          <w:r>
            <w:fldChar w:fldCharType="begin"/>
          </w:r>
          <w:r>
            <w:instrText xml:space="preserve"> HYPERLINK \l _Toc2513 </w:instrText>
          </w:r>
          <w:r>
            <w:fldChar w:fldCharType="separate"/>
          </w:r>
          <w:r>
            <w:rPr>
              <w:rFonts w:hint="eastAsia"/>
              <w:lang w:val="en-US" w:eastAsia="zh-CN"/>
            </w:rPr>
            <w:t>五、同类项目案例</w:t>
          </w:r>
          <w:r>
            <w:tab/>
          </w:r>
          <w:r>
            <w:fldChar w:fldCharType="begin"/>
          </w:r>
          <w:r>
            <w:instrText xml:space="preserve"> PAGEREF _Toc2513 \h </w:instrText>
          </w:r>
          <w:r>
            <w:fldChar w:fldCharType="separate"/>
          </w:r>
          <w:r>
            <w:t>22</w:t>
          </w:r>
          <w:r>
            <w:fldChar w:fldCharType="end"/>
          </w:r>
          <w:r>
            <w:fldChar w:fldCharType="end"/>
          </w:r>
        </w:p>
        <w:p w14:paraId="131C133F">
          <w:pPr>
            <w:pStyle w:val="8"/>
            <w:tabs>
              <w:tab w:val="right" w:leader="dot" w:pos="8306"/>
            </w:tabs>
          </w:pPr>
          <w:r>
            <w:fldChar w:fldCharType="begin"/>
          </w:r>
          <w:r>
            <w:instrText xml:space="preserve"> HYPERLINK \l _Toc3654 </w:instrText>
          </w:r>
          <w:r>
            <w:fldChar w:fldCharType="separate"/>
          </w:r>
          <w:r>
            <w:rPr>
              <w:rFonts w:hint="eastAsia"/>
              <w:lang w:val="en-US" w:eastAsia="zh-CN"/>
            </w:rPr>
            <w:t>六、服务方案</w:t>
          </w:r>
          <w:r>
            <w:tab/>
          </w:r>
          <w:r>
            <w:fldChar w:fldCharType="begin"/>
          </w:r>
          <w:r>
            <w:instrText xml:space="preserve"> PAGEREF _Toc3654 \h </w:instrText>
          </w:r>
          <w:r>
            <w:fldChar w:fldCharType="separate"/>
          </w:r>
          <w:r>
            <w:t>22</w:t>
          </w:r>
          <w:r>
            <w:fldChar w:fldCharType="end"/>
          </w:r>
          <w:r>
            <w:fldChar w:fldCharType="end"/>
          </w:r>
        </w:p>
        <w:p w14:paraId="1860074C">
          <w:r>
            <w:fldChar w:fldCharType="end"/>
          </w:r>
        </w:p>
      </w:sdtContent>
    </w:sdt>
    <w:p w14:paraId="2E4DF8A4"/>
    <w:p w14:paraId="03CC10E0"/>
    <w:p w14:paraId="045481C5"/>
    <w:p w14:paraId="6E460F13"/>
    <w:p w14:paraId="0BB5B4F9"/>
    <w:p w14:paraId="62B23199"/>
    <w:p w14:paraId="4C58EDDF"/>
    <w:p w14:paraId="3F969AA0"/>
    <w:p w14:paraId="00284FF9"/>
    <w:p w14:paraId="3640C6FD"/>
    <w:p w14:paraId="755A702C"/>
    <w:p w14:paraId="3F16D029">
      <w:pPr>
        <w:sectPr>
          <w:pgSz w:w="11906" w:h="16838"/>
          <w:pgMar w:top="1134" w:right="1800" w:bottom="1134" w:left="1800" w:header="851" w:footer="992" w:gutter="0"/>
          <w:cols w:space="425" w:num="1"/>
          <w:docGrid w:type="lines" w:linePitch="312" w:charSpace="0"/>
        </w:sectPr>
      </w:pPr>
    </w:p>
    <w:p w14:paraId="534FD3C0">
      <w:pPr>
        <w:pStyle w:val="3"/>
        <w:keepNext/>
        <w:keepLines/>
        <w:pageBreakBefore w:val="0"/>
        <w:widowControl w:val="0"/>
        <w:numPr>
          <w:ilvl w:val="0"/>
          <w:numId w:val="2"/>
        </w:numPr>
        <w:kinsoku/>
        <w:wordWrap/>
        <w:overflowPunct/>
        <w:topLinePunct w:val="0"/>
        <w:autoSpaceDE/>
        <w:autoSpaceDN/>
        <w:bidi w:val="0"/>
        <w:adjustRightInd/>
        <w:snapToGrid/>
        <w:spacing w:before="100" w:after="100"/>
        <w:jc w:val="both"/>
        <w:textAlignment w:val="auto"/>
        <w:rPr>
          <w:rFonts w:hint="eastAsia"/>
        </w:rPr>
      </w:pPr>
      <w:bookmarkStart w:id="0" w:name="_Toc144974876"/>
      <w:bookmarkStart w:id="1" w:name="_Toc152045808"/>
      <w:bookmarkStart w:id="2" w:name="_Toc247527848"/>
      <w:bookmarkStart w:id="3" w:name="_Toc152042597"/>
      <w:bookmarkStart w:id="4" w:name="_Toc247514300"/>
      <w:bookmarkStart w:id="5" w:name="_Toc7415"/>
      <w:bookmarkStart w:id="6" w:name="_Toc10065"/>
      <w:bookmarkStart w:id="7" w:name="_Toc3172"/>
      <w:bookmarkStart w:id="8" w:name="_Toc427002393"/>
      <w:r>
        <w:rPr>
          <w:rFonts w:hint="eastAsia"/>
        </w:rPr>
        <w:t>报名</w:t>
      </w:r>
      <w:r>
        <w:rPr>
          <w:rFonts w:hint="eastAsia"/>
          <w:lang w:eastAsia="zh-CN"/>
        </w:rPr>
        <w:t>登记</w:t>
      </w:r>
      <w:r>
        <w:rPr>
          <w:rFonts w:hint="eastAsia"/>
        </w:rPr>
        <w:t>表</w:t>
      </w:r>
      <w:bookmarkEnd w:id="0"/>
      <w:bookmarkEnd w:id="1"/>
      <w:bookmarkEnd w:id="2"/>
      <w:bookmarkEnd w:id="3"/>
      <w:bookmarkEnd w:id="4"/>
      <w:bookmarkEnd w:id="5"/>
      <w:bookmarkEnd w:id="6"/>
      <w:bookmarkEnd w:id="7"/>
      <w:bookmarkEnd w:id="8"/>
    </w:p>
    <w:tbl>
      <w:tblPr>
        <w:tblStyle w:val="11"/>
        <w:tblW w:w="5461"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59"/>
        <w:gridCol w:w="1511"/>
        <w:gridCol w:w="1026"/>
        <w:gridCol w:w="1282"/>
        <w:gridCol w:w="2254"/>
        <w:gridCol w:w="1108"/>
        <w:gridCol w:w="1568"/>
      </w:tblGrid>
      <w:tr w14:paraId="68D6A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300" w:type="pct"/>
            <w:tcBorders>
              <w:top w:val="single" w:color="000000" w:sz="8" w:space="0"/>
              <w:left w:val="single" w:color="000000" w:sz="8" w:space="0"/>
              <w:bottom w:val="single" w:color="000000" w:sz="4" w:space="0"/>
              <w:right w:val="single" w:color="000000" w:sz="4" w:space="0"/>
            </w:tcBorders>
            <w:shd w:val="clear" w:color="auto" w:fill="auto"/>
            <w:vAlign w:val="center"/>
          </w:tcPr>
          <w:p w14:paraId="21480E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811" w:type="pct"/>
            <w:tcBorders>
              <w:top w:val="single" w:color="000000" w:sz="8" w:space="0"/>
              <w:left w:val="single" w:color="000000" w:sz="4" w:space="0"/>
              <w:bottom w:val="single" w:color="000000" w:sz="4" w:space="0"/>
              <w:right w:val="single" w:color="000000" w:sz="4" w:space="0"/>
            </w:tcBorders>
            <w:shd w:val="clear" w:color="auto" w:fill="auto"/>
            <w:vAlign w:val="center"/>
          </w:tcPr>
          <w:p w14:paraId="4A79A1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各潜在供应商名称</w:t>
            </w:r>
          </w:p>
        </w:tc>
        <w:tc>
          <w:tcPr>
            <w:tcW w:w="551" w:type="pct"/>
            <w:tcBorders>
              <w:top w:val="single" w:color="000000" w:sz="8" w:space="0"/>
              <w:left w:val="single" w:color="000000" w:sz="4" w:space="0"/>
              <w:bottom w:val="single" w:color="000000" w:sz="4" w:space="0"/>
              <w:right w:val="single" w:color="000000" w:sz="4" w:space="0"/>
            </w:tcBorders>
            <w:shd w:val="clear" w:color="auto" w:fill="auto"/>
            <w:vAlign w:val="center"/>
          </w:tcPr>
          <w:p w14:paraId="7D583A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联系人</w:t>
            </w:r>
          </w:p>
        </w:tc>
        <w:tc>
          <w:tcPr>
            <w:tcW w:w="688" w:type="pct"/>
            <w:tcBorders>
              <w:top w:val="single" w:color="000000" w:sz="8" w:space="0"/>
              <w:left w:val="single" w:color="000000" w:sz="4" w:space="0"/>
              <w:bottom w:val="single" w:color="000000" w:sz="4" w:space="0"/>
              <w:right w:val="single" w:color="000000" w:sz="4" w:space="0"/>
            </w:tcBorders>
            <w:shd w:val="clear" w:color="auto" w:fill="auto"/>
            <w:vAlign w:val="center"/>
          </w:tcPr>
          <w:p w14:paraId="3A571F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联系电话</w:t>
            </w:r>
          </w:p>
        </w:tc>
        <w:tc>
          <w:tcPr>
            <w:tcW w:w="1210" w:type="pct"/>
            <w:tcBorders>
              <w:top w:val="single" w:color="000000" w:sz="8" w:space="0"/>
              <w:left w:val="single" w:color="000000" w:sz="4" w:space="0"/>
              <w:bottom w:val="single" w:color="000000" w:sz="4" w:space="0"/>
              <w:right w:val="single" w:color="000000" w:sz="4" w:space="0"/>
            </w:tcBorders>
            <w:shd w:val="clear" w:color="auto" w:fill="auto"/>
            <w:vAlign w:val="center"/>
          </w:tcPr>
          <w:p w14:paraId="64D8332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联系邮箱</w:t>
            </w:r>
          </w:p>
          <w:p w14:paraId="50728C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（与报名邮箱一致）</w:t>
            </w:r>
          </w:p>
        </w:tc>
        <w:tc>
          <w:tcPr>
            <w:tcW w:w="595" w:type="pct"/>
            <w:tcBorders>
              <w:top w:val="single" w:color="000000" w:sz="8" w:space="0"/>
              <w:left w:val="single" w:color="000000" w:sz="4" w:space="0"/>
              <w:bottom w:val="single" w:color="000000" w:sz="4" w:space="0"/>
              <w:right w:val="single" w:color="000000" w:sz="8" w:space="0"/>
            </w:tcBorders>
            <w:shd w:val="clear" w:color="auto" w:fill="auto"/>
            <w:vAlign w:val="center"/>
          </w:tcPr>
          <w:p w14:paraId="58519050">
            <w:pPr>
              <w:jc w:val="center"/>
              <w:rPr>
                <w:rFonts w:hint="eastAsia"/>
              </w:rPr>
            </w:pPr>
            <w:r>
              <w:rPr>
                <w:rFonts w:hint="eastAsia" w:ascii="宋体" w:hAnsi="宋体" w:eastAsia="宋体" w:cs="宋体"/>
                <w:i w:val="0"/>
                <w:iCs w:val="0"/>
                <w:color w:val="000000"/>
                <w:kern w:val="0"/>
                <w:sz w:val="24"/>
                <w:szCs w:val="24"/>
                <w:u w:val="none"/>
                <w:lang w:val="en-US" w:eastAsia="zh-CN" w:bidi="ar"/>
              </w:rPr>
              <w:t>是否为中小企业</w:t>
            </w:r>
          </w:p>
        </w:tc>
        <w:tc>
          <w:tcPr>
            <w:tcW w:w="842" w:type="pct"/>
            <w:tcBorders>
              <w:top w:val="single" w:color="000000" w:sz="8" w:space="0"/>
              <w:left w:val="single" w:color="000000" w:sz="4" w:space="0"/>
              <w:bottom w:val="single" w:color="000000" w:sz="4" w:space="0"/>
              <w:right w:val="single" w:color="000000" w:sz="8" w:space="0"/>
            </w:tcBorders>
            <w:shd w:val="clear" w:color="auto" w:fill="auto"/>
            <w:vAlign w:val="center"/>
          </w:tcPr>
          <w:p w14:paraId="3A4ECD1A">
            <w:pPr>
              <w:jc w:val="center"/>
              <w:rPr>
                <w:rFonts w:hint="default"/>
                <w:lang w:val="en-US" w:eastAsia="zh-CN"/>
              </w:rPr>
            </w:pPr>
            <w:r>
              <w:rPr>
                <w:rFonts w:hint="eastAsia" w:ascii="宋体" w:hAnsi="宋体" w:eastAsia="宋体" w:cs="宋体"/>
                <w:i w:val="0"/>
                <w:iCs w:val="0"/>
                <w:color w:val="000000"/>
                <w:kern w:val="0"/>
                <w:sz w:val="24"/>
                <w:szCs w:val="24"/>
                <w:u w:val="none"/>
                <w:lang w:val="en-US" w:eastAsia="zh-CN" w:bidi="ar"/>
              </w:rPr>
              <w:t>备注</w:t>
            </w:r>
          </w:p>
        </w:tc>
      </w:tr>
      <w:tr w14:paraId="1A8FA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300" w:type="pct"/>
            <w:tcBorders>
              <w:top w:val="single" w:color="000000" w:sz="4" w:space="0"/>
              <w:left w:val="single" w:color="000000" w:sz="8" w:space="0"/>
              <w:bottom w:val="single" w:color="000000" w:sz="8" w:space="0"/>
              <w:right w:val="single" w:color="000000" w:sz="4" w:space="0"/>
            </w:tcBorders>
            <w:shd w:val="clear" w:color="auto" w:fill="auto"/>
            <w:vAlign w:val="center"/>
          </w:tcPr>
          <w:p w14:paraId="5786DE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811" w:type="pct"/>
            <w:tcBorders>
              <w:top w:val="single" w:color="000000" w:sz="4" w:space="0"/>
              <w:left w:val="single" w:color="000000" w:sz="4" w:space="0"/>
              <w:bottom w:val="single" w:color="000000" w:sz="8" w:space="0"/>
              <w:right w:val="single" w:color="000000" w:sz="4" w:space="0"/>
            </w:tcBorders>
            <w:shd w:val="clear" w:color="auto" w:fill="auto"/>
            <w:vAlign w:val="center"/>
          </w:tcPr>
          <w:p w14:paraId="06C8FEBC">
            <w:pPr>
              <w:jc w:val="center"/>
              <w:rPr>
                <w:rFonts w:hint="eastAsia" w:ascii="宋体" w:hAnsi="宋体" w:eastAsia="宋体" w:cs="宋体"/>
                <w:i w:val="0"/>
                <w:iCs w:val="0"/>
                <w:color w:val="000000"/>
                <w:sz w:val="24"/>
                <w:szCs w:val="24"/>
                <w:u w:val="none"/>
              </w:rPr>
            </w:pPr>
          </w:p>
        </w:tc>
        <w:tc>
          <w:tcPr>
            <w:tcW w:w="551" w:type="pct"/>
            <w:tcBorders>
              <w:top w:val="single" w:color="000000" w:sz="4" w:space="0"/>
              <w:left w:val="single" w:color="000000" w:sz="4" w:space="0"/>
              <w:bottom w:val="single" w:color="000000" w:sz="8" w:space="0"/>
              <w:right w:val="single" w:color="000000" w:sz="4" w:space="0"/>
            </w:tcBorders>
            <w:shd w:val="clear" w:color="auto" w:fill="auto"/>
            <w:vAlign w:val="center"/>
          </w:tcPr>
          <w:p w14:paraId="616E35B2">
            <w:pPr>
              <w:jc w:val="center"/>
              <w:rPr>
                <w:rFonts w:hint="eastAsia" w:ascii="宋体" w:hAnsi="宋体" w:eastAsia="宋体" w:cs="宋体"/>
                <w:i w:val="0"/>
                <w:iCs w:val="0"/>
                <w:color w:val="000000"/>
                <w:sz w:val="24"/>
                <w:szCs w:val="24"/>
                <w:u w:val="none"/>
              </w:rPr>
            </w:pPr>
          </w:p>
        </w:tc>
        <w:tc>
          <w:tcPr>
            <w:tcW w:w="688" w:type="pct"/>
            <w:tcBorders>
              <w:top w:val="single" w:color="000000" w:sz="4" w:space="0"/>
              <w:left w:val="single" w:color="000000" w:sz="4" w:space="0"/>
              <w:bottom w:val="single" w:color="000000" w:sz="8" w:space="0"/>
              <w:right w:val="single" w:color="000000" w:sz="4" w:space="0"/>
            </w:tcBorders>
            <w:shd w:val="clear" w:color="auto" w:fill="auto"/>
            <w:vAlign w:val="center"/>
          </w:tcPr>
          <w:p w14:paraId="5C95D7CA">
            <w:pPr>
              <w:jc w:val="center"/>
              <w:rPr>
                <w:rFonts w:hint="eastAsia" w:ascii="宋体" w:hAnsi="宋体" w:eastAsia="宋体" w:cs="宋体"/>
                <w:i w:val="0"/>
                <w:iCs w:val="0"/>
                <w:color w:val="000000"/>
                <w:sz w:val="24"/>
                <w:szCs w:val="24"/>
                <w:u w:val="none"/>
              </w:rPr>
            </w:pPr>
          </w:p>
        </w:tc>
        <w:tc>
          <w:tcPr>
            <w:tcW w:w="1210" w:type="pct"/>
            <w:tcBorders>
              <w:top w:val="single" w:color="000000" w:sz="4" w:space="0"/>
              <w:left w:val="single" w:color="000000" w:sz="4" w:space="0"/>
              <w:bottom w:val="single" w:color="000000" w:sz="8" w:space="0"/>
              <w:right w:val="single" w:color="000000" w:sz="4" w:space="0"/>
            </w:tcBorders>
            <w:shd w:val="clear" w:color="auto" w:fill="auto"/>
            <w:vAlign w:val="center"/>
          </w:tcPr>
          <w:p w14:paraId="16562831">
            <w:pPr>
              <w:jc w:val="center"/>
              <w:rPr>
                <w:rFonts w:hint="eastAsia" w:ascii="宋体" w:hAnsi="宋体" w:eastAsia="宋体" w:cs="宋体"/>
                <w:i w:val="0"/>
                <w:iCs w:val="0"/>
                <w:color w:val="000000"/>
                <w:sz w:val="24"/>
                <w:szCs w:val="24"/>
                <w:u w:val="none"/>
              </w:rPr>
            </w:pPr>
          </w:p>
        </w:tc>
        <w:tc>
          <w:tcPr>
            <w:tcW w:w="595" w:type="pct"/>
            <w:tcBorders>
              <w:top w:val="single" w:color="000000" w:sz="4" w:space="0"/>
              <w:left w:val="single" w:color="000000" w:sz="4" w:space="0"/>
              <w:bottom w:val="single" w:color="000000" w:sz="8" w:space="0"/>
              <w:right w:val="single" w:color="000000" w:sz="8" w:space="0"/>
            </w:tcBorders>
            <w:shd w:val="clear" w:color="auto" w:fill="auto"/>
            <w:noWrap/>
            <w:vAlign w:val="center"/>
          </w:tcPr>
          <w:p w14:paraId="2BA05B98">
            <w:pPr>
              <w:jc w:val="center"/>
              <w:rPr>
                <w:rFonts w:hint="eastAsia" w:ascii="宋体" w:hAnsi="宋体" w:eastAsia="宋体" w:cs="宋体"/>
                <w:i w:val="0"/>
                <w:iCs w:val="0"/>
                <w:color w:val="000000"/>
                <w:sz w:val="24"/>
                <w:szCs w:val="24"/>
                <w:u w:val="none"/>
              </w:rPr>
            </w:pPr>
          </w:p>
        </w:tc>
        <w:tc>
          <w:tcPr>
            <w:tcW w:w="842" w:type="pct"/>
            <w:tcBorders>
              <w:top w:val="single" w:color="000000" w:sz="4" w:space="0"/>
              <w:left w:val="single" w:color="000000" w:sz="4" w:space="0"/>
              <w:bottom w:val="single" w:color="000000" w:sz="8" w:space="0"/>
              <w:right w:val="single" w:color="000000" w:sz="8" w:space="0"/>
            </w:tcBorders>
            <w:shd w:val="clear" w:color="auto" w:fill="auto"/>
            <w:noWrap/>
            <w:vAlign w:val="center"/>
          </w:tcPr>
          <w:p w14:paraId="5E0A8616">
            <w:pPr>
              <w:jc w:val="center"/>
              <w:rPr>
                <w:rFonts w:hint="eastAsia" w:ascii="宋体" w:hAnsi="宋体" w:eastAsia="宋体" w:cs="宋体"/>
                <w:i w:val="0"/>
                <w:iCs w:val="0"/>
                <w:color w:val="000000"/>
                <w:sz w:val="24"/>
                <w:szCs w:val="24"/>
                <w:u w:val="none"/>
              </w:rPr>
            </w:pPr>
          </w:p>
        </w:tc>
      </w:tr>
    </w:tbl>
    <w:p w14:paraId="5E16A6B5">
      <w:pPr>
        <w:numPr>
          <w:ilvl w:val="0"/>
          <w:numId w:val="0"/>
        </w:numPr>
        <w:rPr>
          <w:rFonts w:hint="eastAsia"/>
        </w:rPr>
      </w:pPr>
    </w:p>
    <w:p w14:paraId="4E5CFD16">
      <w:pPr>
        <w:pStyle w:val="3"/>
        <w:keepNext/>
        <w:keepLines/>
        <w:pageBreakBefore w:val="0"/>
        <w:widowControl w:val="0"/>
        <w:kinsoku/>
        <w:wordWrap/>
        <w:overflowPunct/>
        <w:topLinePunct w:val="0"/>
        <w:autoSpaceDE/>
        <w:autoSpaceDN/>
        <w:bidi w:val="0"/>
        <w:adjustRightInd/>
        <w:snapToGrid/>
        <w:spacing w:before="100" w:after="100"/>
        <w:jc w:val="both"/>
        <w:textAlignment w:val="auto"/>
        <w:rPr>
          <w:rFonts w:hint="eastAsia"/>
          <w:lang w:val="en-US" w:eastAsia="zh-CN"/>
        </w:rPr>
      </w:pPr>
      <w:bookmarkStart w:id="9" w:name="_Toc18765"/>
      <w:bookmarkStart w:id="10" w:name="_Toc2669"/>
      <w:r>
        <w:rPr>
          <w:rFonts w:hint="eastAsia"/>
          <w:lang w:val="en-US" w:eastAsia="zh-CN"/>
        </w:rPr>
        <w:t>二、资质：</w:t>
      </w:r>
      <w:bookmarkEnd w:id="9"/>
    </w:p>
    <w:p w14:paraId="7F06158F">
      <w:pPr>
        <w:pStyle w:val="4"/>
        <w:bidi w:val="0"/>
        <w:rPr>
          <w:rFonts w:hint="eastAsia"/>
        </w:rPr>
      </w:pPr>
      <w:bookmarkStart w:id="11" w:name="_Toc21032"/>
      <w:r>
        <w:rPr>
          <w:rFonts w:hint="eastAsia"/>
          <w:lang w:val="en-US" w:eastAsia="zh-CN"/>
        </w:rPr>
        <w:t>2.1</w:t>
      </w:r>
      <w:r>
        <w:rPr>
          <w:rFonts w:hint="eastAsia"/>
        </w:rPr>
        <w:t>营业执照</w:t>
      </w:r>
      <w:bookmarkEnd w:id="10"/>
      <w:bookmarkEnd w:id="11"/>
      <w:bookmarkStart w:id="12" w:name="_Toc3036"/>
    </w:p>
    <w:p w14:paraId="40C1620F">
      <w:pPr>
        <w:pStyle w:val="4"/>
        <w:bidi w:val="0"/>
        <w:rPr>
          <w:rFonts w:hint="eastAsia"/>
          <w:lang w:val="en-US" w:eastAsia="zh-CN"/>
        </w:rPr>
      </w:pPr>
      <w:bookmarkStart w:id="13" w:name="_Toc14663"/>
      <w:r>
        <w:rPr>
          <w:rFonts w:hint="eastAsia"/>
          <w:lang w:val="en-US" w:eastAsia="zh-CN"/>
        </w:rPr>
        <w:t>2.1</w:t>
      </w:r>
      <w:r>
        <w:rPr>
          <w:rFonts w:hint="eastAsia"/>
          <w:lang w:eastAsia="zh-CN"/>
        </w:rPr>
        <w:t>法定代表人授权书</w:t>
      </w:r>
      <w:bookmarkEnd w:id="12"/>
      <w:bookmarkEnd w:id="13"/>
    </w:p>
    <w:p w14:paraId="3771381C">
      <w:pPr>
        <w:pStyle w:val="4"/>
        <w:bidi w:val="0"/>
        <w:rPr>
          <w:rFonts w:hint="eastAsia"/>
          <w:lang w:eastAsia="zh-CN"/>
        </w:rPr>
      </w:pPr>
      <w:bookmarkStart w:id="14" w:name="_Toc5131"/>
      <w:bookmarkStart w:id="15" w:name="_Toc32138"/>
      <w:r>
        <w:rPr>
          <w:rFonts w:hint="eastAsia"/>
          <w:lang w:val="en-US" w:eastAsia="zh-CN"/>
        </w:rPr>
        <w:t>2.3</w:t>
      </w:r>
      <w:r>
        <w:rPr>
          <w:rFonts w:hint="eastAsia"/>
          <w:lang w:eastAsia="zh-CN"/>
        </w:rPr>
        <w:t>法人及被授权人身份证</w:t>
      </w:r>
      <w:bookmarkEnd w:id="14"/>
      <w:bookmarkEnd w:id="15"/>
    </w:p>
    <w:p w14:paraId="3AA75AAA">
      <w:pPr>
        <w:pStyle w:val="4"/>
        <w:bidi w:val="0"/>
        <w:rPr>
          <w:rFonts w:hint="eastAsia"/>
          <w:lang w:eastAsia="zh-CN"/>
        </w:rPr>
      </w:pPr>
      <w:bookmarkStart w:id="16" w:name="_Toc22588"/>
      <w:bookmarkStart w:id="17" w:name="_Toc2000"/>
      <w:r>
        <w:rPr>
          <w:rFonts w:hint="eastAsia"/>
          <w:lang w:val="en-US" w:eastAsia="zh-CN"/>
        </w:rPr>
        <w:t>2.4</w:t>
      </w:r>
      <w:r>
        <w:rPr>
          <w:rFonts w:hint="eastAsia"/>
          <w:lang w:eastAsia="zh-CN"/>
        </w:rPr>
        <w:t>公司资质</w:t>
      </w:r>
      <w:bookmarkEnd w:id="16"/>
      <w:bookmarkEnd w:id="17"/>
    </w:p>
    <w:p w14:paraId="3B9E3166">
      <w:pPr>
        <w:pStyle w:val="4"/>
        <w:bidi w:val="0"/>
        <w:rPr>
          <w:rFonts w:hint="default"/>
          <w:lang w:val="en-US" w:eastAsia="zh-CN"/>
        </w:rPr>
      </w:pPr>
      <w:bookmarkStart w:id="18" w:name="_Toc22527"/>
      <w:r>
        <w:rPr>
          <w:rFonts w:hint="eastAsia"/>
          <w:lang w:val="en-US" w:eastAsia="zh-CN"/>
        </w:rPr>
        <w:t>2.5软件资质</w:t>
      </w:r>
      <w:bookmarkEnd w:id="18"/>
    </w:p>
    <w:p w14:paraId="04149700">
      <w:pPr>
        <w:pStyle w:val="4"/>
        <w:bidi w:val="0"/>
        <w:rPr>
          <w:rFonts w:hint="eastAsia"/>
          <w:lang w:eastAsia="zh-CN"/>
        </w:rPr>
      </w:pPr>
      <w:bookmarkStart w:id="19" w:name="_Toc11995"/>
      <w:bookmarkStart w:id="20" w:name="_Toc32219"/>
      <w:r>
        <w:rPr>
          <w:rFonts w:hint="eastAsia"/>
          <w:lang w:val="en-US" w:eastAsia="zh-CN"/>
        </w:rPr>
        <w:t>2.6本项目涉及</w:t>
      </w:r>
      <w:r>
        <w:rPr>
          <w:rFonts w:hint="eastAsia"/>
          <w:lang w:eastAsia="zh-CN"/>
        </w:rPr>
        <w:t>资质</w:t>
      </w:r>
      <w:bookmarkEnd w:id="19"/>
      <w:bookmarkEnd w:id="20"/>
    </w:p>
    <w:p w14:paraId="5F361545">
      <w:pPr>
        <w:pStyle w:val="4"/>
        <w:bidi w:val="0"/>
        <w:rPr>
          <w:rFonts w:hint="eastAsia" w:ascii="宋体" w:hAnsi="宋体" w:eastAsia="宋体" w:cs="宋体"/>
          <w:sz w:val="24"/>
          <w:szCs w:val="24"/>
        </w:rPr>
      </w:pPr>
      <w:bookmarkStart w:id="21" w:name="_Toc21787"/>
      <w:bookmarkStart w:id="22" w:name="_Toc24251"/>
      <w:r>
        <w:rPr>
          <w:rFonts w:hint="eastAsia"/>
          <w:b/>
          <w:lang w:val="en-US" w:eastAsia="zh-CN"/>
        </w:rPr>
        <w:t>2.7开发商委托销售授权函</w:t>
      </w:r>
      <w:bookmarkEnd w:id="21"/>
      <w:bookmarkEnd w:id="22"/>
    </w:p>
    <w:p w14:paraId="2D89F460">
      <w:pPr>
        <w:pStyle w:val="3"/>
        <w:keepNext/>
        <w:keepLines/>
        <w:pageBreakBefore w:val="0"/>
        <w:widowControl w:val="0"/>
        <w:numPr>
          <w:ilvl w:val="0"/>
          <w:numId w:val="0"/>
        </w:numPr>
        <w:kinsoku/>
        <w:wordWrap/>
        <w:overflowPunct/>
        <w:topLinePunct w:val="0"/>
        <w:autoSpaceDE/>
        <w:autoSpaceDN/>
        <w:bidi w:val="0"/>
        <w:adjustRightInd/>
        <w:snapToGrid/>
        <w:spacing w:before="100" w:after="100"/>
        <w:jc w:val="both"/>
        <w:textAlignment w:val="auto"/>
        <w:rPr>
          <w:rFonts w:hint="default"/>
          <w:lang w:val="en-US" w:eastAsia="zh-CN"/>
        </w:rPr>
      </w:pPr>
      <w:bookmarkStart w:id="23" w:name="_Toc17330"/>
      <w:r>
        <w:rPr>
          <w:rFonts w:hint="eastAsia"/>
          <w:lang w:val="en-US" w:eastAsia="zh-CN"/>
        </w:rPr>
        <w:t>三、单一来源说明及佐证材料</w:t>
      </w:r>
      <w:bookmarkEnd w:id="23"/>
    </w:p>
    <w:p w14:paraId="4A8FEC16">
      <w:pPr>
        <w:pStyle w:val="2"/>
        <w:rPr>
          <w:rFonts w:hint="eastAsia" w:ascii="宋体" w:hAnsi="宋体" w:eastAsia="宋体" w:cs="宋体"/>
          <w:sz w:val="24"/>
          <w:szCs w:val="24"/>
        </w:rPr>
      </w:pPr>
    </w:p>
    <w:p w14:paraId="0A2415B7">
      <w:pPr>
        <w:pStyle w:val="2"/>
        <w:rPr>
          <w:rFonts w:hint="eastAsia" w:ascii="宋体" w:hAnsi="宋体" w:eastAsia="宋体" w:cs="宋体"/>
          <w:sz w:val="24"/>
          <w:szCs w:val="24"/>
        </w:rPr>
      </w:pPr>
    </w:p>
    <w:p w14:paraId="00C60657">
      <w:pPr>
        <w:pStyle w:val="2"/>
        <w:rPr>
          <w:rFonts w:hint="eastAsia" w:ascii="宋体" w:hAnsi="宋体" w:eastAsia="宋体" w:cs="宋体"/>
          <w:sz w:val="24"/>
          <w:szCs w:val="24"/>
        </w:rPr>
      </w:pPr>
    </w:p>
    <w:p w14:paraId="022F31E4">
      <w:pPr>
        <w:pStyle w:val="2"/>
        <w:rPr>
          <w:rFonts w:hint="eastAsia" w:ascii="宋体" w:hAnsi="宋体" w:eastAsia="宋体" w:cs="宋体"/>
          <w:sz w:val="24"/>
          <w:szCs w:val="24"/>
        </w:rPr>
      </w:pPr>
    </w:p>
    <w:p w14:paraId="3FD28250">
      <w:pPr>
        <w:pStyle w:val="2"/>
        <w:rPr>
          <w:rFonts w:hint="eastAsia" w:ascii="宋体" w:hAnsi="宋体" w:eastAsia="宋体" w:cs="宋体"/>
          <w:sz w:val="24"/>
          <w:szCs w:val="24"/>
        </w:rPr>
      </w:pPr>
    </w:p>
    <w:p w14:paraId="642FBADD">
      <w:pPr>
        <w:rPr>
          <w:rFonts w:hint="eastAsia"/>
          <w:lang w:val="en-US" w:eastAsia="zh-CN"/>
        </w:rPr>
        <w:sectPr>
          <w:pgSz w:w="11906" w:h="16838"/>
          <w:pgMar w:top="1440" w:right="1800" w:bottom="1440" w:left="1800" w:header="851" w:footer="992" w:gutter="0"/>
          <w:cols w:space="425" w:num="1"/>
          <w:docGrid w:type="lines" w:linePitch="312" w:charSpace="0"/>
        </w:sectPr>
      </w:pPr>
    </w:p>
    <w:p w14:paraId="53474EA3">
      <w:pPr>
        <w:pStyle w:val="3"/>
        <w:keepNext/>
        <w:keepLines/>
        <w:pageBreakBefore w:val="0"/>
        <w:widowControl w:val="0"/>
        <w:kinsoku/>
        <w:wordWrap/>
        <w:overflowPunct/>
        <w:topLinePunct w:val="0"/>
        <w:autoSpaceDE/>
        <w:autoSpaceDN/>
        <w:bidi w:val="0"/>
        <w:adjustRightInd/>
        <w:snapToGrid/>
        <w:spacing w:before="100" w:after="100"/>
        <w:jc w:val="both"/>
        <w:textAlignment w:val="auto"/>
        <w:rPr>
          <w:rFonts w:hint="eastAsia"/>
          <w:lang w:val="en-US" w:eastAsia="zh-CN"/>
        </w:rPr>
      </w:pPr>
      <w:bookmarkStart w:id="24" w:name="_Toc16696"/>
      <w:r>
        <w:rPr>
          <w:rFonts w:hint="eastAsia"/>
          <w:lang w:val="en-US" w:eastAsia="zh-CN"/>
        </w:rPr>
        <w:t>四、项目调研情况一览汇总表</w:t>
      </w:r>
      <w:bookmarkEnd w:id="24"/>
    </w:p>
    <w:p w14:paraId="184F0710">
      <w:pPr>
        <w:pStyle w:val="6"/>
        <w:spacing w:line="360" w:lineRule="auto"/>
        <w:rPr>
          <w:rFonts w:hint="eastAsia" w:ascii="仿宋" w:hAnsi="仿宋" w:eastAsia="仿宋" w:cs="仿宋"/>
          <w:i w:val="0"/>
          <w:iCs w:val="0"/>
          <w:color w:val="000000"/>
          <w:kern w:val="0"/>
          <w:sz w:val="24"/>
          <w:szCs w:val="24"/>
          <w:u w:val="none"/>
          <w:lang w:val="en-US" w:eastAsia="zh-CN" w:bidi="ar"/>
        </w:rPr>
      </w:pPr>
      <w:r>
        <w:rPr>
          <w:rFonts w:hint="eastAsia" w:ascii="仿宋" w:hAnsi="仿宋" w:cs="仿宋"/>
          <w:i w:val="0"/>
          <w:iCs w:val="0"/>
          <w:color w:val="000000"/>
          <w:kern w:val="0"/>
          <w:sz w:val="24"/>
          <w:szCs w:val="24"/>
          <w:u w:val="none"/>
          <w:lang w:val="en-US" w:eastAsia="zh-CN" w:bidi="ar"/>
        </w:rPr>
        <w:t xml:space="preserve"> 参与调研供应商</w:t>
      </w:r>
      <w:r>
        <w:rPr>
          <w:rFonts w:hint="eastAsia" w:ascii="仿宋" w:hAnsi="仿宋" w:eastAsia="仿宋" w:cs="仿宋"/>
          <w:i w:val="0"/>
          <w:iCs w:val="0"/>
          <w:color w:val="000000"/>
          <w:kern w:val="0"/>
          <w:sz w:val="24"/>
          <w:szCs w:val="24"/>
          <w:u w:val="none"/>
          <w:lang w:val="en-US" w:eastAsia="zh-CN" w:bidi="ar"/>
        </w:rPr>
        <w:t>名称：</w:t>
      </w:r>
      <w:r>
        <w:rPr>
          <w:rFonts w:hint="eastAsia" w:ascii="仿宋" w:hAnsi="仿宋" w:cs="仿宋"/>
          <w:i w:val="0"/>
          <w:iCs w:val="0"/>
          <w:color w:val="000000"/>
          <w:kern w:val="0"/>
          <w:sz w:val="24"/>
          <w:szCs w:val="24"/>
          <w:u w:val="none"/>
          <w:lang w:val="en-US" w:eastAsia="zh-CN" w:bidi="ar"/>
        </w:rPr>
        <w:t xml:space="preserve">                                         </w:t>
      </w:r>
      <w:r>
        <w:rPr>
          <w:rFonts w:hint="eastAsia" w:ascii="仿宋" w:hAnsi="仿宋" w:eastAsia="仿宋" w:cs="仿宋"/>
          <w:i w:val="0"/>
          <w:iCs w:val="0"/>
          <w:color w:val="000000"/>
          <w:kern w:val="0"/>
          <w:sz w:val="24"/>
          <w:szCs w:val="24"/>
          <w:u w:val="none"/>
          <w:lang w:val="en-US" w:eastAsia="zh-CN" w:bidi="ar"/>
        </w:rPr>
        <w:t>联系人及联系电话：</w:t>
      </w:r>
    </w:p>
    <w:p w14:paraId="4C2DD488">
      <w:pPr>
        <w:pStyle w:val="4"/>
        <w:bidi w:val="0"/>
        <w:rPr>
          <w:rFonts w:hint="eastAsia"/>
          <w:b/>
          <w:lang w:val="en-US" w:eastAsia="zh-CN"/>
        </w:rPr>
      </w:pPr>
      <w:bookmarkStart w:id="25" w:name="_Toc14806"/>
      <w:r>
        <w:rPr>
          <w:rFonts w:hint="eastAsia"/>
          <w:b/>
          <w:lang w:val="en-US" w:eastAsia="zh-CN"/>
        </w:rPr>
        <w:t>4.1报价表（</w:t>
      </w:r>
      <w:r>
        <w:rPr>
          <w:rFonts w:hint="eastAsia" w:ascii="仿宋" w:hAnsi="仿宋" w:eastAsia="仿宋" w:cs="仿宋"/>
          <w:sz w:val="20"/>
          <w:szCs w:val="20"/>
          <w:lang w:val="en-US" w:eastAsia="zh-CN"/>
        </w:rPr>
        <w:t>*为必填项，若缺项报价表无效</w:t>
      </w:r>
      <w:r>
        <w:rPr>
          <w:rFonts w:hint="eastAsia"/>
          <w:b/>
          <w:lang w:val="en-US" w:eastAsia="zh-CN"/>
        </w:rPr>
        <w:t>）</w:t>
      </w:r>
      <w:bookmarkEnd w:id="25"/>
    </w:p>
    <w:tbl>
      <w:tblPr>
        <w:tblStyle w:val="11"/>
        <w:tblpPr w:leftFromText="180" w:rightFromText="180" w:vertAnchor="text" w:horzAnchor="page" w:tblpXSpec="center" w:tblpY="65"/>
        <w:tblOverlap w:val="never"/>
        <w:tblW w:w="1359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26"/>
        <w:gridCol w:w="1440"/>
        <w:gridCol w:w="840"/>
        <w:gridCol w:w="720"/>
        <w:gridCol w:w="1155"/>
        <w:gridCol w:w="1125"/>
        <w:gridCol w:w="1140"/>
        <w:gridCol w:w="3659"/>
        <w:gridCol w:w="1174"/>
        <w:gridCol w:w="1320"/>
      </w:tblGrid>
      <w:tr w14:paraId="60A90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19069">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序号</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76DFC">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名称</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C8874">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单位</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C93EF">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数量</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6EE0A">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*单价（元）</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ABA8C">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*总价（元）</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53FF0">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*报三个品牌、型号</w:t>
            </w:r>
          </w:p>
        </w:tc>
        <w:tc>
          <w:tcPr>
            <w:tcW w:w="3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A51A7">
            <w:pPr>
              <w:keepNext w:val="0"/>
              <w:keepLines w:val="0"/>
              <w:widowControl/>
              <w:suppressLineNumbers w:val="0"/>
              <w:ind w:firstLine="1124" w:firstLineChars="700"/>
              <w:jc w:val="both"/>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参数要求</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A86AF">
            <w:pPr>
              <w:keepNext w:val="0"/>
              <w:keepLines w:val="0"/>
              <w:widowControl/>
              <w:suppressLineNumbers w:val="0"/>
              <w:jc w:val="both"/>
              <w:textAlignment w:val="center"/>
              <w:rPr>
                <w:rFonts w:hint="default" w:ascii="宋体" w:hAnsi="宋体" w:eastAsia="宋体" w:cs="宋体"/>
                <w:b/>
                <w:bCs/>
                <w:i w:val="0"/>
                <w:iCs w:val="0"/>
                <w:color w:val="000000"/>
                <w:kern w:val="0"/>
                <w:sz w:val="16"/>
                <w:szCs w:val="16"/>
                <w:u w:val="none"/>
                <w:lang w:val="en-US" w:eastAsia="zh-CN" w:bidi="ar"/>
              </w:rPr>
            </w:pPr>
            <w:r>
              <w:rPr>
                <w:rFonts w:hint="eastAsia" w:ascii="宋体" w:hAnsi="宋体" w:eastAsia="宋体" w:cs="宋体"/>
                <w:b/>
                <w:bCs/>
                <w:i w:val="0"/>
                <w:iCs w:val="0"/>
                <w:color w:val="000000"/>
                <w:kern w:val="0"/>
                <w:sz w:val="16"/>
                <w:szCs w:val="16"/>
                <w:u w:val="none"/>
                <w:lang w:val="en-US" w:eastAsia="zh-CN" w:bidi="ar"/>
              </w:rPr>
              <w:t>*是否有偏离</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9752B">
            <w:pPr>
              <w:keepNext w:val="0"/>
              <w:keepLines w:val="0"/>
              <w:widowControl/>
              <w:suppressLineNumbers w:val="0"/>
              <w:jc w:val="center"/>
              <w:textAlignment w:val="center"/>
              <w:rPr>
                <w:rFonts w:hint="eastAsia" w:ascii="宋体" w:hAnsi="宋体" w:eastAsia="宋体" w:cs="宋体"/>
                <w:b/>
                <w:bCs/>
                <w:i w:val="0"/>
                <w:iCs w:val="0"/>
                <w:color w:val="000000"/>
                <w:kern w:val="0"/>
                <w:sz w:val="16"/>
                <w:szCs w:val="16"/>
                <w:u w:val="none"/>
                <w:lang w:val="en-US" w:eastAsia="zh-CN" w:bidi="ar"/>
              </w:rPr>
            </w:pPr>
            <w:r>
              <w:rPr>
                <w:rFonts w:hint="eastAsia" w:ascii="宋体" w:hAnsi="宋体" w:eastAsia="宋体" w:cs="宋体"/>
                <w:b/>
                <w:bCs/>
                <w:i w:val="0"/>
                <w:iCs w:val="0"/>
                <w:color w:val="000000"/>
                <w:kern w:val="0"/>
                <w:sz w:val="16"/>
                <w:szCs w:val="16"/>
                <w:u w:val="none"/>
                <w:lang w:val="en-US" w:eastAsia="zh-CN" w:bidi="ar"/>
              </w:rPr>
              <w:t>*采购品目分类名称及编码：参考政府采购品目分类目录（2022 年印发）</w:t>
            </w:r>
          </w:p>
        </w:tc>
      </w:tr>
      <w:tr w14:paraId="0DB80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jc w:val="center"/>
        </w:trPr>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F7B1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0F82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采血排队叫号屏</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9B38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台</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28CF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18E2C">
            <w:pPr>
              <w:jc w:val="center"/>
              <w:rPr>
                <w:rFonts w:hint="eastAsia" w:ascii="宋体" w:hAnsi="宋体" w:eastAsia="宋体" w:cs="宋体"/>
                <w:i w:val="0"/>
                <w:iCs w:val="0"/>
                <w:color w:val="000000"/>
                <w:sz w:val="16"/>
                <w:szCs w:val="16"/>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E6D6B">
            <w:pPr>
              <w:jc w:val="center"/>
              <w:rPr>
                <w:rFonts w:hint="eastAsia" w:ascii="宋体" w:hAnsi="宋体" w:eastAsia="宋体" w:cs="宋体"/>
                <w:i w:val="0"/>
                <w:iCs w:val="0"/>
                <w:color w:val="000000"/>
                <w:sz w:val="16"/>
                <w:szCs w:val="16"/>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BED0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3659"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8E33B20">
            <w:pPr>
              <w:keepNext w:val="0"/>
              <w:keepLines w:val="0"/>
              <w:widowControl/>
              <w:suppressLineNumbers w:val="0"/>
              <w:jc w:val="left"/>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1、集中液晶显示器机柜及安装：55寸，安装方式：壁挂，（等候区含屏显功能）；</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2、显示屏参数：55寸液晶显示器：最佳分辨率1920*1080；对比度：1400:1；亮度：300cd/m2；响应时间：≤5ms，视角 U/D/R/L(CR＞10):89/89/89/89；</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3、主机配置：CPU   四核，主频最高1.2GHz，内存 标配1G，（2G可选)，内置存储器 EMMC 标配16G，(32G可选)，操作系统 Android 9.0，WIFI、BT 内置WIFI，BT4.0（可选），以太网 1个，10M/100M自适应以太网，支持定时开关机；</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4、排队叫号信息显示软件可以根据用户的需求灵活定制显示画面效果，字幕形式，颜色风格。保证与现场装修格调匹配。一般放置在等侯区，支持从下向上滚动显示所有窗口排队叫号信息；</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5、支持排队叫号时立即满屏显示排队叫号信息，过一定的时间间隔(时间间隔可以自定义)，再播时电视6或视频文件；可随意输入需要显示的礼貌用语或其它文字类的提示信息；</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6、可更改显示内容的字体、大小、颜色及位置，可自定义背景图片；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7、系统嵌入TTS语音搜索引擎技术，使系统能够同步、清晰和准确的发音。支持中文、英文和数字的语音合成，并将页面信息、文本信息直接合成为语音信息；合成语音的语速可调节，并且支持句中个别字、词的语速可独立调节；</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8、实现对同一等候区内的各个喇叭进行独立控制，即同一等候区内的各个喇叭可同时广播相同内容，也可广播不同内容；</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9、可在显示排队叫号信息的同时随时发布广告信息，可后台编辑界面，按节目列表清单播放广告宣传信息；</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10、采用Android嵌入式系统，不染毒，不崩溃； 支持远程定时开关机、支持全屏播放、分屏播放；支持跨网关、跨防火墙、跨路由网络；</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11、支持文件加密传输，对文件MD5校验。接收和执行服务端的信息及控制自动按照时间表播出，支持横屏、竖屏播放。在网络断开或服务器瘫痪的条件下，不影响显示端的正常播放。可播放实时数据、紧急插播的时候，对于服务端已经分发过的节目，再次播放时无需再次发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12、可提前预制节目单，在无人看管的情况下自动播放信息以及完成播放与显示设备的开关机，不实时依赖网络，可脱机发布；</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13、实现终端远程监控（终端工作状态，播放信息，下载监控）。终端远程管理（远程升级、重启、关机、调节音量）。实用的权限与群组管理，完善的审核机制，联网集中并分权限管理。可视化信息编辑与发布，按任务分屏功能。后台具有系统管理、模板管理、任务管理、用户管理、权限管理、监控管理等功能。</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14、采血排队叫号屏需无缝接入原叫号系统。</w:t>
            </w:r>
          </w:p>
        </w:tc>
        <w:tc>
          <w:tcPr>
            <w:tcW w:w="11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56326">
            <w:pPr>
              <w:keepNext w:val="0"/>
              <w:keepLines w:val="0"/>
              <w:widowControl/>
              <w:suppressLineNumbers w:val="0"/>
              <w:jc w:val="left"/>
              <w:textAlignment w:val="top"/>
              <w:rPr>
                <w:rFonts w:hint="eastAsia" w:ascii="宋体" w:hAnsi="宋体" w:eastAsia="宋体" w:cs="宋体"/>
                <w:i w:val="0"/>
                <w:iCs w:val="0"/>
                <w:color w:val="000000"/>
                <w:kern w:val="0"/>
                <w:sz w:val="16"/>
                <w:szCs w:val="16"/>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BE6FD">
            <w:pPr>
              <w:jc w:val="left"/>
              <w:rPr>
                <w:rFonts w:hint="eastAsia" w:ascii="宋体" w:hAnsi="宋体" w:eastAsia="宋体" w:cs="宋体"/>
                <w:i w:val="0"/>
                <w:iCs w:val="0"/>
                <w:color w:val="000000"/>
                <w:sz w:val="16"/>
                <w:szCs w:val="16"/>
                <w:u w:val="none"/>
              </w:rPr>
            </w:pPr>
          </w:p>
        </w:tc>
      </w:tr>
      <w:tr w14:paraId="496AC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jc w:val="center"/>
        </w:trPr>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F9D5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1786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喷墨打印机</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FC0D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台</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A19BE">
            <w:pPr>
              <w:keepNext w:val="0"/>
              <w:keepLines w:val="0"/>
              <w:widowControl/>
              <w:suppressLineNumbers w:val="0"/>
              <w:jc w:val="center"/>
              <w:textAlignment w:val="center"/>
              <w:rPr>
                <w:rFonts w:hint="eastAsia" w:ascii="宋体" w:hAnsi="宋体" w:eastAsia="宋体" w:cs="宋体"/>
                <w:i w:val="0"/>
                <w:iCs w:val="0"/>
                <w:color w:val="000000"/>
                <w:sz w:val="16"/>
                <w:szCs w:val="16"/>
                <w:u w:val="none"/>
                <w:lang w:val="en-US" w:eastAsia="zh-CN"/>
              </w:rPr>
            </w:pPr>
            <w:r>
              <w:rPr>
                <w:rFonts w:hint="eastAsia" w:ascii="宋体" w:hAnsi="宋体" w:eastAsia="宋体" w:cs="宋体"/>
                <w:i w:val="0"/>
                <w:iCs w:val="0"/>
                <w:color w:val="000000"/>
                <w:sz w:val="16"/>
                <w:szCs w:val="16"/>
                <w:u w:val="none"/>
                <w:lang w:val="en-US" w:eastAsia="zh-CN"/>
              </w:rPr>
              <w:t>1</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A348F">
            <w:pPr>
              <w:jc w:val="center"/>
              <w:rPr>
                <w:rFonts w:hint="eastAsia" w:ascii="宋体" w:hAnsi="宋体" w:eastAsia="宋体" w:cs="宋体"/>
                <w:i w:val="0"/>
                <w:iCs w:val="0"/>
                <w:color w:val="000000"/>
                <w:sz w:val="16"/>
                <w:szCs w:val="16"/>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64015">
            <w:pPr>
              <w:jc w:val="center"/>
              <w:rPr>
                <w:rFonts w:hint="eastAsia" w:ascii="宋体" w:hAnsi="宋体" w:eastAsia="宋体" w:cs="宋体"/>
                <w:i w:val="0"/>
                <w:iCs w:val="0"/>
                <w:color w:val="000000"/>
                <w:sz w:val="16"/>
                <w:szCs w:val="16"/>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2657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3659" w:type="dxa"/>
            <w:tcBorders>
              <w:top w:val="single" w:color="000000" w:sz="4" w:space="0"/>
              <w:left w:val="single" w:color="000000" w:sz="4" w:space="0"/>
              <w:bottom w:val="single" w:color="000000" w:sz="4" w:space="0"/>
              <w:right w:val="single" w:color="000000" w:sz="4" w:space="0"/>
            </w:tcBorders>
            <w:shd w:val="clear" w:color="auto" w:fill="auto"/>
            <w:vAlign w:val="top"/>
          </w:tcPr>
          <w:p w14:paraId="03BF96A4">
            <w:pPr>
              <w:keepNext w:val="0"/>
              <w:keepLines w:val="0"/>
              <w:widowControl/>
              <w:suppressLineNumbers w:val="0"/>
              <w:jc w:val="left"/>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1、打印分辨率：高达4800x1200 dpi；</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2、打印黑色文本(A4)：约 13.0 ipm  30ppm；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3、打印彩色文本(A4)：约6.8 ipm  12ppm；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4、照片（4x6英寸）：无边距：45秒/页；</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5、无边距打印：支持；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6、显示屏：点阵式中文显示屏；</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7、支持双进纸 可同时进两种纸张。最大进纸量（A4）：350页 (纸盒 250页+多功能托盘 100页)；</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8、进纸重量：普通纸 64-105 g/m2，最大支持300 g/m2；</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9、耗材类型：墨水瓶4色（bk/c/m/y）；</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10、能效等级：1级；</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11、自动双面打印：支持；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12、网络：有线网络、无线网络、无线直连；</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13、最大打印量：最多5000页/月；</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14、重量：约 8.1 kg；</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15、支持纸张尺寸：A4, LTR, 4"x6", 5"x7", 8"x10", 正方形 (5"x5", 4"x4", 3.5"x3.5"), 卡片 (91 x 55毫米)。</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17B95">
            <w:pPr>
              <w:keepNext w:val="0"/>
              <w:keepLines w:val="0"/>
              <w:widowControl/>
              <w:suppressLineNumbers w:val="0"/>
              <w:jc w:val="left"/>
              <w:textAlignment w:val="top"/>
              <w:rPr>
                <w:rFonts w:hint="eastAsia" w:ascii="宋体" w:hAnsi="宋体" w:eastAsia="宋体" w:cs="宋体"/>
                <w:i w:val="0"/>
                <w:iCs w:val="0"/>
                <w:color w:val="000000"/>
                <w:kern w:val="0"/>
                <w:sz w:val="16"/>
                <w:szCs w:val="16"/>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B23D0">
            <w:pPr>
              <w:jc w:val="center"/>
              <w:rPr>
                <w:rFonts w:hint="eastAsia" w:ascii="宋体" w:hAnsi="宋体" w:eastAsia="宋体" w:cs="宋体"/>
                <w:i w:val="0"/>
                <w:iCs w:val="0"/>
                <w:color w:val="0000FF"/>
                <w:sz w:val="16"/>
                <w:szCs w:val="16"/>
                <w:u w:val="single"/>
              </w:rPr>
            </w:pPr>
          </w:p>
        </w:tc>
      </w:tr>
      <w:tr w14:paraId="70408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jc w:val="center"/>
        </w:trPr>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7E65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67EB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病案窗口复印机</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E695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台</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1BD2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478BC">
            <w:pPr>
              <w:jc w:val="center"/>
              <w:rPr>
                <w:rFonts w:hint="eastAsia" w:ascii="宋体" w:hAnsi="宋体" w:eastAsia="宋体" w:cs="宋体"/>
                <w:i w:val="0"/>
                <w:iCs w:val="0"/>
                <w:color w:val="000000"/>
                <w:sz w:val="16"/>
                <w:szCs w:val="16"/>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5C0C5">
            <w:pPr>
              <w:jc w:val="center"/>
              <w:rPr>
                <w:rFonts w:hint="eastAsia" w:ascii="宋体" w:hAnsi="宋体" w:eastAsia="宋体" w:cs="宋体"/>
                <w:i w:val="0"/>
                <w:iCs w:val="0"/>
                <w:color w:val="000000"/>
                <w:sz w:val="16"/>
                <w:szCs w:val="16"/>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9BAAC">
            <w:pPr>
              <w:jc w:val="center"/>
              <w:rPr>
                <w:rFonts w:hint="eastAsia" w:ascii="宋体" w:hAnsi="宋体" w:eastAsia="宋体" w:cs="宋体"/>
                <w:i w:val="0"/>
                <w:iCs w:val="0"/>
                <w:color w:val="000000"/>
                <w:sz w:val="16"/>
                <w:szCs w:val="16"/>
                <w:u w:val="none"/>
              </w:rPr>
            </w:pPr>
          </w:p>
        </w:tc>
        <w:tc>
          <w:tcPr>
            <w:tcW w:w="3659" w:type="dxa"/>
            <w:tcBorders>
              <w:top w:val="single" w:color="000000" w:sz="4" w:space="0"/>
              <w:left w:val="single" w:color="000000" w:sz="4" w:space="0"/>
              <w:bottom w:val="single" w:color="000000" w:sz="4" w:space="0"/>
              <w:right w:val="single" w:color="000000" w:sz="4" w:space="0"/>
            </w:tcBorders>
            <w:shd w:val="clear" w:color="auto" w:fill="auto"/>
            <w:vAlign w:val="top"/>
          </w:tcPr>
          <w:p w14:paraId="11424079">
            <w:pPr>
              <w:keepNext w:val="0"/>
              <w:keepLines w:val="0"/>
              <w:widowControl/>
              <w:suppressLineNumbers w:val="0"/>
              <w:jc w:val="left"/>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1、产品类型：A3幅面黑白数码复合机；</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2、功能涵盖：复印/打印/彩色扫描，双面器，双面自动输稿器，标配作业分离器，标配感光鼓加热功能（防止纸张因受潮变形）, 标配人体感应自动开启功能；</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3、硬盘容量：标配4GB+128GB固态硬盘; CPU:ARM A53 1.6GHz；</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4、供纸容量：标配2*500张（纸盒）+150张（手送）；最大纸盒容量7150页；最大月负荷量：20万页；</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5、首页复印时间：黑白3.4秒；连续复印份数：1-9999；缩放范围：25-400%（1%为增量）；预热时间17秒；</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6、扫描速度：单面80页/分钟，双面48页/分钟；复印尺寸：A3-A6R；</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7、打印速度：60页/分钟；打印分辨率：1200*1200dpi,4800*1200dpi；</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8、纸张输出能力：500张（正面朝下）；</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9、液晶显示屏：10.1寸滑动式彩色触摸屏，内置数字键盘，支持USB打印功能；</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10、打印尺寸：SRA3-A6R、可打印最长1.22m的纸张；纸张重量：52-300g/㎡；</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11、废粉盒设计：可循环再利用的新式粉盒设计；</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12、打印预言：PRESCRIBE，PCL6（PCL-XL，PCL5c），KPDL3（兼容Postscript3），XPS，Open XPS，PDF直接打印；</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13、打印接口：USB 3.0高速x1; 10BASE-T/100BASE-TX/1000BASE-T; USB主机接口 (USB主机)x4; NFC TAGx1；</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14、扫描分辨率：600dpi，400dpi，300dpi，200dpi，200×400dpi，200×100dpi；文件格式：TIFF，JPEG，XPS，Open XPS，PDF（MMR/JPG压缩/高压缩PDF），PDF/A，加密PDF，图像质量模式：文字，图片，文字+图片，文字（细线）；地址存储：2000个通用地址，500个群组地址；</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15、支持系统；Windows Server 2008、Windows Server 2008 R2、Windows Server 2012、Windows Vista、Windows 7、Windows 8、Windows 10；Apple Macintosh OS 10.9或更高版本；Linux；可兼容银河麒麟、统信等国产系统；</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16、安全性：在启动时检测篡改程序的Secure Boot和在运行期间检测篡改程序的Run-time integrity check之外，还能以列表的形式管理事先允许执行的程序，以禁止执行不在列表中的恶意程序，支持Allow Listing。同时还支持SIEM，记录与安全相关的事件，监控涉嫌未经授权访问或泄露机密信息的操作。此外，我们还通过支持加密通信协 议TLS 1.3版和采用HDD的7次覆盖擦除功能等来增强安全性。该机还配备有三个级别的“简易安全设置”，只需单击操作即可根据安全级别轻松更改各种设置，同时兼顾了使用便利性。；</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17、自动人体感应开启功能：3个距离范围的感应器监测，当有人靠近复合机时，立刻自动将机器从节能模式中唤醒，增加使用者的便利性，无需多余等待；</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18、特色功能：进行测试打印时或者无需打印高质量打印件时，使用节能打印功能可节省打印时耗费的墨粉量；双面预览：打印（复印/文件夹打印功能）之前显示正反两面；跳过空白页：扫描/复印期间跳过空白页可以节省不必要的浪费；快捷程序：通过快捷键和多达50种的作业程序可以简化扫描和复印工作流程；防透印到背面：复印或者扫描摊开的双面打印的薄纸时消除透印的背面图像；安全水印：可区分原稿和复印件，保护敏感文档不被复制；设备可长期保存作业，用户可放心打印和存储作业并在需要是输出；</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19、最大功率≤1750W，复印/打印模式≤770W，待机模式≤40W，睡眠模式≤0.4W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20、保修期限：自用户安装该保修产品之日起的36个月内或者安装使用达到60万次复印/打印为期限，以先发生者为准。保期内保修部件可享受厂家免费质换服务（如感光鼓、显影等在保部件），保修明细请阅读厂家三年质保协议书。</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0A6BD">
            <w:pPr>
              <w:keepNext w:val="0"/>
              <w:keepLines w:val="0"/>
              <w:widowControl/>
              <w:suppressLineNumbers w:val="0"/>
              <w:jc w:val="left"/>
              <w:textAlignment w:val="top"/>
              <w:rPr>
                <w:rFonts w:hint="eastAsia" w:ascii="宋体" w:hAnsi="宋体" w:eastAsia="宋体" w:cs="宋体"/>
                <w:i w:val="0"/>
                <w:iCs w:val="0"/>
                <w:color w:val="000000"/>
                <w:kern w:val="0"/>
                <w:sz w:val="16"/>
                <w:szCs w:val="16"/>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C2A2D">
            <w:pPr>
              <w:jc w:val="center"/>
              <w:rPr>
                <w:rFonts w:hint="eastAsia" w:ascii="宋体" w:hAnsi="宋体" w:eastAsia="宋体" w:cs="宋体"/>
                <w:i w:val="0"/>
                <w:iCs w:val="0"/>
                <w:color w:val="000000"/>
                <w:sz w:val="16"/>
                <w:szCs w:val="16"/>
                <w:u w:val="none"/>
              </w:rPr>
            </w:pPr>
          </w:p>
        </w:tc>
      </w:tr>
      <w:tr w14:paraId="0A7C9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jc w:val="center"/>
        </w:trPr>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C5C5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5699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排队叫号屏55寸</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5D27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块</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6909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16</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9C112">
            <w:pPr>
              <w:jc w:val="center"/>
              <w:rPr>
                <w:rFonts w:hint="eastAsia" w:ascii="宋体" w:hAnsi="宋体" w:eastAsia="宋体" w:cs="宋体"/>
                <w:i w:val="0"/>
                <w:iCs w:val="0"/>
                <w:color w:val="000000"/>
                <w:sz w:val="16"/>
                <w:szCs w:val="16"/>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FDEDF">
            <w:pPr>
              <w:jc w:val="center"/>
              <w:rPr>
                <w:rFonts w:hint="eastAsia" w:ascii="宋体" w:hAnsi="宋体" w:eastAsia="宋体" w:cs="宋体"/>
                <w:i w:val="0"/>
                <w:iCs w:val="0"/>
                <w:color w:val="000000"/>
                <w:sz w:val="16"/>
                <w:szCs w:val="16"/>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292B6">
            <w:pPr>
              <w:jc w:val="center"/>
              <w:rPr>
                <w:rFonts w:hint="eastAsia" w:ascii="宋体" w:hAnsi="宋体" w:eastAsia="宋体" w:cs="宋体"/>
                <w:i w:val="0"/>
                <w:iCs w:val="0"/>
                <w:color w:val="000000"/>
                <w:sz w:val="16"/>
                <w:szCs w:val="16"/>
                <w:u w:val="none"/>
              </w:rPr>
            </w:pPr>
          </w:p>
        </w:tc>
        <w:tc>
          <w:tcPr>
            <w:tcW w:w="3659" w:type="dxa"/>
            <w:tcBorders>
              <w:top w:val="single" w:color="000000" w:sz="4" w:space="0"/>
              <w:left w:val="single" w:color="000000" w:sz="4" w:space="0"/>
              <w:bottom w:val="single" w:color="auto" w:sz="4" w:space="0"/>
              <w:right w:val="single" w:color="000000" w:sz="4" w:space="0"/>
            </w:tcBorders>
            <w:shd w:val="clear" w:color="auto" w:fill="auto"/>
            <w:vAlign w:val="top"/>
          </w:tcPr>
          <w:p w14:paraId="3E512BD7">
            <w:pPr>
              <w:jc w:val="left"/>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sz w:val="16"/>
                <w:szCs w:val="16"/>
                <w:u w:val="none"/>
              </w:rPr>
              <w:t>1、显示尺寸要求：≥55寸；分辨率要求：≥3840*2160；亮度要求：≥350 cd/m²；</w:t>
            </w:r>
          </w:p>
          <w:p w14:paraId="2F2061AD">
            <w:pPr>
              <w:jc w:val="left"/>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sz w:val="16"/>
                <w:szCs w:val="16"/>
                <w:u w:val="none"/>
              </w:rPr>
              <w:t>2、CPU处理器要求：≥4核；内存要求：≥2GB ；外存储要求：≥32G；</w:t>
            </w:r>
          </w:p>
          <w:p w14:paraId="51A18B02">
            <w:pPr>
              <w:jc w:val="left"/>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sz w:val="16"/>
                <w:szCs w:val="16"/>
                <w:u w:val="none"/>
              </w:rPr>
              <w:t>3、操作系统：不低于Android12；嵌入式一体化设备，内置播放控制板；</w:t>
            </w:r>
          </w:p>
          <w:p w14:paraId="5AB483E6">
            <w:pPr>
              <w:jc w:val="left"/>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sz w:val="16"/>
                <w:szCs w:val="16"/>
                <w:u w:val="none"/>
              </w:rPr>
              <w:t>4、网络接口：RJ45*1；数据接口：USB2.0≥2；视频接口：HDMI IN；扬声器：8W/5Ω；</w:t>
            </w:r>
          </w:p>
          <w:p w14:paraId="5C4E6D2A">
            <w:pPr>
              <w:jc w:val="left"/>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sz w:val="16"/>
                <w:szCs w:val="16"/>
                <w:u w:val="none"/>
              </w:rPr>
              <w:t>5、一级分诊屏特性：支持展示一级诊区等候列表、患者序号、患者姓名、医生队列、当前就诊人信息，保障分诊数据传输安全，提供专业一级候诊队列显示；</w:t>
            </w:r>
          </w:p>
          <w:p w14:paraId="26907881">
            <w:pPr>
              <w:jc w:val="left"/>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sz w:val="16"/>
                <w:szCs w:val="16"/>
                <w:u w:val="none"/>
              </w:rPr>
              <w:t>6、宣教发布要求：支持分屏同步展示宣教和排队叫号信息，支持页面区域内展示健康宣教二维码，患者通过移动端设备如手机访问及观看，患者手机端扫码观看相关、医技检查、内外科室等其他科室宣教视频内容；</w:t>
            </w:r>
          </w:p>
          <w:p w14:paraId="53A7B3DB">
            <w:pPr>
              <w:jc w:val="left"/>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sz w:val="16"/>
                <w:szCs w:val="16"/>
                <w:u w:val="none"/>
              </w:rPr>
              <w:t>7、终端支持叫号界面配置，可满足门诊不同区域、不同场景的显示需求。需提供内置不少于60套标准化叫号界面模板，可后台支持直接选用显示，并支持一键启用隐私保护功能，启用后终端显示的患者姓名将自动脱敏处理（如“张某某”显示为“张*某”），有效保护患者隐私信息，符合医疗信息安全管理规范；</w:t>
            </w:r>
          </w:p>
          <w:p w14:paraId="2F2E0FFB">
            <w:pPr>
              <w:jc w:val="left"/>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sz w:val="16"/>
                <w:szCs w:val="16"/>
                <w:u w:val="none"/>
              </w:rPr>
              <w:t>8、页面显示：设备需支持页面以弹框、整屏切换、固定区域展示呼叫信息；</w:t>
            </w:r>
          </w:p>
          <w:p w14:paraId="51AEAD10">
            <w:pPr>
              <w:jc w:val="left"/>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sz w:val="16"/>
                <w:szCs w:val="16"/>
                <w:u w:val="none"/>
              </w:rPr>
              <w:t>9、所投产品需支持接入医院现有分诊导引管理平台统一调度，采用RSA非对称加密传输保持与既有系统在叫号、分诊、医护联动、数据传输等逻辑上一致，实现管理后台远程定时开关机、音量亮度调整、磁盘信息查看、负载均衡、跑马灯调整的统一终端管理要求。（对接开发费用需包含在内）</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AFB20">
            <w:pPr>
              <w:jc w:val="left"/>
              <w:rPr>
                <w:rFonts w:hint="eastAsia" w:ascii="宋体" w:hAnsi="宋体" w:eastAsia="宋体" w:cs="宋体"/>
                <w:i w:val="0"/>
                <w:iCs w:val="0"/>
                <w:color w:val="000000"/>
                <w:sz w:val="16"/>
                <w:szCs w:val="16"/>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DAEA7">
            <w:pPr>
              <w:jc w:val="center"/>
              <w:rPr>
                <w:rFonts w:hint="eastAsia" w:ascii="宋体" w:hAnsi="宋体" w:eastAsia="宋体" w:cs="宋体"/>
                <w:i w:val="0"/>
                <w:iCs w:val="0"/>
                <w:color w:val="000000"/>
                <w:sz w:val="16"/>
                <w:szCs w:val="16"/>
                <w:u w:val="none"/>
              </w:rPr>
            </w:pPr>
          </w:p>
        </w:tc>
      </w:tr>
      <w:tr w14:paraId="6528A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65" w:hRule="atLeast"/>
          <w:jc w:val="center"/>
        </w:trPr>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1B1F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3E90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诊室门口屏21寸</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029D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块</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BA7F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CDB54">
            <w:pPr>
              <w:jc w:val="center"/>
              <w:rPr>
                <w:rFonts w:hint="eastAsia" w:ascii="宋体" w:hAnsi="宋体" w:eastAsia="宋体" w:cs="宋体"/>
                <w:i w:val="0"/>
                <w:iCs w:val="0"/>
                <w:color w:val="000000"/>
                <w:sz w:val="16"/>
                <w:szCs w:val="16"/>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DB0A8">
            <w:pPr>
              <w:jc w:val="center"/>
              <w:rPr>
                <w:rFonts w:hint="eastAsia" w:ascii="宋体" w:hAnsi="宋体" w:eastAsia="宋体" w:cs="宋体"/>
                <w:i w:val="0"/>
                <w:iCs w:val="0"/>
                <w:color w:val="000000"/>
                <w:sz w:val="16"/>
                <w:szCs w:val="16"/>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F5FFB">
            <w:pPr>
              <w:jc w:val="center"/>
              <w:rPr>
                <w:rFonts w:hint="eastAsia" w:ascii="宋体" w:hAnsi="宋体" w:eastAsia="宋体" w:cs="宋体"/>
                <w:i w:val="0"/>
                <w:iCs w:val="0"/>
                <w:color w:val="000000"/>
                <w:sz w:val="16"/>
                <w:szCs w:val="16"/>
                <w:u w:val="none"/>
              </w:rPr>
            </w:pPr>
          </w:p>
        </w:tc>
        <w:tc>
          <w:tcPr>
            <w:tcW w:w="3659" w:type="dxa"/>
            <w:tcBorders>
              <w:top w:val="single" w:color="auto" w:sz="4" w:space="0"/>
              <w:left w:val="single" w:color="000000" w:sz="4" w:space="0"/>
              <w:bottom w:val="single" w:color="000000" w:sz="4" w:space="0"/>
              <w:right w:val="single" w:color="000000" w:sz="4" w:space="0"/>
            </w:tcBorders>
            <w:shd w:val="clear" w:color="auto" w:fill="auto"/>
            <w:vAlign w:val="top"/>
          </w:tcPr>
          <w:p w14:paraId="3BB16F8E">
            <w:pPr>
              <w:keepNext w:val="0"/>
              <w:keepLines w:val="0"/>
              <w:widowControl/>
              <w:suppressLineNumbers w:val="0"/>
              <w:jc w:val="left"/>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2"/>
                <w:sz w:val="16"/>
                <w:szCs w:val="16"/>
                <w:u w:val="none"/>
                <w:lang w:val="en-US" w:eastAsia="zh-CN" w:bidi="ar-SA"/>
              </w:rPr>
              <w:t>1、显示屏尺寸要求：≥22英寸，分辨率：≥1920*1080；</w:t>
            </w:r>
          </w:p>
          <w:p w14:paraId="0BFD2858">
            <w:pPr>
              <w:keepNext w:val="0"/>
              <w:keepLines w:val="0"/>
              <w:widowControl/>
              <w:suppressLineNumbers w:val="0"/>
              <w:jc w:val="left"/>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2"/>
                <w:sz w:val="16"/>
                <w:szCs w:val="16"/>
                <w:u w:val="none"/>
                <w:lang w:val="en-US" w:eastAsia="zh-CN" w:bidi="ar-SA"/>
              </w:rPr>
              <w:t>2、处理器要求：不低于四核；内存要求：≥1GB 外存储：≥8GB；</w:t>
            </w:r>
          </w:p>
          <w:p w14:paraId="2CE8800D">
            <w:pPr>
              <w:keepNext w:val="0"/>
              <w:keepLines w:val="0"/>
              <w:widowControl/>
              <w:suppressLineNumbers w:val="0"/>
              <w:jc w:val="left"/>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2"/>
                <w:sz w:val="16"/>
                <w:szCs w:val="16"/>
                <w:u w:val="none"/>
                <w:lang w:val="en-US" w:eastAsia="zh-CN" w:bidi="ar-SA"/>
              </w:rPr>
              <w:t>3、操作系统：不低于Android 9.0；</w:t>
            </w:r>
          </w:p>
          <w:p w14:paraId="70731383">
            <w:pPr>
              <w:keepNext w:val="0"/>
              <w:keepLines w:val="0"/>
              <w:widowControl/>
              <w:suppressLineNumbers w:val="0"/>
              <w:jc w:val="left"/>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2"/>
                <w:sz w:val="16"/>
                <w:szCs w:val="16"/>
                <w:u w:val="none"/>
                <w:lang w:val="en-US" w:eastAsia="zh-CN" w:bidi="ar-SA"/>
              </w:rPr>
              <w:t>4、数据接口：USB2.0*2；通信接口：10/100Mbps；</w:t>
            </w:r>
          </w:p>
          <w:p w14:paraId="7CFD689F">
            <w:pPr>
              <w:keepNext w:val="0"/>
              <w:keepLines w:val="0"/>
              <w:widowControl/>
              <w:suppressLineNumbers w:val="0"/>
              <w:jc w:val="left"/>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2"/>
                <w:sz w:val="16"/>
                <w:szCs w:val="16"/>
                <w:u w:val="none"/>
                <w:lang w:val="en-US" w:eastAsia="zh-CN" w:bidi="ar-SA"/>
              </w:rPr>
              <w:t>5、具备灯箱设计：顶部立体三角灯箱设计，可自定义编辑房间号码；</w:t>
            </w:r>
          </w:p>
          <w:p w14:paraId="42EFB2F5">
            <w:pPr>
              <w:keepNext w:val="0"/>
              <w:keepLines w:val="0"/>
              <w:widowControl/>
              <w:suppressLineNumbers w:val="0"/>
              <w:jc w:val="left"/>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2"/>
                <w:sz w:val="16"/>
                <w:szCs w:val="16"/>
                <w:u w:val="none"/>
                <w:lang w:val="en-US" w:eastAsia="zh-CN" w:bidi="ar-SA"/>
              </w:rPr>
              <w:t>6、可实现诊间签到功能，扫描签到响应时间小于2毫秒，数据传输正确率＞99%；</w:t>
            </w:r>
          </w:p>
          <w:p w14:paraId="5BF72A81">
            <w:pPr>
              <w:keepNext w:val="0"/>
              <w:keepLines w:val="0"/>
              <w:widowControl/>
              <w:suppressLineNumbers w:val="0"/>
              <w:jc w:val="left"/>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2"/>
                <w:sz w:val="16"/>
                <w:szCs w:val="16"/>
                <w:u w:val="none"/>
                <w:lang w:val="en-US" w:eastAsia="zh-CN" w:bidi="ar-SA"/>
              </w:rPr>
              <w:t>7、声音输出：不低于4Ω/2W；</w:t>
            </w:r>
          </w:p>
          <w:p w14:paraId="3731C370">
            <w:pPr>
              <w:keepNext w:val="0"/>
              <w:keepLines w:val="0"/>
              <w:widowControl/>
              <w:suppressLineNumbers w:val="0"/>
              <w:jc w:val="left"/>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2"/>
                <w:sz w:val="16"/>
                <w:szCs w:val="16"/>
                <w:u w:val="none"/>
                <w:lang w:val="en-US" w:eastAsia="zh-CN" w:bidi="ar-SA"/>
              </w:rPr>
              <w:t>8、基本功能：壁挂式各诊室门口，用于展示医生信息及患者就诊排序信息；</w:t>
            </w:r>
          </w:p>
          <w:p w14:paraId="1766F8F6">
            <w:pPr>
              <w:keepNext w:val="0"/>
              <w:keepLines w:val="0"/>
              <w:widowControl/>
              <w:suppressLineNumbers w:val="0"/>
              <w:jc w:val="left"/>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2"/>
                <w:sz w:val="16"/>
                <w:szCs w:val="16"/>
                <w:u w:val="none"/>
                <w:lang w:val="en-US" w:eastAsia="zh-CN" w:bidi="ar-SA"/>
              </w:rPr>
              <w:t>9、智能管控：终端内置显示客户端软件，管理人员支持通过手机移动端在网内远程对设备进行管理；</w:t>
            </w:r>
          </w:p>
          <w:p w14:paraId="43CA789F">
            <w:pPr>
              <w:keepNext w:val="0"/>
              <w:keepLines w:val="0"/>
              <w:widowControl/>
              <w:suppressLineNumbers w:val="0"/>
              <w:jc w:val="left"/>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2"/>
                <w:sz w:val="16"/>
                <w:szCs w:val="16"/>
                <w:u w:val="none"/>
                <w:lang w:val="en-US" w:eastAsia="zh-CN" w:bidi="ar-SA"/>
              </w:rPr>
              <w:t>10、设备支持开机自动扫描入库功能，设备参数包含：终端名称；IP地址；MAC地址；设备类型；分辨率；业务属性；手机号；备注等基本参数；</w:t>
            </w:r>
          </w:p>
          <w:p w14:paraId="2F12BAE7">
            <w:pPr>
              <w:keepNext w:val="0"/>
              <w:keepLines w:val="0"/>
              <w:widowControl/>
              <w:suppressLineNumbers w:val="0"/>
              <w:jc w:val="left"/>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2"/>
                <w:sz w:val="16"/>
                <w:szCs w:val="16"/>
                <w:u w:val="none"/>
                <w:lang w:val="en-US" w:eastAsia="zh-CN" w:bidi="ar-SA"/>
              </w:rPr>
              <w:t>11、终端支持JWT鉴权方案，支持采用HTTP/HTTPS协议传输数据，设备间的通信支持 MQTT 协议，基于TLS 安全传输层协议，各端使用统一CA签名的证书进行数据传输；</w:t>
            </w:r>
          </w:p>
          <w:p w14:paraId="02790246">
            <w:pPr>
              <w:keepNext w:val="0"/>
              <w:keepLines w:val="0"/>
              <w:widowControl/>
              <w:suppressLineNumbers w:val="0"/>
              <w:jc w:val="left"/>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2"/>
                <w:sz w:val="16"/>
                <w:szCs w:val="16"/>
                <w:u w:val="none"/>
                <w:lang w:val="en-US" w:eastAsia="zh-CN" w:bidi="ar-SA"/>
              </w:rPr>
              <w:t>12、所投产品需支持接入医院现有分诊导引管理平台统一调度，采用RSA非对称加密传输保持与既有系统在叫号、分诊、医护联动、数据传输等逻辑上一致，实现管理后台远程定时开关机、音量亮度调整、磁盘信息查看、负载均衡、跑马灯调整的统一终端管理要求。（对接开发费用需包含在内）</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994AA">
            <w:pPr>
              <w:keepNext w:val="0"/>
              <w:keepLines w:val="0"/>
              <w:widowControl/>
              <w:suppressLineNumbers w:val="0"/>
              <w:jc w:val="left"/>
              <w:textAlignment w:val="top"/>
              <w:rPr>
                <w:rFonts w:hint="eastAsia" w:ascii="宋体" w:hAnsi="宋体" w:eastAsia="宋体" w:cs="宋体"/>
                <w:i w:val="0"/>
                <w:iCs w:val="0"/>
                <w:color w:val="000000"/>
                <w:kern w:val="2"/>
                <w:sz w:val="16"/>
                <w:szCs w:val="16"/>
                <w:u w:val="none"/>
                <w:lang w:val="en-US" w:eastAsia="zh-CN" w:bidi="ar-SA"/>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C1BEB">
            <w:pPr>
              <w:jc w:val="center"/>
              <w:rPr>
                <w:rFonts w:hint="eastAsia" w:ascii="宋体" w:hAnsi="宋体" w:eastAsia="宋体" w:cs="宋体"/>
                <w:i w:val="0"/>
                <w:iCs w:val="0"/>
                <w:color w:val="000000"/>
                <w:sz w:val="16"/>
                <w:szCs w:val="16"/>
                <w:u w:val="none"/>
              </w:rPr>
            </w:pPr>
          </w:p>
        </w:tc>
      </w:tr>
      <w:tr w14:paraId="748F8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8" w:hRule="atLeast"/>
          <w:jc w:val="center"/>
        </w:trPr>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1576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4346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标签打印机</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3F1D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台</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5890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7F9F8">
            <w:pPr>
              <w:jc w:val="center"/>
              <w:rPr>
                <w:rFonts w:hint="eastAsia" w:ascii="宋体" w:hAnsi="宋体" w:eastAsia="宋体" w:cs="宋体"/>
                <w:i w:val="0"/>
                <w:iCs w:val="0"/>
                <w:color w:val="000000"/>
                <w:sz w:val="16"/>
                <w:szCs w:val="16"/>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934E9">
            <w:pPr>
              <w:jc w:val="center"/>
              <w:rPr>
                <w:rFonts w:hint="eastAsia" w:ascii="宋体" w:hAnsi="宋体" w:eastAsia="宋体" w:cs="宋体"/>
                <w:i w:val="0"/>
                <w:iCs w:val="0"/>
                <w:color w:val="000000"/>
                <w:sz w:val="16"/>
                <w:szCs w:val="16"/>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86B1F">
            <w:pPr>
              <w:jc w:val="center"/>
              <w:rPr>
                <w:rFonts w:hint="eastAsia" w:ascii="宋体" w:hAnsi="宋体" w:eastAsia="宋体" w:cs="宋体"/>
                <w:i w:val="0"/>
                <w:iCs w:val="0"/>
                <w:color w:val="000000"/>
                <w:sz w:val="16"/>
                <w:szCs w:val="16"/>
                <w:u w:val="none"/>
              </w:rPr>
            </w:pPr>
          </w:p>
        </w:tc>
        <w:tc>
          <w:tcPr>
            <w:tcW w:w="3659" w:type="dxa"/>
            <w:vMerge w:val="restart"/>
            <w:tcBorders>
              <w:top w:val="single" w:color="000000" w:sz="4" w:space="0"/>
              <w:left w:val="single" w:color="000000" w:sz="4" w:space="0"/>
              <w:right w:val="single" w:color="000000" w:sz="4" w:space="0"/>
            </w:tcBorders>
            <w:shd w:val="clear" w:color="auto" w:fill="auto"/>
            <w:vAlign w:val="top"/>
          </w:tcPr>
          <w:p w14:paraId="20883FE6">
            <w:pPr>
              <w:keepNext w:val="0"/>
              <w:keepLines w:val="0"/>
              <w:widowControl/>
              <w:suppressLineNumbers w:val="0"/>
              <w:jc w:val="left"/>
              <w:textAlignment w:val="top"/>
              <w:rPr>
                <w:rFonts w:hint="eastAsia" w:ascii="宋体" w:hAnsi="宋体" w:eastAsia="宋体" w:cs="宋体"/>
                <w:i w:val="0"/>
                <w:iCs w:val="0"/>
                <w:color w:val="800080"/>
                <w:sz w:val="16"/>
                <w:szCs w:val="16"/>
                <w:u w:val="single"/>
              </w:rPr>
            </w:pPr>
            <w:r>
              <w:rPr>
                <w:rFonts w:hint="eastAsia" w:ascii="宋体" w:hAnsi="宋体" w:eastAsia="宋体" w:cs="宋体"/>
                <w:i w:val="0"/>
                <w:iCs w:val="0"/>
                <w:color w:val="000000"/>
                <w:kern w:val="2"/>
                <w:sz w:val="16"/>
                <w:szCs w:val="16"/>
                <w:u w:val="none"/>
                <w:lang w:val="en-US" w:eastAsia="zh-CN" w:bidi="ar-SA"/>
              </w:rPr>
              <w:t>1、分辩率：≥8点/毫米(203DPI)；</w:t>
            </w:r>
            <w:r>
              <w:rPr>
                <w:rFonts w:hint="eastAsia" w:ascii="宋体" w:hAnsi="宋体" w:eastAsia="宋体" w:cs="宋体"/>
                <w:i w:val="0"/>
                <w:iCs w:val="0"/>
                <w:color w:val="000000"/>
                <w:kern w:val="2"/>
                <w:sz w:val="16"/>
                <w:szCs w:val="16"/>
                <w:u w:val="none"/>
                <w:lang w:val="en-US" w:eastAsia="zh-CN" w:bidi="ar-SA"/>
              </w:rPr>
              <w:br w:type="textWrapping"/>
            </w:r>
            <w:r>
              <w:rPr>
                <w:rFonts w:hint="eastAsia" w:ascii="宋体" w:hAnsi="宋体" w:eastAsia="宋体" w:cs="宋体"/>
                <w:i w:val="0"/>
                <w:iCs w:val="0"/>
                <w:color w:val="000000"/>
                <w:kern w:val="2"/>
                <w:sz w:val="16"/>
                <w:szCs w:val="16"/>
                <w:u w:val="none"/>
                <w:lang w:val="en-US" w:eastAsia="zh-CN" w:bidi="ar-SA"/>
              </w:rPr>
              <w:t>2、打印模式：热转式/热感式；内部纸卷最大尺寸：≥127毫米(5”)外径；</w:t>
            </w:r>
            <w:r>
              <w:rPr>
                <w:rFonts w:hint="eastAsia" w:ascii="宋体" w:hAnsi="宋体" w:eastAsia="宋体" w:cs="宋体"/>
                <w:i w:val="0"/>
                <w:iCs w:val="0"/>
                <w:color w:val="000000"/>
                <w:kern w:val="2"/>
                <w:sz w:val="16"/>
                <w:szCs w:val="16"/>
                <w:u w:val="none"/>
                <w:lang w:val="en-US" w:eastAsia="zh-CN" w:bidi="ar-SA"/>
              </w:rPr>
              <w:br w:type="textWrapping"/>
            </w:r>
            <w:r>
              <w:rPr>
                <w:rFonts w:hint="eastAsia" w:ascii="宋体" w:hAnsi="宋体" w:eastAsia="宋体" w:cs="宋体"/>
                <w:i w:val="0"/>
                <w:iCs w:val="0"/>
                <w:color w:val="000000"/>
                <w:kern w:val="2"/>
                <w:sz w:val="16"/>
                <w:szCs w:val="16"/>
                <w:u w:val="none"/>
                <w:lang w:val="en-US" w:eastAsia="zh-CN" w:bidi="ar-SA"/>
              </w:rPr>
              <w:t>3、纸张宽度：15~60毫米(0.59”~2.36”)；纸张厚度：0.6~0.19毫米(2.36~7.48密耳)；</w:t>
            </w:r>
            <w:r>
              <w:rPr>
                <w:rFonts w:hint="eastAsia" w:ascii="宋体" w:hAnsi="宋体" w:eastAsia="宋体" w:cs="宋体"/>
                <w:i w:val="0"/>
                <w:iCs w:val="0"/>
                <w:color w:val="000000"/>
                <w:kern w:val="2"/>
                <w:sz w:val="16"/>
                <w:szCs w:val="16"/>
                <w:u w:val="none"/>
                <w:lang w:val="en-US" w:eastAsia="zh-CN" w:bidi="ar-SA"/>
              </w:rPr>
              <w:br w:type="textWrapping"/>
            </w:r>
            <w:r>
              <w:rPr>
                <w:rFonts w:hint="eastAsia" w:ascii="宋体" w:hAnsi="宋体" w:eastAsia="宋体" w:cs="宋体"/>
                <w:i w:val="0"/>
                <w:iCs w:val="0"/>
                <w:color w:val="000000"/>
                <w:kern w:val="2"/>
                <w:sz w:val="16"/>
                <w:szCs w:val="16"/>
                <w:u w:val="none"/>
                <w:lang w:val="en-US" w:eastAsia="zh-CN" w:bidi="ar-SA"/>
              </w:rPr>
              <w:t>4、碳带：90公尺，≥最大37毫米外径，0.5”碳带滚动条(外卷式碳带)；</w:t>
            </w:r>
            <w:r>
              <w:rPr>
                <w:rFonts w:hint="eastAsia" w:ascii="宋体" w:hAnsi="宋体" w:eastAsia="宋体" w:cs="宋体"/>
                <w:i w:val="0"/>
                <w:iCs w:val="0"/>
                <w:color w:val="000000"/>
                <w:kern w:val="2"/>
                <w:sz w:val="16"/>
                <w:szCs w:val="16"/>
                <w:u w:val="none"/>
                <w:lang w:val="en-US" w:eastAsia="zh-CN" w:bidi="ar-SA"/>
              </w:rPr>
              <w:br w:type="textWrapping"/>
            </w:r>
            <w:r>
              <w:rPr>
                <w:rFonts w:hint="eastAsia" w:ascii="宋体" w:hAnsi="宋体" w:eastAsia="宋体" w:cs="宋体"/>
                <w:i w:val="0"/>
                <w:iCs w:val="0"/>
                <w:color w:val="000000"/>
                <w:kern w:val="2"/>
                <w:sz w:val="16"/>
                <w:szCs w:val="16"/>
                <w:u w:val="none"/>
                <w:lang w:val="en-US" w:eastAsia="zh-CN" w:bidi="ar-SA"/>
              </w:rPr>
              <w:t>5、机壳：双层ABS外壳、贝壳式掀盖设计；</w:t>
            </w:r>
            <w:r>
              <w:rPr>
                <w:rFonts w:hint="eastAsia" w:ascii="宋体" w:hAnsi="宋体" w:eastAsia="宋体" w:cs="宋体"/>
                <w:i w:val="0"/>
                <w:iCs w:val="0"/>
                <w:color w:val="000000"/>
                <w:kern w:val="2"/>
                <w:sz w:val="16"/>
                <w:szCs w:val="16"/>
                <w:u w:val="none"/>
                <w:lang w:val="en-US" w:eastAsia="zh-CN" w:bidi="ar-SA"/>
              </w:rPr>
              <w:br w:type="textWrapping"/>
            </w:r>
            <w:r>
              <w:rPr>
                <w:rFonts w:hint="eastAsia" w:ascii="宋体" w:hAnsi="宋体" w:eastAsia="宋体" w:cs="宋体"/>
                <w:i w:val="0"/>
                <w:iCs w:val="0"/>
                <w:color w:val="000000"/>
                <w:kern w:val="2"/>
                <w:sz w:val="16"/>
                <w:szCs w:val="16"/>
                <w:u w:val="none"/>
                <w:lang w:val="en-US" w:eastAsia="zh-CN" w:bidi="ar-SA"/>
              </w:rPr>
              <w:t>6、传感器：纸张间距传感器、黑线标记传感器(反射式，位置可调整)、印字头抬起传感器、碳带用尽传感器；</w:t>
            </w:r>
            <w:r>
              <w:rPr>
                <w:rFonts w:hint="eastAsia" w:ascii="宋体" w:hAnsi="宋体" w:eastAsia="宋体" w:cs="宋体"/>
                <w:i w:val="0"/>
                <w:iCs w:val="0"/>
                <w:color w:val="000000"/>
                <w:kern w:val="2"/>
                <w:sz w:val="16"/>
                <w:szCs w:val="16"/>
                <w:u w:val="none"/>
                <w:lang w:val="en-US" w:eastAsia="zh-CN" w:bidi="ar-SA"/>
              </w:rPr>
              <w:br w:type="textWrapping"/>
            </w:r>
            <w:r>
              <w:rPr>
                <w:rFonts w:hint="eastAsia" w:ascii="宋体" w:hAnsi="宋体" w:eastAsia="宋体" w:cs="宋体"/>
                <w:i w:val="0"/>
                <w:iCs w:val="0"/>
                <w:color w:val="000000"/>
                <w:kern w:val="2"/>
                <w:sz w:val="16"/>
                <w:szCs w:val="16"/>
                <w:u w:val="none"/>
                <w:lang w:val="en-US" w:eastAsia="zh-CN" w:bidi="ar-SA"/>
              </w:rPr>
              <w:t>7、接口：USB2.0、串口、内建式以太网络服务器、USBhost，蓝牙。</w:t>
            </w:r>
            <w:r>
              <w:rPr>
                <w:rFonts w:hint="eastAsia" w:ascii="宋体" w:hAnsi="宋体" w:eastAsia="宋体" w:cs="宋体"/>
                <w:color w:val="000000"/>
                <w:kern w:val="0"/>
                <w:sz w:val="20"/>
                <w:szCs w:val="20"/>
                <w:lang w:bidi="ar"/>
              </w:rPr>
              <w:br w:type="textWrapping"/>
            </w:r>
            <w:r>
              <w:rPr>
                <w:rFonts w:hint="eastAsia" w:ascii="宋体" w:hAnsi="宋体" w:eastAsia="宋体" w:cs="宋体"/>
                <w:i w:val="0"/>
                <w:iCs w:val="0"/>
                <w:color w:val="000000"/>
                <w:kern w:val="2"/>
                <w:sz w:val="16"/>
                <w:szCs w:val="16"/>
                <w:u w:val="none"/>
                <w:lang w:val="en-US" w:eastAsia="zh-CN" w:bidi="ar-SA"/>
              </w:rPr>
              <w:t>8、质保时间≥3年。</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84DE3">
            <w:pPr>
              <w:keepNext w:val="0"/>
              <w:keepLines w:val="0"/>
              <w:widowControl/>
              <w:suppressLineNumbers w:val="0"/>
              <w:jc w:val="left"/>
              <w:textAlignment w:val="top"/>
              <w:rPr>
                <w:rFonts w:hint="eastAsia" w:ascii="宋体" w:hAnsi="宋体" w:eastAsia="宋体" w:cs="宋体"/>
                <w:i w:val="0"/>
                <w:iCs w:val="0"/>
                <w:color w:val="000000"/>
                <w:kern w:val="2"/>
                <w:sz w:val="16"/>
                <w:szCs w:val="16"/>
                <w:u w:val="none"/>
                <w:lang w:val="en-US" w:eastAsia="zh-CN" w:bidi="ar-SA"/>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ACAA3">
            <w:pPr>
              <w:jc w:val="center"/>
              <w:rPr>
                <w:rFonts w:hint="eastAsia" w:ascii="宋体" w:hAnsi="宋体" w:eastAsia="宋体" w:cs="宋体"/>
                <w:i w:val="0"/>
                <w:iCs w:val="0"/>
                <w:color w:val="800080"/>
                <w:sz w:val="16"/>
                <w:szCs w:val="16"/>
                <w:u w:val="single"/>
              </w:rPr>
            </w:pPr>
          </w:p>
        </w:tc>
      </w:tr>
      <w:tr w14:paraId="434D6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32" w:hRule="atLeast"/>
          <w:jc w:val="center"/>
        </w:trPr>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C096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D9D3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条码打印机</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00C5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台</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E177E">
            <w:pPr>
              <w:keepNext w:val="0"/>
              <w:keepLines w:val="0"/>
              <w:widowControl/>
              <w:suppressLineNumbers w:val="0"/>
              <w:jc w:val="center"/>
              <w:textAlignment w:val="center"/>
              <w:rPr>
                <w:rFonts w:hint="eastAsia" w:ascii="宋体" w:hAnsi="宋体" w:eastAsia="宋体" w:cs="宋体"/>
                <w:i w:val="0"/>
                <w:iCs w:val="0"/>
                <w:color w:val="000000"/>
                <w:sz w:val="16"/>
                <w:szCs w:val="16"/>
                <w:u w:val="none"/>
                <w:lang w:val="en-US" w:eastAsia="zh-CN"/>
              </w:rPr>
            </w:pPr>
            <w:r>
              <w:rPr>
                <w:rFonts w:hint="eastAsia" w:ascii="宋体" w:hAnsi="宋体" w:eastAsia="宋体" w:cs="宋体"/>
                <w:i w:val="0"/>
                <w:iCs w:val="0"/>
                <w:color w:val="000000"/>
                <w:sz w:val="16"/>
                <w:szCs w:val="16"/>
                <w:u w:val="none"/>
                <w:lang w:val="en-US" w:eastAsia="zh-CN"/>
              </w:rPr>
              <w:t>6</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6E264">
            <w:pPr>
              <w:jc w:val="center"/>
              <w:rPr>
                <w:rFonts w:hint="eastAsia" w:ascii="宋体" w:hAnsi="宋体" w:eastAsia="宋体" w:cs="宋体"/>
                <w:i w:val="0"/>
                <w:iCs w:val="0"/>
                <w:color w:val="000000"/>
                <w:sz w:val="16"/>
                <w:szCs w:val="16"/>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C081E">
            <w:pPr>
              <w:jc w:val="center"/>
              <w:rPr>
                <w:rFonts w:hint="eastAsia" w:ascii="宋体" w:hAnsi="宋体" w:eastAsia="宋体" w:cs="宋体"/>
                <w:i w:val="0"/>
                <w:iCs w:val="0"/>
                <w:color w:val="000000"/>
                <w:sz w:val="16"/>
                <w:szCs w:val="16"/>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A05A2">
            <w:pPr>
              <w:jc w:val="center"/>
              <w:rPr>
                <w:rFonts w:hint="eastAsia" w:ascii="宋体" w:hAnsi="宋体" w:eastAsia="宋体" w:cs="宋体"/>
                <w:i w:val="0"/>
                <w:iCs w:val="0"/>
                <w:color w:val="000000"/>
                <w:sz w:val="16"/>
                <w:szCs w:val="16"/>
                <w:u w:val="none"/>
              </w:rPr>
            </w:pPr>
          </w:p>
        </w:tc>
        <w:tc>
          <w:tcPr>
            <w:tcW w:w="3659" w:type="dxa"/>
            <w:vMerge w:val="continue"/>
            <w:tcBorders>
              <w:left w:val="single" w:color="000000" w:sz="4" w:space="0"/>
              <w:bottom w:val="single" w:color="auto" w:sz="4" w:space="0"/>
              <w:right w:val="single" w:color="000000" w:sz="4" w:space="0"/>
            </w:tcBorders>
            <w:shd w:val="clear" w:color="auto" w:fill="auto"/>
            <w:vAlign w:val="top"/>
          </w:tcPr>
          <w:p w14:paraId="0DA53535">
            <w:pPr>
              <w:keepNext w:val="0"/>
              <w:keepLines w:val="0"/>
              <w:widowControl/>
              <w:suppressLineNumbers w:val="0"/>
              <w:jc w:val="left"/>
              <w:textAlignment w:val="top"/>
              <w:rPr>
                <w:rFonts w:hint="eastAsia" w:ascii="宋体" w:hAnsi="宋体" w:eastAsia="宋体" w:cs="宋体"/>
                <w:i w:val="0"/>
                <w:iCs w:val="0"/>
                <w:color w:val="800080"/>
                <w:sz w:val="16"/>
                <w:szCs w:val="16"/>
                <w:u w:val="single"/>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EC95C">
            <w:pPr>
              <w:keepNext w:val="0"/>
              <w:keepLines w:val="0"/>
              <w:widowControl/>
              <w:suppressLineNumbers w:val="0"/>
              <w:jc w:val="left"/>
              <w:textAlignment w:val="top"/>
              <w:rPr>
                <w:rFonts w:hint="eastAsia" w:ascii="宋体" w:hAnsi="宋体" w:eastAsia="宋体" w:cs="宋体"/>
                <w:i w:val="0"/>
                <w:iCs w:val="0"/>
                <w:color w:val="800080"/>
                <w:sz w:val="16"/>
                <w:szCs w:val="16"/>
                <w:u w:val="singl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3CB91">
            <w:pPr>
              <w:jc w:val="center"/>
              <w:rPr>
                <w:rFonts w:hint="eastAsia" w:ascii="宋体" w:hAnsi="宋体" w:eastAsia="宋体" w:cs="宋体"/>
                <w:i w:val="0"/>
                <w:iCs w:val="0"/>
                <w:color w:val="800080"/>
                <w:sz w:val="16"/>
                <w:szCs w:val="16"/>
                <w:u w:val="single"/>
              </w:rPr>
            </w:pPr>
          </w:p>
        </w:tc>
      </w:tr>
      <w:tr w14:paraId="4FC55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66" w:hRule="atLeast"/>
          <w:jc w:val="center"/>
        </w:trPr>
        <w:tc>
          <w:tcPr>
            <w:tcW w:w="1026"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2F4856E8">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8</w:t>
            </w:r>
          </w:p>
        </w:tc>
        <w:tc>
          <w:tcPr>
            <w:tcW w:w="1440"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55587BE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热敏打印机</w:t>
            </w:r>
          </w:p>
        </w:tc>
        <w:tc>
          <w:tcPr>
            <w:tcW w:w="840"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78BD473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台</w:t>
            </w:r>
          </w:p>
        </w:tc>
        <w:tc>
          <w:tcPr>
            <w:tcW w:w="720"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5F370DC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sz w:val="16"/>
                <w:szCs w:val="16"/>
                <w:u w:val="none"/>
                <w:lang w:val="en-US" w:eastAsia="zh-CN"/>
              </w:rPr>
              <w:t>25</w:t>
            </w:r>
          </w:p>
        </w:tc>
        <w:tc>
          <w:tcPr>
            <w:tcW w:w="1155"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2DCA9274">
            <w:pPr>
              <w:jc w:val="center"/>
              <w:rPr>
                <w:rFonts w:hint="eastAsia" w:ascii="宋体" w:hAnsi="宋体" w:eastAsia="宋体" w:cs="宋体"/>
                <w:i w:val="0"/>
                <w:iCs w:val="0"/>
                <w:color w:val="000000"/>
                <w:sz w:val="16"/>
                <w:szCs w:val="16"/>
                <w:u w:val="none"/>
              </w:rPr>
            </w:pPr>
          </w:p>
        </w:tc>
        <w:tc>
          <w:tcPr>
            <w:tcW w:w="1125"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4B7D7DEF">
            <w:pPr>
              <w:jc w:val="center"/>
              <w:rPr>
                <w:rFonts w:hint="eastAsia" w:ascii="宋体" w:hAnsi="宋体" w:eastAsia="宋体" w:cs="宋体"/>
                <w:i w:val="0"/>
                <w:iCs w:val="0"/>
                <w:color w:val="000000"/>
                <w:sz w:val="16"/>
                <w:szCs w:val="16"/>
                <w:u w:val="none"/>
              </w:rPr>
            </w:pPr>
          </w:p>
        </w:tc>
        <w:tc>
          <w:tcPr>
            <w:tcW w:w="1140"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01F720C8">
            <w:pPr>
              <w:jc w:val="center"/>
              <w:rPr>
                <w:rFonts w:hint="eastAsia" w:ascii="宋体" w:hAnsi="宋体" w:eastAsia="宋体" w:cs="宋体"/>
                <w:i w:val="0"/>
                <w:iCs w:val="0"/>
                <w:color w:val="000000"/>
                <w:sz w:val="16"/>
                <w:szCs w:val="16"/>
                <w:u w:val="none"/>
              </w:rPr>
            </w:pPr>
          </w:p>
        </w:tc>
        <w:tc>
          <w:tcPr>
            <w:tcW w:w="3659" w:type="dxa"/>
            <w:tcBorders>
              <w:top w:val="single" w:color="auto" w:sz="4" w:space="0"/>
              <w:left w:val="single" w:color="000000" w:sz="4" w:space="0"/>
              <w:bottom w:val="single" w:color="auto" w:sz="4" w:space="0"/>
              <w:right w:val="single" w:color="000000" w:sz="4" w:space="0"/>
            </w:tcBorders>
            <w:shd w:val="clear" w:color="auto" w:fill="auto"/>
            <w:vAlign w:val="top"/>
          </w:tcPr>
          <w:p w14:paraId="37E019C6">
            <w:pPr>
              <w:keepNext w:val="0"/>
              <w:keepLines w:val="0"/>
              <w:widowControl/>
              <w:suppressLineNumbers w:val="0"/>
              <w:jc w:val="left"/>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2"/>
                <w:sz w:val="16"/>
                <w:szCs w:val="16"/>
                <w:u w:val="none"/>
                <w:lang w:val="en-US" w:eastAsia="zh-CN" w:bidi="ar-SA"/>
              </w:rPr>
              <w:t>1.打印方式：支持热敏/热转印两种打印方式；</w:t>
            </w:r>
          </w:p>
          <w:p w14:paraId="5D3DD6D3">
            <w:pPr>
              <w:keepNext w:val="0"/>
              <w:keepLines w:val="0"/>
              <w:widowControl/>
              <w:suppressLineNumbers w:val="0"/>
              <w:jc w:val="left"/>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2"/>
                <w:sz w:val="16"/>
                <w:szCs w:val="16"/>
                <w:u w:val="none"/>
                <w:lang w:val="en-US" w:eastAsia="zh-CN" w:bidi="ar-SA"/>
              </w:rPr>
              <w:t>2、支持300m碳带；</w:t>
            </w:r>
          </w:p>
          <w:p w14:paraId="30798D6F">
            <w:pPr>
              <w:keepNext w:val="0"/>
              <w:keepLines w:val="0"/>
              <w:widowControl/>
              <w:suppressLineNumbers w:val="0"/>
              <w:jc w:val="left"/>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2"/>
                <w:sz w:val="16"/>
                <w:szCs w:val="16"/>
                <w:u w:val="none"/>
                <w:lang w:val="en-US" w:eastAsia="zh-CN" w:bidi="ar-SA"/>
              </w:rPr>
              <w:t>3、分辨率：200dpi；</w:t>
            </w:r>
          </w:p>
          <w:p w14:paraId="36A504B7">
            <w:pPr>
              <w:keepNext w:val="0"/>
              <w:keepLines w:val="0"/>
              <w:widowControl/>
              <w:suppressLineNumbers w:val="0"/>
              <w:jc w:val="left"/>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2"/>
                <w:sz w:val="16"/>
                <w:szCs w:val="16"/>
                <w:u w:val="none"/>
                <w:lang w:val="en-US" w:eastAsia="zh-CN" w:bidi="ar-SA"/>
              </w:rPr>
              <w:t>4、处理器：32位 RISC CPU；</w:t>
            </w:r>
          </w:p>
          <w:p w14:paraId="667BDFCE">
            <w:pPr>
              <w:keepNext w:val="0"/>
              <w:keepLines w:val="0"/>
              <w:widowControl/>
              <w:suppressLineNumbers w:val="0"/>
              <w:jc w:val="left"/>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2"/>
                <w:sz w:val="16"/>
                <w:szCs w:val="16"/>
                <w:u w:val="none"/>
                <w:lang w:val="en-US" w:eastAsia="zh-CN" w:bidi="ar-SA"/>
              </w:rPr>
              <w:t>5、标签侦测：缺纸、缝标、碳带、黑标、开盖；</w:t>
            </w:r>
          </w:p>
          <w:p w14:paraId="27827850">
            <w:pPr>
              <w:keepNext w:val="0"/>
              <w:keepLines w:val="0"/>
              <w:widowControl/>
              <w:suppressLineNumbers w:val="0"/>
              <w:jc w:val="left"/>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2"/>
                <w:sz w:val="16"/>
                <w:szCs w:val="16"/>
                <w:u w:val="none"/>
                <w:lang w:val="en-US" w:eastAsia="zh-CN" w:bidi="ar-SA"/>
              </w:rPr>
              <w:t>6、最大宽度：108mm；最大长度：1200毫米；</w:t>
            </w:r>
          </w:p>
          <w:p w14:paraId="29395F7C">
            <w:pPr>
              <w:keepNext w:val="0"/>
              <w:keepLines w:val="0"/>
              <w:widowControl/>
              <w:suppressLineNumbers w:val="0"/>
              <w:jc w:val="left"/>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2"/>
                <w:sz w:val="16"/>
                <w:szCs w:val="16"/>
                <w:u w:val="none"/>
                <w:lang w:val="en-US" w:eastAsia="zh-CN" w:bidi="ar-SA"/>
              </w:rPr>
              <w:t>7、内存+闪存：64MB+128MB；</w:t>
            </w:r>
          </w:p>
          <w:p w14:paraId="003078A7">
            <w:pPr>
              <w:keepNext w:val="0"/>
              <w:keepLines w:val="0"/>
              <w:widowControl/>
              <w:suppressLineNumbers w:val="0"/>
              <w:jc w:val="left"/>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2"/>
                <w:sz w:val="16"/>
                <w:szCs w:val="16"/>
                <w:u w:val="none"/>
                <w:lang w:val="en-US" w:eastAsia="zh-CN" w:bidi="ar-SA"/>
              </w:rPr>
              <w:t>8、编程语言：ZPL、TSPL、EPL；</w:t>
            </w:r>
          </w:p>
          <w:p w14:paraId="225B0BAF">
            <w:pPr>
              <w:keepNext w:val="0"/>
              <w:keepLines w:val="0"/>
              <w:widowControl/>
              <w:suppressLineNumbers w:val="0"/>
              <w:jc w:val="left"/>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2"/>
                <w:sz w:val="16"/>
                <w:szCs w:val="16"/>
                <w:u w:val="none"/>
                <w:lang w:val="en-US" w:eastAsia="zh-CN" w:bidi="ar-SA"/>
              </w:rPr>
              <w:t>9、内置字体：位图和矢量字体；</w:t>
            </w:r>
          </w:p>
          <w:p w14:paraId="7250A4C9">
            <w:pPr>
              <w:keepNext w:val="0"/>
              <w:keepLines w:val="0"/>
              <w:widowControl/>
              <w:suppressLineNumbers w:val="0"/>
              <w:jc w:val="left"/>
              <w:textAlignment w:val="top"/>
              <w:rPr>
                <w:rFonts w:hint="eastAsia" w:ascii="宋体" w:hAnsi="宋体" w:eastAsia="宋体" w:cs="宋体"/>
                <w:i w:val="0"/>
                <w:iCs w:val="0"/>
                <w:color w:val="800080"/>
                <w:sz w:val="16"/>
                <w:szCs w:val="16"/>
                <w:u w:val="single"/>
              </w:rPr>
            </w:pPr>
            <w:r>
              <w:rPr>
                <w:rFonts w:hint="eastAsia" w:ascii="宋体" w:hAnsi="宋体" w:eastAsia="宋体" w:cs="宋体"/>
                <w:i w:val="0"/>
                <w:iCs w:val="0"/>
                <w:color w:val="000000"/>
                <w:kern w:val="2"/>
                <w:sz w:val="16"/>
                <w:szCs w:val="16"/>
                <w:u w:val="none"/>
                <w:lang w:val="en-US" w:eastAsia="zh-CN" w:bidi="ar-SA"/>
              </w:rPr>
              <w:t>10、接口：标配USB、以太网， 支持选配蓝牙和WIFI。</w:t>
            </w:r>
          </w:p>
        </w:tc>
        <w:tc>
          <w:tcPr>
            <w:tcW w:w="1174" w:type="dxa"/>
            <w:tcBorders>
              <w:top w:val="single" w:color="auto" w:sz="4" w:space="0"/>
              <w:left w:val="single" w:color="000000" w:sz="4" w:space="0"/>
              <w:bottom w:val="single" w:color="auto" w:sz="4" w:space="0"/>
              <w:right w:val="single" w:color="000000" w:sz="4" w:space="0"/>
            </w:tcBorders>
            <w:shd w:val="clear" w:color="auto" w:fill="auto"/>
            <w:vAlign w:val="center"/>
          </w:tcPr>
          <w:p w14:paraId="23FCDF82">
            <w:pPr>
              <w:keepNext w:val="0"/>
              <w:keepLines w:val="0"/>
              <w:widowControl/>
              <w:suppressLineNumbers w:val="0"/>
              <w:jc w:val="left"/>
              <w:textAlignment w:val="top"/>
              <w:rPr>
                <w:rFonts w:hint="eastAsia" w:ascii="宋体" w:hAnsi="宋体" w:eastAsia="宋体" w:cs="宋体"/>
                <w:i w:val="0"/>
                <w:iCs w:val="0"/>
                <w:color w:val="000000"/>
                <w:kern w:val="2"/>
                <w:sz w:val="16"/>
                <w:szCs w:val="16"/>
                <w:u w:val="none"/>
                <w:lang w:val="en-US" w:eastAsia="zh-CN" w:bidi="ar-SA"/>
              </w:rPr>
            </w:pPr>
          </w:p>
        </w:tc>
        <w:tc>
          <w:tcPr>
            <w:tcW w:w="1320" w:type="dxa"/>
            <w:tcBorders>
              <w:top w:val="single" w:color="auto" w:sz="4" w:space="0"/>
              <w:left w:val="single" w:color="000000" w:sz="4" w:space="0"/>
              <w:bottom w:val="single" w:color="auto" w:sz="4" w:space="0"/>
              <w:right w:val="single" w:color="000000" w:sz="4" w:space="0"/>
            </w:tcBorders>
            <w:shd w:val="clear" w:color="auto" w:fill="auto"/>
            <w:vAlign w:val="center"/>
          </w:tcPr>
          <w:p w14:paraId="39A900B0">
            <w:pPr>
              <w:jc w:val="center"/>
              <w:rPr>
                <w:rFonts w:hint="eastAsia" w:ascii="宋体" w:hAnsi="宋体" w:eastAsia="宋体" w:cs="宋体"/>
                <w:i w:val="0"/>
                <w:iCs w:val="0"/>
                <w:color w:val="800080"/>
                <w:sz w:val="16"/>
                <w:szCs w:val="16"/>
                <w:u w:val="single"/>
              </w:rPr>
            </w:pPr>
          </w:p>
        </w:tc>
      </w:tr>
      <w:tr w14:paraId="6AC61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jc w:val="center"/>
        </w:trPr>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F7CF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BA4E4">
            <w:pPr>
              <w:keepNext w:val="0"/>
              <w:keepLines w:val="0"/>
              <w:widowControl/>
              <w:suppressLineNumbers w:val="0"/>
              <w:jc w:val="center"/>
              <w:textAlignment w:val="center"/>
              <w:rPr>
                <w:rFonts w:hint="eastAsia" w:ascii="宋体" w:hAnsi="宋体" w:eastAsia="宋体" w:cs="宋体"/>
                <w:i w:val="0"/>
                <w:iCs w:val="0"/>
                <w:color w:val="auto"/>
                <w:sz w:val="16"/>
                <w:szCs w:val="16"/>
                <w:u w:val="none"/>
              </w:rPr>
            </w:pPr>
            <w:r>
              <w:rPr>
                <w:rFonts w:hint="eastAsia" w:ascii="宋体" w:hAnsi="宋体" w:eastAsia="宋体" w:cs="宋体"/>
                <w:i w:val="0"/>
                <w:iCs w:val="0"/>
                <w:color w:val="auto"/>
                <w:kern w:val="0"/>
                <w:sz w:val="16"/>
                <w:szCs w:val="16"/>
                <w:u w:val="none"/>
                <w:lang w:val="en-US" w:eastAsia="zh-CN" w:bidi="ar"/>
              </w:rPr>
              <w:t>针式打印机</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9AA9E">
            <w:pPr>
              <w:keepNext w:val="0"/>
              <w:keepLines w:val="0"/>
              <w:widowControl/>
              <w:suppressLineNumbers w:val="0"/>
              <w:jc w:val="center"/>
              <w:textAlignment w:val="center"/>
              <w:rPr>
                <w:rFonts w:hint="eastAsia" w:ascii="宋体" w:hAnsi="宋体" w:eastAsia="宋体" w:cs="宋体"/>
                <w:i w:val="0"/>
                <w:iCs w:val="0"/>
                <w:color w:val="auto"/>
                <w:sz w:val="16"/>
                <w:szCs w:val="16"/>
                <w:u w:val="none"/>
              </w:rPr>
            </w:pPr>
            <w:r>
              <w:rPr>
                <w:rFonts w:hint="eastAsia" w:ascii="宋体" w:hAnsi="宋体" w:eastAsia="宋体" w:cs="宋体"/>
                <w:i w:val="0"/>
                <w:iCs w:val="0"/>
                <w:color w:val="auto"/>
                <w:kern w:val="0"/>
                <w:sz w:val="16"/>
                <w:szCs w:val="16"/>
                <w:u w:val="none"/>
                <w:lang w:val="en-US" w:eastAsia="zh-CN" w:bidi="ar"/>
              </w:rPr>
              <w:t>台</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0BE4F">
            <w:pPr>
              <w:keepNext w:val="0"/>
              <w:keepLines w:val="0"/>
              <w:widowControl/>
              <w:suppressLineNumbers w:val="0"/>
              <w:jc w:val="center"/>
              <w:textAlignment w:val="center"/>
              <w:rPr>
                <w:rFonts w:hint="default" w:ascii="宋体" w:hAnsi="宋体" w:eastAsia="宋体" w:cs="宋体"/>
                <w:i w:val="0"/>
                <w:iCs w:val="0"/>
                <w:color w:val="auto"/>
                <w:sz w:val="16"/>
                <w:szCs w:val="16"/>
                <w:u w:val="none"/>
                <w:lang w:val="en-US"/>
              </w:rPr>
            </w:pPr>
            <w:r>
              <w:rPr>
                <w:rFonts w:hint="eastAsia" w:ascii="宋体" w:hAnsi="宋体" w:eastAsia="宋体" w:cs="宋体"/>
                <w:i w:val="0"/>
                <w:iCs w:val="0"/>
                <w:color w:val="auto"/>
                <w:kern w:val="0"/>
                <w:sz w:val="16"/>
                <w:szCs w:val="16"/>
                <w:u w:val="none"/>
                <w:lang w:val="en-US" w:eastAsia="zh-CN" w:bidi="ar"/>
              </w:rPr>
              <w:t>14</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7C76C">
            <w:pPr>
              <w:jc w:val="center"/>
              <w:rPr>
                <w:rFonts w:hint="eastAsia" w:ascii="宋体" w:hAnsi="宋体" w:eastAsia="宋体" w:cs="宋体"/>
                <w:i w:val="0"/>
                <w:iCs w:val="0"/>
                <w:color w:val="000000"/>
                <w:sz w:val="16"/>
                <w:szCs w:val="16"/>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EC213">
            <w:pPr>
              <w:jc w:val="center"/>
              <w:rPr>
                <w:rFonts w:hint="eastAsia" w:ascii="宋体" w:hAnsi="宋体" w:eastAsia="宋体" w:cs="宋体"/>
                <w:i w:val="0"/>
                <w:iCs w:val="0"/>
                <w:color w:val="000000"/>
                <w:sz w:val="16"/>
                <w:szCs w:val="16"/>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8C32A">
            <w:pPr>
              <w:jc w:val="center"/>
              <w:rPr>
                <w:rFonts w:hint="eastAsia" w:ascii="宋体" w:hAnsi="宋体" w:eastAsia="宋体" w:cs="宋体"/>
                <w:i w:val="0"/>
                <w:iCs w:val="0"/>
                <w:color w:val="000000"/>
                <w:sz w:val="16"/>
                <w:szCs w:val="16"/>
                <w:u w:val="none"/>
              </w:rPr>
            </w:pPr>
          </w:p>
        </w:tc>
        <w:tc>
          <w:tcPr>
            <w:tcW w:w="3659" w:type="dxa"/>
            <w:tcBorders>
              <w:top w:val="single" w:color="auto" w:sz="4" w:space="0"/>
              <w:left w:val="single" w:color="000000" w:sz="4" w:space="0"/>
              <w:bottom w:val="single" w:color="000000" w:sz="4" w:space="0"/>
              <w:right w:val="single" w:color="000000" w:sz="4" w:space="0"/>
            </w:tcBorders>
            <w:shd w:val="clear" w:color="auto" w:fill="auto"/>
            <w:vAlign w:val="top"/>
          </w:tcPr>
          <w:p w14:paraId="25CA9279">
            <w:pPr>
              <w:keepNext w:val="0"/>
              <w:keepLines w:val="0"/>
              <w:widowControl/>
              <w:suppressLineNumbers w:val="0"/>
              <w:jc w:val="left"/>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1、产品类型：票据针式打印机（平推式），前后进纸；</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2、打印方式：点阵击打式；</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3、打印方向：双向逻辑查找；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4、打印宽度：82列；</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5、打印针数：24针；打印针径：0.22mm；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6、中文打印速度：≥200汉字/秒；可靠性：4亿次/针；色带寿命：≥1000万字符；</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7、复写能力：7份（1份原件+6份拷贝）；缓冲区：128KB；</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8、行间距：1/6英寸，1/8英寸或以1/360英寸的增量进行设置；</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9、接口类型：USB2.0，WIFI，网口，蓝牙；</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10、支持统信、麒麟等国产系统；支持云打印功能。</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D661C">
            <w:pPr>
              <w:keepNext w:val="0"/>
              <w:keepLines w:val="0"/>
              <w:widowControl/>
              <w:suppressLineNumbers w:val="0"/>
              <w:jc w:val="left"/>
              <w:textAlignment w:val="top"/>
              <w:rPr>
                <w:rFonts w:hint="eastAsia" w:ascii="宋体" w:hAnsi="宋体" w:eastAsia="宋体" w:cs="宋体"/>
                <w:i w:val="0"/>
                <w:iCs w:val="0"/>
                <w:color w:val="000000"/>
                <w:kern w:val="0"/>
                <w:sz w:val="16"/>
                <w:szCs w:val="16"/>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2EBB1">
            <w:pPr>
              <w:jc w:val="center"/>
              <w:rPr>
                <w:rFonts w:hint="eastAsia" w:ascii="宋体" w:hAnsi="宋体" w:eastAsia="宋体" w:cs="宋体"/>
                <w:i w:val="0"/>
                <w:iCs w:val="0"/>
                <w:color w:val="0000FF"/>
                <w:sz w:val="16"/>
                <w:szCs w:val="16"/>
                <w:u w:val="single"/>
              </w:rPr>
            </w:pPr>
          </w:p>
        </w:tc>
      </w:tr>
      <w:tr w14:paraId="21EC8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jc w:val="center"/>
        </w:trPr>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A8B4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13</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792D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打印复印一体机</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1408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台</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760B6">
            <w:pPr>
              <w:keepNext w:val="0"/>
              <w:keepLines w:val="0"/>
              <w:widowControl/>
              <w:suppressLineNumbers w:val="0"/>
              <w:jc w:val="center"/>
              <w:textAlignment w:val="center"/>
              <w:rPr>
                <w:rFonts w:hint="eastAsia" w:ascii="宋体" w:hAnsi="宋体" w:eastAsia="宋体" w:cs="宋体"/>
                <w:i w:val="0"/>
                <w:iCs w:val="0"/>
                <w:color w:val="000000"/>
                <w:sz w:val="16"/>
                <w:szCs w:val="16"/>
                <w:u w:val="none"/>
                <w:lang w:val="en-US" w:eastAsia="zh-CN"/>
              </w:rPr>
            </w:pPr>
            <w:r>
              <w:rPr>
                <w:rFonts w:hint="eastAsia" w:ascii="宋体" w:hAnsi="宋体" w:eastAsia="宋体" w:cs="宋体"/>
                <w:i w:val="0"/>
                <w:iCs w:val="0"/>
                <w:color w:val="000000"/>
                <w:sz w:val="16"/>
                <w:szCs w:val="16"/>
                <w:u w:val="none"/>
                <w:lang w:val="en-US" w:eastAsia="zh-CN"/>
              </w:rPr>
              <w:t>6</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98BCE">
            <w:pPr>
              <w:jc w:val="center"/>
              <w:rPr>
                <w:rFonts w:hint="eastAsia" w:ascii="宋体" w:hAnsi="宋体" w:eastAsia="宋体" w:cs="宋体"/>
                <w:i w:val="0"/>
                <w:iCs w:val="0"/>
                <w:color w:val="000000"/>
                <w:sz w:val="16"/>
                <w:szCs w:val="16"/>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5B88A">
            <w:pPr>
              <w:jc w:val="center"/>
              <w:rPr>
                <w:rFonts w:hint="eastAsia" w:ascii="宋体" w:hAnsi="宋体" w:eastAsia="宋体" w:cs="宋体"/>
                <w:i w:val="0"/>
                <w:iCs w:val="0"/>
                <w:color w:val="000000"/>
                <w:sz w:val="16"/>
                <w:szCs w:val="16"/>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F7C5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3659" w:type="dxa"/>
            <w:tcBorders>
              <w:top w:val="single" w:color="000000" w:sz="4" w:space="0"/>
              <w:left w:val="single" w:color="000000" w:sz="4" w:space="0"/>
              <w:bottom w:val="nil"/>
              <w:right w:val="single" w:color="000000" w:sz="4" w:space="0"/>
            </w:tcBorders>
            <w:shd w:val="clear" w:color="auto" w:fill="auto"/>
            <w:vAlign w:val="top"/>
          </w:tcPr>
          <w:p w14:paraId="51D51261">
            <w:pPr>
              <w:keepNext w:val="0"/>
              <w:keepLines w:val="0"/>
              <w:widowControl/>
              <w:suppressLineNumbers w:val="0"/>
              <w:jc w:val="left"/>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1、A4黑白激光打印、复印、扫描一体机；</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2、首页输出时间：不高于5秒；</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3、A4打印速度：30页/分钟，自动双面打印速度15面/分钟；</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4、内存：不少于250MB，处理器：600 MHz；</w:t>
            </w:r>
            <w:bookmarkStart w:id="30" w:name="_GoBack"/>
            <w:bookmarkEnd w:id="30"/>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5、复印速度：30 份/分钟 (A4)；扫描速度：普通 (A4)：20面/分钟（黑白），7面/分钟（彩色）；</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6、耗材：硒鼓寿命不少于1万页，大容量粉盒不少于3000页；</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7、标配打印语言和字体：PCL6、GDI，32种可缩放字体（包括OCR-A/OCR-B）/1位图；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8、打印分辨率：1200x1200dpi；双面打印：自动；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9、接口：1个高速 USB2.0、以太网；</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10、进纸盒：250页进纸盒+1页优先直通纸路（支持350g厚纸）；</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11、支持介质：普通纸、厚纸、薄纸、棉质纸、彩色纸、预印纸、再生纸、标签、卡片纸、证券纸、档案纸、加厚纸；安全管理：安全引导， 代码签名， IPPS、 IPsec、 IP 过滤， 端口禁用；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12、噪音控制：声功率: 6.8 B（A）（单面A4打印速度为30页/分钟）声压:53dB（A）（单面 A4打印速度为30 页/分钟）。</w:t>
            </w:r>
          </w:p>
        </w:tc>
        <w:tc>
          <w:tcPr>
            <w:tcW w:w="1174" w:type="dxa"/>
            <w:tcBorders>
              <w:top w:val="single" w:color="000000" w:sz="4" w:space="0"/>
              <w:left w:val="single" w:color="000000" w:sz="4" w:space="0"/>
              <w:bottom w:val="nil"/>
              <w:right w:val="single" w:color="000000" w:sz="4" w:space="0"/>
            </w:tcBorders>
            <w:shd w:val="clear" w:color="auto" w:fill="auto"/>
            <w:vAlign w:val="center"/>
          </w:tcPr>
          <w:p w14:paraId="136B2DC5">
            <w:pPr>
              <w:keepNext w:val="0"/>
              <w:keepLines w:val="0"/>
              <w:widowControl/>
              <w:suppressLineNumbers w:val="0"/>
              <w:jc w:val="left"/>
              <w:textAlignment w:val="top"/>
              <w:rPr>
                <w:rFonts w:hint="eastAsia" w:ascii="宋体" w:hAnsi="宋体" w:eastAsia="宋体" w:cs="宋体"/>
                <w:i w:val="0"/>
                <w:iCs w:val="0"/>
                <w:color w:val="000000"/>
                <w:kern w:val="0"/>
                <w:sz w:val="16"/>
                <w:szCs w:val="16"/>
                <w:u w:val="none"/>
                <w:lang w:val="en-US" w:eastAsia="zh-CN" w:bidi="ar"/>
              </w:rPr>
            </w:pPr>
          </w:p>
        </w:tc>
        <w:tc>
          <w:tcPr>
            <w:tcW w:w="1320" w:type="dxa"/>
            <w:tcBorders>
              <w:top w:val="single" w:color="000000" w:sz="4" w:space="0"/>
              <w:left w:val="single" w:color="000000" w:sz="4" w:space="0"/>
              <w:bottom w:val="nil"/>
              <w:right w:val="single" w:color="000000" w:sz="4" w:space="0"/>
            </w:tcBorders>
            <w:shd w:val="clear" w:color="auto" w:fill="auto"/>
            <w:vAlign w:val="center"/>
          </w:tcPr>
          <w:p w14:paraId="3D3670D8">
            <w:pPr>
              <w:jc w:val="center"/>
              <w:rPr>
                <w:rFonts w:hint="eastAsia" w:ascii="宋体" w:hAnsi="宋体" w:eastAsia="宋体" w:cs="宋体"/>
                <w:i w:val="0"/>
                <w:iCs w:val="0"/>
                <w:color w:val="800080"/>
                <w:sz w:val="16"/>
                <w:szCs w:val="16"/>
                <w:u w:val="single"/>
              </w:rPr>
            </w:pPr>
          </w:p>
        </w:tc>
      </w:tr>
      <w:tr w14:paraId="501AE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jc w:val="center"/>
        </w:trPr>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6DB8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14</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2E55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台式电脑</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3008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台</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0AF0D">
            <w:pPr>
              <w:keepNext w:val="0"/>
              <w:keepLines w:val="0"/>
              <w:widowControl/>
              <w:suppressLineNumbers w:val="0"/>
              <w:jc w:val="center"/>
              <w:textAlignment w:val="center"/>
              <w:rPr>
                <w:rFonts w:hint="default" w:ascii="宋体" w:hAnsi="宋体" w:eastAsia="宋体" w:cs="宋体"/>
                <w:i w:val="0"/>
                <w:iCs w:val="0"/>
                <w:color w:val="000000"/>
                <w:sz w:val="16"/>
                <w:szCs w:val="16"/>
                <w:u w:val="none"/>
                <w:lang w:val="en-US" w:eastAsia="zh-CN"/>
              </w:rPr>
            </w:pPr>
            <w:r>
              <w:rPr>
                <w:rFonts w:hint="eastAsia" w:ascii="宋体" w:hAnsi="宋体" w:eastAsia="宋体" w:cs="宋体"/>
                <w:i w:val="0"/>
                <w:iCs w:val="0"/>
                <w:color w:val="000000"/>
                <w:sz w:val="16"/>
                <w:szCs w:val="16"/>
                <w:u w:val="none"/>
                <w:lang w:val="en-US" w:eastAsia="zh-CN"/>
              </w:rPr>
              <w:t>29</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FFAAA">
            <w:pPr>
              <w:jc w:val="center"/>
              <w:rPr>
                <w:rFonts w:hint="eastAsia" w:ascii="宋体" w:hAnsi="宋体" w:eastAsia="宋体" w:cs="宋体"/>
                <w:i w:val="0"/>
                <w:iCs w:val="0"/>
                <w:color w:val="000000"/>
                <w:sz w:val="16"/>
                <w:szCs w:val="16"/>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2BA7D">
            <w:pPr>
              <w:jc w:val="center"/>
              <w:rPr>
                <w:rFonts w:hint="eastAsia" w:ascii="宋体" w:hAnsi="宋体" w:eastAsia="宋体" w:cs="宋体"/>
                <w:i w:val="0"/>
                <w:iCs w:val="0"/>
                <w:color w:val="000000"/>
                <w:sz w:val="16"/>
                <w:szCs w:val="16"/>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65FB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3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18E26">
            <w:pPr>
              <w:keepNext w:val="0"/>
              <w:keepLines w:val="0"/>
              <w:widowControl/>
              <w:suppressLineNumbers w:val="0"/>
              <w:jc w:val="left"/>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★1、处理器：≥14核20线程处理器，基础主频≥2.5GHz，最高睿频频率≥4.8Ghz，三级缓存≥24MB；</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★2、主板：≥770系列芯片组、集成10/100/1000M GbE有线网卡、集成可信平台模块（TPM）2.0、音频扩展模块等，支持的CPU包含第十二代、第十三代和十四代I3、I5、I7系列、主板支持的内存型号DDR4内存以及≥2个内存插槽；板载及接口≥1个SATA接口、≥2个M.2接口、≥1个PCI、≥1个PCIe x1、≥1个PCIex16；</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★3、内存：≥8GB DDR4-3200，≥2个内存插槽，系统最大支持64GB；</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★4、硬盘：≥512GB M2 PCIe NVMe SSD+1TB SATA硬盘；</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★5、显卡：集成显卡；</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★6、鼠标键盘：USB有线键盘鼠标；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★7、外部接口规格：USB 接口≥10个（满足前置6个USB，至少包含1个Type-C，可根据安全要求进行USB端口屏蔽）；≥1个HDMI 接口，≥1个DP接口；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★8、电源：≥350W电源；与主机同品牌，具备电源管理系统和方法的技术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★9、机箱设计:免工具开启机箱，机箱容量≥15L，内置音响；</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★10、操作系统：原厂预装正版Windows操作系统，自带安全计算机系统更新技术，提供官方发布的产品彩页或技术白皮书等有效证明材料复印件并加盖投标人公章；</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▲11、应用软件：</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出厂预装BIOS版还原卡，支持系统自动还原、同时支持GPT分区和MBR分区、自动修改IP和计算机名、硬盘保护、网络同传、增量拷贝、断点续传、远程唤醒、远程重启、远程锁定、远程关机、千兆网络传输速度最大可以达到10GB/分钟或以上（百兆网络平均传输速度2.5GB/分钟）、支持多硬盘、可以从底层控制U盘和光驱等设备的使用；支持加密传输（提供加密传输功能截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随机预装终端电脑管理系统软件，可实现：1-硬件主要参数检测；优化加速；2-系统垃圾清理；3-病毒查杀；4-原厂驱动更新；5-网络测速；网络诊断，6-自动识别品牌型号，自动识别序列号，自动识别保修开始至截止信息（提供1-6项功能截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★12、为保障机器运行的稳定性，要求投标机型通过MTBF (M1)≥120万小时测试。</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★13、显示器：≥23.8英寸液晶显示器，分辨率：≥1920x1080；接口：≥1个VGA、1个HDMI；对比度4000：1；100Hz；</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▲14、显示器带有独立的密码保护功能（可防盗）（提供功能截图）；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★15、保修服务：3年保修及上门服务；</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16、除以上技术参数与性能指标外，供应商所投台式计算机产品还应满足《财政部、工业和信息化部关于印发&lt;台式计算机政府采购需求标准（2023年版）&gt;的通知》（财库〔2023〕29号）的附件“台式计算机政府采购需求标准（2023年版）”中全部加“*”指标要求，在响应文件中进行承诺响应，承诺函格式自拟。</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7592C">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D110F">
            <w:pPr>
              <w:jc w:val="left"/>
              <w:rPr>
                <w:rFonts w:hint="eastAsia" w:ascii="宋体" w:hAnsi="宋体" w:eastAsia="宋体" w:cs="宋体"/>
                <w:i w:val="0"/>
                <w:iCs w:val="0"/>
                <w:color w:val="000000"/>
                <w:sz w:val="16"/>
                <w:szCs w:val="16"/>
                <w:u w:val="none"/>
              </w:rPr>
            </w:pPr>
          </w:p>
        </w:tc>
      </w:tr>
      <w:tr w14:paraId="6803B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jc w:val="center"/>
        </w:trPr>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1BF3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15</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98D6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一体机电脑</w:t>
            </w:r>
          </w:p>
        </w:tc>
        <w:tc>
          <w:tcPr>
            <w:tcW w:w="840" w:type="dxa"/>
            <w:tcBorders>
              <w:top w:val="single" w:color="000000" w:sz="4" w:space="0"/>
              <w:left w:val="single" w:color="000000" w:sz="4" w:space="0"/>
              <w:bottom w:val="nil"/>
              <w:right w:val="single" w:color="000000" w:sz="4" w:space="0"/>
            </w:tcBorders>
            <w:shd w:val="clear" w:color="auto" w:fill="auto"/>
            <w:noWrap/>
            <w:vAlign w:val="center"/>
          </w:tcPr>
          <w:p w14:paraId="6EB7295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台</w:t>
            </w:r>
          </w:p>
        </w:tc>
        <w:tc>
          <w:tcPr>
            <w:tcW w:w="720" w:type="dxa"/>
            <w:tcBorders>
              <w:top w:val="single" w:color="000000" w:sz="4" w:space="0"/>
              <w:left w:val="single" w:color="000000" w:sz="4" w:space="0"/>
              <w:bottom w:val="nil"/>
              <w:right w:val="single" w:color="000000" w:sz="4" w:space="0"/>
            </w:tcBorders>
            <w:shd w:val="clear" w:color="auto" w:fill="auto"/>
            <w:noWrap/>
            <w:vAlign w:val="center"/>
          </w:tcPr>
          <w:p w14:paraId="10AC3A4B">
            <w:pPr>
              <w:keepNext w:val="0"/>
              <w:keepLines w:val="0"/>
              <w:widowControl/>
              <w:suppressLineNumbers w:val="0"/>
              <w:jc w:val="center"/>
              <w:textAlignment w:val="center"/>
              <w:rPr>
                <w:rFonts w:hint="default" w:ascii="宋体" w:hAnsi="宋体" w:eastAsia="宋体" w:cs="宋体"/>
                <w:i w:val="0"/>
                <w:iCs w:val="0"/>
                <w:color w:val="000000"/>
                <w:sz w:val="16"/>
                <w:szCs w:val="16"/>
                <w:u w:val="none"/>
                <w:lang w:val="en-US" w:eastAsia="zh-CN"/>
              </w:rPr>
            </w:pPr>
            <w:r>
              <w:rPr>
                <w:rFonts w:hint="eastAsia" w:ascii="宋体" w:hAnsi="宋体" w:eastAsia="宋体" w:cs="宋体"/>
                <w:i w:val="0"/>
                <w:iCs w:val="0"/>
                <w:color w:val="000000"/>
                <w:sz w:val="16"/>
                <w:szCs w:val="16"/>
                <w:u w:val="none"/>
                <w:lang w:val="en-US" w:eastAsia="zh-CN"/>
              </w:rPr>
              <w:t>78</w:t>
            </w:r>
          </w:p>
        </w:tc>
        <w:tc>
          <w:tcPr>
            <w:tcW w:w="1155" w:type="dxa"/>
            <w:tcBorders>
              <w:top w:val="single" w:color="000000" w:sz="4" w:space="0"/>
              <w:left w:val="single" w:color="000000" w:sz="4" w:space="0"/>
              <w:bottom w:val="nil"/>
              <w:right w:val="single" w:color="000000" w:sz="4" w:space="0"/>
            </w:tcBorders>
            <w:shd w:val="clear" w:color="auto" w:fill="auto"/>
            <w:vAlign w:val="center"/>
          </w:tcPr>
          <w:p w14:paraId="43123E24">
            <w:pPr>
              <w:jc w:val="center"/>
              <w:rPr>
                <w:rFonts w:hint="eastAsia" w:ascii="宋体" w:hAnsi="宋体" w:eastAsia="宋体" w:cs="宋体"/>
                <w:i w:val="0"/>
                <w:iCs w:val="0"/>
                <w:color w:val="000000"/>
                <w:sz w:val="16"/>
                <w:szCs w:val="16"/>
                <w:u w:val="none"/>
              </w:rPr>
            </w:pPr>
          </w:p>
        </w:tc>
        <w:tc>
          <w:tcPr>
            <w:tcW w:w="1125" w:type="dxa"/>
            <w:tcBorders>
              <w:top w:val="single" w:color="000000" w:sz="4" w:space="0"/>
              <w:left w:val="single" w:color="000000" w:sz="4" w:space="0"/>
              <w:bottom w:val="nil"/>
              <w:right w:val="single" w:color="000000" w:sz="4" w:space="0"/>
            </w:tcBorders>
            <w:shd w:val="clear" w:color="auto" w:fill="auto"/>
            <w:vAlign w:val="center"/>
          </w:tcPr>
          <w:p w14:paraId="70A10630">
            <w:pPr>
              <w:jc w:val="center"/>
              <w:rPr>
                <w:rFonts w:hint="eastAsia" w:ascii="宋体" w:hAnsi="宋体" w:eastAsia="宋体" w:cs="宋体"/>
                <w:i w:val="0"/>
                <w:iCs w:val="0"/>
                <w:color w:val="000000"/>
                <w:sz w:val="16"/>
                <w:szCs w:val="16"/>
                <w:u w:val="none"/>
              </w:rPr>
            </w:pPr>
          </w:p>
        </w:tc>
        <w:tc>
          <w:tcPr>
            <w:tcW w:w="1140" w:type="dxa"/>
            <w:tcBorders>
              <w:top w:val="single" w:color="000000" w:sz="4" w:space="0"/>
              <w:left w:val="single" w:color="000000" w:sz="4" w:space="0"/>
              <w:bottom w:val="nil"/>
              <w:right w:val="single" w:color="000000" w:sz="4" w:space="0"/>
            </w:tcBorders>
            <w:shd w:val="clear" w:color="auto" w:fill="auto"/>
            <w:vAlign w:val="center"/>
          </w:tcPr>
          <w:p w14:paraId="4D976DCB">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p>
        </w:tc>
        <w:tc>
          <w:tcPr>
            <w:tcW w:w="3659" w:type="dxa"/>
            <w:tcBorders>
              <w:top w:val="nil"/>
              <w:left w:val="single" w:color="000000" w:sz="4" w:space="0"/>
              <w:bottom w:val="nil"/>
              <w:right w:val="single" w:color="000000" w:sz="4" w:space="0"/>
            </w:tcBorders>
            <w:shd w:val="clear" w:color="auto" w:fill="auto"/>
            <w:vAlign w:val="center"/>
          </w:tcPr>
          <w:p w14:paraId="02B67F16">
            <w:pPr>
              <w:keepNext w:val="0"/>
              <w:keepLines w:val="0"/>
              <w:widowControl/>
              <w:suppressLineNumbers w:val="0"/>
              <w:jc w:val="left"/>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★1.处理器：≥十四核二十线程处理器，基础主频≥2.5GHz，最高睿频频率≥4.8Ghz，三级缓存≥24M；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★2.主板芯片：≥Q670芯片组、集成10/100/1000M GbE有线网卡、集成可信平台模块（TPM）2.0、音频扩展模块等，支持的CPU包含第十二代、第十三代和十四代I3、I5、I7系列；</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★3.内存：≥8G DDR4-3200 MHz内存，≥2根内存插槽，最大支持64G；</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★4.硬盘：≥512GB M.2 PCIE SSD硬盘；</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★5.摄像头/音箱：≥720P隐藏上拉式高清摄像头，配置数字阵列麦克风，双立体声音箱；</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★6.屏幕：≥23.8寸广视角全高清FHD液晶显示屏(分辨率≥1920x1080)，具备TUV低蓝光护眼功能，提供官方发布的产品彩页或技术白皮书等有效证明材料复印件并加盖投标人公章；</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★7.USB有线键盘鼠标；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★8.外部端口：≥6个USB接口（至少包含1个USB Type-C端口），≥1个RJ-45，≥1个HDMI，≥1个DP接口；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★9.电源：≥150W节能电源；</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★10.系统：原厂预装正版Windows操作系统，自带安全计算机系统更新技术，提供官方发布的产品彩页或技术白皮书等有效证明材料复印件并加盖投标人公章；</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★11.稳定性：为保障机器运行的稳定性，要求投标机型通过MTBF (M1)≥120万小时测试；</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12.配套计算机管理系统软件，可实现：（1）硬件主要参数检测；（2）系统垃圾清理；（3）病毒查杀；（4）原厂驱动更新；（5）网络测速；网络诊断；（6）自动识别品牌型号，自动识别序列号，自动识别保修开始至截止信息；（提供1-6项功能截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13.网络同传：出厂自带BIOS版还原卡，支持系统自动还原、同时支持GPT分区和MBR分区、自动修改IP和计算机名、硬盘保护、网络同传、增量拷贝、断点续传、远程唤醒、远程重启、远程锁定、远程关机、千兆网络传输速度最大可以达到10GB/分钟或以上（百兆网络平均传输速度2.5GB/分钟或以上）、支持多硬盘、可以从底层控制U盘和光驱等设备的使用；支持数据传输加密功能（提供加密传输功能截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★14.保修服务：3年保修及上门服务；</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15.除以上技术参数与性能指标外，供应商所投一体式计算机还应满足《财政部、工业和信息化部关于印发&lt;一体式计算机政府采购需求标准（2023年版）&gt;的通知》（财库〔2023〕31号）的附件“一体式计算机政府采购需求标准（2023年版）”中全部加“*”指标要求，在响应文件中进行承诺响应，承诺函格式自拟。</w:t>
            </w:r>
          </w:p>
        </w:tc>
        <w:tc>
          <w:tcPr>
            <w:tcW w:w="1174" w:type="dxa"/>
            <w:tcBorders>
              <w:top w:val="nil"/>
              <w:left w:val="single" w:color="000000" w:sz="4" w:space="0"/>
              <w:bottom w:val="nil"/>
              <w:right w:val="single" w:color="000000" w:sz="4" w:space="0"/>
            </w:tcBorders>
            <w:shd w:val="clear" w:color="auto" w:fill="auto"/>
            <w:vAlign w:val="center"/>
          </w:tcPr>
          <w:p w14:paraId="4C24D4BD">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c>
          <w:tcPr>
            <w:tcW w:w="1320" w:type="dxa"/>
            <w:tcBorders>
              <w:top w:val="nil"/>
              <w:left w:val="single" w:color="000000" w:sz="4" w:space="0"/>
              <w:bottom w:val="nil"/>
              <w:right w:val="single" w:color="000000" w:sz="4" w:space="0"/>
            </w:tcBorders>
            <w:shd w:val="clear" w:color="auto" w:fill="auto"/>
            <w:vAlign w:val="center"/>
          </w:tcPr>
          <w:p w14:paraId="01E670C7">
            <w:pPr>
              <w:jc w:val="center"/>
              <w:rPr>
                <w:rFonts w:hint="eastAsia" w:ascii="宋体" w:hAnsi="宋体" w:eastAsia="宋体" w:cs="宋体"/>
                <w:i w:val="0"/>
                <w:iCs w:val="0"/>
                <w:color w:val="000000"/>
                <w:sz w:val="16"/>
                <w:szCs w:val="16"/>
                <w:u w:val="none"/>
              </w:rPr>
            </w:pPr>
          </w:p>
        </w:tc>
      </w:tr>
      <w:tr w14:paraId="6C96F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80" w:hRule="atLeast"/>
          <w:jc w:val="center"/>
        </w:trPr>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34EE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16</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838D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笔记本电脑</w:t>
            </w:r>
          </w:p>
          <w:p w14:paraId="0B25A1A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（含1台网络安全工作站2）</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A223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台</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E323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628F2">
            <w:pPr>
              <w:jc w:val="center"/>
              <w:rPr>
                <w:rFonts w:hint="eastAsia" w:ascii="宋体" w:hAnsi="宋体" w:eastAsia="宋体" w:cs="宋体"/>
                <w:i w:val="0"/>
                <w:iCs w:val="0"/>
                <w:color w:val="000000"/>
                <w:sz w:val="16"/>
                <w:szCs w:val="16"/>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72017">
            <w:pPr>
              <w:jc w:val="center"/>
              <w:rPr>
                <w:rFonts w:hint="eastAsia" w:ascii="宋体" w:hAnsi="宋体" w:eastAsia="宋体" w:cs="宋体"/>
                <w:i w:val="0"/>
                <w:iCs w:val="0"/>
                <w:color w:val="000000"/>
                <w:sz w:val="16"/>
                <w:szCs w:val="16"/>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66C74">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p>
        </w:tc>
        <w:tc>
          <w:tcPr>
            <w:tcW w:w="3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6528B">
            <w:pPr>
              <w:keepNext w:val="0"/>
              <w:keepLines w:val="0"/>
              <w:widowControl/>
              <w:suppressLineNumbers w:val="0"/>
              <w:jc w:val="left"/>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★1、处理器：≥10核12线程处理器，三级缓存≥12MB，最高睿频4.5GHz；</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★2、内存：≥8 GB DDR4 -3200MHz内存；≥2个独立内存插槽；≥2个插槽都支持客户自行拆卸/升级，支持双通道内存，单根内存最大支持≥32GB；</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★3、硬盘：≥512GB M2 PCIe NVMe固态硬盘，标配硬盘防篡改锁，避免他人随意更换硬盘，导致数据丢失；</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★4、显卡：集成显卡；</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5、网卡：主板集成≥1个RJ-45 1000M网口，支持Wi-Fi6E (802.11ax 2x2）+ BT 无线网卡；</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6、包鼠：原装同品牌USB无线鼠标，手提电脑包；</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★7、外部端口：≥2个USB Type-A端口；≥2个USB Type-C端口（≥40Gbps）；≥1个耳机/麦克风组合插孔；≥1个RJ-45网络接口；≥1个HDMI接口；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8、摄像头：≥720P高清网络摄像头，具备物理防窥或电子开关功能；</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9、输入设备：防泼溅键盘、可支持多级节背光调节，高精度一体式触摸板，配置指纹识别模块；</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▲10、电池：≥3芯51Whr长寿命电池锂电池，支持USB快充技术，30分钟可充电至50%，（提供产品彩页或技术白皮书等有效证明材料并加盖投标人公章）；</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★11、屏幕：≥14英寸全高清IPS屏幕，宽高比16：9，分辨率≥1920*1080，具备优化显示器寿命技术，提供产品彩页或技术白皮书等有效证明材料并加盖投标人公章；</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★12、外壳：金属材质；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★13、重量：≤1.45kg；</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★14、操作系统：预装正版Windows操作系统；</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15、为方便管理，需配置终端管理软件，可实现：1、硬件主要参数检测；优化加速；2、系统垃圾清理；3、病毒查杀；4、原厂驱动更新；5、网络测速；网络诊断，6、自动识别品牌型号，自动识别序列号，自动识别保修开始至截止信息（提供1-6项功能截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★16、整机可靠性要求：MTBF（平均无故障运行时间）测试，MTBF（M1）≥110万小时；</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17、除以上技术参数与性能指标外，供应商所投便携式计算机还应满足《财政部、工业和信息化部关于印发&lt;便携式计算机政府采购需求标准（2023年版）&gt;的通知》（财库〔2023〕30号）的附件“便携式计算机政府采购需求标准（2023年版）”中全部加“*”指标要求，在响应文件中进行承诺响应。</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72508">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C8858">
            <w:pPr>
              <w:jc w:val="center"/>
              <w:rPr>
                <w:rFonts w:hint="eastAsia" w:ascii="宋体" w:hAnsi="宋体" w:eastAsia="宋体" w:cs="宋体"/>
                <w:i w:val="0"/>
                <w:iCs w:val="0"/>
                <w:color w:val="000000"/>
                <w:sz w:val="16"/>
                <w:szCs w:val="16"/>
                <w:u w:val="none"/>
              </w:rPr>
            </w:pPr>
          </w:p>
        </w:tc>
      </w:tr>
      <w:tr w14:paraId="32FEE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88" w:hRule="atLeast"/>
          <w:jc w:val="center"/>
        </w:trPr>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18DA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17</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665A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网络安全管理工作站</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EE0A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台</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422D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B44EE">
            <w:pPr>
              <w:jc w:val="center"/>
              <w:rPr>
                <w:rFonts w:hint="eastAsia" w:ascii="宋体" w:hAnsi="宋体" w:eastAsia="宋体" w:cs="宋体"/>
                <w:i w:val="0"/>
                <w:iCs w:val="0"/>
                <w:color w:val="000000"/>
                <w:sz w:val="16"/>
                <w:szCs w:val="16"/>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A856A">
            <w:pPr>
              <w:jc w:val="center"/>
              <w:rPr>
                <w:rFonts w:hint="eastAsia" w:ascii="宋体" w:hAnsi="宋体" w:eastAsia="宋体" w:cs="宋体"/>
                <w:i w:val="0"/>
                <w:iCs w:val="0"/>
                <w:color w:val="000000"/>
                <w:sz w:val="16"/>
                <w:szCs w:val="16"/>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CCA5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3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92F4B">
            <w:pPr>
              <w:jc w:val="left"/>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1、CPU处理器：≥16核，≥16线程，睿频≥5.1GHz，三级缓存≥24MB；</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2、内存：≥32GB DDR5 5600MHz，双通道，可扩展至64GB及以上；</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3、固态硬盘：≥1TB PCIe 4.0 NVMe M.2接口，顺序读取≥7000MB/s，支持双硬盘扩展；</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4、屏幕：≥14英寸，分辨率≥1920*1200，IPS广视角，防眩光，亮度≥400尼特，≥100% sRGB；</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5、显卡：‌执行单元（EU）数量≥128 个，最大动态频率≥‌2.25 GHz；支持特性‌：DirectX 12.1/OpenGL 4.6/AV1、H.264、H.265;最大分辨率7680×4320@ 60Hz；</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6、系统：预装正版Window操作软件；</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7、其他要求：≥4个USB接口（≥2个 Thunderbolt 4 端口），带高清摄像头，带指纹识别，无线鼠                                              ★8、除以上技术参数与性能指标外，供应商所投台式计算机产品还应满足《财政部、工业和信息化部关于印发&lt;工作站政府采购需求标准（2023年版）&gt;的通知》（财库〔2023〕29号）的附件“工作站政府采购需求标准（2023年版）”中全部加“*”指标要求，在响应文件中进行承诺响应，承诺函格式自拟。</w:t>
            </w:r>
          </w:p>
        </w:tc>
        <w:tc>
          <w:tcPr>
            <w:tcW w:w="11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9A00C">
            <w:pPr>
              <w:jc w:val="left"/>
              <w:rPr>
                <w:rFonts w:hint="eastAsia" w:ascii="宋体" w:hAnsi="宋体" w:eastAsia="宋体" w:cs="宋体"/>
                <w:i w:val="0"/>
                <w:iCs w:val="0"/>
                <w:color w:val="000000"/>
                <w:kern w:val="0"/>
                <w:sz w:val="16"/>
                <w:szCs w:val="16"/>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5E171">
            <w:pPr>
              <w:jc w:val="center"/>
              <w:rPr>
                <w:rFonts w:hint="eastAsia" w:ascii="宋体" w:hAnsi="宋体" w:eastAsia="宋体" w:cs="宋体"/>
                <w:i w:val="0"/>
                <w:iCs w:val="0"/>
                <w:color w:val="000000"/>
                <w:sz w:val="16"/>
                <w:szCs w:val="16"/>
                <w:u w:val="none"/>
              </w:rPr>
            </w:pPr>
          </w:p>
        </w:tc>
      </w:tr>
    </w:tbl>
    <w:p w14:paraId="0695D3DD">
      <w:pPr>
        <w:rPr>
          <w:rFonts w:hint="eastAsia"/>
          <w:b/>
          <w:lang w:val="en-US" w:eastAsia="zh-CN"/>
        </w:rPr>
      </w:pPr>
    </w:p>
    <w:p w14:paraId="4CDAFD68">
      <w:pPr>
        <w:pStyle w:val="2"/>
        <w:rPr>
          <w:rFonts w:hint="default"/>
          <w:lang w:val="en-US" w:eastAsia="zh-CN"/>
        </w:rPr>
      </w:pPr>
    </w:p>
    <w:p w14:paraId="53C0CF4F">
      <w:pPr>
        <w:rPr>
          <w:rFonts w:hint="default"/>
          <w:lang w:val="en-US" w:eastAsia="zh-CN"/>
        </w:rPr>
      </w:pPr>
      <w:r>
        <w:rPr>
          <w:rFonts w:hint="eastAsia"/>
          <w:lang w:val="en-US" w:eastAsia="zh-CN"/>
        </w:rPr>
        <w:t>以上所有设备质保期均为：三年</w:t>
      </w:r>
    </w:p>
    <w:p w14:paraId="53F74B74">
      <w:pPr>
        <w:pStyle w:val="2"/>
        <w:rPr>
          <w:rFonts w:hint="default"/>
          <w:lang w:val="en-US" w:eastAsia="zh-CN"/>
        </w:rPr>
        <w:sectPr>
          <w:pgSz w:w="16838" w:h="11906" w:orient="landscape"/>
          <w:pgMar w:top="1134" w:right="1134" w:bottom="567" w:left="1134" w:header="851" w:footer="992" w:gutter="0"/>
          <w:cols w:space="425" w:num="1"/>
          <w:docGrid w:type="lines" w:linePitch="312" w:charSpace="0"/>
        </w:sectPr>
      </w:pPr>
    </w:p>
    <w:p w14:paraId="3C103739">
      <w:pPr>
        <w:pStyle w:val="3"/>
        <w:spacing w:before="100" w:after="100"/>
        <w:jc w:val="both"/>
        <w:rPr>
          <w:rFonts w:hint="eastAsia"/>
        </w:rPr>
      </w:pPr>
      <w:bookmarkStart w:id="26" w:name="_Toc22814"/>
      <w:r>
        <w:rPr>
          <w:rFonts w:hint="eastAsia"/>
          <w:b/>
          <w:lang w:val="en-US" w:eastAsia="zh-CN"/>
        </w:rPr>
        <w:t>4.2服务要求及</w:t>
      </w:r>
      <w:r>
        <w:rPr>
          <w:rFonts w:hint="eastAsia"/>
        </w:rPr>
        <w:t>报价表包含内容</w:t>
      </w:r>
      <w:bookmarkEnd w:id="26"/>
    </w:p>
    <w:p w14:paraId="2A2638E8">
      <w:pPr>
        <w:pStyle w:val="2"/>
        <w:ind w:firstLine="560"/>
        <w:rPr>
          <w:rFonts w:ascii="仿宋" w:hAnsi="仿宋" w:eastAsia="仿宋" w:cs="仿宋"/>
          <w:color w:val="0000FF"/>
          <w:kern w:val="2"/>
        </w:rPr>
      </w:pPr>
      <w:r>
        <w:rPr>
          <w:rFonts w:hint="eastAsia" w:ascii="仿宋" w:hAnsi="仿宋" w:eastAsia="仿宋" w:cs="仿宋"/>
          <w:color w:val="0000FF"/>
          <w:kern w:val="2"/>
        </w:rPr>
        <w:t>1.报价包含项目实施所涉及的软件及配套硬件、成本、费用和税金，</w:t>
      </w:r>
      <w:r>
        <w:rPr>
          <w:rFonts w:hint="eastAsia" w:ascii="仿宋" w:hAnsi="仿宋" w:eastAsia="仿宋" w:cs="仿宋"/>
          <w:color w:val="0000FF"/>
          <w:kern w:val="2"/>
          <w:lang w:val="en-US" w:eastAsia="zh-CN"/>
        </w:rPr>
        <w:t>其中供应商提报的价格包含所有硬件设备的综合布线辅材费用及安装调试人工费用</w:t>
      </w:r>
      <w:r>
        <w:rPr>
          <w:rFonts w:hint="eastAsia" w:ascii="仿宋" w:hAnsi="仿宋" w:eastAsia="仿宋" w:cs="仿宋"/>
          <w:color w:val="0000FF"/>
          <w:kern w:val="2"/>
        </w:rPr>
        <w:t>。</w:t>
      </w:r>
    </w:p>
    <w:p w14:paraId="7D70C772">
      <w:pPr>
        <w:pStyle w:val="2"/>
        <w:ind w:firstLine="560"/>
        <w:rPr>
          <w:rFonts w:ascii="仿宋" w:hAnsi="仿宋" w:eastAsia="仿宋" w:cs="仿宋"/>
          <w:color w:val="0000FF"/>
          <w:kern w:val="2"/>
        </w:rPr>
      </w:pPr>
      <w:r>
        <w:rPr>
          <w:rFonts w:hint="eastAsia" w:ascii="仿宋" w:hAnsi="仿宋" w:eastAsia="仿宋" w:cs="仿宋"/>
          <w:color w:val="0000FF"/>
          <w:kern w:val="2"/>
        </w:rPr>
        <w:t>2.建设</w:t>
      </w:r>
      <w:r>
        <w:rPr>
          <w:rFonts w:hint="eastAsia" w:ascii="仿宋" w:hAnsi="仿宋" w:eastAsia="仿宋" w:cs="仿宋"/>
          <w:color w:val="0000FF"/>
          <w:kern w:val="2"/>
          <w:lang w:val="en-US" w:eastAsia="zh-CN"/>
        </w:rPr>
        <w:t>实施期间签订安全施工协议</w:t>
      </w:r>
      <w:r>
        <w:rPr>
          <w:rFonts w:hint="eastAsia" w:ascii="仿宋" w:hAnsi="仿宋" w:eastAsia="仿宋" w:cs="仿宋"/>
          <w:color w:val="0000FF"/>
          <w:kern w:val="2"/>
        </w:rPr>
        <w:t>。</w:t>
      </w:r>
    </w:p>
    <w:p w14:paraId="02D4F53E">
      <w:pPr>
        <w:pStyle w:val="2"/>
        <w:ind w:firstLine="560"/>
        <w:rPr>
          <w:rFonts w:hint="eastAsia" w:ascii="仿宋" w:hAnsi="仿宋" w:eastAsia="仿宋" w:cs="仿宋"/>
          <w:color w:val="0000FF"/>
          <w:kern w:val="2"/>
          <w:lang w:eastAsia="zh-CN"/>
        </w:rPr>
      </w:pPr>
      <w:r>
        <w:rPr>
          <w:rFonts w:hint="eastAsia" w:ascii="仿宋" w:hAnsi="仿宋" w:eastAsia="仿宋" w:cs="仿宋"/>
          <w:color w:val="0000FF"/>
          <w:kern w:val="2"/>
        </w:rPr>
        <w:t>3.验收合格之日起提供不少于3年的免费质保期，质保期内免费上门服务，质保期内提供免费的软件升级</w:t>
      </w:r>
      <w:r>
        <w:rPr>
          <w:rFonts w:hint="eastAsia" w:ascii="仿宋" w:hAnsi="仿宋" w:eastAsia="仿宋" w:cs="仿宋"/>
          <w:color w:val="0000FF"/>
          <w:kern w:val="2"/>
          <w:lang w:eastAsia="zh-CN"/>
        </w:rPr>
        <w:t>。</w:t>
      </w:r>
    </w:p>
    <w:p w14:paraId="409963D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both"/>
        <w:textAlignment w:val="center"/>
        <w:rPr>
          <w:rFonts w:ascii="Calibri" w:hAnsi="Calibri" w:cs="Calibri"/>
          <w:i w:val="0"/>
          <w:iCs w:val="0"/>
          <w:caps w:val="0"/>
          <w:color w:val="555555"/>
          <w:spacing w:val="0"/>
          <w:sz w:val="21"/>
          <w:szCs w:val="21"/>
        </w:rPr>
      </w:pPr>
      <w:r>
        <w:rPr>
          <w:rFonts w:hint="eastAsia"/>
          <w:lang w:val="en-US" w:eastAsia="zh-CN"/>
        </w:rPr>
        <w:t xml:space="preserve"> </w:t>
      </w:r>
      <w:r>
        <w:rPr>
          <w:rFonts w:ascii="方正黑体简体" w:hAnsi="方正黑体简体" w:eastAsia="方正黑体简体" w:cs="方正黑体简体"/>
          <w:i w:val="0"/>
          <w:iCs w:val="0"/>
          <w:caps w:val="0"/>
          <w:color w:val="000000"/>
          <w:spacing w:val="0"/>
          <w:sz w:val="28"/>
          <w:szCs w:val="28"/>
          <w:shd w:val="clear" w:fill="FFFFFF"/>
        </w:rPr>
        <w:t>其他说明</w:t>
      </w:r>
    </w:p>
    <w:p w14:paraId="21FAC3F4">
      <w:pPr>
        <w:pStyle w:val="2"/>
        <w:ind w:firstLine="560"/>
        <w:rPr>
          <w:rFonts w:hint="eastAsia" w:ascii="仿宋" w:hAnsi="仿宋" w:eastAsia="仿宋" w:cs="仿宋"/>
          <w:color w:val="0000FF"/>
          <w:kern w:val="2"/>
        </w:rPr>
      </w:pPr>
      <w:r>
        <w:rPr>
          <w:rFonts w:hint="eastAsia" w:ascii="仿宋" w:hAnsi="仿宋" w:eastAsia="仿宋" w:cs="仿宋"/>
          <w:color w:val="0000FF"/>
          <w:kern w:val="2"/>
        </w:rPr>
        <w:t>1.本次公开市场调研内容因市场了解的局限性，仅作为医院市场调研参考使用，我院有权使用所征集技术指标中的相关内容，不作为正式采购依据，无任何针对性，如有不全之处，敬请理解，并请供应商详实介绍推荐产品，本项目最终配置和技术参数以采购时为准。对未公告配置及技术性能的，请供应商自行提供。</w:t>
      </w:r>
    </w:p>
    <w:p w14:paraId="35623EEC">
      <w:pPr>
        <w:pStyle w:val="2"/>
        <w:ind w:firstLine="560"/>
        <w:rPr>
          <w:rFonts w:hint="eastAsia" w:ascii="仿宋" w:hAnsi="仿宋" w:eastAsia="仿宋" w:cs="仿宋"/>
          <w:color w:val="0000FF"/>
          <w:kern w:val="2"/>
        </w:rPr>
      </w:pPr>
      <w:r>
        <w:rPr>
          <w:rFonts w:hint="eastAsia" w:ascii="仿宋" w:hAnsi="仿宋" w:eastAsia="仿宋" w:cs="仿宋"/>
          <w:color w:val="0000FF"/>
          <w:kern w:val="2"/>
        </w:rPr>
        <w:t>2.本次市场调研需提供项目参考价格和配置清单，配置清单范围包括但不限于本公告所提供的配置需求内容，各供应商可依据本公司提供的具体方案对配置清单进行合理调整。所谓参考价格是指按照与我院项目相似或体量相当的建设方案计算的参考价格。</w:t>
      </w:r>
    </w:p>
    <w:p w14:paraId="18DD3D7E">
      <w:pPr>
        <w:pStyle w:val="3"/>
        <w:keepNext/>
        <w:keepLines/>
        <w:pageBreakBefore w:val="0"/>
        <w:widowControl w:val="0"/>
        <w:kinsoku/>
        <w:wordWrap/>
        <w:overflowPunct/>
        <w:topLinePunct w:val="0"/>
        <w:autoSpaceDE/>
        <w:autoSpaceDN/>
        <w:bidi w:val="0"/>
        <w:adjustRightInd/>
        <w:snapToGrid/>
        <w:spacing w:before="100" w:after="100"/>
        <w:jc w:val="both"/>
        <w:textAlignment w:val="auto"/>
        <w:rPr>
          <w:rFonts w:hint="eastAsia"/>
          <w:lang w:val="en-US" w:eastAsia="zh-CN"/>
        </w:rPr>
      </w:pPr>
      <w:bookmarkStart w:id="27" w:name="_Toc2513"/>
      <w:r>
        <w:rPr>
          <w:rFonts w:hint="eastAsia"/>
          <w:lang w:val="en-US" w:eastAsia="zh-CN"/>
        </w:rPr>
        <w:t>五、同类项目案例</w:t>
      </w:r>
      <w:bookmarkEnd w:id="27"/>
    </w:p>
    <w:tbl>
      <w:tblPr>
        <w:tblStyle w:val="11"/>
        <w:tblpPr w:leftFromText="180" w:rightFromText="180" w:vertAnchor="text" w:horzAnchor="page" w:tblpXSpec="center" w:tblpY="285"/>
        <w:tblOverlap w:val="never"/>
        <w:tblW w:w="0" w:type="auto"/>
        <w:jc w:val="center"/>
        <w:tblBorders>
          <w:top w:val="single" w:color="000000" w:sz="4" w:space="0"/>
          <w:left w:val="none" w:color="auto" w:sz="4" w:space="0"/>
          <w:bottom w:val="none" w:color="auto" w:sz="4" w:space="0"/>
          <w:right w:val="none" w:color="auto" w:sz="4" w:space="0"/>
          <w:insideH w:val="none" w:color="auto" w:sz="4" w:space="0"/>
          <w:insideV w:val="none" w:color="auto" w:sz="4" w:space="0"/>
        </w:tblBorders>
        <w:tblLayout w:type="fixed"/>
        <w:tblCellMar>
          <w:top w:w="0" w:type="dxa"/>
          <w:left w:w="108" w:type="dxa"/>
          <w:bottom w:w="0" w:type="dxa"/>
          <w:right w:w="108" w:type="dxa"/>
        </w:tblCellMar>
      </w:tblPr>
      <w:tblGrid>
        <w:gridCol w:w="808"/>
        <w:gridCol w:w="2421"/>
        <w:gridCol w:w="1710"/>
        <w:gridCol w:w="1350"/>
        <w:gridCol w:w="1425"/>
        <w:gridCol w:w="1410"/>
      </w:tblGrid>
      <w:tr w14:paraId="2A846463">
        <w:tblPrEx>
          <w:tblBorders>
            <w:top w:val="single" w:color="000000"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652" w:hRule="exact"/>
          <w:jc w:val="center"/>
        </w:trPr>
        <w:tc>
          <w:tcPr>
            <w:tcW w:w="808" w:type="dxa"/>
            <w:tcBorders>
              <w:left w:val="single" w:color="000000" w:sz="4" w:space="0"/>
              <w:bottom w:val="single" w:color="000000" w:sz="4" w:space="0"/>
              <w:right w:val="single" w:color="000000" w:sz="4" w:space="0"/>
            </w:tcBorders>
            <w:noWrap w:val="0"/>
            <w:vAlign w:val="center"/>
          </w:tcPr>
          <w:p w14:paraId="7A042C2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val="0"/>
                <w:color w:val="000000"/>
                <w:kern w:val="2"/>
                <w:sz w:val="24"/>
                <w:szCs w:val="24"/>
                <w:lang w:val="en-US" w:eastAsia="zh-CN" w:bidi="ar-SA"/>
              </w:rPr>
            </w:pPr>
            <w:r>
              <w:rPr>
                <w:rFonts w:hint="eastAsia" w:ascii="仿宋" w:hAnsi="仿宋" w:eastAsia="仿宋" w:cs="仿宋"/>
                <w:b w:val="0"/>
                <w:color w:val="000000"/>
                <w:kern w:val="2"/>
                <w:sz w:val="24"/>
                <w:szCs w:val="24"/>
                <w:lang w:val="en-US" w:eastAsia="zh-CN" w:bidi="ar-SA"/>
              </w:rPr>
              <w:t>序号</w:t>
            </w:r>
          </w:p>
        </w:tc>
        <w:tc>
          <w:tcPr>
            <w:tcW w:w="2421" w:type="dxa"/>
            <w:tcBorders>
              <w:left w:val="single" w:color="000000" w:sz="4" w:space="0"/>
              <w:bottom w:val="single" w:color="000000" w:sz="4" w:space="0"/>
              <w:right w:val="single" w:color="000000" w:sz="4" w:space="0"/>
            </w:tcBorders>
            <w:noWrap w:val="0"/>
            <w:vAlign w:val="center"/>
          </w:tcPr>
          <w:p w14:paraId="15B06E4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b w:val="0"/>
                <w:color w:val="000000"/>
                <w:kern w:val="2"/>
                <w:sz w:val="24"/>
                <w:szCs w:val="24"/>
                <w:lang w:val="en-US" w:eastAsia="zh-CN" w:bidi="ar-SA"/>
              </w:rPr>
            </w:pPr>
            <w:r>
              <w:rPr>
                <w:rFonts w:hint="eastAsia" w:ascii="仿宋" w:hAnsi="仿宋" w:eastAsia="仿宋" w:cs="仿宋"/>
                <w:b w:val="0"/>
                <w:color w:val="000000"/>
                <w:kern w:val="2"/>
                <w:sz w:val="24"/>
                <w:szCs w:val="24"/>
                <w:lang w:val="en-US" w:eastAsia="zh-CN" w:bidi="ar-SA"/>
              </w:rPr>
              <w:t>用户单位</w:t>
            </w:r>
          </w:p>
        </w:tc>
        <w:tc>
          <w:tcPr>
            <w:tcW w:w="1710" w:type="dxa"/>
            <w:tcBorders>
              <w:left w:val="single" w:color="000000" w:sz="4" w:space="0"/>
              <w:bottom w:val="single" w:color="000000" w:sz="4" w:space="0"/>
              <w:right w:val="single" w:color="000000" w:sz="4" w:space="0"/>
            </w:tcBorders>
            <w:noWrap w:val="0"/>
            <w:vAlign w:val="center"/>
          </w:tcPr>
          <w:p w14:paraId="6120057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b w:val="0"/>
                <w:color w:val="000000"/>
                <w:kern w:val="2"/>
                <w:sz w:val="24"/>
                <w:szCs w:val="24"/>
                <w:lang w:val="en-US" w:eastAsia="zh-CN" w:bidi="ar-SA"/>
              </w:rPr>
            </w:pPr>
            <w:r>
              <w:rPr>
                <w:rFonts w:hint="eastAsia" w:ascii="仿宋" w:hAnsi="仿宋" w:eastAsia="仿宋" w:cs="仿宋"/>
                <w:b w:val="0"/>
                <w:color w:val="000000"/>
                <w:kern w:val="2"/>
                <w:sz w:val="24"/>
                <w:szCs w:val="24"/>
                <w:lang w:val="en-US" w:eastAsia="zh-CN" w:bidi="ar-SA"/>
              </w:rPr>
              <w:t>项目名称</w:t>
            </w:r>
          </w:p>
        </w:tc>
        <w:tc>
          <w:tcPr>
            <w:tcW w:w="1350" w:type="dxa"/>
            <w:tcBorders>
              <w:left w:val="single" w:color="000000" w:sz="4" w:space="0"/>
              <w:bottom w:val="single" w:color="000000" w:sz="4" w:space="0"/>
              <w:right w:val="single" w:color="000000" w:sz="4" w:space="0"/>
            </w:tcBorders>
            <w:noWrap w:val="0"/>
            <w:vAlign w:val="center"/>
          </w:tcPr>
          <w:p w14:paraId="49C4A6D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val="0"/>
                <w:color w:val="000000"/>
                <w:kern w:val="2"/>
                <w:sz w:val="24"/>
                <w:szCs w:val="24"/>
                <w:lang w:val="en-US" w:eastAsia="zh-CN" w:bidi="ar-SA"/>
              </w:rPr>
            </w:pPr>
            <w:r>
              <w:rPr>
                <w:rFonts w:hint="eastAsia" w:ascii="仿宋" w:hAnsi="仿宋" w:eastAsia="仿宋" w:cs="仿宋"/>
                <w:b w:val="0"/>
                <w:color w:val="000000"/>
                <w:kern w:val="2"/>
                <w:sz w:val="24"/>
                <w:szCs w:val="24"/>
                <w:lang w:val="en-US" w:eastAsia="zh-CN" w:bidi="ar-SA"/>
              </w:rPr>
              <w:t>合同金额</w:t>
            </w:r>
          </w:p>
        </w:tc>
        <w:tc>
          <w:tcPr>
            <w:tcW w:w="1425" w:type="dxa"/>
            <w:tcBorders>
              <w:left w:val="single" w:color="000000" w:sz="4" w:space="0"/>
              <w:bottom w:val="single" w:color="000000" w:sz="4" w:space="0"/>
              <w:right w:val="single" w:color="000000" w:sz="4" w:space="0"/>
            </w:tcBorders>
            <w:noWrap w:val="0"/>
            <w:vAlign w:val="center"/>
          </w:tcPr>
          <w:p w14:paraId="4476139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val="0"/>
                <w:color w:val="000000"/>
                <w:kern w:val="2"/>
                <w:sz w:val="24"/>
                <w:szCs w:val="24"/>
                <w:lang w:val="en-US" w:eastAsia="zh-CN" w:bidi="ar-SA"/>
              </w:rPr>
            </w:pPr>
            <w:r>
              <w:rPr>
                <w:rFonts w:hint="eastAsia" w:ascii="仿宋" w:hAnsi="仿宋" w:eastAsia="仿宋" w:cs="仿宋"/>
                <w:b w:val="0"/>
                <w:color w:val="000000"/>
                <w:kern w:val="2"/>
                <w:sz w:val="24"/>
                <w:szCs w:val="24"/>
                <w:lang w:val="en-US" w:eastAsia="zh-CN" w:bidi="ar-SA"/>
              </w:rPr>
              <w:t>实施年份</w:t>
            </w:r>
          </w:p>
        </w:tc>
        <w:tc>
          <w:tcPr>
            <w:tcW w:w="1410" w:type="dxa"/>
            <w:tcBorders>
              <w:left w:val="single" w:color="000000" w:sz="4" w:space="0"/>
              <w:bottom w:val="single" w:color="000000" w:sz="4" w:space="0"/>
              <w:right w:val="single" w:color="auto" w:sz="4" w:space="0"/>
            </w:tcBorders>
            <w:noWrap w:val="0"/>
            <w:vAlign w:val="center"/>
          </w:tcPr>
          <w:p w14:paraId="7F3C62D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val="0"/>
                <w:color w:val="000000"/>
                <w:kern w:val="2"/>
                <w:sz w:val="24"/>
                <w:szCs w:val="24"/>
                <w:lang w:val="en-US" w:eastAsia="zh-CN" w:bidi="ar-SA"/>
              </w:rPr>
            </w:pPr>
            <w:r>
              <w:rPr>
                <w:rFonts w:hint="eastAsia" w:ascii="仿宋" w:hAnsi="仿宋" w:eastAsia="仿宋" w:cs="仿宋"/>
                <w:b w:val="0"/>
                <w:color w:val="000000"/>
                <w:kern w:val="2"/>
                <w:sz w:val="24"/>
                <w:szCs w:val="24"/>
                <w:lang w:val="en-US" w:eastAsia="zh-CN" w:bidi="ar-SA"/>
              </w:rPr>
              <w:t>验收时间</w:t>
            </w:r>
          </w:p>
        </w:tc>
      </w:tr>
      <w:tr w14:paraId="3C76D484">
        <w:tblPrEx>
          <w:tblBorders>
            <w:top w:val="single" w:color="000000"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587" w:hRule="exact"/>
          <w:jc w:val="center"/>
        </w:trPr>
        <w:tc>
          <w:tcPr>
            <w:tcW w:w="808" w:type="dxa"/>
            <w:tcBorders>
              <w:top w:val="single" w:color="000000" w:sz="4" w:space="0"/>
              <w:left w:val="single" w:color="000000" w:sz="4" w:space="0"/>
              <w:bottom w:val="single" w:color="000000" w:sz="4" w:space="0"/>
              <w:right w:val="single" w:color="000000" w:sz="4" w:space="0"/>
            </w:tcBorders>
            <w:noWrap w:val="0"/>
            <w:vAlign w:val="center"/>
          </w:tcPr>
          <w:p w14:paraId="6CBC2CD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val="0"/>
                <w:color w:val="000000"/>
                <w:kern w:val="2"/>
                <w:sz w:val="24"/>
                <w:szCs w:val="24"/>
                <w:lang w:val="en-US" w:eastAsia="zh-CN" w:bidi="ar-SA"/>
              </w:rPr>
            </w:pPr>
            <w:r>
              <w:rPr>
                <w:rFonts w:hint="eastAsia" w:ascii="仿宋" w:hAnsi="仿宋" w:eastAsia="仿宋" w:cs="仿宋"/>
                <w:b w:val="0"/>
                <w:color w:val="000000"/>
                <w:kern w:val="2"/>
                <w:sz w:val="24"/>
                <w:szCs w:val="24"/>
                <w:lang w:val="en-US" w:eastAsia="zh-CN" w:bidi="ar-SA"/>
              </w:rPr>
              <w:t>1</w:t>
            </w:r>
          </w:p>
        </w:tc>
        <w:tc>
          <w:tcPr>
            <w:tcW w:w="2421" w:type="dxa"/>
            <w:tcBorders>
              <w:top w:val="single" w:color="000000" w:sz="4" w:space="0"/>
              <w:left w:val="single" w:color="000000" w:sz="4" w:space="0"/>
              <w:bottom w:val="single" w:color="000000" w:sz="4" w:space="0"/>
              <w:right w:val="single" w:color="000000" w:sz="4" w:space="0"/>
            </w:tcBorders>
            <w:noWrap w:val="0"/>
            <w:vAlign w:val="center"/>
          </w:tcPr>
          <w:p w14:paraId="2ED8073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val="0"/>
                <w:color w:val="000000"/>
                <w:kern w:val="2"/>
                <w:sz w:val="24"/>
                <w:szCs w:val="24"/>
                <w:lang w:val="en-US" w:eastAsia="zh-CN" w:bidi="ar-SA"/>
              </w:rPr>
            </w:pPr>
          </w:p>
        </w:tc>
        <w:tc>
          <w:tcPr>
            <w:tcW w:w="1710" w:type="dxa"/>
            <w:tcBorders>
              <w:top w:val="single" w:color="000000" w:sz="4" w:space="0"/>
              <w:left w:val="single" w:color="000000" w:sz="4" w:space="0"/>
              <w:bottom w:val="single" w:color="000000" w:sz="4" w:space="0"/>
              <w:right w:val="single" w:color="000000" w:sz="4" w:space="0"/>
            </w:tcBorders>
            <w:noWrap w:val="0"/>
            <w:vAlign w:val="center"/>
          </w:tcPr>
          <w:p w14:paraId="0782FDA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val="0"/>
                <w:color w:val="000000"/>
                <w:kern w:val="2"/>
                <w:sz w:val="24"/>
                <w:szCs w:val="24"/>
                <w:lang w:val="en-US" w:eastAsia="zh-CN" w:bidi="ar-SA"/>
              </w:rPr>
            </w:pPr>
          </w:p>
        </w:tc>
        <w:tc>
          <w:tcPr>
            <w:tcW w:w="1350" w:type="dxa"/>
            <w:tcBorders>
              <w:top w:val="single" w:color="000000" w:sz="4" w:space="0"/>
              <w:left w:val="single" w:color="000000" w:sz="4" w:space="0"/>
              <w:bottom w:val="single" w:color="000000" w:sz="4" w:space="0"/>
              <w:right w:val="single" w:color="000000" w:sz="4" w:space="0"/>
            </w:tcBorders>
            <w:noWrap w:val="0"/>
            <w:vAlign w:val="center"/>
          </w:tcPr>
          <w:p w14:paraId="34CCABD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val="0"/>
                <w:color w:val="000000"/>
                <w:kern w:val="2"/>
                <w:sz w:val="24"/>
                <w:szCs w:val="24"/>
                <w:lang w:val="en-US" w:eastAsia="zh-CN" w:bidi="ar-SA"/>
              </w:rPr>
            </w:pP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59F86D0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val="0"/>
                <w:color w:val="000000"/>
                <w:kern w:val="2"/>
                <w:sz w:val="24"/>
                <w:szCs w:val="24"/>
                <w:lang w:val="en-US" w:eastAsia="zh-CN" w:bidi="ar-SA"/>
              </w:rPr>
            </w:pPr>
          </w:p>
        </w:tc>
        <w:tc>
          <w:tcPr>
            <w:tcW w:w="1410" w:type="dxa"/>
            <w:tcBorders>
              <w:top w:val="single" w:color="000000" w:sz="4" w:space="0"/>
              <w:left w:val="single" w:color="000000" w:sz="4" w:space="0"/>
              <w:bottom w:val="single" w:color="000000" w:sz="4" w:space="0"/>
              <w:right w:val="single" w:color="auto" w:sz="4" w:space="0"/>
            </w:tcBorders>
            <w:noWrap w:val="0"/>
            <w:vAlign w:val="center"/>
          </w:tcPr>
          <w:p w14:paraId="51111B5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val="0"/>
                <w:color w:val="000000"/>
                <w:kern w:val="2"/>
                <w:sz w:val="24"/>
                <w:szCs w:val="24"/>
                <w:lang w:val="en-US" w:eastAsia="zh-CN" w:bidi="ar-SA"/>
              </w:rPr>
            </w:pPr>
          </w:p>
        </w:tc>
      </w:tr>
      <w:tr w14:paraId="515CE5A6">
        <w:tblPrEx>
          <w:tblBorders>
            <w:top w:val="single" w:color="000000"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607" w:hRule="exact"/>
          <w:jc w:val="center"/>
        </w:trPr>
        <w:tc>
          <w:tcPr>
            <w:tcW w:w="808" w:type="dxa"/>
            <w:tcBorders>
              <w:top w:val="single" w:color="000000" w:sz="4" w:space="0"/>
              <w:left w:val="single" w:color="000000" w:sz="4" w:space="0"/>
              <w:bottom w:val="single" w:color="000000" w:sz="4" w:space="0"/>
              <w:right w:val="single" w:color="000000" w:sz="4" w:space="0"/>
            </w:tcBorders>
            <w:noWrap w:val="0"/>
            <w:vAlign w:val="center"/>
          </w:tcPr>
          <w:p w14:paraId="3B8C507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val="0"/>
                <w:color w:val="000000"/>
                <w:kern w:val="2"/>
                <w:sz w:val="24"/>
                <w:szCs w:val="24"/>
                <w:lang w:val="en-US" w:eastAsia="zh-CN" w:bidi="ar-SA"/>
              </w:rPr>
            </w:pPr>
            <w:r>
              <w:rPr>
                <w:rFonts w:hint="eastAsia" w:ascii="仿宋" w:hAnsi="仿宋" w:eastAsia="仿宋" w:cs="仿宋"/>
                <w:b w:val="0"/>
                <w:color w:val="000000"/>
                <w:kern w:val="2"/>
                <w:sz w:val="24"/>
                <w:szCs w:val="24"/>
                <w:lang w:val="en-US" w:eastAsia="zh-CN" w:bidi="ar-SA"/>
              </w:rPr>
              <w:t>1</w:t>
            </w:r>
          </w:p>
        </w:tc>
        <w:tc>
          <w:tcPr>
            <w:tcW w:w="2421" w:type="dxa"/>
            <w:tcBorders>
              <w:top w:val="single" w:color="000000" w:sz="4" w:space="0"/>
              <w:left w:val="single" w:color="000000" w:sz="4" w:space="0"/>
              <w:bottom w:val="single" w:color="000000" w:sz="4" w:space="0"/>
              <w:right w:val="single" w:color="000000" w:sz="4" w:space="0"/>
            </w:tcBorders>
            <w:noWrap w:val="0"/>
            <w:vAlign w:val="center"/>
          </w:tcPr>
          <w:p w14:paraId="2EE75EF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val="0"/>
                <w:color w:val="000000"/>
                <w:kern w:val="2"/>
                <w:sz w:val="24"/>
                <w:szCs w:val="24"/>
                <w:lang w:val="en-US" w:eastAsia="zh-CN" w:bidi="ar-SA"/>
              </w:rPr>
            </w:pPr>
          </w:p>
        </w:tc>
        <w:tc>
          <w:tcPr>
            <w:tcW w:w="1710" w:type="dxa"/>
            <w:tcBorders>
              <w:top w:val="single" w:color="000000" w:sz="4" w:space="0"/>
              <w:left w:val="single" w:color="000000" w:sz="4" w:space="0"/>
              <w:bottom w:val="single" w:color="000000" w:sz="4" w:space="0"/>
              <w:right w:val="single" w:color="000000" w:sz="4" w:space="0"/>
            </w:tcBorders>
            <w:noWrap w:val="0"/>
            <w:vAlign w:val="center"/>
          </w:tcPr>
          <w:p w14:paraId="03D5337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val="0"/>
                <w:color w:val="000000"/>
                <w:kern w:val="2"/>
                <w:sz w:val="24"/>
                <w:szCs w:val="24"/>
                <w:lang w:val="en-US" w:eastAsia="zh-CN" w:bidi="ar-SA"/>
              </w:rPr>
            </w:pPr>
          </w:p>
        </w:tc>
        <w:tc>
          <w:tcPr>
            <w:tcW w:w="1350" w:type="dxa"/>
            <w:tcBorders>
              <w:top w:val="single" w:color="000000" w:sz="4" w:space="0"/>
              <w:left w:val="single" w:color="000000" w:sz="4" w:space="0"/>
              <w:bottom w:val="single" w:color="000000" w:sz="4" w:space="0"/>
              <w:right w:val="single" w:color="000000" w:sz="4" w:space="0"/>
            </w:tcBorders>
            <w:noWrap w:val="0"/>
            <w:vAlign w:val="center"/>
          </w:tcPr>
          <w:p w14:paraId="37471A4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val="0"/>
                <w:color w:val="000000"/>
                <w:kern w:val="2"/>
                <w:sz w:val="24"/>
                <w:szCs w:val="24"/>
                <w:lang w:val="en-US" w:eastAsia="zh-CN" w:bidi="ar-SA"/>
              </w:rPr>
            </w:pP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4D6DAF5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val="0"/>
                <w:color w:val="000000"/>
                <w:kern w:val="2"/>
                <w:sz w:val="24"/>
                <w:szCs w:val="24"/>
                <w:lang w:val="en-US" w:eastAsia="zh-CN" w:bidi="ar-SA"/>
              </w:rPr>
            </w:pPr>
          </w:p>
        </w:tc>
        <w:tc>
          <w:tcPr>
            <w:tcW w:w="1410" w:type="dxa"/>
            <w:tcBorders>
              <w:top w:val="single" w:color="000000" w:sz="4" w:space="0"/>
              <w:left w:val="single" w:color="000000" w:sz="4" w:space="0"/>
              <w:bottom w:val="single" w:color="000000" w:sz="4" w:space="0"/>
              <w:right w:val="single" w:color="auto" w:sz="4" w:space="0"/>
            </w:tcBorders>
            <w:noWrap w:val="0"/>
            <w:vAlign w:val="center"/>
          </w:tcPr>
          <w:p w14:paraId="5674BD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val="0"/>
                <w:color w:val="000000"/>
                <w:kern w:val="2"/>
                <w:sz w:val="24"/>
                <w:szCs w:val="24"/>
                <w:lang w:val="en-US" w:eastAsia="zh-CN" w:bidi="ar-SA"/>
              </w:rPr>
            </w:pPr>
          </w:p>
        </w:tc>
      </w:tr>
      <w:tr w14:paraId="7872F2AC">
        <w:tblPrEx>
          <w:tblBorders>
            <w:top w:val="single" w:color="000000"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612" w:hRule="exact"/>
          <w:jc w:val="center"/>
        </w:trPr>
        <w:tc>
          <w:tcPr>
            <w:tcW w:w="808" w:type="dxa"/>
            <w:tcBorders>
              <w:top w:val="single" w:color="000000" w:sz="4" w:space="0"/>
              <w:left w:val="single" w:color="000000" w:sz="4" w:space="0"/>
              <w:bottom w:val="single" w:color="000000" w:sz="4" w:space="0"/>
              <w:right w:val="single" w:color="000000" w:sz="4" w:space="0"/>
            </w:tcBorders>
            <w:noWrap w:val="0"/>
            <w:vAlign w:val="center"/>
          </w:tcPr>
          <w:p w14:paraId="173977E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val="0"/>
                <w:color w:val="000000"/>
                <w:kern w:val="2"/>
                <w:sz w:val="24"/>
                <w:szCs w:val="24"/>
                <w:lang w:val="en-US" w:eastAsia="zh-CN" w:bidi="ar-SA"/>
              </w:rPr>
            </w:pPr>
            <w:r>
              <w:rPr>
                <w:rFonts w:hint="eastAsia" w:ascii="仿宋" w:hAnsi="仿宋" w:eastAsia="仿宋" w:cs="仿宋"/>
                <w:b w:val="0"/>
                <w:color w:val="000000"/>
                <w:kern w:val="2"/>
                <w:sz w:val="24"/>
                <w:szCs w:val="24"/>
                <w:lang w:val="en-US" w:eastAsia="zh-CN" w:bidi="ar-SA"/>
              </w:rPr>
              <w:t>3</w:t>
            </w:r>
          </w:p>
        </w:tc>
        <w:tc>
          <w:tcPr>
            <w:tcW w:w="2421" w:type="dxa"/>
            <w:tcBorders>
              <w:top w:val="single" w:color="000000" w:sz="4" w:space="0"/>
              <w:left w:val="single" w:color="000000" w:sz="4" w:space="0"/>
              <w:bottom w:val="single" w:color="000000" w:sz="4" w:space="0"/>
              <w:right w:val="single" w:color="000000" w:sz="4" w:space="0"/>
            </w:tcBorders>
            <w:noWrap w:val="0"/>
            <w:vAlign w:val="center"/>
          </w:tcPr>
          <w:p w14:paraId="3BE7533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val="0"/>
                <w:color w:val="000000"/>
                <w:kern w:val="2"/>
                <w:sz w:val="24"/>
                <w:szCs w:val="24"/>
                <w:lang w:val="en-US" w:eastAsia="zh-CN" w:bidi="ar-SA"/>
              </w:rPr>
            </w:pPr>
          </w:p>
        </w:tc>
        <w:tc>
          <w:tcPr>
            <w:tcW w:w="1710" w:type="dxa"/>
            <w:tcBorders>
              <w:top w:val="single" w:color="000000" w:sz="4" w:space="0"/>
              <w:left w:val="single" w:color="000000" w:sz="4" w:space="0"/>
              <w:bottom w:val="single" w:color="000000" w:sz="4" w:space="0"/>
              <w:right w:val="single" w:color="000000" w:sz="4" w:space="0"/>
            </w:tcBorders>
            <w:noWrap w:val="0"/>
            <w:vAlign w:val="center"/>
          </w:tcPr>
          <w:p w14:paraId="6B1C244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val="0"/>
                <w:color w:val="000000"/>
                <w:kern w:val="2"/>
                <w:sz w:val="24"/>
                <w:szCs w:val="24"/>
                <w:lang w:val="en-US" w:eastAsia="zh-CN" w:bidi="ar-SA"/>
              </w:rPr>
            </w:pPr>
          </w:p>
        </w:tc>
        <w:tc>
          <w:tcPr>
            <w:tcW w:w="1350" w:type="dxa"/>
            <w:tcBorders>
              <w:top w:val="single" w:color="000000" w:sz="4" w:space="0"/>
              <w:left w:val="single" w:color="000000" w:sz="4" w:space="0"/>
              <w:bottom w:val="single" w:color="000000" w:sz="4" w:space="0"/>
              <w:right w:val="single" w:color="000000" w:sz="4" w:space="0"/>
            </w:tcBorders>
            <w:noWrap w:val="0"/>
            <w:vAlign w:val="center"/>
          </w:tcPr>
          <w:p w14:paraId="575C275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val="0"/>
                <w:color w:val="000000"/>
                <w:kern w:val="2"/>
                <w:sz w:val="24"/>
                <w:szCs w:val="24"/>
                <w:lang w:val="en-US" w:eastAsia="zh-CN" w:bidi="ar-SA"/>
              </w:rPr>
            </w:pP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67B5A76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val="0"/>
                <w:color w:val="000000"/>
                <w:kern w:val="2"/>
                <w:sz w:val="24"/>
                <w:szCs w:val="24"/>
                <w:lang w:val="en-US" w:eastAsia="zh-CN" w:bidi="ar-SA"/>
              </w:rPr>
            </w:pPr>
          </w:p>
        </w:tc>
        <w:tc>
          <w:tcPr>
            <w:tcW w:w="1410" w:type="dxa"/>
            <w:tcBorders>
              <w:top w:val="single" w:color="000000" w:sz="4" w:space="0"/>
              <w:left w:val="single" w:color="000000" w:sz="4" w:space="0"/>
              <w:bottom w:val="single" w:color="000000" w:sz="4" w:space="0"/>
              <w:right w:val="single" w:color="auto" w:sz="4" w:space="0"/>
            </w:tcBorders>
            <w:noWrap w:val="0"/>
            <w:vAlign w:val="center"/>
          </w:tcPr>
          <w:p w14:paraId="421E3AE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val="0"/>
                <w:color w:val="000000"/>
                <w:kern w:val="2"/>
                <w:sz w:val="24"/>
                <w:szCs w:val="24"/>
                <w:lang w:val="en-US" w:eastAsia="zh-CN" w:bidi="ar-SA"/>
              </w:rPr>
            </w:pPr>
          </w:p>
        </w:tc>
      </w:tr>
      <w:tr w14:paraId="657AFF2D">
        <w:tblPrEx>
          <w:tblBorders>
            <w:top w:val="single" w:color="000000"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612" w:hRule="exact"/>
          <w:jc w:val="center"/>
        </w:trPr>
        <w:tc>
          <w:tcPr>
            <w:tcW w:w="808" w:type="dxa"/>
            <w:tcBorders>
              <w:top w:val="single" w:color="000000" w:sz="4" w:space="0"/>
              <w:left w:val="single" w:color="000000" w:sz="4" w:space="0"/>
              <w:bottom w:val="single" w:color="000000" w:sz="4" w:space="0"/>
              <w:right w:val="single" w:color="000000" w:sz="4" w:space="0"/>
            </w:tcBorders>
            <w:noWrap w:val="0"/>
            <w:vAlign w:val="center"/>
          </w:tcPr>
          <w:p w14:paraId="0F0AF65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val="0"/>
                <w:color w:val="000000"/>
                <w:kern w:val="2"/>
                <w:sz w:val="24"/>
                <w:szCs w:val="24"/>
                <w:lang w:val="en-US" w:eastAsia="zh-CN" w:bidi="ar-SA"/>
              </w:rPr>
            </w:pPr>
            <w:r>
              <w:rPr>
                <w:rFonts w:hint="eastAsia" w:ascii="仿宋" w:hAnsi="仿宋" w:eastAsia="仿宋" w:cs="仿宋"/>
                <w:b w:val="0"/>
                <w:color w:val="000000"/>
                <w:kern w:val="2"/>
                <w:sz w:val="24"/>
                <w:szCs w:val="24"/>
                <w:lang w:val="en-US" w:eastAsia="zh-CN" w:bidi="ar-SA"/>
              </w:rPr>
              <w:t>...</w:t>
            </w:r>
          </w:p>
        </w:tc>
        <w:tc>
          <w:tcPr>
            <w:tcW w:w="2421" w:type="dxa"/>
            <w:tcBorders>
              <w:top w:val="single" w:color="000000" w:sz="4" w:space="0"/>
              <w:left w:val="single" w:color="000000" w:sz="4" w:space="0"/>
              <w:bottom w:val="single" w:color="000000" w:sz="4" w:space="0"/>
              <w:right w:val="single" w:color="000000" w:sz="4" w:space="0"/>
            </w:tcBorders>
            <w:noWrap w:val="0"/>
            <w:vAlign w:val="center"/>
          </w:tcPr>
          <w:p w14:paraId="3051C66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val="0"/>
                <w:color w:val="000000"/>
                <w:kern w:val="2"/>
                <w:sz w:val="24"/>
                <w:szCs w:val="24"/>
                <w:lang w:val="en-US" w:eastAsia="zh-CN" w:bidi="ar-SA"/>
              </w:rPr>
            </w:pPr>
          </w:p>
        </w:tc>
        <w:tc>
          <w:tcPr>
            <w:tcW w:w="1710" w:type="dxa"/>
            <w:tcBorders>
              <w:top w:val="single" w:color="000000" w:sz="4" w:space="0"/>
              <w:left w:val="single" w:color="000000" w:sz="4" w:space="0"/>
              <w:bottom w:val="single" w:color="000000" w:sz="4" w:space="0"/>
              <w:right w:val="single" w:color="000000" w:sz="4" w:space="0"/>
            </w:tcBorders>
            <w:noWrap w:val="0"/>
            <w:vAlign w:val="center"/>
          </w:tcPr>
          <w:p w14:paraId="2A0CB4D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val="0"/>
                <w:color w:val="000000"/>
                <w:kern w:val="2"/>
                <w:sz w:val="24"/>
                <w:szCs w:val="24"/>
                <w:lang w:val="en-US" w:eastAsia="zh-CN" w:bidi="ar-SA"/>
              </w:rPr>
            </w:pPr>
          </w:p>
        </w:tc>
        <w:tc>
          <w:tcPr>
            <w:tcW w:w="1350" w:type="dxa"/>
            <w:tcBorders>
              <w:top w:val="single" w:color="000000" w:sz="4" w:space="0"/>
              <w:left w:val="single" w:color="000000" w:sz="4" w:space="0"/>
              <w:bottom w:val="single" w:color="000000" w:sz="4" w:space="0"/>
              <w:right w:val="single" w:color="000000" w:sz="4" w:space="0"/>
            </w:tcBorders>
            <w:noWrap w:val="0"/>
            <w:vAlign w:val="center"/>
          </w:tcPr>
          <w:p w14:paraId="0A6D104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val="0"/>
                <w:color w:val="000000"/>
                <w:kern w:val="2"/>
                <w:sz w:val="24"/>
                <w:szCs w:val="24"/>
                <w:lang w:val="en-US" w:eastAsia="zh-CN" w:bidi="ar-SA"/>
              </w:rPr>
            </w:pP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26D795C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val="0"/>
                <w:color w:val="000000"/>
                <w:kern w:val="2"/>
                <w:sz w:val="24"/>
                <w:szCs w:val="24"/>
                <w:lang w:val="en-US" w:eastAsia="zh-CN" w:bidi="ar-SA"/>
              </w:rPr>
            </w:pPr>
          </w:p>
        </w:tc>
        <w:tc>
          <w:tcPr>
            <w:tcW w:w="1410" w:type="dxa"/>
            <w:tcBorders>
              <w:top w:val="single" w:color="000000" w:sz="4" w:space="0"/>
              <w:left w:val="single" w:color="000000" w:sz="4" w:space="0"/>
              <w:bottom w:val="single" w:color="000000" w:sz="4" w:space="0"/>
              <w:right w:val="single" w:color="auto" w:sz="4" w:space="0"/>
            </w:tcBorders>
            <w:noWrap w:val="0"/>
            <w:vAlign w:val="center"/>
          </w:tcPr>
          <w:p w14:paraId="02E5D7E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val="0"/>
                <w:color w:val="000000"/>
                <w:kern w:val="2"/>
                <w:sz w:val="24"/>
                <w:szCs w:val="24"/>
                <w:lang w:val="en-US" w:eastAsia="zh-CN" w:bidi="ar-SA"/>
              </w:rPr>
            </w:pPr>
          </w:p>
        </w:tc>
      </w:tr>
    </w:tbl>
    <w:p w14:paraId="643454EC">
      <w:pPr>
        <w:pStyle w:val="23"/>
        <w:ind w:firstLine="0" w:firstLineChars="0"/>
        <w:rPr>
          <w:rFonts w:hint="eastAsia" w:ascii="仿宋" w:hAnsi="仿宋" w:eastAsia="仿宋" w:cs="仿宋"/>
          <w:sz w:val="30"/>
          <w:szCs w:val="30"/>
        </w:rPr>
      </w:pPr>
    </w:p>
    <w:p w14:paraId="4337E2B5">
      <w:pPr>
        <w:pStyle w:val="2"/>
        <w:rPr>
          <w:rFonts w:hint="eastAsia" w:ascii="仿宋" w:hAnsi="仿宋" w:eastAsia="仿宋" w:cs="仿宋"/>
          <w:kern w:val="2"/>
          <w:sz w:val="30"/>
          <w:szCs w:val="30"/>
        </w:rPr>
      </w:pPr>
    </w:p>
    <w:p w14:paraId="607BD5F6">
      <w:pPr>
        <w:pStyle w:val="2"/>
        <w:rPr>
          <w:rFonts w:hint="eastAsia" w:ascii="仿宋" w:hAnsi="仿宋" w:eastAsia="仿宋" w:cs="仿宋"/>
          <w:kern w:val="2"/>
          <w:sz w:val="30"/>
          <w:szCs w:val="30"/>
        </w:rPr>
      </w:pPr>
    </w:p>
    <w:p w14:paraId="22586352">
      <w:pPr>
        <w:pStyle w:val="2"/>
        <w:rPr>
          <w:rFonts w:hint="eastAsia" w:ascii="仿宋" w:hAnsi="仿宋" w:eastAsia="仿宋" w:cs="仿宋"/>
          <w:kern w:val="2"/>
          <w:sz w:val="30"/>
          <w:szCs w:val="30"/>
        </w:rPr>
      </w:pPr>
    </w:p>
    <w:p w14:paraId="6CC2E8DE">
      <w:pPr>
        <w:pStyle w:val="2"/>
        <w:rPr>
          <w:rFonts w:hint="eastAsia" w:ascii="仿宋" w:hAnsi="仿宋" w:eastAsia="仿宋" w:cs="仿宋"/>
          <w:kern w:val="2"/>
          <w:sz w:val="30"/>
          <w:szCs w:val="30"/>
        </w:rPr>
      </w:pPr>
    </w:p>
    <w:p w14:paraId="1D180795">
      <w:pPr>
        <w:pStyle w:val="2"/>
        <w:rPr>
          <w:rFonts w:hint="eastAsia" w:ascii="仿宋" w:hAnsi="仿宋" w:eastAsia="仿宋" w:cs="仿宋"/>
          <w:kern w:val="2"/>
          <w:sz w:val="30"/>
          <w:szCs w:val="30"/>
        </w:rPr>
      </w:pPr>
    </w:p>
    <w:p w14:paraId="7A10F7B0">
      <w:pPr>
        <w:rPr>
          <w:rFonts w:hint="eastAsia"/>
          <w:lang w:val="en-US" w:eastAsia="zh-CN"/>
        </w:rPr>
      </w:pPr>
    </w:p>
    <w:p w14:paraId="0796EAF6">
      <w:pPr>
        <w:pStyle w:val="2"/>
        <w:spacing w:line="240" w:lineRule="auto"/>
        <w:rPr>
          <w:rFonts w:hint="eastAsia" w:ascii="仿宋" w:hAnsi="仿宋" w:eastAsia="仿宋" w:cs="仿宋"/>
          <w:b w:val="0"/>
          <w:color w:val="0000FF"/>
          <w:kern w:val="2"/>
          <w:sz w:val="24"/>
          <w:szCs w:val="24"/>
          <w:lang w:val="en-US" w:eastAsia="zh-CN" w:bidi="ar-SA"/>
        </w:rPr>
      </w:pPr>
    </w:p>
    <w:p w14:paraId="6066B77B">
      <w:pPr>
        <w:pStyle w:val="3"/>
        <w:keepNext/>
        <w:keepLines/>
        <w:pageBreakBefore w:val="0"/>
        <w:widowControl w:val="0"/>
        <w:kinsoku/>
        <w:wordWrap/>
        <w:overflowPunct/>
        <w:topLinePunct w:val="0"/>
        <w:autoSpaceDE/>
        <w:autoSpaceDN/>
        <w:bidi w:val="0"/>
        <w:adjustRightInd/>
        <w:snapToGrid/>
        <w:spacing w:before="100" w:after="100"/>
        <w:jc w:val="both"/>
        <w:textAlignment w:val="auto"/>
        <w:rPr>
          <w:rFonts w:hint="default" w:ascii="仿宋" w:hAnsi="仿宋" w:eastAsia="仿宋" w:cs="仿宋"/>
          <w:b w:val="0"/>
          <w:color w:val="000000"/>
          <w:kern w:val="2"/>
          <w:sz w:val="24"/>
          <w:szCs w:val="24"/>
          <w:lang w:val="en-US" w:eastAsia="zh-CN" w:bidi="ar-SA"/>
        </w:rPr>
      </w:pPr>
      <w:bookmarkStart w:id="28" w:name="_Toc3654"/>
      <w:r>
        <w:rPr>
          <w:rFonts w:hint="eastAsia"/>
          <w:lang w:val="en-US" w:eastAsia="zh-CN"/>
        </w:rPr>
        <w:t>六、服务方案</w:t>
      </w:r>
      <w:bookmarkEnd w:id="28"/>
    </w:p>
    <w:p w14:paraId="69AE2DAA">
      <w:pPr>
        <w:bidi w:val="0"/>
        <w:rPr>
          <w:rFonts w:hint="eastAsia"/>
          <w:lang w:val="en-US" w:eastAsia="zh-CN"/>
        </w:rPr>
      </w:pPr>
      <w:bookmarkStart w:id="29" w:name="_Toc138151653"/>
      <w:r>
        <w:rPr>
          <w:rFonts w:hint="eastAsia"/>
          <w:lang w:val="en-US" w:eastAsia="zh-CN"/>
        </w:rPr>
        <w:t>（包含以上内容，其他内容自拟）</w:t>
      </w:r>
    </w:p>
    <w:bookmarkEnd w:id="29"/>
    <w:p w14:paraId="6CB9F6A8">
      <w:pPr>
        <w:rPr>
          <w:rFonts w:hint="eastAsia"/>
          <w:lang w:val="en-US" w:eastAsia="zh-CN"/>
        </w:rPr>
      </w:pPr>
    </w:p>
    <w:p w14:paraId="1C3A7D4D">
      <w:pPr>
        <w:rPr>
          <w:rFonts w:hint="eastAsia"/>
          <w:lang w:val="en-US" w:eastAsia="zh-CN"/>
        </w:rPr>
      </w:pPr>
    </w:p>
    <w:p w14:paraId="7086F3D8">
      <w:pPr>
        <w:rPr>
          <w:rFonts w:hint="default"/>
          <w:lang w:val="en-US" w:eastAsia="zh-CN"/>
        </w:rPr>
      </w:pPr>
    </w:p>
    <w:sectPr>
      <w:pgSz w:w="11906" w:h="16838"/>
      <w:pgMar w:top="1134" w:right="567"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4DBB4FC-9D1A-459C-A975-975F0C35066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F51D3DCF-C1C5-47E3-8C5C-4EC306D290B2}"/>
  </w:font>
  <w:font w:name="仿宋">
    <w:panose1 w:val="02010609060101010101"/>
    <w:charset w:val="86"/>
    <w:family w:val="auto"/>
    <w:pitch w:val="default"/>
    <w:sig w:usb0="800002BF" w:usb1="38CF7CFA" w:usb2="00000016" w:usb3="00000000" w:csb0="00040001" w:csb1="00000000"/>
    <w:embedRegular r:id="rId3" w:fontKey="{1B60613C-EAE9-4EC3-9E56-3A954288EA4B}"/>
  </w:font>
  <w:font w:name="微软雅黑">
    <w:panose1 w:val="020B0503020204020204"/>
    <w:charset w:val="86"/>
    <w:family w:val="auto"/>
    <w:pitch w:val="default"/>
    <w:sig w:usb0="80000287" w:usb1="2ACF3C50" w:usb2="00000016" w:usb3="00000000" w:csb0="0004001F" w:csb1="00000000"/>
    <w:embedRegular r:id="rId4" w:fontKey="{1D32632B-F531-4A83-B1F0-6B5AB5204D29}"/>
  </w:font>
  <w:font w:name="方正黑体简体">
    <w:panose1 w:val="02010601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64DC3CE"/>
    <w:multiLevelType w:val="singleLevel"/>
    <w:tmpl w:val="E64DC3CE"/>
    <w:lvl w:ilvl="0" w:tentative="0">
      <w:start w:val="1"/>
      <w:numFmt w:val="chineseCounting"/>
      <w:suff w:val="nothing"/>
      <w:lvlText w:val="（%1）"/>
      <w:lvlJc w:val="left"/>
      <w:rPr>
        <w:rFonts w:hint="eastAsia"/>
      </w:rPr>
    </w:lvl>
  </w:abstractNum>
  <w:abstractNum w:abstractNumId="1">
    <w:nsid w:val="23DEF404"/>
    <w:multiLevelType w:val="singleLevel"/>
    <w:tmpl w:val="23DEF404"/>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JlZWZkZDMxMzg2MTBmMjU2YTlhNWI3ZmFjNDQ4MWUifQ=="/>
  </w:docVars>
  <w:rsids>
    <w:rsidRoot w:val="00000000"/>
    <w:rsid w:val="003675E8"/>
    <w:rsid w:val="012D7046"/>
    <w:rsid w:val="01D52A58"/>
    <w:rsid w:val="01F114A6"/>
    <w:rsid w:val="021006E5"/>
    <w:rsid w:val="0224038E"/>
    <w:rsid w:val="02CE7139"/>
    <w:rsid w:val="03163E1D"/>
    <w:rsid w:val="03552A08"/>
    <w:rsid w:val="03D3104E"/>
    <w:rsid w:val="04593878"/>
    <w:rsid w:val="052B1309"/>
    <w:rsid w:val="062156C2"/>
    <w:rsid w:val="07B611C8"/>
    <w:rsid w:val="07C115F6"/>
    <w:rsid w:val="07C537D5"/>
    <w:rsid w:val="07E9598A"/>
    <w:rsid w:val="07F76D1E"/>
    <w:rsid w:val="085B7E12"/>
    <w:rsid w:val="088E0B0F"/>
    <w:rsid w:val="09EF4DDA"/>
    <w:rsid w:val="0A4B342C"/>
    <w:rsid w:val="0A5A448A"/>
    <w:rsid w:val="0AED6E12"/>
    <w:rsid w:val="0B307376"/>
    <w:rsid w:val="0C603D76"/>
    <w:rsid w:val="0C811C7B"/>
    <w:rsid w:val="0CDC4161"/>
    <w:rsid w:val="0D041EBC"/>
    <w:rsid w:val="0D5422FE"/>
    <w:rsid w:val="0DD4413B"/>
    <w:rsid w:val="0DED6FC6"/>
    <w:rsid w:val="0E266744"/>
    <w:rsid w:val="0EA93CA3"/>
    <w:rsid w:val="10151202"/>
    <w:rsid w:val="10AE73EC"/>
    <w:rsid w:val="10BD6274"/>
    <w:rsid w:val="1118101A"/>
    <w:rsid w:val="11DA6532"/>
    <w:rsid w:val="121A3D4C"/>
    <w:rsid w:val="127C38A5"/>
    <w:rsid w:val="12860B40"/>
    <w:rsid w:val="12D120BB"/>
    <w:rsid w:val="134306AA"/>
    <w:rsid w:val="135A02D0"/>
    <w:rsid w:val="13712447"/>
    <w:rsid w:val="14461E0A"/>
    <w:rsid w:val="148B7538"/>
    <w:rsid w:val="14E013D0"/>
    <w:rsid w:val="15C73093"/>
    <w:rsid w:val="15CF1F26"/>
    <w:rsid w:val="15DB7F42"/>
    <w:rsid w:val="16207B77"/>
    <w:rsid w:val="16B36D4D"/>
    <w:rsid w:val="172F40E0"/>
    <w:rsid w:val="1799286B"/>
    <w:rsid w:val="185B5474"/>
    <w:rsid w:val="18D92EBD"/>
    <w:rsid w:val="18DF7E53"/>
    <w:rsid w:val="190C14F0"/>
    <w:rsid w:val="1A492502"/>
    <w:rsid w:val="1AAF2DD5"/>
    <w:rsid w:val="1AC85C22"/>
    <w:rsid w:val="1AE31E7C"/>
    <w:rsid w:val="1B351348"/>
    <w:rsid w:val="1B46204F"/>
    <w:rsid w:val="1BBC5511"/>
    <w:rsid w:val="1BEB00C0"/>
    <w:rsid w:val="1C036DD3"/>
    <w:rsid w:val="1C3404B6"/>
    <w:rsid w:val="1DBE13B8"/>
    <w:rsid w:val="1E053C26"/>
    <w:rsid w:val="1E4A73F0"/>
    <w:rsid w:val="1E77318B"/>
    <w:rsid w:val="1EB94F81"/>
    <w:rsid w:val="1ED65F1E"/>
    <w:rsid w:val="20390524"/>
    <w:rsid w:val="20E172DD"/>
    <w:rsid w:val="20E3342D"/>
    <w:rsid w:val="210E5779"/>
    <w:rsid w:val="217F7DF1"/>
    <w:rsid w:val="21E94D67"/>
    <w:rsid w:val="22A273FF"/>
    <w:rsid w:val="22B436B9"/>
    <w:rsid w:val="23E3036F"/>
    <w:rsid w:val="251435E3"/>
    <w:rsid w:val="25380CA0"/>
    <w:rsid w:val="257D0110"/>
    <w:rsid w:val="25C63BAB"/>
    <w:rsid w:val="25C67C05"/>
    <w:rsid w:val="260F404F"/>
    <w:rsid w:val="263578BE"/>
    <w:rsid w:val="26A70C65"/>
    <w:rsid w:val="270C409F"/>
    <w:rsid w:val="2723780D"/>
    <w:rsid w:val="2777374E"/>
    <w:rsid w:val="27CF4822"/>
    <w:rsid w:val="283860D8"/>
    <w:rsid w:val="286E270D"/>
    <w:rsid w:val="29195CD1"/>
    <w:rsid w:val="29FF496C"/>
    <w:rsid w:val="2A1F28C7"/>
    <w:rsid w:val="2A2A3E76"/>
    <w:rsid w:val="2A7F1496"/>
    <w:rsid w:val="2B8925CC"/>
    <w:rsid w:val="2C376479"/>
    <w:rsid w:val="2C6F6170"/>
    <w:rsid w:val="2C9F6F43"/>
    <w:rsid w:val="2D755A60"/>
    <w:rsid w:val="2E8E10D4"/>
    <w:rsid w:val="2F8D0CD0"/>
    <w:rsid w:val="305F1B4D"/>
    <w:rsid w:val="3062425E"/>
    <w:rsid w:val="30893524"/>
    <w:rsid w:val="30C93B1B"/>
    <w:rsid w:val="31210BB1"/>
    <w:rsid w:val="3148089A"/>
    <w:rsid w:val="31595845"/>
    <w:rsid w:val="32024D28"/>
    <w:rsid w:val="337511B1"/>
    <w:rsid w:val="34A93520"/>
    <w:rsid w:val="34B66051"/>
    <w:rsid w:val="34EF00BE"/>
    <w:rsid w:val="35B34964"/>
    <w:rsid w:val="35C97E96"/>
    <w:rsid w:val="36C21BE7"/>
    <w:rsid w:val="36C450EA"/>
    <w:rsid w:val="36C812F7"/>
    <w:rsid w:val="36F636A7"/>
    <w:rsid w:val="372B5D93"/>
    <w:rsid w:val="375B0AE1"/>
    <w:rsid w:val="37C618E9"/>
    <w:rsid w:val="384A4E91"/>
    <w:rsid w:val="386C41A1"/>
    <w:rsid w:val="38761053"/>
    <w:rsid w:val="38A804E3"/>
    <w:rsid w:val="39106763"/>
    <w:rsid w:val="39A9133C"/>
    <w:rsid w:val="3A985554"/>
    <w:rsid w:val="3AAB598F"/>
    <w:rsid w:val="3B9C785C"/>
    <w:rsid w:val="3C0E1309"/>
    <w:rsid w:val="3C4D1AF8"/>
    <w:rsid w:val="3D033860"/>
    <w:rsid w:val="3D877BF2"/>
    <w:rsid w:val="3D8E5A8D"/>
    <w:rsid w:val="3E2619C7"/>
    <w:rsid w:val="3E4D7489"/>
    <w:rsid w:val="3E924036"/>
    <w:rsid w:val="3EBE4976"/>
    <w:rsid w:val="3EF73899"/>
    <w:rsid w:val="404B17A6"/>
    <w:rsid w:val="41AA074E"/>
    <w:rsid w:val="41F702EE"/>
    <w:rsid w:val="426B6130"/>
    <w:rsid w:val="428970E4"/>
    <w:rsid w:val="42BD668F"/>
    <w:rsid w:val="42D82436"/>
    <w:rsid w:val="42E17AB5"/>
    <w:rsid w:val="43875D58"/>
    <w:rsid w:val="44160312"/>
    <w:rsid w:val="4416031D"/>
    <w:rsid w:val="44BE1658"/>
    <w:rsid w:val="468A4AA4"/>
    <w:rsid w:val="46C53FAB"/>
    <w:rsid w:val="47823284"/>
    <w:rsid w:val="47E67906"/>
    <w:rsid w:val="485E35F8"/>
    <w:rsid w:val="48A51C70"/>
    <w:rsid w:val="49470F79"/>
    <w:rsid w:val="49550899"/>
    <w:rsid w:val="49BA2D04"/>
    <w:rsid w:val="49BB0786"/>
    <w:rsid w:val="4B643ABC"/>
    <w:rsid w:val="4B9F639D"/>
    <w:rsid w:val="4BC230D9"/>
    <w:rsid w:val="4C567E51"/>
    <w:rsid w:val="4D696680"/>
    <w:rsid w:val="4E844AD0"/>
    <w:rsid w:val="4F4F10AC"/>
    <w:rsid w:val="4F5F64BA"/>
    <w:rsid w:val="4FB545D4"/>
    <w:rsid w:val="502E58AD"/>
    <w:rsid w:val="51B13361"/>
    <w:rsid w:val="51B47BC2"/>
    <w:rsid w:val="5339476F"/>
    <w:rsid w:val="533A48CC"/>
    <w:rsid w:val="536B2A7D"/>
    <w:rsid w:val="53DE59A8"/>
    <w:rsid w:val="53E51F5E"/>
    <w:rsid w:val="541505F1"/>
    <w:rsid w:val="54400E09"/>
    <w:rsid w:val="545266C4"/>
    <w:rsid w:val="550810AE"/>
    <w:rsid w:val="556B799E"/>
    <w:rsid w:val="55B6522E"/>
    <w:rsid w:val="56AD049E"/>
    <w:rsid w:val="5715646F"/>
    <w:rsid w:val="57C224F5"/>
    <w:rsid w:val="581F4981"/>
    <w:rsid w:val="58CA7BFC"/>
    <w:rsid w:val="58CB413F"/>
    <w:rsid w:val="59410223"/>
    <w:rsid w:val="59723D50"/>
    <w:rsid w:val="59E91D42"/>
    <w:rsid w:val="5A864B12"/>
    <w:rsid w:val="5A920D49"/>
    <w:rsid w:val="5B4B35D6"/>
    <w:rsid w:val="5BB10EFE"/>
    <w:rsid w:val="5D2D190B"/>
    <w:rsid w:val="5D3C6BEF"/>
    <w:rsid w:val="5D762C66"/>
    <w:rsid w:val="5DB12BB2"/>
    <w:rsid w:val="5DEA79AF"/>
    <w:rsid w:val="5E037474"/>
    <w:rsid w:val="5E2F3B42"/>
    <w:rsid w:val="5F4131D6"/>
    <w:rsid w:val="5F684284"/>
    <w:rsid w:val="5F6F0822"/>
    <w:rsid w:val="5F744CAA"/>
    <w:rsid w:val="5F957CDE"/>
    <w:rsid w:val="5FDD7E71"/>
    <w:rsid w:val="602B6FE5"/>
    <w:rsid w:val="62561308"/>
    <w:rsid w:val="62927E29"/>
    <w:rsid w:val="632E15A0"/>
    <w:rsid w:val="63C11A36"/>
    <w:rsid w:val="640D6CAC"/>
    <w:rsid w:val="64105038"/>
    <w:rsid w:val="644B199A"/>
    <w:rsid w:val="64927383"/>
    <w:rsid w:val="64D6157E"/>
    <w:rsid w:val="655D64CF"/>
    <w:rsid w:val="656A4F30"/>
    <w:rsid w:val="65B14764"/>
    <w:rsid w:val="65D55C25"/>
    <w:rsid w:val="66403EBD"/>
    <w:rsid w:val="67CB7B5D"/>
    <w:rsid w:val="68014CBD"/>
    <w:rsid w:val="687304EE"/>
    <w:rsid w:val="68783C73"/>
    <w:rsid w:val="68BB438F"/>
    <w:rsid w:val="693862AF"/>
    <w:rsid w:val="69557BB0"/>
    <w:rsid w:val="6A961A6F"/>
    <w:rsid w:val="6A987C6E"/>
    <w:rsid w:val="6ACB7AD0"/>
    <w:rsid w:val="6B1D2493"/>
    <w:rsid w:val="6BA8544F"/>
    <w:rsid w:val="6C010F7B"/>
    <w:rsid w:val="6C7106BC"/>
    <w:rsid w:val="6CDD4D14"/>
    <w:rsid w:val="6D4B29EE"/>
    <w:rsid w:val="6D6D71FE"/>
    <w:rsid w:val="6E2B3418"/>
    <w:rsid w:val="6E92169B"/>
    <w:rsid w:val="6EC06CA8"/>
    <w:rsid w:val="6EED01BE"/>
    <w:rsid w:val="6F882923"/>
    <w:rsid w:val="6FCD7A7D"/>
    <w:rsid w:val="709E1F5D"/>
    <w:rsid w:val="712612D9"/>
    <w:rsid w:val="71B2000E"/>
    <w:rsid w:val="72307267"/>
    <w:rsid w:val="725577F4"/>
    <w:rsid w:val="73A103C3"/>
    <w:rsid w:val="740C7A72"/>
    <w:rsid w:val="74AB4B27"/>
    <w:rsid w:val="74BE1DD0"/>
    <w:rsid w:val="74EE1F10"/>
    <w:rsid w:val="74FC7C89"/>
    <w:rsid w:val="75AA5052"/>
    <w:rsid w:val="75BE2C2C"/>
    <w:rsid w:val="75BF7348"/>
    <w:rsid w:val="75D237F5"/>
    <w:rsid w:val="75EC5689"/>
    <w:rsid w:val="765F4A43"/>
    <w:rsid w:val="76EB7264"/>
    <w:rsid w:val="77F5610B"/>
    <w:rsid w:val="78A832CE"/>
    <w:rsid w:val="79175759"/>
    <w:rsid w:val="794270DA"/>
    <w:rsid w:val="7A9F77BB"/>
    <w:rsid w:val="7CEF5984"/>
    <w:rsid w:val="7D65005C"/>
    <w:rsid w:val="7E283B0C"/>
    <w:rsid w:val="7E543940"/>
    <w:rsid w:val="7E7519CA"/>
    <w:rsid w:val="7EF240BF"/>
    <w:rsid w:val="7F2C38B2"/>
    <w:rsid w:val="7F2D0FB6"/>
    <w:rsid w:val="7F962F62"/>
    <w:rsid w:val="7FE05D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360" w:lineRule="auto"/>
      <w:jc w:val="center"/>
      <w:outlineLvl w:val="0"/>
    </w:pPr>
    <w:rPr>
      <w:rFonts w:asciiTheme="minorAscii" w:hAnsiTheme="minorAscii"/>
      <w:b/>
      <w:kern w:val="44"/>
      <w:sz w:val="30"/>
    </w:rPr>
  </w:style>
  <w:style w:type="paragraph" w:styleId="4">
    <w:name w:val="heading 2"/>
    <w:basedOn w:val="1"/>
    <w:next w:val="1"/>
    <w:unhideWhenUsed/>
    <w:qFormat/>
    <w:uiPriority w:val="0"/>
    <w:pPr>
      <w:keepNext/>
      <w:keepLines/>
      <w:spacing w:beforeLines="0" w:beforeAutospacing="0" w:afterLines="0" w:afterAutospacing="0" w:line="360" w:lineRule="auto"/>
      <w:outlineLvl w:val="1"/>
    </w:pPr>
    <w:rPr>
      <w:rFonts w:ascii="Arial" w:hAnsi="Arial" w:eastAsia="黑体"/>
      <w:b/>
      <w:sz w:val="24"/>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5">
    <w:name w:val="Normal Indent"/>
    <w:basedOn w:val="1"/>
    <w:next w:val="1"/>
    <w:qFormat/>
    <w:uiPriority w:val="0"/>
    <w:pPr>
      <w:ind w:firstLine="420" w:firstLineChars="200"/>
    </w:pPr>
  </w:style>
  <w:style w:type="paragraph" w:styleId="6">
    <w:name w:val="Body Text"/>
    <w:basedOn w:val="1"/>
    <w:next w:val="1"/>
    <w:qFormat/>
    <w:uiPriority w:val="0"/>
    <w:pPr>
      <w:spacing w:before="1" w:line="360" w:lineRule="auto"/>
    </w:pPr>
    <w:rPr>
      <w:rFonts w:ascii="宋体" w:hAnsi="宋体" w:eastAsia="仿宋" w:cs="宋体"/>
      <w:sz w:val="24"/>
      <w:szCs w:val="24"/>
      <w:lang w:val="zh-CN" w:bidi="zh-CN"/>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toc 1"/>
    <w:basedOn w:val="1"/>
    <w:next w:val="1"/>
    <w:qFormat/>
    <w:uiPriority w:val="39"/>
  </w:style>
  <w:style w:type="paragraph" w:styleId="9">
    <w:name w:val="toc 2"/>
    <w:basedOn w:val="1"/>
    <w:next w:val="1"/>
    <w:qFormat/>
    <w:uiPriority w:val="0"/>
    <w:pPr>
      <w:ind w:left="420" w:leftChars="200"/>
    </w:pPr>
  </w:style>
  <w:style w:type="paragraph" w:styleId="10">
    <w:name w:val="Normal (Web)"/>
    <w:basedOn w:val="1"/>
    <w:unhideWhenUsed/>
    <w:qFormat/>
    <w:uiPriority w:val="99"/>
    <w:pPr>
      <w:adjustRightInd/>
      <w:snapToGrid/>
      <w:spacing w:before="100" w:beforeAutospacing="1" w:after="100" w:afterAutospacing="1"/>
    </w:pPr>
    <w:rPr>
      <w:rFonts w:ascii="宋体" w:hAnsi="宋体" w:eastAsia="宋体" w:cs="宋体"/>
      <w:sz w:val="24"/>
      <w:szCs w:val="24"/>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Strong"/>
    <w:basedOn w:val="13"/>
    <w:qFormat/>
    <w:uiPriority w:val="0"/>
    <w:rPr>
      <w:b/>
    </w:rPr>
  </w:style>
  <w:style w:type="character" w:styleId="15">
    <w:name w:val="Emphasis"/>
    <w:basedOn w:val="13"/>
    <w:qFormat/>
    <w:uiPriority w:val="0"/>
    <w:rPr>
      <w:i/>
    </w:rPr>
  </w:style>
  <w:style w:type="character" w:customStyle="1" w:styleId="16">
    <w:name w:val="font81"/>
    <w:basedOn w:val="13"/>
    <w:qFormat/>
    <w:uiPriority w:val="0"/>
    <w:rPr>
      <w:rFonts w:hint="eastAsia" w:ascii="仿宋" w:hAnsi="仿宋" w:eastAsia="仿宋" w:cs="仿宋"/>
      <w:color w:val="FF0000"/>
      <w:sz w:val="24"/>
      <w:szCs w:val="24"/>
      <w:u w:val="none"/>
    </w:rPr>
  </w:style>
  <w:style w:type="character" w:customStyle="1" w:styleId="17">
    <w:name w:val="font61"/>
    <w:basedOn w:val="13"/>
    <w:qFormat/>
    <w:uiPriority w:val="0"/>
    <w:rPr>
      <w:rFonts w:hint="eastAsia" w:ascii="仿宋" w:hAnsi="仿宋" w:eastAsia="仿宋" w:cs="仿宋"/>
      <w:color w:val="000000"/>
      <w:sz w:val="24"/>
      <w:szCs w:val="24"/>
      <w:u w:val="none"/>
    </w:rPr>
  </w:style>
  <w:style w:type="character" w:customStyle="1" w:styleId="18">
    <w:name w:val="font41"/>
    <w:basedOn w:val="13"/>
    <w:qFormat/>
    <w:uiPriority w:val="0"/>
    <w:rPr>
      <w:rFonts w:hint="eastAsia" w:ascii="仿宋" w:hAnsi="仿宋" w:eastAsia="仿宋" w:cs="仿宋"/>
      <w:color w:val="000000"/>
      <w:sz w:val="24"/>
      <w:szCs w:val="24"/>
      <w:u w:val="none"/>
    </w:rPr>
  </w:style>
  <w:style w:type="character" w:customStyle="1" w:styleId="19">
    <w:name w:val="font71"/>
    <w:basedOn w:val="13"/>
    <w:qFormat/>
    <w:uiPriority w:val="0"/>
    <w:rPr>
      <w:rFonts w:hint="eastAsia" w:ascii="仿宋" w:hAnsi="仿宋" w:eastAsia="仿宋" w:cs="仿宋"/>
      <w:color w:val="0070C0"/>
      <w:sz w:val="24"/>
      <w:szCs w:val="24"/>
      <w:u w:val="none"/>
    </w:rPr>
  </w:style>
  <w:style w:type="character" w:customStyle="1" w:styleId="20">
    <w:name w:val="font51"/>
    <w:basedOn w:val="13"/>
    <w:qFormat/>
    <w:uiPriority w:val="0"/>
    <w:rPr>
      <w:rFonts w:hint="eastAsia" w:ascii="宋体" w:hAnsi="宋体" w:eastAsia="宋体" w:cs="宋体"/>
      <w:color w:val="000000"/>
      <w:sz w:val="24"/>
      <w:szCs w:val="24"/>
      <w:u w:val="none"/>
    </w:rPr>
  </w:style>
  <w:style w:type="character" w:customStyle="1" w:styleId="21">
    <w:name w:val="font21"/>
    <w:basedOn w:val="13"/>
    <w:qFormat/>
    <w:uiPriority w:val="0"/>
    <w:rPr>
      <w:rFonts w:hint="eastAsia" w:ascii="宋体" w:hAnsi="宋体" w:eastAsia="宋体" w:cs="宋体"/>
      <w:color w:val="000000"/>
      <w:sz w:val="22"/>
      <w:szCs w:val="22"/>
      <w:u w:val="none"/>
    </w:rPr>
  </w:style>
  <w:style w:type="character" w:customStyle="1" w:styleId="22">
    <w:name w:val="font11"/>
    <w:basedOn w:val="13"/>
    <w:qFormat/>
    <w:uiPriority w:val="0"/>
    <w:rPr>
      <w:rFonts w:hint="eastAsia" w:ascii="宋体" w:hAnsi="宋体" w:eastAsia="宋体" w:cs="宋体"/>
      <w:b/>
      <w:bCs/>
      <w:color w:val="000000"/>
      <w:sz w:val="24"/>
      <w:szCs w:val="24"/>
      <w:u w:val="none"/>
    </w:rPr>
  </w:style>
  <w:style w:type="paragraph" w:customStyle="1" w:styleId="23">
    <w:name w:val="段"/>
    <w:next w:val="1"/>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 w:type="character" w:customStyle="1" w:styleId="24">
    <w:name w:val="font31"/>
    <w:basedOn w:val="13"/>
    <w:qFormat/>
    <w:uiPriority w:val="0"/>
    <w:rPr>
      <w:rFonts w:hint="eastAsia" w:ascii="宋体" w:hAnsi="宋体" w:eastAsia="宋体" w:cs="宋体"/>
      <w:color w:val="000000"/>
      <w:sz w:val="24"/>
      <w:szCs w:val="24"/>
      <w:u w:val="none"/>
    </w:rPr>
  </w:style>
  <w:style w:type="character" w:customStyle="1" w:styleId="25">
    <w:name w:val="font01"/>
    <w:basedOn w:val="13"/>
    <w:qFormat/>
    <w:uiPriority w:val="0"/>
    <w:rPr>
      <w:rFonts w:hint="eastAsia" w:ascii="宋体" w:hAnsi="宋体" w:eastAsia="宋体" w:cs="宋体"/>
      <w:color w:val="000000"/>
      <w:sz w:val="22"/>
      <w:szCs w:val="22"/>
      <w:u w:val="none"/>
    </w:rPr>
  </w:style>
  <w:style w:type="paragraph" w:customStyle="1" w:styleId="26">
    <w:name w:val="null3"/>
    <w:hidden/>
    <w:qFormat/>
    <w:uiPriority w:val="0"/>
    <w:rPr>
      <w:rFonts w:hint="eastAsia" w:asciiTheme="minorHAnsi" w:hAnsiTheme="minorHAnsi" w:eastAsiaTheme="minorEastAsia" w:cstheme="minorBidi"/>
      <w:lang w:val="en-US" w:eastAsia="zh-Hans" w:bidi="ar-SA"/>
    </w:rPr>
  </w:style>
  <w:style w:type="paragraph" w:customStyle="1" w:styleId="27">
    <w:name w:val="标题 5（有编号）（绿盟科技）"/>
    <w:basedOn w:val="1"/>
    <w:next w:val="28"/>
    <w:qFormat/>
    <w:uiPriority w:val="0"/>
    <w:pPr>
      <w:keepNext/>
      <w:keepLines/>
      <w:widowControl w:val="0"/>
      <w:tabs>
        <w:tab w:val="left" w:pos="4832"/>
      </w:tabs>
      <w:spacing w:before="280" w:after="156" w:line="377" w:lineRule="auto"/>
      <w:ind w:left="4832" w:hanging="992"/>
      <w:outlineLvl w:val="4"/>
    </w:pPr>
    <w:rPr>
      <w:rFonts w:ascii="Arial" w:hAnsi="Arial" w:eastAsia="黑体"/>
      <w:b/>
      <w:sz w:val="24"/>
      <w:szCs w:val="28"/>
    </w:rPr>
  </w:style>
  <w:style w:type="paragraph" w:customStyle="1" w:styleId="28">
    <w:name w:val="正文（绿盟科技）"/>
    <w:qFormat/>
    <w:uiPriority w:val="0"/>
    <w:pPr>
      <w:spacing w:line="300" w:lineRule="auto"/>
    </w:pPr>
    <w:rPr>
      <w:rFonts w:ascii="Arial" w:hAnsi="Arial" w:eastAsia="宋体" w:cs="黑体"/>
      <w:sz w:val="21"/>
      <w:szCs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9299</Words>
  <Characters>11094</Characters>
  <Lines>0</Lines>
  <Paragraphs>0</Paragraphs>
  <TotalTime>0</TotalTime>
  <ScaleCrop>false</ScaleCrop>
  <LinksUpToDate>false</LinksUpToDate>
  <CharactersWithSpaces>11350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2023-07-17T06:43:00Z</dcterms:created>
  <dc:creator>Administrator</dc:creator>
  <cp:lastModifiedBy>陈星材</cp:lastModifiedBy>
  <cp:lastPrinted>2026-09-18T01:19:00Z</cp:lastPrinted>
  <dcterms:modified xsi:type="dcterms:W3CDTF">2026-09-18T05:24:46Z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24317F003EB146D29411D8C4611E47C4_13</vt:lpwstr>
  </property>
  <property fmtid="{D5CDD505-2E9C-101B-9397-08002B2CF9AE}" pid="4" name="KSOTemplateDocerSaveRecord">
    <vt:lpwstr>eyJoZGlkIjoiMjQyNDhmOTM2ZTFmMzI0NWNlOWQ4YjMzNDBjYmNiZTkiLCJ1c2VySWQiOiIxNTY4OTgzOTkzIn0=</vt:lpwstr>
  </property>
</Properties>
</file>